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3.xml" ContentType="application/vnd.openxmlformats-officedocument.wordprocessingml.footer+xml"/>
  <Override PartName="/word/header78.xml" ContentType="application/vnd.openxmlformats-officedocument.wordprocessingml.header+xml"/>
  <Override PartName="/word/footer7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header81.xml" ContentType="application/vnd.openxmlformats-officedocument.wordprocessingml.header+xml"/>
  <Override PartName="/word/footer77.xml" ContentType="application/vnd.openxmlformats-officedocument.wordprocessingml.footer+xml"/>
  <Override PartName="/word/header8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2.xml" ContentType="application/vnd.openxmlformats-officedocument.wordprocessingml.foot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7.xml" ContentType="application/vnd.openxmlformats-officedocument.wordprocessingml.footer+xml"/>
  <Override PartName="/word/header9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0.xml" ContentType="application/vnd.openxmlformats-officedocument.wordprocessingml.footer+xml"/>
  <Override PartName="/word/header105.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5.xml" ContentType="application/vnd.openxmlformats-officedocument.wordprocessingml.footer+xml"/>
  <Override PartName="/word/header110.xml" ContentType="application/vnd.openxmlformats-officedocument.wordprocessingml.header+xml"/>
  <Override PartName="/word/footer106.xml" ContentType="application/vnd.openxmlformats-officedocument.wordprocessingml.footer+xml"/>
  <Override PartName="/word/header11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5.xml" ContentType="application/vnd.openxmlformats-officedocument.wordprocessingml.footer+xml"/>
  <Override PartName="/word/header120.xml" ContentType="application/vnd.openxmlformats-officedocument.wordprocessingml.header+xml"/>
  <Override PartName="/word/footer116.xml" ContentType="application/vnd.openxmlformats-officedocument.wordprocessingml.footer+xml"/>
  <Override PartName="/word/header121.xml" ContentType="application/vnd.openxmlformats-officedocument.wordprocessingml.header+xml"/>
  <Override PartName="/word/footer117.xml" ContentType="application/vnd.openxmlformats-officedocument.wordprocessingml.footer+xml"/>
  <Override PartName="/word/header122.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8.xml" ContentType="application/vnd.openxmlformats-officedocument.wordprocessingml.footer+xml"/>
  <Override PartName="/word/header133.xml" ContentType="application/vnd.openxmlformats-officedocument.wordprocessingml.header+xml"/>
  <Override PartName="/word/footer129.xml" ContentType="application/vnd.openxmlformats-officedocument.wordprocessingml.footer+xml"/>
  <Override PartName="/word/header134.xml" ContentType="application/vnd.openxmlformats-officedocument.wordprocessingml.header+xml"/>
  <Override PartName="/word/footer130.xml" ContentType="application/vnd.openxmlformats-officedocument.wordprocessingml.footer+xml"/>
  <Override PartName="/word/header135.xml" ContentType="application/vnd.openxmlformats-officedocument.wordprocessingml.header+xml"/>
  <Override PartName="/word/footer131.xml" ContentType="application/vnd.openxmlformats-officedocument.wordprocessingml.footer+xml"/>
  <Override PartName="/word/header136.xml" ContentType="application/vnd.openxmlformats-officedocument.wordprocessingml.header+xml"/>
  <Override PartName="/word/footer132.xml" ContentType="application/vnd.openxmlformats-officedocument.wordprocessingml.footer+xml"/>
  <Override PartName="/word/header13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5.xml" ContentType="application/vnd.openxmlformats-officedocument.wordprocessingml.footer+xml"/>
  <Override PartName="/word/header140.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4.xml" ContentType="application/vnd.openxmlformats-officedocument.wordprocessingml.footer+xml"/>
  <Override PartName="/word/header159.xml" ContentType="application/vnd.openxmlformats-officedocument.wordprocessingml.header+xml"/>
  <Override PartName="/word/footer155.xml" ContentType="application/vnd.openxmlformats-officedocument.wordprocessingml.footer+xml"/>
  <Override PartName="/word/header160.xml" ContentType="application/vnd.openxmlformats-officedocument.wordprocessingml.header+xml"/>
  <Override PartName="/word/footer156.xml" ContentType="application/vnd.openxmlformats-officedocument.wordprocessingml.footer+xml"/>
  <Override PartName="/word/header16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5.xml" ContentType="application/vnd.openxmlformats-officedocument.wordprocessingml.footer+xml"/>
  <Override PartName="/word/header180.xml" ContentType="application/vnd.openxmlformats-officedocument.wordprocessingml.header+xml"/>
  <Override PartName="/word/footer176.xml" ContentType="application/vnd.openxmlformats-officedocument.wordprocessingml.footer+xml"/>
  <Override PartName="/word/header181.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1.xml" ContentType="application/vnd.openxmlformats-officedocument.wordprocessingml.footer+xml"/>
  <Override PartName="/word/header186.xml" ContentType="application/vnd.openxmlformats-officedocument.wordprocessingml.header+xml"/>
  <Override PartName="/word/footer182.xml" ContentType="application/vnd.openxmlformats-officedocument.wordprocessingml.footer+xml"/>
  <Override PartName="/word/header187.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9.xml" ContentType="application/vnd.openxmlformats-officedocument.wordprocessingml.footer+xml"/>
  <Override PartName="/word/header204.xml" ContentType="application/vnd.openxmlformats-officedocument.wordprocessingml.header+xml"/>
  <Override PartName="/word/footer200.xml" ContentType="application/vnd.openxmlformats-officedocument.wordprocessingml.footer+xml"/>
  <Override PartName="/word/header205.xml" ContentType="application/vnd.openxmlformats-officedocument.wordprocessingml.header+xml"/>
  <Override PartName="/word/footer20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1.056pt;margin-top:.000014pt;width:594.25pt;height:841.9pt;mso-position-horizontal-relative:page;mso-position-vertical-relative:page;z-index:-267625472" coordorigin="21,0" coordsize="11885,16838">
            <v:shape style="position:absolute;left:21;top:0;width:11885;height:16838" type="#_x0000_t75" stroked="false">
              <v:imagedata r:id="rId5" o:title=""/>
            </v:shape>
            <v:rect style="position:absolute;left:1427;top:3007;width:6272;height:1203" filled="true" fillcolor="#053514" stroked="false">
              <v:fill opacity="19004f" type="solid"/>
            </v:rect>
            <v:shape style="position:absolute;left:5675;top:7963;width:273;height:311" type="#_x0000_t75" stroked="false">
              <v:imagedata r:id="rId6" o:title=""/>
            </v:shape>
            <v:shape style="position:absolute;left:1365;top:5966;width:4921;height:3323" coordorigin="1365,5967" coordsize="4921,3323" path="m3573,7086l3562,7074,3553,7068,3539,7064,3516,7061,3469,7057,3305,7045,3328,7043,3393,7042,3462,7032,3495,7003,3482,6995,3424,6970,3412,6962,3413,6958,3431,6952,3444,6941,3437,6932,3436,6924,3361,6924,2631,6924,2631,6213,2631,6187,2631,6159,2631,6083,2628,6079,2620,6072,2610,6066,2600,6066,2588,6094,2579,6144,2574,6191,2572,6213,2568,6187,2566,6176,2563,6096,2559,6013,2550,5967,2546,5969,2515,5971,2461,5985,2434,6010,2425,6034,2424,6045,2409,6187,2406,6176,2405,6159,2404,6147,2401,6116,2394,6100,2382,6099,2374,6106,2367,6124,2358,6159,2355,6139,2351,6092,2347,6044,2343,6021,2335,6023,2327,6031,2320,6045,2315,6064,2314,6843,2314,8124,2243,8109,2070,8011,1954,7912,1911,7868,2056,7702,2161,7618,2277,7586,2314,7585,2314,8124,2314,6843,2314,6924,1466,6924,1450,6929,1449,6939,1454,6952,1461,6963,1480,6968,1522,6973,1619,6983,1645,6988,1637,6992,1579,6996,1550,6997,1491,7001,1425,7006,1374,7014,1368,7024,1365,7033,1365,7043,1365,7047,1368,7067,1380,7112,1395,7136,1408,7146,1413,7148,1508,7169,1508,7173,1494,7176,1477,7182,1470,7197,1493,7201,1591,7209,1612,7213,1598,7216,1567,7221,1534,7227,1512,7234,1505,7240,1502,7254,1503,7261,1595,7262,2314,7262,2314,7461,2151,7498,1904,7648,1738,7799,1677,7868,1885,8121,2035,8251,2200,8299,2314,8302,2314,8979,2315,9004,2317,9049,2319,9099,2321,9165,2321,9179,2338,9173,2345,9167,2349,9156,2350,9141,2350,9130,2352,9131,2357,9156,2364,9195,2371,9232,2376,9251,2387,9274,2394,9286,2402,9289,2414,9288,2421,9130,2431,8910,2441,9289,2487,9281,2517,9263,2534,9245,2539,9237,2535,9217,2536,9199,2538,9189,2542,9181,2552,9173,2567,9161,2578,9035,2583,8971,2585,8949,2586,8949,2587,8979,2589,9029,2590,9076,2592,9098,2596,9106,2602,9118,2611,9126,2625,9124,2630,9100,2632,9049,2632,8997,2631,8979,2631,8949,2631,8910,2631,8277,2679,8261,2752,8230,2822,8194,2889,8154,2889,8154,2952,8111,3011,8068,3064,8025,3111,7984,3312,8179,3340,8098,3338,8028,3321,7984,3314,7968,3276,7915,3231,7868,3277,7820,3316,7767,3324,7745,3340,7706,3341,7635,3313,7554,3116,7745,3072,7705,3022,7663,2997,7644,2997,7868,2840,8033,2732,8118,2631,8146,2631,7620,2661,7627,2834,7725,2953,7823,2997,7868,2997,7644,2966,7620,2910,7582,2905,7578,2839,7539,2769,7503,2695,7473,2631,7454,2631,7262,2874,7262,3381,7262,3489,7261,3493,7255,3504,7239,3496,7230,3480,7222,3453,7213,3428,7207,3417,7204,3436,7200,3468,7195,3500,7190,3520,7182,3545,7165,3559,7149,3567,7126,3573,7086m6285,8268l6284,8251,6283,8230,6283,8221,6283,8215,6283,8207,6283,8200,6282,8022,6282,8003,6282,7835,6208,7835,6208,8003,6208,8089,6208,8147,6207,8155,6205,8162,6196,8184,6182,8200,6163,8211,6141,8215,6109,8207,6086,8188,6071,8158,6066,8121,6071,8082,6086,8050,6109,8030,6142,8022,6165,8026,6184,8038,6198,8055,6206,8075,6207,8082,6208,8089,6208,8003,6207,8003,6194,7988,6175,7975,6151,7967,6123,7964,6072,7975,6030,8006,6001,8056,5990,8123,6000,8185,6027,8233,6067,8264,6117,8275,6148,8271,6175,8261,6197,8244,6214,8221,6215,8221,6218,8268,6285,8268e" filled="true" fillcolor="#ffffff" stroked="false">
              <v:path arrowok="t"/>
              <v:fill type="solid"/>
            </v:shape>
            <v:shape style="position:absolute;left:3773;top:6537;width:483;height:388" type="#_x0000_t75" stroked="false">
              <v:imagedata r:id="rId7" o:title=""/>
            </v:shape>
            <v:shape style="position:absolute;left:4303;top:6654;width:222;height:276" type="#_x0000_t75" stroked="false">
              <v:imagedata r:id="rId8" o:title=""/>
            </v:shape>
            <v:shape style="position:absolute;left:3781;top:7184;width:321;height:419" coordorigin="3781,7185" coordsize="321,419" path="m3856,7185l3781,7185,3781,7421,3792,7504,3824,7560,3873,7593,3938,7603,4005,7592,4057,7559,4066,7543,3940,7543,3906,7536,3879,7514,3862,7478,3856,7425,3856,7185xm4102,7185l4027,7185,4027,7425,4021,7478,4004,7514,3976,7536,3940,7543,4066,7543,4090,7502,4102,7421,4102,7185xe" filled="true" fillcolor="#ffffff" stroked="false">
              <v:path arrowok="t"/>
              <v:fill type="solid"/>
            </v:shape>
            <v:shape style="position:absolute;left:4169;top:7292;width:272;height:305" type="#_x0000_t75" stroked="false">
              <v:imagedata r:id="rId9" o:title=""/>
            </v:shape>
            <v:shape style="position:absolute;left:4504;top:7175;width:85;height:422" coordorigin="4504,7175" coordsize="85,422" path="m4584,7299l4508,7299,4508,7597,4584,7597,4584,7299xm4546,7175l4529,7178,4516,7187,4507,7200,4504,7216,4507,7232,4516,7245,4529,7253,4546,7256,4564,7253,4577,7245,4585,7232,4588,7216,4585,7200,4577,7187,4564,7178,4546,7175xe" filled="true" fillcolor="#ffffff" stroked="false">
              <v:path arrowok="t"/>
              <v:fill type="solid"/>
            </v:shape>
            <v:shape style="position:absolute;left:4635;top:7214;width:187;height:389" type="#_x0000_t75" stroked="false">
              <v:imagedata r:id="rId10" o:title=""/>
            </v:shape>
            <v:shape style="position:absolute;left:4855;top:7292;width:273;height:311" type="#_x0000_t75" stroked="false">
              <v:imagedata r:id="rId11" o:title=""/>
            </v:shape>
            <v:shape style="position:absolute;left:3781;top:7163;width:1684;height:1106" coordorigin="3782,7163" coordsize="1684,1106" path="m4072,8268l4066,8251,4058,8224,4049,8191,4040,8154,4031,8126,4018,8103,4015,8099,4003,8085,3983,8074,3983,8073,4011,8058,4025,8044,4034,8035,4051,8006,4057,7969,4055,7944,4048,7922,4041,7910,4037,7903,4022,7887,3999,7872,3983,7866,3983,7976,3977,8004,3961,8026,3935,8039,3901,8044,3856,8044,3856,7914,3863,7913,3873,7911,3886,7911,3902,7910,3935,7914,3961,7926,3977,7947,3983,7976,3983,7866,3970,7862,3936,7856,3895,7854,3863,7855,3833,7856,3805,7859,3782,7862,3782,8268,3856,8268,3856,8099,3894,8099,3922,8103,3942,8115,3957,8137,3967,8171,3976,8206,3983,8234,3990,8255,3995,8268,4072,8268m5466,7597l5465,7579,5464,7559,5464,7550,5464,7543,5463,7536,5463,7351,5463,7331,5463,7163,5388,7163,5388,7331,5388,7331,5388,7410,5388,7483,5386,7490,5377,7512,5362,7528,5343,7539,5321,7543,5289,7536,5266,7516,5251,7486,5246,7449,5251,7410,5266,7379,5290,7358,5322,7351,5345,7355,5364,7366,5378,7383,5386,7403,5388,7410,5388,7331,5387,7331,5374,7316,5355,7304,5332,7295,5303,7292,5252,7303,5210,7335,5181,7385,5171,7451,5181,7514,5208,7562,5248,7592,5298,7603,5328,7599,5355,7589,5378,7572,5394,7550,5395,7550,5398,7597,5466,7597e" filled="true" fillcolor="#ffffff" stroked="false">
              <v:path arrowok="t"/>
              <v:fill type="solid"/>
            </v:shape>
            <v:shape style="position:absolute;left:4102;top:7963;width:273;height:311" type="#_x0000_t75" stroked="false">
              <v:imagedata r:id="rId12" o:title=""/>
            </v:shape>
            <v:shape style="position:absolute;left:4397;top:7827;width:203;height:441" coordorigin="4398,7828" coordsize="203,441" path="m4513,8027l4438,8027,4438,8268,4513,8268,4513,8027xm4577,7971l4398,7971,4398,8027,4577,8027,4577,7971xm4551,7828l4531,7829,4511,7834,4492,7843,4474,7856,4457,7877,4446,7902,4440,7929,4438,7956,4438,7971,4512,7971,4512,7956,4515,7930,4523,7908,4539,7894,4562,7888,4595,7888,4600,7836,4590,7832,4578,7830,4565,7828,4551,7828xm4595,7888l4576,7888,4586,7891,4594,7893,4595,7888xe" filled="true" fillcolor="#ffffff" stroked="false">
              <v:path arrowok="t"/>
              <v:fill type="solid"/>
            </v:shape>
            <v:shape style="position:absolute;left:4598;top:7963;width:301;height:312" type="#_x0000_t75" stroked="false">
              <v:imagedata r:id="rId13" o:title=""/>
            </v:shape>
            <v:shape style="position:absolute;left:4958;top:7963;width:170;height:305" type="#_x0000_t75" stroked="false">
              <v:imagedata r:id="rId14" o:title=""/>
            </v:shape>
            <v:shape style="position:absolute;left:3760;top:7963;width:1856;height:982" coordorigin="3760,7964" coordsize="1856,982" path="m4080,8540l4065,8534,4042,8528,4014,8523,3980,8522,3909,8531,3848,8559,3801,8604,3771,8664,3760,8739,3769,8809,3796,8866,3840,8909,3898,8936,3970,8946,4005,8944,4035,8940,4059,8934,4076,8927,4067,8884,4064,8869,4047,8875,4027,8880,4005,8883,3982,8884,3922,8873,3877,8843,3849,8797,3839,8735,3850,8670,3880,8623,3925,8594,3983,8584,4007,8585,4028,8589,4047,8594,4063,8600,4068,8584,4080,8540m4398,8765l4389,8705,4384,8697,4376,8684,4365,8665,4332,8642,4294,8636,4280,8637,4267,8639,4254,8644,4243,8649,4232,8656,4222,8664,4213,8674,4206,8684,4204,8684,4204,8506,4129,8506,4129,8940,4204,8940,4204,8753,4205,8746,4208,8740,4216,8723,4229,8710,4245,8701,4265,8697,4292,8703,4310,8719,4320,8743,4323,8773,4323,8940,4398,8940,4398,8765m5615,8093l5607,8033,5603,8026,5599,8019,5584,7993,5552,7971,5516,7964,5499,7965,5483,7969,5469,7974,5456,7982,5446,7989,5437,7998,5428,8007,5420,8019,5419,8019,5417,8015,5406,7996,5387,7979,5364,7968,5337,7964,5303,7969,5277,7981,5258,7997,5245,8015,5243,8015,5240,7971,5176,7971,5176,7989,5177,8012,5178,8033,5178,8268,5251,8268,5251,8084,5252,8075,5255,8068,5263,8053,5274,8039,5290,8029,5309,8026,5332,8031,5348,8045,5357,8068,5360,8096,5360,8268,5433,8268,5433,8082,5435,8073,5437,8065,5445,8050,5456,8037,5471,8029,5490,8026,5513,8031,5529,8046,5539,8071,5542,8104,5542,8268,5615,8268,5615,8093e" filled="true" fillcolor="#ffffff" stroked="false">
              <v:path arrowok="t"/>
              <v:fill type="solid"/>
            </v:shape>
            <v:shape style="position:absolute;left:4458;top:8642;width:270;height:305" type="#_x0000_t75" stroked="false">
              <v:imagedata r:id="rId15" o:title=""/>
            </v:shape>
            <v:shape style="position:absolute;left:4784;top:8635;width:428;height:311" type="#_x0000_t75" stroked="false">
              <v:imagedata r:id="rId16" o:title=""/>
            </v:shape>
            <v:shape style="position:absolute;left:2259;top:8102;width:3271;height:838" coordorigin="2259,8102" coordsize="3271,838" path="m2682,8260l2674,8154,2670,8102,2619,8123,2564,8139,2507,8150,2448,8154,2401,8151,2355,8144,2310,8134,2268,8120,2259,8273,2309,8287,2361,8297,2413,8304,2467,8306,2524,8302,2579,8292,2631,8277,2682,8260m5530,8765l5520,8705,5516,8697,5508,8684,5497,8665,5463,8642,5426,8636,5412,8637,5399,8639,5386,8644,5374,8649,5363,8656,5354,8664,5345,8674,5338,8684,5337,8684,5337,8506,5261,8506,5261,8940,5337,8940,5337,8746,5339,8740,5347,8723,5360,8710,5377,8701,5397,8697,5423,8703,5441,8719,5451,8743,5454,8773,5454,8940,5530,8940,5530,8765e" filled="true" fillcolor="#ffffff" stroked="false">
              <v:path arrowok="t"/>
              <v:fill type="solid"/>
            </v:shape>
            <w10:wrap type="none"/>
          </v:group>
        </w:pict>
      </w:r>
    </w:p>
    <w:p>
      <w:pPr>
        <w:pStyle w:val="BodyText"/>
        <w:rPr>
          <w:rFonts w:ascii="Times New Roman"/>
        </w:rPr>
      </w:pPr>
    </w:p>
    <w:p>
      <w:pPr>
        <w:pStyle w:val="BodyText"/>
        <w:rPr>
          <w:rFonts w:ascii="Times New Roman"/>
        </w:rPr>
      </w:pPr>
    </w:p>
    <w:p>
      <w:pPr>
        <w:pStyle w:val="BodyText"/>
        <w:spacing w:before="11"/>
        <w:rPr>
          <w:rFonts w:ascii="Times New Roman"/>
          <w:sz w:val="22"/>
        </w:rPr>
      </w:pPr>
    </w:p>
    <w:p>
      <w:pPr>
        <w:spacing w:before="100"/>
        <w:ind w:left="662" w:right="0" w:firstLine="0"/>
        <w:jc w:val="left"/>
        <w:rPr>
          <w:rFonts w:ascii="Myriad Pro"/>
          <w:b/>
          <w:sz w:val="112"/>
        </w:rPr>
      </w:pPr>
      <w:r>
        <w:rPr>
          <w:color w:val="FFFFFF"/>
          <w:sz w:val="66"/>
        </w:rPr>
        <w:t>Book of </w:t>
      </w:r>
      <w:r>
        <w:rPr>
          <w:rFonts w:ascii="Myriad Pro"/>
          <w:b/>
          <w:color w:val="FFFFFF"/>
          <w:sz w:val="112"/>
        </w:rPr>
        <w:t>Reports</w:t>
      </w:r>
    </w:p>
    <w:p>
      <w:pPr>
        <w:pStyle w:val="Heading3"/>
        <w:spacing w:before="275"/>
        <w:ind w:left="1603"/>
      </w:pPr>
      <w:r>
        <w:rPr>
          <w:color w:val="FFFFFF"/>
          <w:w w:val="115"/>
        </w:rPr>
        <w:t>General Assembly, Nottingham 2018</w:t>
      </w:r>
    </w:p>
    <w:p>
      <w:pPr>
        <w:spacing w:after="0"/>
        <w:sectPr>
          <w:type w:val="continuous"/>
          <w:pgSz w:w="11910" w:h="16840"/>
          <w:pgMar w:top="1580" w:bottom="280" w:left="700" w:right="0"/>
        </w:sectPr>
      </w:pPr>
    </w:p>
    <w:p>
      <w:pPr>
        <w:pStyle w:val="BodyText"/>
        <w:spacing w:before="6"/>
        <w:rPr>
          <w:sz w:val="28"/>
        </w:rPr>
      </w:pPr>
    </w:p>
    <w:p>
      <w:pPr>
        <w:pStyle w:val="BodyText"/>
        <w:spacing w:before="98"/>
        <w:ind w:left="1287" w:right="2551"/>
        <w:jc w:val="center"/>
      </w:pPr>
      <w:r>
        <w:rPr>
          <w:w w:val="110"/>
        </w:rPr>
        <w:t>© The United Reformed Church, 2018</w:t>
      </w:r>
    </w:p>
    <w:p>
      <w:pPr>
        <w:pStyle w:val="BodyText"/>
        <w:spacing w:before="7"/>
        <w:rPr>
          <w:sz w:val="22"/>
        </w:rPr>
      </w:pPr>
    </w:p>
    <w:p>
      <w:pPr>
        <w:pStyle w:val="BodyText"/>
        <w:ind w:left="1287" w:right="2551"/>
        <w:jc w:val="center"/>
      </w:pPr>
      <w:r>
        <w:rPr>
          <w:w w:val="110"/>
        </w:rPr>
        <w:t>ISBN: 78-0-85346-331-3</w:t>
      </w:r>
    </w:p>
    <w:p>
      <w:pPr>
        <w:pStyle w:val="BodyText"/>
        <w:spacing w:before="16"/>
        <w:ind w:left="1287" w:right="2552"/>
        <w:jc w:val="center"/>
      </w:pPr>
      <w:r>
        <w:rPr>
          <w:w w:val="115"/>
        </w:rPr>
        <w:t>Published by</w:t>
      </w:r>
    </w:p>
    <w:p>
      <w:pPr>
        <w:pStyle w:val="BodyText"/>
        <w:spacing w:before="16"/>
        <w:ind w:left="1287" w:right="2551"/>
        <w:jc w:val="center"/>
      </w:pPr>
      <w:r>
        <w:rPr>
          <w:w w:val="115"/>
        </w:rPr>
        <w:t>The United Reformed Church</w:t>
      </w:r>
    </w:p>
    <w:p>
      <w:pPr>
        <w:pStyle w:val="BodyText"/>
        <w:spacing w:before="16"/>
        <w:ind w:left="1287" w:right="2552"/>
        <w:jc w:val="center"/>
      </w:pPr>
      <w:r>
        <w:rPr>
          <w:w w:val="115"/>
        </w:rPr>
        <w:t>86 Tavistock Place, London WC1H 9RT</w:t>
      </w:r>
    </w:p>
    <w:p>
      <w:pPr>
        <w:pStyle w:val="BodyText"/>
        <w:spacing w:before="7"/>
        <w:rPr>
          <w:sz w:val="22"/>
        </w:rPr>
      </w:pPr>
    </w:p>
    <w:p>
      <w:pPr>
        <w:pStyle w:val="BodyText"/>
        <w:ind w:left="1287" w:right="2552"/>
        <w:jc w:val="center"/>
      </w:pPr>
      <w:r>
        <w:rPr>
          <w:w w:val="110"/>
        </w:rPr>
        <w:t>All rights reserved. This material may be used freely within the churches.</w:t>
      </w:r>
    </w:p>
    <w:p>
      <w:pPr>
        <w:pStyle w:val="BodyText"/>
        <w:spacing w:line="256" w:lineRule="auto" w:before="16"/>
        <w:ind w:left="1287" w:right="2552"/>
        <w:jc w:val="center"/>
      </w:pPr>
      <w:r>
        <w:rPr>
          <w:w w:val="115"/>
        </w:rPr>
        <w:t>No</w:t>
      </w:r>
      <w:r>
        <w:rPr>
          <w:spacing w:val="-14"/>
          <w:w w:val="115"/>
        </w:rPr>
        <w:t> </w:t>
      </w:r>
      <w:r>
        <w:rPr>
          <w:w w:val="115"/>
        </w:rPr>
        <w:t>part</w:t>
      </w:r>
      <w:r>
        <w:rPr>
          <w:spacing w:val="-14"/>
          <w:w w:val="115"/>
        </w:rPr>
        <w:t> </w:t>
      </w:r>
      <w:r>
        <w:rPr>
          <w:w w:val="115"/>
        </w:rPr>
        <w:t>of</w:t>
      </w:r>
      <w:r>
        <w:rPr>
          <w:spacing w:val="-13"/>
          <w:w w:val="115"/>
        </w:rPr>
        <w:t> </w:t>
      </w:r>
      <w:r>
        <w:rPr>
          <w:w w:val="115"/>
        </w:rPr>
        <w:t>this</w:t>
      </w:r>
      <w:r>
        <w:rPr>
          <w:spacing w:val="-14"/>
          <w:w w:val="115"/>
        </w:rPr>
        <w:t> </w:t>
      </w:r>
      <w:r>
        <w:rPr>
          <w:w w:val="115"/>
        </w:rPr>
        <w:t>publication</w:t>
      </w:r>
      <w:r>
        <w:rPr>
          <w:spacing w:val="-13"/>
          <w:w w:val="115"/>
        </w:rPr>
        <w:t> </w:t>
      </w:r>
      <w:r>
        <w:rPr>
          <w:w w:val="115"/>
        </w:rPr>
        <w:t>may</w:t>
      </w:r>
      <w:r>
        <w:rPr>
          <w:spacing w:val="-14"/>
          <w:w w:val="115"/>
        </w:rPr>
        <w:t> </w:t>
      </w:r>
      <w:r>
        <w:rPr>
          <w:w w:val="115"/>
        </w:rPr>
        <w:t>be</w:t>
      </w:r>
      <w:r>
        <w:rPr>
          <w:spacing w:val="-14"/>
          <w:w w:val="115"/>
        </w:rPr>
        <w:t> </w:t>
      </w:r>
      <w:r>
        <w:rPr>
          <w:w w:val="115"/>
        </w:rPr>
        <w:t>reproduced</w:t>
      </w:r>
      <w:r>
        <w:rPr>
          <w:spacing w:val="-13"/>
          <w:w w:val="115"/>
        </w:rPr>
        <w:t> </w:t>
      </w:r>
      <w:r>
        <w:rPr>
          <w:w w:val="115"/>
        </w:rPr>
        <w:t>outside</w:t>
      </w:r>
      <w:r>
        <w:rPr>
          <w:spacing w:val="-14"/>
          <w:w w:val="115"/>
        </w:rPr>
        <w:t> </w:t>
      </w:r>
      <w:r>
        <w:rPr>
          <w:w w:val="115"/>
        </w:rPr>
        <w:t>the</w:t>
      </w:r>
      <w:r>
        <w:rPr>
          <w:spacing w:val="-13"/>
          <w:w w:val="115"/>
        </w:rPr>
        <w:t> </w:t>
      </w:r>
      <w:r>
        <w:rPr>
          <w:w w:val="115"/>
        </w:rPr>
        <w:t>Church</w:t>
      </w:r>
      <w:r>
        <w:rPr>
          <w:spacing w:val="-14"/>
          <w:w w:val="115"/>
        </w:rPr>
        <w:t> </w:t>
      </w:r>
      <w:r>
        <w:rPr>
          <w:w w:val="115"/>
        </w:rPr>
        <w:t>in</w:t>
      </w:r>
      <w:r>
        <w:rPr>
          <w:spacing w:val="-13"/>
          <w:w w:val="115"/>
        </w:rPr>
        <w:t> </w:t>
      </w:r>
      <w:r>
        <w:rPr>
          <w:w w:val="115"/>
        </w:rPr>
        <w:t>any</w:t>
      </w:r>
      <w:r>
        <w:rPr>
          <w:spacing w:val="-14"/>
          <w:w w:val="115"/>
        </w:rPr>
        <w:t> </w:t>
      </w:r>
      <w:r>
        <w:rPr>
          <w:w w:val="115"/>
        </w:rPr>
        <w:t>form</w:t>
      </w:r>
      <w:r>
        <w:rPr>
          <w:spacing w:val="-14"/>
          <w:w w:val="115"/>
        </w:rPr>
        <w:t> </w:t>
      </w:r>
      <w:r>
        <w:rPr>
          <w:w w:val="115"/>
        </w:rPr>
        <w:t>or by any means – graphic, electronic, or mechanical, including photocopying, recording,</w:t>
      </w:r>
      <w:r>
        <w:rPr>
          <w:spacing w:val="-11"/>
          <w:w w:val="115"/>
        </w:rPr>
        <w:t> </w:t>
      </w:r>
      <w:r>
        <w:rPr>
          <w:w w:val="115"/>
        </w:rPr>
        <w:t>taping</w:t>
      </w:r>
      <w:r>
        <w:rPr>
          <w:spacing w:val="-11"/>
          <w:w w:val="115"/>
        </w:rPr>
        <w:t> </w:t>
      </w:r>
      <w:r>
        <w:rPr>
          <w:w w:val="115"/>
        </w:rPr>
        <w:t>or</w:t>
      </w:r>
      <w:r>
        <w:rPr>
          <w:spacing w:val="-10"/>
          <w:w w:val="115"/>
        </w:rPr>
        <w:t> </w:t>
      </w:r>
      <w:r>
        <w:rPr>
          <w:w w:val="115"/>
        </w:rPr>
        <w:t>information</w:t>
      </w:r>
      <w:r>
        <w:rPr>
          <w:spacing w:val="-11"/>
          <w:w w:val="115"/>
        </w:rPr>
        <w:t> </w:t>
      </w:r>
      <w:r>
        <w:rPr>
          <w:w w:val="115"/>
        </w:rPr>
        <w:t>storage</w:t>
      </w:r>
      <w:r>
        <w:rPr>
          <w:spacing w:val="-11"/>
          <w:w w:val="115"/>
        </w:rPr>
        <w:t> </w:t>
      </w:r>
      <w:r>
        <w:rPr>
          <w:w w:val="115"/>
        </w:rPr>
        <w:t>and</w:t>
      </w:r>
      <w:r>
        <w:rPr>
          <w:spacing w:val="-10"/>
          <w:w w:val="115"/>
        </w:rPr>
        <w:t> </w:t>
      </w:r>
      <w:r>
        <w:rPr>
          <w:w w:val="115"/>
        </w:rPr>
        <w:t>retrieval</w:t>
      </w:r>
      <w:r>
        <w:rPr>
          <w:spacing w:val="-11"/>
          <w:w w:val="115"/>
        </w:rPr>
        <w:t> </w:t>
      </w:r>
      <w:r>
        <w:rPr>
          <w:w w:val="115"/>
        </w:rPr>
        <w:t>systems</w:t>
      </w:r>
      <w:r>
        <w:rPr>
          <w:spacing w:val="-10"/>
          <w:w w:val="115"/>
        </w:rPr>
        <w:t> </w:t>
      </w:r>
      <w:r>
        <w:rPr>
          <w:w w:val="115"/>
        </w:rPr>
        <w:t>–</w:t>
      </w:r>
    </w:p>
    <w:p>
      <w:pPr>
        <w:pStyle w:val="BodyText"/>
        <w:spacing w:line="241" w:lineRule="exact"/>
        <w:ind w:left="1287" w:right="2551"/>
        <w:jc w:val="center"/>
      </w:pPr>
      <w:r>
        <w:rPr>
          <w:w w:val="110"/>
        </w:rPr>
        <w:t>without the prior permission in writing of the publishers.</w:t>
      </w:r>
    </w:p>
    <w:p>
      <w:pPr>
        <w:pStyle w:val="BodyText"/>
        <w:spacing w:before="7"/>
        <w:rPr>
          <w:sz w:val="22"/>
        </w:rPr>
      </w:pPr>
    </w:p>
    <w:p>
      <w:pPr>
        <w:pStyle w:val="BodyText"/>
        <w:spacing w:line="254" w:lineRule="auto"/>
        <w:ind w:left="715" w:right="2012" w:firstLine="702"/>
      </w:pPr>
      <w:r>
        <w:rPr>
          <w:w w:val="110"/>
        </w:rPr>
        <w:t>The publishers make no representation, express or implied, with regard to the  accuracy</w:t>
      </w:r>
      <w:r>
        <w:rPr>
          <w:spacing w:val="12"/>
          <w:w w:val="110"/>
        </w:rPr>
        <w:t> </w:t>
      </w:r>
      <w:r>
        <w:rPr>
          <w:w w:val="110"/>
        </w:rPr>
        <w:t>of</w:t>
      </w:r>
      <w:r>
        <w:rPr>
          <w:spacing w:val="13"/>
          <w:w w:val="110"/>
        </w:rPr>
        <w:t> </w:t>
      </w:r>
      <w:r>
        <w:rPr>
          <w:w w:val="110"/>
        </w:rPr>
        <w:t>the</w:t>
      </w:r>
      <w:r>
        <w:rPr>
          <w:spacing w:val="13"/>
          <w:w w:val="110"/>
        </w:rPr>
        <w:t> </w:t>
      </w:r>
      <w:r>
        <w:rPr>
          <w:w w:val="110"/>
        </w:rPr>
        <w:t>information</w:t>
      </w:r>
      <w:r>
        <w:rPr>
          <w:spacing w:val="13"/>
          <w:w w:val="110"/>
        </w:rPr>
        <w:t> </w:t>
      </w:r>
      <w:r>
        <w:rPr>
          <w:w w:val="110"/>
        </w:rPr>
        <w:t>contained</w:t>
      </w:r>
      <w:r>
        <w:rPr>
          <w:spacing w:val="12"/>
          <w:w w:val="110"/>
        </w:rPr>
        <w:t> </w:t>
      </w:r>
      <w:r>
        <w:rPr>
          <w:w w:val="110"/>
        </w:rPr>
        <w:t>in</w:t>
      </w:r>
      <w:r>
        <w:rPr>
          <w:spacing w:val="13"/>
          <w:w w:val="110"/>
        </w:rPr>
        <w:t> </w:t>
      </w:r>
      <w:r>
        <w:rPr>
          <w:w w:val="110"/>
        </w:rPr>
        <w:t>this</w:t>
      </w:r>
      <w:r>
        <w:rPr>
          <w:spacing w:val="13"/>
          <w:w w:val="110"/>
        </w:rPr>
        <w:t> </w:t>
      </w:r>
      <w:r>
        <w:rPr>
          <w:w w:val="110"/>
        </w:rPr>
        <w:t>book</w:t>
      </w:r>
      <w:r>
        <w:rPr>
          <w:spacing w:val="13"/>
          <w:w w:val="110"/>
        </w:rPr>
        <w:t> </w:t>
      </w:r>
      <w:r>
        <w:rPr>
          <w:w w:val="110"/>
        </w:rPr>
        <w:t>and</w:t>
      </w:r>
      <w:r>
        <w:rPr>
          <w:spacing w:val="13"/>
          <w:w w:val="110"/>
        </w:rPr>
        <w:t> </w:t>
      </w:r>
      <w:r>
        <w:rPr>
          <w:w w:val="110"/>
        </w:rPr>
        <w:t>cannot</w:t>
      </w:r>
      <w:r>
        <w:rPr>
          <w:spacing w:val="12"/>
          <w:w w:val="110"/>
        </w:rPr>
        <w:t> </w:t>
      </w:r>
      <w:r>
        <w:rPr>
          <w:w w:val="110"/>
        </w:rPr>
        <w:t>accept</w:t>
      </w:r>
      <w:r>
        <w:rPr>
          <w:spacing w:val="13"/>
          <w:w w:val="110"/>
        </w:rPr>
        <w:t> </w:t>
      </w:r>
      <w:r>
        <w:rPr>
          <w:w w:val="110"/>
        </w:rPr>
        <w:t>any</w:t>
      </w:r>
      <w:r>
        <w:rPr>
          <w:spacing w:val="13"/>
          <w:w w:val="110"/>
        </w:rPr>
        <w:t> </w:t>
      </w:r>
      <w:r>
        <w:rPr>
          <w:w w:val="110"/>
        </w:rPr>
        <w:t>legal</w:t>
      </w:r>
      <w:r>
        <w:rPr>
          <w:spacing w:val="13"/>
          <w:w w:val="110"/>
        </w:rPr>
        <w:t> </w:t>
      </w:r>
      <w:r>
        <w:rPr>
          <w:w w:val="110"/>
        </w:rPr>
        <w:t>responsibility</w:t>
      </w:r>
    </w:p>
    <w:p>
      <w:pPr>
        <w:pStyle w:val="BodyText"/>
        <w:spacing w:before="2"/>
        <w:ind w:left="2827"/>
      </w:pPr>
      <w:r>
        <w:rPr>
          <w:w w:val="110"/>
        </w:rPr>
        <w:t>for any errors or omissions that may take place.</w:t>
      </w:r>
    </w:p>
    <w:p>
      <w:pPr>
        <w:pStyle w:val="BodyText"/>
      </w:pPr>
    </w:p>
    <w:p>
      <w:pPr>
        <w:pStyle w:val="BodyText"/>
      </w:pPr>
    </w:p>
    <w:p>
      <w:pPr>
        <w:pStyle w:val="BodyText"/>
      </w:pPr>
    </w:p>
    <w:p>
      <w:pPr>
        <w:pStyle w:val="BodyText"/>
        <w:spacing w:before="7"/>
        <w:rPr>
          <w:sz w:val="14"/>
        </w:rPr>
      </w:pPr>
      <w:r>
        <w:rPr/>
        <w:pict>
          <v:group style="position:absolute;margin-left:56.277401pt;margin-top:10.848122pt;width:99.55pt;height:117.75pt;mso-position-horizontal-relative:page;mso-position-vertical-relative:paragraph;z-index:-251657216;mso-wrap-distance-left:0;mso-wrap-distance-right:0" coordorigin="1126,217" coordsize="1991,2355">
            <v:shape style="position:absolute;left:1125;top:1527;width:305;height:181" coordorigin="1126,1528" coordsize="305,181" path="m1173,1528l1126,1528,1204,1708,1223,1708,1262,1626,1215,1626,1173,1528xm1326,1592l1278,1592,1333,1708,1352,1708,1388,1626,1342,1626,1326,1592xm1296,1528l1260,1528,1215,1626,1262,1626,1278,1592,1326,1592,1296,1528xm1431,1528l1384,1528,1342,1626,1388,1626,1431,1528xe" filled="true" fillcolor="#000000" stroked="false">
              <v:path arrowok="t"/>
              <v:fill type="solid"/>
            </v:shape>
            <v:shape style="position:absolute;left:1407;top:1582;width:136;height:125" coordorigin="1407,1583" coordsize="136,125" path="m1475,1583l1450,1587,1428,1599,1413,1618,1407,1644,1407,1645,1412,1671,1426,1691,1448,1703,1475,1708,1497,1705,1519,1695,1527,1685,1475,1685,1465,1683,1456,1677,1450,1665,1448,1645,1448,1644,1450,1627,1455,1615,1464,1608,1475,1605,1527,1605,1520,1597,1498,1586,1475,1583xm1527,1605l1475,1605,1488,1608,1496,1616,1501,1628,1502,1644,1501,1662,1495,1675,1487,1683,1475,1685,1527,1685,1536,1675,1543,1645,1536,1616,1527,1605xe" filled="true" fillcolor="#000000" stroked="false">
              <v:path arrowok="t"/>
              <v:fill type="solid"/>
            </v:shape>
            <v:shape style="position:absolute;left:1552;top:1582;width:136;height:125" coordorigin="1553,1583" coordsize="136,125" path="m1621,1583l1595,1587,1573,1599,1558,1618,1553,1644,1553,1645,1558,1671,1572,1691,1593,1703,1621,1708,1642,1705,1664,1695,1673,1685,1621,1685,1610,1683,1601,1677,1595,1665,1593,1645,1593,1644,1595,1627,1601,1615,1609,1608,1621,1605,1673,1605,1666,1597,1644,1586,1621,1583xm1673,1605l1621,1605,1633,1608,1641,1616,1646,1628,1648,1644,1646,1662,1641,1675,1632,1683,1621,1685,1673,1685,1681,1675,1688,1645,1682,1616,1673,1605xe" filled="true" fillcolor="#000000" stroked="false">
              <v:path arrowok="t"/>
              <v:fill type="solid"/>
            </v:shape>
            <v:shape style="position:absolute;left:1697;top:1527;width:128;height:181" coordorigin="1697,1528" coordsize="128,181" path="m1767,1583l1756,1583,1732,1587,1714,1600,1702,1620,1697,1645,1702,1670,1713,1690,1731,1703,1754,1708,1767,1708,1777,1704,1787,1696,1825,1696,1825,1682,1765,1682,1753,1680,1744,1672,1738,1661,1736,1646,1738,1630,1744,1618,1753,1611,1766,1608,1825,1608,1825,1590,1787,1590,1777,1585,1767,1583xm1825,1696l1787,1696,1787,1705,1825,1705,1825,1696xm1825,1608l1773,1608,1782,1611,1787,1615,1787,1673,1779,1680,1773,1682,1825,1682,1825,1608xm1825,1528l1787,1528,1787,1590,1825,1590,1825,1528xe" filled="true" fillcolor="#000000" stroked="false">
              <v:path arrowok="t"/>
              <v:fill type="solid"/>
            </v:shape>
            <v:line style="position:absolute" from="1866,1528" to="1866,1705" stroked="true" strokeweight="1.893pt" strokecolor="#000000">
              <v:stroke dashstyle="solid"/>
            </v:line>
            <v:shape style="position:absolute;left:1900;top:1582;width:131;height:125" coordorigin="1901,1583" coordsize="131,125" path="m2007,1608l1968,1608,1973,1617,1972,1628,1940,1639,1917,1648,1905,1661,1901,1678,1903,1689,1910,1699,1921,1705,1934,1708,1944,1707,1953,1705,1963,1701,1974,1694,2031,1694,2031,1685,1944,1685,1939,1680,1939,1673,1941,1665,1947,1658,1957,1653,1972,1647,2010,1647,2010,1619,2007,1608xm2031,1694l1974,1694,1977,1704,1983,1708,2005,1708,2020,1703,2031,1697,2031,1694xm2010,1647l1972,1647,1972,1676,1966,1682,1958,1685,2031,1685,2031,1682,2012,1682,2010,1680,2010,1647xm2031,1676l2022,1682,2019,1682,2031,1682,2031,1676xm1959,1583l1945,1584,1932,1586,1919,1591,1907,1597,1907,1628,1917,1620,1928,1614,1940,1609,1951,1608,2007,1608,2006,1602,1996,1591,1980,1585,1959,1583xe" filled="true" fillcolor="#000000" stroked="false">
              <v:path arrowok="t"/>
              <v:fill type="solid"/>
            </v:shape>
            <v:shape style="position:absolute;left:2036;top:1582;width:121;height:123" coordorigin="2037,1583" coordsize="121,123" path="m2074,1585l2037,1585,2037,1705,2074,1705,2074,1628,2084,1613,2091,1608,2154,1608,2153,1607,2150,1602,2074,1602,2074,1585xm2154,1608l2112,1608,2120,1615,2120,1705,2157,1705,2157,1629,2154,1608xm2114,1583l2103,1584,2093,1587,2083,1593,2074,1602,2150,1602,2143,1593,2128,1585,2114,1583xe" filled="true" fillcolor="#000000" stroked="false">
              <v:path arrowok="t"/>
              <v:fill type="solid"/>
            </v:shape>
            <v:shape style="position:absolute;left:2172;top:1527;width:128;height:181" coordorigin="2173,1528" coordsize="128,181" path="m2242,1583l2231,1583,2207,1587,2189,1600,2177,1620,2173,1645,2177,1670,2189,1690,2207,1703,2229,1708,2242,1708,2252,1704,2262,1696,2300,1696,2300,1682,2240,1682,2228,1680,2219,1672,2213,1661,2211,1646,2213,1630,2219,1618,2229,1611,2241,1608,2300,1608,2300,1590,2262,1590,2252,1585,2242,1583xm2300,1696l2262,1696,2262,1705,2300,1705,2300,1696xm2300,1608l2248,1608,2257,1611,2262,1615,2262,1673,2255,1680,2248,1682,2300,1682,2300,1608xm2300,1528l2262,1528,2262,1590,2300,1590,2300,1528xe" filled="true" fillcolor="#000000" stroked="false">
              <v:path arrowok="t"/>
              <v:fill type="solid"/>
            </v:shape>
            <v:shape style="position:absolute;left:1149;top:1738;width:298;height:339" type="#_x0000_t75" stroked="false">
              <v:imagedata r:id="rId17" o:title=""/>
            </v:shape>
            <v:shape style="position:absolute;left:1480;top:1741;width:323;height:333" type="#_x0000_t75" stroked="false">
              <v:imagedata r:id="rId18" o:title=""/>
            </v:shape>
            <v:shape style="position:absolute;left:1840;top:1743;width:256;height:331" type="#_x0000_t75" stroked="false">
              <v:imagedata r:id="rId19" o:title=""/>
            </v:shape>
            <v:shape style="position:absolute;left:2131;top:1743;width:227;height:331" type="#_x0000_t75" stroked="false">
              <v:imagedata r:id="rId20" o:title=""/>
            </v:shape>
            <v:shape style="position:absolute;left:2802;top:1743;width:306;height:331" type="#_x0000_t75" stroked="false">
              <v:imagedata r:id="rId21" o:title=""/>
            </v:shape>
            <v:shape style="position:absolute;left:1164;top:281;width:1262;height:1162" coordorigin="1165,281" coordsize="1262,1162" path="m1249,281l1226,284,1205,291,1191,300,1174,314,1165,331,1171,347,1225,394,1275,445,1321,500,1364,557,1403,619,1439,684,1473,749,1541,884,1577,954,1615,1022,1657,1088,1681,1121,1707,1153,1735,1184,1764,1214,1822,1268,1884,1318,1950,1362,2020,1399,2092,1425,2165,1439,2239,1443,2313,1434,2387,1413,2402,1405,2418,1391,2426,1375,2423,1366,2266,1366,2272,1366,2260,1366,2251,1366,2242,1365,2232,1364,2230,1364,2216,1362,2218,1362,2203,1359,2189,1356,2175,1352,2161,1348,2157,1347,2148,1344,2148,1344,2146,1343,2143,1342,2144,1342,2135,1339,2126,1335,2118,1331,2105,1325,2091,1318,2078,1312,2065,1304,2054,1297,2042,1290,2030,1283,2019,1275,2007,1267,1996,1259,1985,1252,1976,1245,1937,1212,1899,1178,1863,1141,1829,1103,1797,1064,1768,1022,1741,979,1716,935,1678,863,1641,791,1605,719,1568,647,1528,577,1489,514,1446,454,1398,397,1347,344,1291,295,1271,284,1249,281xm2306,1362l2297,1364,2288,1365,2275,1366,2266,1366,2423,1366,2422,1363,2302,1363,2306,1362xm2271,1366l2260,1366,2272,1366,2273,1366,2271,1366xm2216,1362l2230,1364,2226,1364,2223,1363,2216,1362xm2223,1363l2226,1364,2230,1364,2232,1364,2231,1364,2223,1363xm2311,1362l2306,1362,2302,1363,2306,1363,2311,1362xm2422,1362l2311,1362,2306,1363,2302,1363,2422,1363,2422,1362xm2218,1362l2216,1362,2223,1363,2218,1362xm2334,1355l2329,1356,2315,1360,2306,1362,2311,1362,2422,1362,2420,1358,2418,1356,2330,1356,2334,1355xm2338,1354l2334,1355,2330,1356,2334,1355,2338,1354xm2413,1354l2338,1354,2334,1355,2330,1356,2418,1356,2413,1354xm2379,1344l2355,1348,2334,1355,2334,1355,2338,1354,2413,1354,2402,1346,2379,1344xm2143,1342l2146,1343,2148,1344,2146,1343,2143,1342xm2146,1343l2148,1344,2148,1344,2146,1343xm2144,1342l2143,1342,2146,1343,2144,1342xe" filled="true" fillcolor="#97be0e" stroked="false">
              <v:path arrowok="t"/>
              <v:fill type="solid"/>
            </v:shape>
            <v:shape style="position:absolute;left:1196;top:216;width:1404;height:993" coordorigin="1196,217" coordsize="1404,993" path="m2027,277l1631,277,1645,277,1660,277,1674,278,1688,278,1704,279,1717,280,1729,281,1742,283,1825,296,1906,315,1984,342,2060,375,2134,417,2198,460,2257,509,2312,564,2361,624,2403,689,2438,758,2466,830,2484,905,2493,983,2492,1034,2486,1085,2476,1137,2460,1187,2462,1200,2475,1207,2493,1209,2506,1209,2524,1205,2542,1198,2557,1188,2567,1173,2589,1100,2599,1026,2600,951,2591,878,2573,805,2548,735,2515,667,2475,603,2430,544,2377,487,2320,435,2258,390,2193,350,2125,315,2054,286,2027,277xm1678,217l1604,218,1531,224,1458,233,1385,246,1314,262,1243,282,1229,287,1212,295,1199,307,1196,322,1206,334,1223,338,1242,337,1257,334,1291,324,1325,315,1359,307,1383,302,1382,302,1393,300,1394,300,1405,297,1427,294,1448,290,1464,288,1481,286,1498,284,1525,281,1550,279,1550,279,1561,278,1562,278,1567,278,1583,277,1599,277,1615,277,2027,277,1981,261,1907,243,1831,229,1755,220,1678,217xm1393,300l1382,302,1390,300,1393,300xm1390,300l1382,302,1383,302,1390,300xm1394,300l1393,300,1390,300,1394,300xm1562,278l1561,278,1551,279,1562,278xe" filled="true" fillcolor="#97be0e" stroked="false">
              <v:path arrowok="t"/>
              <v:fill type="solid"/>
            </v:shape>
            <v:shape style="position:absolute;left:1652;top:490;width:1098;height:1583" type="#_x0000_t75" stroked="false">
              <v:imagedata r:id="rId22" o:title=""/>
            </v:shape>
            <v:shape style="position:absolute;left:1156;top:2124;width:1961;height:448" type="#_x0000_t75" stroked="false">
              <v:imagedata r:id="rId23" o:title=""/>
            </v:shape>
            <w10:wrap type="topAndBottom"/>
          </v:group>
        </w:pict>
      </w:r>
    </w:p>
    <w:p>
      <w:pPr>
        <w:pStyle w:val="BodyText"/>
        <w:spacing w:before="11"/>
        <w:rPr>
          <w:sz w:val="23"/>
        </w:rPr>
      </w:pPr>
    </w:p>
    <w:p>
      <w:pPr>
        <w:spacing w:before="0"/>
        <w:ind w:left="433" w:right="0" w:firstLine="0"/>
        <w:jc w:val="left"/>
        <w:rPr>
          <w:rFonts w:ascii="Stone Sans II ITC Std Bk"/>
          <w:b/>
          <w:sz w:val="16"/>
        </w:rPr>
      </w:pPr>
      <w:r>
        <w:rPr/>
        <w:drawing>
          <wp:anchor distT="0" distB="0" distL="0" distR="0" allowOverlap="1" layoutInCell="1" locked="0" behindDoc="0" simplePos="0" relativeHeight="251660288">
            <wp:simplePos x="0" y="0"/>
            <wp:positionH relativeFrom="page">
              <wp:posOffset>5419550</wp:posOffset>
            </wp:positionH>
            <wp:positionV relativeFrom="paragraph">
              <wp:posOffset>-1067516</wp:posOffset>
            </wp:positionV>
            <wp:extent cx="974039" cy="1507858"/>
            <wp:effectExtent l="0" t="0" r="0" b="0"/>
            <wp:wrapNone/>
            <wp:docPr id="1" name="image20.png"/>
            <wp:cNvGraphicFramePr>
              <a:graphicFrameLocks noChangeAspect="1"/>
            </wp:cNvGraphicFramePr>
            <a:graphic>
              <a:graphicData uri="http://schemas.openxmlformats.org/drawingml/2006/picture">
                <pic:pic>
                  <pic:nvPicPr>
                    <pic:cNvPr id="2" name="image20.png"/>
                    <pic:cNvPicPr/>
                  </pic:nvPicPr>
                  <pic:blipFill>
                    <a:blip r:embed="rId24" cstate="print"/>
                    <a:stretch>
                      <a:fillRect/>
                    </a:stretch>
                  </pic:blipFill>
                  <pic:spPr>
                    <a:xfrm>
                      <a:off x="0" y="0"/>
                      <a:ext cx="974039" cy="1507858"/>
                    </a:xfrm>
                    <a:prstGeom prst="rect">
                      <a:avLst/>
                    </a:prstGeom>
                  </pic:spPr>
                </pic:pic>
              </a:graphicData>
            </a:graphic>
          </wp:anchor>
        </w:drawing>
      </w:r>
      <w:r>
        <w:rPr>
          <w:rFonts w:ascii="Stone Sans II ITC Std Bk"/>
          <w:b/>
          <w:w w:val="115"/>
          <w:sz w:val="16"/>
        </w:rPr>
        <w:t>Environmental credentials</w:t>
      </w:r>
    </w:p>
    <w:p>
      <w:pPr>
        <w:pStyle w:val="BodyText"/>
        <w:spacing w:before="5"/>
        <w:rPr>
          <w:rFonts w:ascii="Stone Sans II ITC Std Bk"/>
          <w:b/>
          <w:sz w:val="14"/>
        </w:rPr>
      </w:pPr>
    </w:p>
    <w:p>
      <w:pPr>
        <w:spacing w:before="0"/>
        <w:ind w:left="433" w:right="0" w:firstLine="0"/>
        <w:jc w:val="left"/>
        <w:rPr>
          <w:sz w:val="16"/>
        </w:rPr>
      </w:pPr>
      <w:r>
        <w:rPr>
          <w:w w:val="120"/>
          <w:sz w:val="16"/>
        </w:rPr>
        <w:t>All paper used in the production of the </w:t>
      </w:r>
      <w:r>
        <w:rPr>
          <w:i/>
          <w:w w:val="120"/>
          <w:sz w:val="16"/>
        </w:rPr>
        <w:t>Book of Reports </w:t>
      </w:r>
      <w:r>
        <w:rPr>
          <w:w w:val="120"/>
          <w:sz w:val="16"/>
        </w:rPr>
        <w:t>are Essential Velvet:</w:t>
      </w:r>
    </w:p>
    <w:p>
      <w:pPr>
        <w:pStyle w:val="ListParagraph"/>
        <w:numPr>
          <w:ilvl w:val="0"/>
          <w:numId w:val="1"/>
        </w:numPr>
        <w:tabs>
          <w:tab w:pos="1114" w:val="left" w:leader="none"/>
          <w:tab w:pos="1115" w:val="left" w:leader="none"/>
        </w:tabs>
        <w:spacing w:line="244" w:lineRule="auto" w:before="4" w:after="0"/>
        <w:ind w:left="1114" w:right="3901" w:hanging="681"/>
        <w:jc w:val="left"/>
        <w:rPr>
          <w:sz w:val="16"/>
        </w:rPr>
      </w:pPr>
      <w:r>
        <w:rPr>
          <w:w w:val="125"/>
          <w:sz w:val="16"/>
        </w:rPr>
        <w:t>Contains material sourced from responsibly managed and sustained </w:t>
      </w:r>
      <w:r>
        <w:rPr>
          <w:spacing w:val="2"/>
          <w:w w:val="125"/>
          <w:sz w:val="16"/>
        </w:rPr>
        <w:t>forests, certified </w:t>
      </w:r>
      <w:r>
        <w:rPr>
          <w:w w:val="125"/>
          <w:sz w:val="16"/>
        </w:rPr>
        <w:t>in accordance with the FSC (Forest Stewardship</w:t>
      </w:r>
      <w:r>
        <w:rPr>
          <w:spacing w:val="10"/>
          <w:w w:val="125"/>
          <w:sz w:val="16"/>
        </w:rPr>
        <w:t> </w:t>
      </w:r>
      <w:r>
        <w:rPr>
          <w:w w:val="125"/>
          <w:sz w:val="16"/>
        </w:rPr>
        <w:t>Council).</w:t>
      </w:r>
    </w:p>
    <w:p>
      <w:pPr>
        <w:pStyle w:val="ListParagraph"/>
        <w:numPr>
          <w:ilvl w:val="0"/>
          <w:numId w:val="1"/>
        </w:numPr>
        <w:tabs>
          <w:tab w:pos="1114" w:val="left" w:leader="none"/>
          <w:tab w:pos="1115" w:val="left" w:leader="none"/>
        </w:tabs>
        <w:spacing w:line="240" w:lineRule="auto" w:before="2" w:after="0"/>
        <w:ind w:left="1114" w:right="0" w:hanging="682"/>
        <w:jc w:val="left"/>
        <w:rPr>
          <w:sz w:val="16"/>
        </w:rPr>
      </w:pPr>
      <w:r>
        <w:rPr>
          <w:w w:val="125"/>
          <w:sz w:val="16"/>
        </w:rPr>
        <w:t>The material is ECF (Elemental</w:t>
      </w:r>
      <w:r>
        <w:rPr>
          <w:spacing w:val="4"/>
          <w:w w:val="125"/>
          <w:sz w:val="16"/>
        </w:rPr>
        <w:t> </w:t>
      </w:r>
      <w:r>
        <w:rPr>
          <w:w w:val="125"/>
          <w:sz w:val="16"/>
        </w:rPr>
        <w:t>Chlorine-Free).</w:t>
      </w:r>
    </w:p>
    <w:p>
      <w:pPr>
        <w:pStyle w:val="ListParagraph"/>
        <w:numPr>
          <w:ilvl w:val="0"/>
          <w:numId w:val="1"/>
        </w:numPr>
        <w:tabs>
          <w:tab w:pos="1114" w:val="left" w:leader="none"/>
          <w:tab w:pos="1115" w:val="left" w:leader="none"/>
        </w:tabs>
        <w:spacing w:line="244" w:lineRule="auto" w:before="5" w:after="0"/>
        <w:ind w:left="1114" w:right="1861" w:hanging="681"/>
        <w:jc w:val="left"/>
        <w:rPr>
          <w:sz w:val="16"/>
        </w:rPr>
      </w:pPr>
      <w:r>
        <w:rPr>
          <w:w w:val="125"/>
          <w:sz w:val="16"/>
        </w:rPr>
        <w:t>Is manufactured under </w:t>
      </w:r>
      <w:r>
        <w:rPr>
          <w:spacing w:val="2"/>
          <w:w w:val="125"/>
          <w:sz w:val="16"/>
        </w:rPr>
        <w:t>strict </w:t>
      </w:r>
      <w:r>
        <w:rPr>
          <w:w w:val="125"/>
          <w:sz w:val="16"/>
        </w:rPr>
        <w:t>environmental management systems, the international ISO 14001 standard, </w:t>
      </w:r>
      <w:r>
        <w:rPr>
          <w:spacing w:val="2"/>
          <w:w w:val="125"/>
          <w:sz w:val="16"/>
        </w:rPr>
        <w:t>EMAS </w:t>
      </w:r>
      <w:r>
        <w:rPr>
          <w:w w:val="125"/>
          <w:sz w:val="16"/>
        </w:rPr>
        <w:t>(Eco-Management and Audit Scheme) and the IPPC (integrated Pollution Prevention and Control) regulation. Bio inks used conform to the international ISO 14001</w:t>
      </w:r>
      <w:r>
        <w:rPr>
          <w:spacing w:val="18"/>
          <w:w w:val="125"/>
          <w:sz w:val="16"/>
        </w:rPr>
        <w:t> </w:t>
      </w:r>
      <w:r>
        <w:rPr>
          <w:w w:val="125"/>
          <w:sz w:val="16"/>
        </w:rPr>
        <w:t>standard.</w:t>
      </w:r>
    </w:p>
    <w:p>
      <w:pPr>
        <w:pStyle w:val="ListParagraph"/>
        <w:numPr>
          <w:ilvl w:val="0"/>
          <w:numId w:val="1"/>
        </w:numPr>
        <w:tabs>
          <w:tab w:pos="1114" w:val="left" w:leader="none"/>
          <w:tab w:pos="1115" w:val="left" w:leader="none"/>
        </w:tabs>
        <w:spacing w:line="244" w:lineRule="auto" w:before="2" w:after="0"/>
        <w:ind w:left="1114" w:right="2802" w:hanging="681"/>
        <w:jc w:val="left"/>
        <w:rPr>
          <w:sz w:val="16"/>
        </w:rPr>
      </w:pPr>
      <w:r>
        <w:rPr>
          <w:w w:val="125"/>
          <w:sz w:val="16"/>
        </w:rPr>
        <w:t>All</w:t>
      </w:r>
      <w:r>
        <w:rPr>
          <w:spacing w:val="-5"/>
          <w:w w:val="125"/>
          <w:sz w:val="16"/>
        </w:rPr>
        <w:t> </w:t>
      </w:r>
      <w:r>
        <w:rPr>
          <w:w w:val="125"/>
          <w:sz w:val="16"/>
        </w:rPr>
        <w:t>the</w:t>
      </w:r>
      <w:r>
        <w:rPr>
          <w:spacing w:val="-5"/>
          <w:w w:val="125"/>
          <w:sz w:val="16"/>
        </w:rPr>
        <w:t> </w:t>
      </w:r>
      <w:r>
        <w:rPr>
          <w:w w:val="125"/>
          <w:sz w:val="16"/>
        </w:rPr>
        <w:t>paper</w:t>
      </w:r>
      <w:r>
        <w:rPr>
          <w:spacing w:val="-5"/>
          <w:w w:val="125"/>
          <w:sz w:val="16"/>
        </w:rPr>
        <w:t> </w:t>
      </w:r>
      <w:r>
        <w:rPr>
          <w:w w:val="125"/>
          <w:sz w:val="16"/>
        </w:rPr>
        <w:t>used</w:t>
      </w:r>
      <w:r>
        <w:rPr>
          <w:spacing w:val="-5"/>
          <w:w w:val="125"/>
          <w:sz w:val="16"/>
        </w:rPr>
        <w:t> </w:t>
      </w:r>
      <w:r>
        <w:rPr>
          <w:w w:val="125"/>
          <w:sz w:val="16"/>
        </w:rPr>
        <w:t>in</w:t>
      </w:r>
      <w:r>
        <w:rPr>
          <w:spacing w:val="-5"/>
          <w:w w:val="125"/>
          <w:sz w:val="16"/>
        </w:rPr>
        <w:t> </w:t>
      </w:r>
      <w:r>
        <w:rPr>
          <w:w w:val="125"/>
          <w:sz w:val="16"/>
        </w:rPr>
        <w:t>the</w:t>
      </w:r>
      <w:r>
        <w:rPr>
          <w:spacing w:val="-5"/>
          <w:w w:val="125"/>
          <w:sz w:val="16"/>
        </w:rPr>
        <w:t> </w:t>
      </w:r>
      <w:r>
        <w:rPr>
          <w:w w:val="125"/>
          <w:sz w:val="16"/>
        </w:rPr>
        <w:t>production</w:t>
      </w:r>
      <w:r>
        <w:rPr>
          <w:spacing w:val="-4"/>
          <w:w w:val="125"/>
          <w:sz w:val="16"/>
        </w:rPr>
        <w:t> </w:t>
      </w:r>
      <w:r>
        <w:rPr>
          <w:w w:val="125"/>
          <w:sz w:val="16"/>
        </w:rPr>
        <w:t>of</w:t>
      </w:r>
      <w:r>
        <w:rPr>
          <w:spacing w:val="-5"/>
          <w:w w:val="125"/>
          <w:sz w:val="16"/>
        </w:rPr>
        <w:t> </w:t>
      </w:r>
      <w:r>
        <w:rPr>
          <w:w w:val="125"/>
          <w:sz w:val="16"/>
        </w:rPr>
        <w:t>the</w:t>
      </w:r>
      <w:r>
        <w:rPr>
          <w:spacing w:val="-5"/>
          <w:w w:val="125"/>
          <w:sz w:val="16"/>
        </w:rPr>
        <w:t> </w:t>
      </w:r>
      <w:r>
        <w:rPr>
          <w:i/>
          <w:w w:val="125"/>
          <w:sz w:val="16"/>
        </w:rPr>
        <w:t>Book</w:t>
      </w:r>
      <w:r>
        <w:rPr>
          <w:i/>
          <w:spacing w:val="-8"/>
          <w:w w:val="125"/>
          <w:sz w:val="16"/>
        </w:rPr>
        <w:t> </w:t>
      </w:r>
      <w:r>
        <w:rPr>
          <w:i/>
          <w:w w:val="125"/>
          <w:sz w:val="16"/>
        </w:rPr>
        <w:t>of</w:t>
      </w:r>
      <w:r>
        <w:rPr>
          <w:i/>
          <w:spacing w:val="-7"/>
          <w:w w:val="125"/>
          <w:sz w:val="16"/>
        </w:rPr>
        <w:t> </w:t>
      </w:r>
      <w:r>
        <w:rPr>
          <w:i/>
          <w:spacing w:val="2"/>
          <w:w w:val="125"/>
          <w:sz w:val="16"/>
        </w:rPr>
        <w:t>Reports</w:t>
      </w:r>
      <w:r>
        <w:rPr>
          <w:i/>
          <w:spacing w:val="-8"/>
          <w:w w:val="125"/>
          <w:sz w:val="16"/>
        </w:rPr>
        <w:t> </w:t>
      </w:r>
      <w:r>
        <w:rPr>
          <w:w w:val="125"/>
          <w:sz w:val="16"/>
        </w:rPr>
        <w:t>has</w:t>
      </w:r>
      <w:r>
        <w:rPr>
          <w:spacing w:val="-4"/>
          <w:w w:val="125"/>
          <w:sz w:val="16"/>
        </w:rPr>
        <w:t> </w:t>
      </w:r>
      <w:r>
        <w:rPr>
          <w:w w:val="125"/>
          <w:sz w:val="16"/>
        </w:rPr>
        <w:t>been</w:t>
      </w:r>
      <w:r>
        <w:rPr>
          <w:spacing w:val="-5"/>
          <w:w w:val="125"/>
          <w:sz w:val="16"/>
        </w:rPr>
        <w:t> </w:t>
      </w:r>
      <w:r>
        <w:rPr>
          <w:w w:val="125"/>
          <w:sz w:val="16"/>
        </w:rPr>
        <w:t>carbon</w:t>
      </w:r>
      <w:r>
        <w:rPr>
          <w:spacing w:val="-5"/>
          <w:w w:val="125"/>
          <w:sz w:val="16"/>
        </w:rPr>
        <w:t> </w:t>
      </w:r>
      <w:r>
        <w:rPr>
          <w:w w:val="125"/>
          <w:sz w:val="16"/>
        </w:rPr>
        <w:t>captured</w:t>
      </w:r>
      <w:r>
        <w:rPr>
          <w:spacing w:val="-5"/>
          <w:w w:val="125"/>
          <w:sz w:val="16"/>
        </w:rPr>
        <w:t> </w:t>
      </w:r>
      <w:r>
        <w:rPr>
          <w:w w:val="125"/>
          <w:sz w:val="16"/>
        </w:rPr>
        <w:t>by</w:t>
      </w:r>
      <w:r>
        <w:rPr>
          <w:spacing w:val="-5"/>
          <w:w w:val="125"/>
          <w:sz w:val="16"/>
        </w:rPr>
        <w:t> </w:t>
      </w:r>
      <w:r>
        <w:rPr>
          <w:w w:val="125"/>
          <w:sz w:val="16"/>
        </w:rPr>
        <w:t>a payment to the Woodland Trust. These funds are used to purchase endangered</w:t>
      </w:r>
      <w:r>
        <w:rPr>
          <w:spacing w:val="-14"/>
          <w:w w:val="125"/>
          <w:sz w:val="16"/>
        </w:rPr>
        <w:t> </w:t>
      </w:r>
      <w:r>
        <w:rPr>
          <w:w w:val="125"/>
          <w:sz w:val="16"/>
        </w:rPr>
        <w:t>forest.</w:t>
      </w:r>
    </w:p>
    <w:p>
      <w:pPr>
        <w:pStyle w:val="BodyText"/>
        <w:spacing w:before="7"/>
        <w:rPr>
          <w:sz w:val="16"/>
        </w:rPr>
      </w:pPr>
    </w:p>
    <w:p>
      <w:pPr>
        <w:spacing w:before="0"/>
        <w:ind w:left="433" w:right="0" w:firstLine="0"/>
        <w:jc w:val="left"/>
        <w:rPr>
          <w:sz w:val="16"/>
        </w:rPr>
      </w:pPr>
      <w:r>
        <w:rPr>
          <w:w w:val="120"/>
          <w:sz w:val="16"/>
        </w:rPr>
        <w:t>Printed by Healeys Printers</w:t>
      </w:r>
    </w:p>
    <w:p>
      <w:pPr>
        <w:spacing w:before="5"/>
        <w:ind w:left="433" w:right="0" w:firstLine="0"/>
        <w:jc w:val="left"/>
        <w:rPr>
          <w:sz w:val="16"/>
        </w:rPr>
      </w:pPr>
      <w:r>
        <w:rPr>
          <w:w w:val="125"/>
          <w:sz w:val="16"/>
        </w:rPr>
        <w:t>Healeys Printers hold the following environmental accreditations:</w:t>
      </w:r>
    </w:p>
    <w:p>
      <w:pPr>
        <w:spacing w:before="4"/>
        <w:ind w:left="433" w:right="0" w:firstLine="0"/>
        <w:jc w:val="left"/>
        <w:rPr>
          <w:sz w:val="16"/>
        </w:rPr>
      </w:pPr>
      <w:r>
        <w:rPr>
          <w:w w:val="125"/>
          <w:sz w:val="16"/>
        </w:rPr>
        <w:t>FSC (certificate SGS-COC-004497); ISO 9001; ISO 14001; Carbon Balanced Publications Printer</w:t>
      </w:r>
    </w:p>
    <w:p>
      <w:pPr>
        <w:pStyle w:val="BodyText"/>
      </w:pPr>
    </w:p>
    <w:p>
      <w:pPr>
        <w:spacing w:line="244" w:lineRule="auto" w:before="161"/>
        <w:ind w:left="433" w:right="2429" w:firstLine="0"/>
        <w:jc w:val="left"/>
        <w:rPr>
          <w:sz w:val="16"/>
        </w:rPr>
      </w:pPr>
      <w:r>
        <w:rPr>
          <w:w w:val="125"/>
          <w:sz w:val="16"/>
        </w:rPr>
        <w:t>Produced by the communications department, on behalf of the Assembly arrangements committee The United Reformed Church, Church House, 86 Tavistock Place, London WC1H 9RT</w:t>
      </w:r>
    </w:p>
    <w:p>
      <w:pPr>
        <w:pStyle w:val="BodyText"/>
        <w:spacing w:before="6"/>
        <w:rPr>
          <w:sz w:val="16"/>
        </w:rPr>
      </w:pPr>
    </w:p>
    <w:p>
      <w:pPr>
        <w:spacing w:line="244" w:lineRule="auto" w:before="0"/>
        <w:ind w:left="433" w:right="2269" w:firstLine="0"/>
        <w:jc w:val="left"/>
        <w:rPr>
          <w:sz w:val="16"/>
        </w:rPr>
      </w:pPr>
      <w:r>
        <w:rPr>
          <w:w w:val="120"/>
          <w:sz w:val="16"/>
        </w:rPr>
        <w:t>Produced with reference to </w:t>
      </w:r>
      <w:r>
        <w:rPr>
          <w:i/>
          <w:w w:val="120"/>
          <w:sz w:val="16"/>
        </w:rPr>
        <w:t>See it Right: Making information accessible to people with sight problems </w:t>
      </w:r>
      <w:r>
        <w:rPr>
          <w:w w:val="120"/>
          <w:sz w:val="16"/>
        </w:rPr>
        <w:t>(2006), Royal National Institute of the Blind, London. ISBN 1 85878 704 1</w:t>
      </w:r>
    </w:p>
    <w:p>
      <w:pPr>
        <w:pStyle w:val="BodyText"/>
      </w:pPr>
    </w:p>
    <w:p>
      <w:pPr>
        <w:pStyle w:val="BodyText"/>
      </w:pPr>
    </w:p>
    <w:p>
      <w:pPr>
        <w:pStyle w:val="BodyText"/>
        <w:spacing w:before="9"/>
        <w:rPr>
          <w:sz w:val="25"/>
        </w:rPr>
      </w:pPr>
    </w:p>
    <w:p>
      <w:pPr>
        <w:pStyle w:val="BodyText"/>
        <w:spacing w:line="254" w:lineRule="auto"/>
        <w:ind w:left="433" w:right="3705"/>
      </w:pPr>
      <w:r>
        <w:rPr>
          <w:w w:val="110"/>
        </w:rPr>
        <w:t>If you require this text in another format please contact the graphics office on 020 7916 8628 or email </w:t>
      </w:r>
      <w:hyperlink r:id="rId25">
        <w:r>
          <w:rPr>
            <w:w w:val="110"/>
          </w:rPr>
          <w:t>graphics@urc.org.uk. </w:t>
        </w:r>
      </w:hyperlink>
      <w:r>
        <w:rPr>
          <w:w w:val="110"/>
        </w:rPr>
        <w:t>Please give two weeks notice.</w:t>
      </w:r>
    </w:p>
    <w:p>
      <w:pPr>
        <w:spacing w:after="0" w:line="254" w:lineRule="auto"/>
        <w:sectPr>
          <w:pgSz w:w="11910" w:h="16840"/>
          <w:pgMar w:top="1580" w:bottom="280" w:left="700" w:right="0"/>
        </w:sectPr>
      </w:pPr>
    </w:p>
    <w:p>
      <w:pPr>
        <w:pStyle w:val="BodyText"/>
      </w:pPr>
      <w:r>
        <w:rPr/>
        <w:pict>
          <v:group style="position:absolute;margin-left:0pt;margin-top:.000015pt;width:595.3pt;height:841.9pt;mso-position-horizontal-relative:page;mso-position-vertical-relative:page;z-index:-267620352" coordorigin="0,0" coordsize="11906,16838">
            <v:shape style="position:absolute;left:0;top:0;width:11906;height:16838" type="#_x0000_t75" stroked="false">
              <v:imagedata r:id="rId26" o:title=""/>
            </v:shape>
            <v:rect style="position:absolute;left:2622;top:1247;width:7328;height:13607" filled="true" fillcolor="#ffffff" stroked="false">
              <v:fill type="solid"/>
            </v:rect>
            <v:rect style="position:absolute;left:2706;top:11593;width:7154;height:2126" filled="true" fillcolor="#e2eed8" stroked="false">
              <v:fill type="solid"/>
            </v:rect>
            <v:rect style="position:absolute;left:2712;top:5896;width:7148;height:5556" filled="true" fillcolor="#d4e9f7" stroked="false">
              <v:fill opacity="39321f" type="solid"/>
            </v:rect>
            <v:rect style="position:absolute;left:2707;top:1332;width:7153;height:4423" filled="true" fillcolor="#fdf0d4" stroked="false">
              <v:fill type="solid"/>
            </v:rect>
            <v:rect style="position:absolute;left:2714;top:13861;width:7146;height:893" filled="true" fillcolor="#e2d9ea" stroked="false">
              <v:fill type="solid"/>
            </v:rect>
            <v:line style="position:absolute" from="9211,1106" to="9211,15024" stroked="true" strokeweight="1pt" strokecolor="#ffffff">
              <v:stroke dashstyle="solid"/>
            </v:line>
            <w10:wrap type="none"/>
          </v:group>
        </w:pict>
      </w:r>
      <w:r>
        <w:rPr/>
        <w:pict>
          <v:shapetype id="_x0000_t202" o:spt="202" coordsize="21600,21600" path="m,l,21600r21600,l21600,xe">
            <v:stroke joinstyle="miter"/>
            <v:path gradientshapeok="t" o:connecttype="rect"/>
          </v:shapetype>
          <v:shape style="position:absolute;margin-left:465.567596pt;margin-top:586.354309pt;width:21.45pt;height:91.55pt;mso-position-horizontal-relative:page;mso-position-vertical-relative:page;z-index:251664384" type="#_x0000_t202" filled="false" stroked="false">
            <v:textbox inset="0,0,0,0">
              <w:txbxContent>
                <w:p>
                  <w:pPr>
                    <w:spacing w:line="266" w:lineRule="exact" w:before="0"/>
                    <w:ind w:left="0" w:right="0" w:firstLine="0"/>
                    <w:jc w:val="left"/>
                    <w:rPr>
                      <w:rFonts w:ascii="Stone Sans II ITC Std X Bd"/>
                      <w:b/>
                      <w:sz w:val="20"/>
                    </w:rPr>
                  </w:pPr>
                  <w:hyperlink w:history="true" w:anchor="_bookmark30">
                    <w:r>
                      <w:rPr>
                        <w:rFonts w:ascii="Stone Sans II ITC Std Sm"/>
                        <w:b/>
                        <w:spacing w:val="-10"/>
                        <w:w w:val="110"/>
                        <w:sz w:val="20"/>
                      </w:rPr>
                      <w:t>1</w:t>
                    </w:r>
                    <w:r>
                      <w:rPr>
                        <w:rFonts w:ascii="Stone Sans II ITC Std X Bd"/>
                        <w:b/>
                        <w:spacing w:val="-10"/>
                        <w:w w:val="110"/>
                        <w:sz w:val="20"/>
                      </w:rPr>
                      <w:t>81</w:t>
                    </w:r>
                  </w:hyperlink>
                </w:p>
                <w:p>
                  <w:pPr>
                    <w:pStyle w:val="BodyText"/>
                    <w:spacing w:before="46"/>
                    <w:ind w:left="18"/>
                    <w:rPr>
                      <w:rFonts w:ascii="Stone Sans II ITC Std Sm"/>
                      <w:b/>
                    </w:rPr>
                  </w:pPr>
                  <w:hyperlink w:history="true" w:anchor="_bookmark31">
                    <w:r>
                      <w:rPr>
                        <w:rFonts w:ascii="Stone Sans II ITC Std Sm"/>
                        <w:b/>
                        <w:spacing w:val="-5"/>
                        <w:w w:val="110"/>
                      </w:rPr>
                      <w:t>182</w:t>
                    </w:r>
                  </w:hyperlink>
                </w:p>
                <w:p>
                  <w:pPr>
                    <w:pStyle w:val="BodyText"/>
                    <w:spacing w:before="46"/>
                    <w:ind w:left="23"/>
                    <w:rPr>
                      <w:rFonts w:ascii="Stone Sans II ITC Std Sm"/>
                      <w:b/>
                    </w:rPr>
                  </w:pPr>
                  <w:hyperlink w:history="true" w:anchor="_bookmark32">
                    <w:r>
                      <w:rPr>
                        <w:rFonts w:ascii="Stone Sans II ITC Std Sm"/>
                        <w:b/>
                        <w:spacing w:val="-7"/>
                        <w:w w:val="110"/>
                      </w:rPr>
                      <w:t>183</w:t>
                    </w:r>
                  </w:hyperlink>
                </w:p>
                <w:p>
                  <w:pPr>
                    <w:pStyle w:val="BodyText"/>
                    <w:spacing w:before="46"/>
                    <w:ind w:left="13"/>
                    <w:rPr>
                      <w:rFonts w:ascii="Stone Sans II ITC Std Sm"/>
                      <w:b/>
                    </w:rPr>
                  </w:pPr>
                  <w:hyperlink w:history="true" w:anchor="_bookmark33">
                    <w:r>
                      <w:rPr>
                        <w:rFonts w:ascii="Stone Sans II ITC Std Sm"/>
                        <w:b/>
                        <w:spacing w:val="-3"/>
                        <w:w w:val="110"/>
                      </w:rPr>
                      <w:t>184</w:t>
                    </w:r>
                  </w:hyperlink>
                </w:p>
                <w:p>
                  <w:pPr>
                    <w:pStyle w:val="BodyText"/>
                    <w:spacing w:before="47"/>
                    <w:ind w:left="18"/>
                    <w:rPr>
                      <w:rFonts w:ascii="Stone Sans II ITC Std Sm"/>
                      <w:b/>
                    </w:rPr>
                  </w:pPr>
                  <w:hyperlink w:history="true" w:anchor="_bookmark34">
                    <w:r>
                      <w:rPr>
                        <w:rFonts w:ascii="Stone Sans II ITC Std Sm"/>
                        <w:b/>
                        <w:spacing w:val="-5"/>
                        <w:w w:val="110"/>
                      </w:rPr>
                      <w:t>185</w:t>
                    </w:r>
                  </w:hyperlink>
                </w:p>
                <w:p>
                  <w:pPr>
                    <w:pStyle w:val="BodyText"/>
                    <w:spacing w:line="252" w:lineRule="exact" w:before="46"/>
                    <w:ind w:left="15"/>
                    <w:rPr>
                      <w:rFonts w:ascii="Stone Sans II ITC Std Sm"/>
                      <w:b/>
                    </w:rPr>
                  </w:pPr>
                  <w:hyperlink w:history="true" w:anchor="_bookmark35">
                    <w:r>
                      <w:rPr>
                        <w:rFonts w:ascii="Stone Sans II ITC Std Sm"/>
                        <w:b/>
                        <w:spacing w:val="-4"/>
                        <w:w w:val="110"/>
                      </w:rPr>
                      <w:t>186</w:t>
                    </w:r>
                  </w:hyperlink>
                </w:p>
              </w:txbxContent>
            </v:textbox>
            <w10:wrap type="none"/>
          </v:shape>
        </w:pict>
      </w:r>
      <w:r>
        <w:rPr/>
        <w:pict>
          <v:shape style="position:absolute;margin-left:140.979599pt;margin-top:634.092102pt;width:317.6pt;height:43.85pt;mso-position-horizontal-relative:page;mso-position-vertical-relative:page;z-index:251665408" type="#_x0000_t202" filled="false" stroked="false">
            <v:textbox inset="0,0,0,0">
              <w:txbxContent>
                <w:p>
                  <w:pPr>
                    <w:pStyle w:val="BodyText"/>
                    <w:tabs>
                      <w:tab w:pos="3373" w:val="left" w:leader="none"/>
                    </w:tabs>
                    <w:spacing w:line="261" w:lineRule="exact"/>
                    <w:rPr>
                      <w:rFonts w:ascii="Stone Sans II ITC Std Lt"/>
                      <w:b w:val="0"/>
                    </w:rPr>
                  </w:pPr>
                  <w:hyperlink w:history="true" w:anchor="_bookmark33">
                    <w:r>
                      <w:rPr>
                        <w:rFonts w:ascii="Stone Sans II ITC Std Sm"/>
                        <w:b/>
                        <w:w w:val="110"/>
                      </w:rPr>
                      <w:t>Schools relating to</w:t>
                    </w:r>
                    <w:r>
                      <w:rPr>
                        <w:rFonts w:ascii="Stone Sans II ITC Std Sm"/>
                        <w:b/>
                        <w:spacing w:val="-2"/>
                        <w:w w:val="110"/>
                      </w:rPr>
                      <w:t> </w:t>
                    </w:r>
                    <w:r>
                      <w:rPr>
                        <w:rFonts w:ascii="Stone Sans II ITC Std Sm"/>
                        <w:b/>
                        <w:w w:val="110"/>
                      </w:rPr>
                      <w:t>the</w:t>
                    </w:r>
                    <w:r>
                      <w:rPr>
                        <w:rFonts w:ascii="Stone Sans II ITC Std Sm"/>
                        <w:b/>
                        <w:spacing w:val="-1"/>
                        <w:w w:val="110"/>
                      </w:rPr>
                      <w:t> </w:t>
                    </w:r>
                    <w:r>
                      <w:rPr>
                        <w:rFonts w:ascii="Stone Sans II ITC Std Sm"/>
                        <w:b/>
                        <w:w w:val="110"/>
                      </w:rPr>
                      <w:t>URC</w:t>
                      <w:tab/>
                    </w:r>
                    <w:r>
                      <w:rPr>
                        <w:rFonts w:ascii="Stone Sans II ITC Std Lt"/>
                        <w:b w:val="0"/>
                        <w:color w:val="707172"/>
                        <w:spacing w:val="-6"/>
                        <w:w w:val="110"/>
                      </w:rPr>
                      <w:t>......................................................</w:t>
                    </w:r>
                  </w:hyperlink>
                </w:p>
                <w:p>
                  <w:pPr>
                    <w:pStyle w:val="BodyText"/>
                    <w:tabs>
                      <w:tab w:pos="3537" w:val="left" w:leader="none"/>
                    </w:tabs>
                    <w:spacing w:before="46"/>
                    <w:rPr>
                      <w:rFonts w:ascii="Stone Sans II ITC Std Lt" w:hAnsi="Stone Sans II ITC Std Lt"/>
                      <w:b w:val="0"/>
                    </w:rPr>
                  </w:pPr>
                  <w:hyperlink w:history="true" w:anchor="_bookmark34">
                    <w:r>
                      <w:rPr>
                        <w:rFonts w:ascii="Stone Sans II ITC Std Sm" w:hAnsi="Stone Sans II ITC Std Sm"/>
                        <w:b/>
                        <w:spacing w:val="-3"/>
                        <w:w w:val="110"/>
                      </w:rPr>
                      <w:t>Women’s </w:t>
                    </w:r>
                    <w:r>
                      <w:rPr>
                        <w:rFonts w:ascii="Stone Sans II ITC Std Sm" w:hAnsi="Stone Sans II ITC Std Sm"/>
                        <w:b/>
                        <w:w w:val="110"/>
                      </w:rPr>
                      <w:t>World Day</w:t>
                    </w:r>
                    <w:r>
                      <w:rPr>
                        <w:rFonts w:ascii="Stone Sans II ITC Std Sm" w:hAnsi="Stone Sans II ITC Std Sm"/>
                        <w:b/>
                        <w:spacing w:val="-2"/>
                        <w:w w:val="110"/>
                      </w:rPr>
                      <w:t> </w:t>
                    </w:r>
                    <w:r>
                      <w:rPr>
                        <w:rFonts w:ascii="Stone Sans II ITC Std Sm" w:hAnsi="Stone Sans II ITC Std Sm"/>
                        <w:b/>
                        <w:w w:val="110"/>
                      </w:rPr>
                      <w:t>of</w:t>
                    </w:r>
                    <w:r>
                      <w:rPr>
                        <w:rFonts w:ascii="Stone Sans II ITC Std Sm" w:hAnsi="Stone Sans II ITC Std Sm"/>
                        <w:b/>
                        <w:spacing w:val="-2"/>
                        <w:w w:val="110"/>
                      </w:rPr>
                      <w:t> </w:t>
                    </w:r>
                    <w:r>
                      <w:rPr>
                        <w:rFonts w:ascii="Stone Sans II ITC Std Sm" w:hAnsi="Stone Sans II ITC Std Sm"/>
                        <w:b/>
                        <w:w w:val="110"/>
                      </w:rPr>
                      <w:t>Prayer</w:t>
                      <w:tab/>
                    </w:r>
                    <w:r>
                      <w:rPr>
                        <w:rFonts w:ascii="Stone Sans II ITC Std Lt" w:hAnsi="Stone Sans II ITC Std Lt"/>
                        <w:b w:val="0"/>
                        <w:color w:val="707172"/>
                        <w:spacing w:val="-6"/>
                        <w:w w:val="110"/>
                      </w:rPr>
                      <w:t>...................................................</w:t>
                    </w:r>
                  </w:hyperlink>
                </w:p>
                <w:p>
                  <w:pPr>
                    <w:pStyle w:val="BodyText"/>
                    <w:tabs>
                      <w:tab w:pos="3592" w:val="left" w:leader="none"/>
                    </w:tabs>
                    <w:spacing w:line="253" w:lineRule="exact" w:before="46"/>
                    <w:rPr>
                      <w:rFonts w:ascii="Stone Sans II ITC Std Lt"/>
                      <w:b w:val="0"/>
                    </w:rPr>
                  </w:pPr>
                  <w:hyperlink w:history="true" w:anchor="_bookmark35">
                    <w:r>
                      <w:rPr>
                        <w:rFonts w:ascii="Stone Sans II ITC Std Sm"/>
                        <w:b/>
                        <w:w w:val="110"/>
                      </w:rPr>
                      <w:t>World Day of</w:t>
                    </w:r>
                    <w:r>
                      <w:rPr>
                        <w:rFonts w:ascii="Stone Sans II ITC Std Sm"/>
                        <w:b/>
                        <w:spacing w:val="-5"/>
                        <w:w w:val="110"/>
                      </w:rPr>
                      <w:t> </w:t>
                    </w:r>
                    <w:r>
                      <w:rPr>
                        <w:rFonts w:ascii="Stone Sans II ITC Std Sm"/>
                        <w:b/>
                        <w:spacing w:val="-3"/>
                        <w:w w:val="110"/>
                      </w:rPr>
                      <w:t>Prayer,</w:t>
                    </w:r>
                    <w:r>
                      <w:rPr>
                        <w:rFonts w:ascii="Stone Sans II ITC Std Sm"/>
                        <w:b/>
                        <w:spacing w:val="-1"/>
                        <w:w w:val="110"/>
                      </w:rPr>
                      <w:t> </w:t>
                    </w:r>
                    <w:r>
                      <w:rPr>
                        <w:rFonts w:ascii="Stone Sans II ITC Std Sm"/>
                        <w:b/>
                        <w:w w:val="110"/>
                      </w:rPr>
                      <w:t>Scotland</w:t>
                      <w:tab/>
                    </w:r>
                    <w:r>
                      <w:rPr>
                        <w:rFonts w:ascii="Stone Sans II ITC Std Lt"/>
                        <w:b w:val="0"/>
                        <w:color w:val="707172"/>
                        <w:spacing w:val="-6"/>
                        <w:w w:val="110"/>
                      </w:rPr>
                      <w:t>..................................................</w:t>
                    </w:r>
                  </w:hyperlink>
                </w:p>
              </w:txbxContent>
            </v:textbox>
            <w10:wrap type="none"/>
          </v:shape>
        </w:pict>
      </w:r>
      <w:r>
        <w:rPr/>
        <w:pict>
          <v:shape style="position:absolute;margin-left:140.990601pt;margin-top:602.431885pt;width:317.55pt;height:28pt;mso-position-horizontal-relative:page;mso-position-vertical-relative:page;z-index:251666432" type="#_x0000_t202" filled="false" stroked="false">
            <v:textbox inset="0,0,0,0">
              <w:txbxContent>
                <w:p>
                  <w:pPr>
                    <w:pStyle w:val="BodyText"/>
                    <w:tabs>
                      <w:tab w:pos="2605" w:val="left" w:leader="none"/>
                    </w:tabs>
                    <w:spacing w:line="261" w:lineRule="exact"/>
                    <w:rPr>
                      <w:rFonts w:ascii="Stone Sans II ITC Std Lt"/>
                      <w:b w:val="0"/>
                    </w:rPr>
                  </w:pPr>
                  <w:hyperlink w:history="true" w:anchor="_bookmark31">
                    <w:r>
                      <w:rPr>
                        <w:rFonts w:ascii="Stone Sans II ITC Std Sm"/>
                        <w:b/>
                        <w:w w:val="110"/>
                      </w:rPr>
                      <w:t>URC</w:t>
                    </w:r>
                    <w:r>
                      <w:rPr>
                        <w:rFonts w:ascii="Stone Sans II ITC Std Sm"/>
                        <w:b/>
                        <w:spacing w:val="3"/>
                        <w:w w:val="110"/>
                      </w:rPr>
                      <w:t> </w:t>
                    </w:r>
                    <w:r>
                      <w:rPr>
                        <w:rFonts w:ascii="Stone Sans II ITC Std Sm"/>
                        <w:b/>
                        <w:w w:val="110"/>
                      </w:rPr>
                      <w:t>History</w:t>
                    </w:r>
                    <w:r>
                      <w:rPr>
                        <w:rFonts w:ascii="Stone Sans II ITC Std Sm"/>
                        <w:b/>
                        <w:spacing w:val="3"/>
                        <w:w w:val="110"/>
                      </w:rPr>
                      <w:t> </w:t>
                    </w:r>
                    <w:r>
                      <w:rPr>
                        <w:rFonts w:ascii="Stone Sans II ITC Std Sm"/>
                        <w:b/>
                        <w:w w:val="110"/>
                      </w:rPr>
                      <w:t>Society</w:t>
                      <w:tab/>
                    </w:r>
                    <w:r>
                      <w:rPr>
                        <w:rFonts w:ascii="Stone Sans II ITC Std Lt"/>
                        <w:b w:val="0"/>
                        <w:color w:val="707172"/>
                        <w:spacing w:val="-6"/>
                        <w:w w:val="110"/>
                      </w:rPr>
                      <w:t>....................................................................</w:t>
                    </w:r>
                  </w:hyperlink>
                </w:p>
                <w:p>
                  <w:pPr>
                    <w:pStyle w:val="BodyText"/>
                    <w:tabs>
                      <w:tab w:pos="2276" w:val="left" w:leader="none"/>
                    </w:tabs>
                    <w:spacing w:line="253" w:lineRule="exact" w:before="46"/>
                    <w:rPr>
                      <w:rFonts w:ascii="Stone Sans II ITC Std Lt"/>
                      <w:b w:val="0"/>
                    </w:rPr>
                  </w:pPr>
                  <w:hyperlink w:history="true" w:anchor="_bookmark32">
                    <w:r>
                      <w:rPr>
                        <w:rFonts w:ascii="Stone Sans II ITC Std Sm"/>
                        <w:b/>
                        <w:w w:val="110"/>
                      </w:rPr>
                      <w:t>URC Music</w:t>
                      <w:tab/>
                    </w:r>
                    <w:r>
                      <w:rPr>
                        <w:rFonts w:ascii="Stone Sans II ITC Std Lt"/>
                        <w:b w:val="0"/>
                        <w:color w:val="707172"/>
                        <w:spacing w:val="-6"/>
                        <w:w w:val="110"/>
                      </w:rPr>
                      <w:t>..........................................................................</w:t>
                    </w:r>
                  </w:hyperlink>
                </w:p>
              </w:txbxContent>
            </v:textbox>
            <w10:wrap type="none"/>
          </v:shape>
        </w:pict>
      </w:r>
      <w:r>
        <w:rPr/>
        <w:pict>
          <v:shape style="position:absolute;margin-left:309.664612pt;margin-top:586.879028pt;width:148.950pt;height:11.9pt;mso-position-horizontal-relative:page;mso-position-vertical-relative:page;z-index:251667456" type="#_x0000_t202" filled="false" stroked="false">
            <v:textbox inset="0,0,0,0">
              <w:txbxContent>
                <w:p>
                  <w:pPr>
                    <w:pStyle w:val="BodyText"/>
                    <w:spacing w:line="237" w:lineRule="exact"/>
                    <w:rPr>
                      <w:rFonts w:ascii="Stone Sans II ITC Std Lt"/>
                      <w:b w:val="0"/>
                    </w:rPr>
                  </w:pPr>
                  <w:hyperlink w:history="true" w:anchor="_bookmark30">
                    <w:r>
                      <w:rPr>
                        <w:rFonts w:ascii="Stone Sans II ITC Std Lt"/>
                        <w:b w:val="0"/>
                        <w:color w:val="707172"/>
                        <w:spacing w:val="-6"/>
                        <w:w w:val="110"/>
                      </w:rPr>
                      <w:t>......................................................</w:t>
                    </w:r>
                  </w:hyperlink>
                </w:p>
              </w:txbxContent>
            </v:textbox>
            <w10:wrap type="none"/>
          </v:shape>
        </w:pict>
      </w:r>
      <w:r>
        <w:rPr/>
        <w:pict>
          <v:shape style="position:absolute;margin-left:141.012604pt;margin-top:586.354309pt;width:143.5pt;height:12.5pt;mso-position-horizontal-relative:page;mso-position-vertical-relative:page;z-index:251668480" type="#_x0000_t202" filled="false" stroked="false">
            <v:textbox inset="0,0,0,0">
              <w:txbxContent>
                <w:p>
                  <w:pPr>
                    <w:spacing w:line="249" w:lineRule="exact" w:before="0"/>
                    <w:ind w:left="0" w:right="0" w:firstLine="0"/>
                    <w:jc w:val="left"/>
                    <w:rPr>
                      <w:rFonts w:ascii="Stone Sans II ITC Std X Bd"/>
                      <w:b/>
                      <w:sz w:val="20"/>
                    </w:rPr>
                  </w:pPr>
                  <w:hyperlink w:history="true" w:anchor="_bookmark30">
                    <w:r>
                      <w:rPr>
                        <w:rFonts w:ascii="Stone Sans II ITC Std X Bd"/>
                        <w:b/>
                        <w:w w:val="110"/>
                        <w:sz w:val="20"/>
                      </w:rPr>
                      <w:t>Information papers index</w:t>
                    </w:r>
                  </w:hyperlink>
                </w:p>
              </w:txbxContent>
            </v:textbox>
            <w10:wrap type="none"/>
          </v:shape>
        </w:pict>
      </w:r>
      <w:r>
        <w:rPr/>
        <w:pict>
          <v:shape style="position:absolute;margin-left:466.425598pt;margin-top:299.402802pt;width:20.65pt;height:265.7pt;mso-position-horizontal-relative:page;mso-position-vertical-relative:page;z-index:251669504" type="#_x0000_t202" filled="false" stroked="false">
            <v:textbox inset="0,0,0,0">
              <w:txbxContent>
                <w:p>
                  <w:pPr>
                    <w:spacing w:line="266" w:lineRule="exact" w:before="0"/>
                    <w:ind w:left="100" w:right="0" w:firstLine="0"/>
                    <w:jc w:val="left"/>
                    <w:rPr>
                      <w:rFonts w:ascii="Stone Sans II ITC Std X Bd"/>
                      <w:b/>
                      <w:sz w:val="20"/>
                    </w:rPr>
                  </w:pPr>
                  <w:hyperlink w:history="true" w:anchor="_bookmark13">
                    <w:r>
                      <w:rPr>
                        <w:rFonts w:ascii="Stone Sans II ITC Std X Bd"/>
                        <w:b/>
                        <w:spacing w:val="-3"/>
                        <w:w w:val="110"/>
                        <w:sz w:val="20"/>
                      </w:rPr>
                      <w:t>79</w:t>
                    </w:r>
                  </w:hyperlink>
                </w:p>
                <w:p>
                  <w:pPr>
                    <w:pStyle w:val="BodyText"/>
                    <w:spacing w:before="46"/>
                    <w:ind w:left="120"/>
                    <w:rPr>
                      <w:rFonts w:ascii="Stone Sans II ITC Std Sm"/>
                      <w:b/>
                    </w:rPr>
                  </w:pPr>
                  <w:hyperlink w:history="true" w:anchor="_bookmark14">
                    <w:r>
                      <w:rPr>
                        <w:rFonts w:ascii="Stone Sans II ITC Std Sm"/>
                        <w:b/>
                        <w:w w:val="110"/>
                      </w:rPr>
                      <w:t>80</w:t>
                    </w:r>
                  </w:hyperlink>
                </w:p>
                <w:p>
                  <w:pPr>
                    <w:pStyle w:val="BodyText"/>
                    <w:spacing w:before="46"/>
                    <w:ind w:left="124"/>
                    <w:rPr>
                      <w:rFonts w:ascii="Stone Sans II ITC Std Sm"/>
                      <w:b/>
                    </w:rPr>
                  </w:pPr>
                  <w:hyperlink w:history="true" w:anchor="_bookmark15">
                    <w:r>
                      <w:rPr>
                        <w:rFonts w:ascii="Stone Sans II ITC Std Sm"/>
                        <w:b/>
                        <w:w w:val="110"/>
                      </w:rPr>
                      <w:t>82</w:t>
                    </w:r>
                  </w:hyperlink>
                </w:p>
                <w:p>
                  <w:pPr>
                    <w:pStyle w:val="BodyText"/>
                    <w:spacing w:before="46"/>
                    <w:ind w:left="131"/>
                    <w:rPr>
                      <w:rFonts w:ascii="Stone Sans II ITC Std Sm"/>
                      <w:b/>
                    </w:rPr>
                  </w:pPr>
                  <w:hyperlink w:history="true" w:anchor="_bookmark16">
                    <w:r>
                      <w:rPr>
                        <w:rFonts w:ascii="Stone Sans II ITC Std Sm"/>
                        <w:b/>
                        <w:spacing w:val="-8"/>
                        <w:w w:val="110"/>
                      </w:rPr>
                      <w:t>87</w:t>
                    </w:r>
                  </w:hyperlink>
                </w:p>
                <w:p>
                  <w:pPr>
                    <w:pStyle w:val="BodyText"/>
                    <w:spacing w:before="47"/>
                    <w:ind w:left="129"/>
                    <w:rPr>
                      <w:rFonts w:ascii="Stone Sans II ITC Std Sm"/>
                      <w:b/>
                    </w:rPr>
                  </w:pPr>
                  <w:hyperlink w:history="true" w:anchor="_bookmark17">
                    <w:r>
                      <w:rPr>
                        <w:rFonts w:ascii="Stone Sans II ITC Std Sm"/>
                        <w:b/>
                        <w:spacing w:val="-7"/>
                        <w:w w:val="110"/>
                      </w:rPr>
                      <w:t>92</w:t>
                    </w:r>
                  </w:hyperlink>
                </w:p>
                <w:p>
                  <w:pPr>
                    <w:pStyle w:val="BodyText"/>
                    <w:spacing w:before="46"/>
                    <w:rPr>
                      <w:rFonts w:ascii="Stone Sans II ITC Std Sm"/>
                      <w:b/>
                    </w:rPr>
                  </w:pPr>
                  <w:hyperlink w:history="true" w:anchor="_bookmark18">
                    <w:r>
                      <w:rPr>
                        <w:rFonts w:ascii="Stone Sans II ITC Std Sm"/>
                        <w:b/>
                        <w:spacing w:val="-4"/>
                        <w:w w:val="110"/>
                      </w:rPr>
                      <w:t>105</w:t>
                    </w:r>
                  </w:hyperlink>
                </w:p>
                <w:p>
                  <w:pPr>
                    <w:pStyle w:val="BodyText"/>
                    <w:spacing w:before="46"/>
                    <w:ind w:left="32"/>
                    <w:rPr>
                      <w:rFonts w:ascii="Stone Sans II ITC Std Sm"/>
                      <w:b/>
                    </w:rPr>
                  </w:pPr>
                  <w:hyperlink w:history="true" w:anchor="_bookmark19">
                    <w:r>
                      <w:rPr>
                        <w:rFonts w:ascii="Stone Sans II ITC Std Sm"/>
                        <w:b/>
                        <w:spacing w:val="-22"/>
                        <w:w w:val="110"/>
                      </w:rPr>
                      <w:t>111</w:t>
                    </w:r>
                  </w:hyperlink>
                </w:p>
                <w:p>
                  <w:pPr>
                    <w:pStyle w:val="BodyText"/>
                    <w:spacing w:before="46"/>
                    <w:ind w:left="31"/>
                    <w:rPr>
                      <w:rFonts w:ascii="Stone Sans II ITC Std Sm"/>
                      <w:b/>
                    </w:rPr>
                  </w:pPr>
                  <w:hyperlink w:history="true" w:anchor="_bookmark20">
                    <w:r>
                      <w:rPr>
                        <w:rFonts w:ascii="Stone Sans II ITC Std Sm"/>
                        <w:b/>
                        <w:spacing w:val="-15"/>
                        <w:w w:val="110"/>
                      </w:rPr>
                      <w:t>117</w:t>
                    </w:r>
                  </w:hyperlink>
                </w:p>
                <w:p>
                  <w:pPr>
                    <w:pStyle w:val="BodyText"/>
                    <w:spacing w:before="59"/>
                    <w:ind w:left="35"/>
                  </w:pPr>
                  <w:hyperlink w:history="true" w:anchor="_bookmark21">
                    <w:r>
                      <w:rPr>
                        <w:spacing w:val="-9"/>
                        <w:w w:val="125"/>
                      </w:rPr>
                      <w:t>121</w:t>
                    </w:r>
                  </w:hyperlink>
                </w:p>
                <w:p>
                  <w:pPr>
                    <w:pStyle w:val="BodyText"/>
                    <w:spacing w:before="60"/>
                    <w:ind w:left="5"/>
                    <w:rPr>
                      <w:rFonts w:ascii="Stone Sans II ITC Std Sm"/>
                      <w:b/>
                    </w:rPr>
                  </w:pPr>
                  <w:hyperlink w:history="true" w:anchor="_bookmark22">
                    <w:r>
                      <w:rPr>
                        <w:rFonts w:ascii="Stone Sans II ITC Std Sm"/>
                        <w:b/>
                        <w:spacing w:val="-6"/>
                        <w:w w:val="110"/>
                      </w:rPr>
                      <w:t>122</w:t>
                    </w:r>
                  </w:hyperlink>
                </w:p>
                <w:p>
                  <w:pPr>
                    <w:pStyle w:val="BodyText"/>
                    <w:spacing w:before="59"/>
                    <w:ind w:left="42"/>
                  </w:pPr>
                  <w:hyperlink w:history="true" w:anchor="_bookmark23">
                    <w:r>
                      <w:rPr>
                        <w:spacing w:val="-11"/>
                        <w:w w:val="125"/>
                      </w:rPr>
                      <w:t>133</w:t>
                    </w:r>
                  </w:hyperlink>
                </w:p>
                <w:p>
                  <w:pPr>
                    <w:pStyle w:val="BodyText"/>
                    <w:spacing w:before="72"/>
                    <w:ind w:left="37"/>
                  </w:pPr>
                  <w:hyperlink w:history="true" w:anchor="_bookmark24">
                    <w:r>
                      <w:rPr>
                        <w:spacing w:val="-9"/>
                        <w:w w:val="125"/>
                      </w:rPr>
                      <w:t>135</w:t>
                    </w:r>
                  </w:hyperlink>
                </w:p>
                <w:p>
                  <w:pPr>
                    <w:pStyle w:val="BodyText"/>
                    <w:spacing w:before="72"/>
                    <w:ind w:left="44"/>
                  </w:pPr>
                  <w:hyperlink w:history="true" w:anchor="_bookmark25">
                    <w:r>
                      <w:rPr>
                        <w:spacing w:val="-12"/>
                        <w:w w:val="125"/>
                      </w:rPr>
                      <w:t>137</w:t>
                    </w:r>
                  </w:hyperlink>
                </w:p>
                <w:p>
                  <w:pPr>
                    <w:pStyle w:val="BodyText"/>
                    <w:spacing w:before="60"/>
                    <w:rPr>
                      <w:rFonts w:ascii="Stone Sans II ITC Std Sm"/>
                      <w:b/>
                    </w:rPr>
                  </w:pPr>
                  <w:hyperlink w:history="true" w:anchor="_bookmark26">
                    <w:r>
                      <w:rPr>
                        <w:rFonts w:ascii="Stone Sans II ITC Std Sm"/>
                        <w:b/>
                        <w:spacing w:val="-4"/>
                        <w:w w:val="110"/>
                      </w:rPr>
                      <w:t>140</w:t>
                    </w:r>
                  </w:hyperlink>
                </w:p>
                <w:p>
                  <w:pPr>
                    <w:pStyle w:val="BodyText"/>
                    <w:spacing w:before="59"/>
                    <w:ind w:left="38"/>
                  </w:pPr>
                  <w:hyperlink w:history="true" w:anchor="_bookmark27">
                    <w:r>
                      <w:rPr>
                        <w:spacing w:val="-10"/>
                        <w:w w:val="125"/>
                      </w:rPr>
                      <w:t>159</w:t>
                    </w:r>
                  </w:hyperlink>
                </w:p>
                <w:p>
                  <w:pPr>
                    <w:pStyle w:val="BodyText"/>
                    <w:spacing w:before="60"/>
                    <w:ind w:left="11"/>
                    <w:rPr>
                      <w:rFonts w:ascii="Stone Sans II ITC Std Sm"/>
                      <w:b/>
                    </w:rPr>
                  </w:pPr>
                  <w:hyperlink w:history="true" w:anchor="_bookmark28">
                    <w:r>
                      <w:rPr>
                        <w:rFonts w:ascii="Stone Sans II ITC Std Sm"/>
                        <w:b/>
                        <w:spacing w:val="-8"/>
                        <w:w w:val="110"/>
                      </w:rPr>
                      <w:t>161</w:t>
                    </w:r>
                  </w:hyperlink>
                </w:p>
                <w:p>
                  <w:pPr>
                    <w:pStyle w:val="BodyText"/>
                    <w:spacing w:line="252" w:lineRule="exact" w:before="46"/>
                    <w:ind w:left="12"/>
                    <w:rPr>
                      <w:rFonts w:ascii="Stone Sans II ITC Std Sm"/>
                      <w:b/>
                    </w:rPr>
                  </w:pPr>
                  <w:hyperlink w:history="true" w:anchor="_bookmark29">
                    <w:r>
                      <w:rPr>
                        <w:rFonts w:ascii="Stone Sans II ITC Std Sm"/>
                        <w:b/>
                        <w:spacing w:val="-9"/>
                        <w:w w:val="110"/>
                      </w:rPr>
                      <w:t>179</w:t>
                    </w:r>
                  </w:hyperlink>
                </w:p>
              </w:txbxContent>
            </v:textbox>
            <w10:wrap type="none"/>
          </v:shape>
        </w:pict>
      </w:r>
      <w:r>
        <w:rPr/>
        <w:pict>
          <v:shape style="position:absolute;margin-left:141.012604pt;margin-top:552.931885pt;width:317.6pt;height:12.15pt;mso-position-horizontal-relative:page;mso-position-vertical-relative:page;z-index:251670528" type="#_x0000_t202" filled="false" stroked="false">
            <v:textbox inset="0,0,0,0">
              <w:txbxContent>
                <w:p>
                  <w:pPr>
                    <w:pStyle w:val="BodyText"/>
                    <w:tabs>
                      <w:tab w:pos="3537" w:val="left" w:leader="none"/>
                    </w:tabs>
                    <w:spacing w:line="243" w:lineRule="exact"/>
                    <w:rPr>
                      <w:rFonts w:ascii="Stone Sans II ITC Std Lt"/>
                      <w:b w:val="0"/>
                    </w:rPr>
                  </w:pPr>
                  <w:hyperlink w:history="true" w:anchor="_bookmark29">
                    <w:r>
                      <w:rPr>
                        <w:rFonts w:ascii="Stone Sans II ITC Std Sm"/>
                        <w:b/>
                        <w:w w:val="110"/>
                      </w:rPr>
                      <w:t>Pastoral reference</w:t>
                    </w:r>
                    <w:r>
                      <w:rPr>
                        <w:rFonts w:ascii="Stone Sans II ITC Std Sm"/>
                        <w:b/>
                        <w:spacing w:val="-1"/>
                        <w:w w:val="110"/>
                      </w:rPr>
                      <w:t> </w:t>
                    </w:r>
                    <w:r>
                      <w:rPr>
                        <w:rFonts w:ascii="Stone Sans II ITC Std Sm"/>
                        <w:b/>
                        <w:w w:val="110"/>
                      </w:rPr>
                      <w:t>and</w:t>
                    </w:r>
                    <w:r>
                      <w:rPr>
                        <w:rFonts w:ascii="Stone Sans II ITC Std Sm"/>
                        <w:b/>
                        <w:spacing w:val="-1"/>
                        <w:w w:val="110"/>
                      </w:rPr>
                      <w:t> </w:t>
                    </w:r>
                    <w:r>
                      <w:rPr>
                        <w:rFonts w:ascii="Stone Sans II ITC Std Sm"/>
                        <w:b/>
                        <w:w w:val="110"/>
                      </w:rPr>
                      <w:t>welfare</w:t>
                      <w:tab/>
                    </w:r>
                    <w:r>
                      <w:rPr>
                        <w:rFonts w:ascii="Stone Sans II ITC Std Lt"/>
                        <w:b w:val="0"/>
                        <w:color w:val="707172"/>
                        <w:spacing w:val="-6"/>
                        <w:w w:val="110"/>
                      </w:rPr>
                      <w:t>...................................................</w:t>
                    </w:r>
                  </w:hyperlink>
                </w:p>
              </w:txbxContent>
            </v:textbox>
            <w10:wrap type="none"/>
          </v:shape>
        </w:pict>
      </w:r>
      <w:r>
        <w:rPr/>
        <w:pict>
          <v:shape style="position:absolute;margin-left:141.012604pt;margin-top:299.402802pt;width:317.6pt;height:249.85pt;mso-position-horizontal-relative:page;mso-position-vertical-relative:page;z-index:251671552" type="#_x0000_t202" filled="false" stroked="false">
            <v:textbox inset="0,0,0,0">
              <w:txbxContent>
                <w:p>
                  <w:pPr>
                    <w:tabs>
                      <w:tab w:pos="3154" w:val="left" w:leader="none"/>
                    </w:tabs>
                    <w:spacing w:line="266" w:lineRule="exact" w:before="0"/>
                    <w:ind w:left="0" w:right="0" w:firstLine="0"/>
                    <w:jc w:val="left"/>
                    <w:rPr>
                      <w:rFonts w:ascii="Stone Sans II ITC Std Lt"/>
                      <w:b w:val="0"/>
                      <w:sz w:val="20"/>
                    </w:rPr>
                  </w:pPr>
                  <w:hyperlink w:history="true" w:anchor="_bookmark13">
                    <w:r>
                      <w:rPr>
                        <w:rFonts w:ascii="Stone Sans II ITC Std X Bd"/>
                        <w:b/>
                        <w:w w:val="110"/>
                        <w:sz w:val="20"/>
                      </w:rPr>
                      <w:t>Committee</w:t>
                    </w:r>
                    <w:r>
                      <w:rPr>
                        <w:rFonts w:ascii="Stone Sans II ITC Std X Bd"/>
                        <w:b/>
                        <w:spacing w:val="1"/>
                        <w:w w:val="110"/>
                        <w:sz w:val="20"/>
                      </w:rPr>
                      <w:t> </w:t>
                    </w:r>
                    <w:r>
                      <w:rPr>
                        <w:rFonts w:ascii="Stone Sans II ITC Std X Bd"/>
                        <w:b/>
                        <w:w w:val="110"/>
                        <w:sz w:val="20"/>
                      </w:rPr>
                      <w:t>papers</w:t>
                    </w:r>
                    <w:r>
                      <w:rPr>
                        <w:rFonts w:ascii="Stone Sans II ITC Std X Bd"/>
                        <w:b/>
                        <w:spacing w:val="1"/>
                        <w:w w:val="110"/>
                        <w:sz w:val="20"/>
                      </w:rPr>
                      <w:t> </w:t>
                    </w:r>
                    <w:r>
                      <w:rPr>
                        <w:rFonts w:ascii="Stone Sans II ITC Std X Bd"/>
                        <w:b/>
                        <w:w w:val="110"/>
                        <w:sz w:val="20"/>
                      </w:rPr>
                      <w:t>index</w:t>
                      <w:tab/>
                    </w:r>
                    <w:r>
                      <w:rPr>
                        <w:rFonts w:ascii="Stone Sans II ITC Std Lt"/>
                        <w:b w:val="0"/>
                        <w:color w:val="707172"/>
                        <w:spacing w:val="-6"/>
                        <w:w w:val="110"/>
                        <w:sz w:val="20"/>
                      </w:rPr>
                      <w:t>..........................................................</w:t>
                    </w:r>
                  </w:hyperlink>
                </w:p>
                <w:p>
                  <w:pPr>
                    <w:pStyle w:val="BodyText"/>
                    <w:tabs>
                      <w:tab w:pos="2989" w:val="left" w:leader="none"/>
                    </w:tabs>
                    <w:spacing w:before="46"/>
                    <w:rPr>
                      <w:rFonts w:ascii="Stone Sans II ITC Std Lt"/>
                      <w:b w:val="0"/>
                    </w:rPr>
                  </w:pPr>
                  <w:hyperlink w:history="true" w:anchor="_bookmark14">
                    <w:r>
                      <w:rPr>
                        <w:rFonts w:ascii="Stone Sans II ITC Std Sm"/>
                        <w:b/>
                        <w:w w:val="110"/>
                      </w:rPr>
                      <w:t>Assembly</w:t>
                    </w:r>
                    <w:r>
                      <w:rPr>
                        <w:rFonts w:ascii="Stone Sans II ITC Std Sm"/>
                        <w:b/>
                        <w:spacing w:val="3"/>
                        <w:w w:val="110"/>
                      </w:rPr>
                      <w:t> </w:t>
                    </w:r>
                    <w:r>
                      <w:rPr>
                        <w:rFonts w:ascii="Stone Sans II ITC Std Sm"/>
                        <w:b/>
                        <w:w w:val="110"/>
                      </w:rPr>
                      <w:t>arrangements</w:t>
                      <w:tab/>
                    </w:r>
                    <w:r>
                      <w:rPr>
                        <w:rFonts w:ascii="Stone Sans II ITC Std Lt"/>
                        <w:b w:val="0"/>
                        <w:color w:val="707172"/>
                        <w:spacing w:val="-6"/>
                        <w:w w:val="110"/>
                      </w:rPr>
                      <w:t>.............................................................</w:t>
                    </w:r>
                  </w:hyperlink>
                </w:p>
                <w:p>
                  <w:pPr>
                    <w:pStyle w:val="BodyText"/>
                    <w:tabs>
                      <w:tab w:pos="3208" w:val="left" w:leader="none"/>
                    </w:tabs>
                    <w:spacing w:before="46"/>
                    <w:rPr>
                      <w:rFonts w:ascii="Stone Sans II ITC Std Lt" w:hAnsi="Stone Sans II ITC Std Lt"/>
                      <w:b w:val="0"/>
                    </w:rPr>
                  </w:pPr>
                  <w:hyperlink w:history="true" w:anchor="_bookmark15">
                    <w:r>
                      <w:rPr>
                        <w:rFonts w:ascii="Stone Sans II ITC Std Sm" w:hAnsi="Stone Sans II ITC Std Sm"/>
                        <w:b/>
                        <w:spacing w:val="-3"/>
                        <w:w w:val="110"/>
                      </w:rPr>
                      <w:t>Children’s </w:t>
                    </w:r>
                    <w:r>
                      <w:rPr>
                        <w:rFonts w:ascii="Stone Sans II ITC Std Sm" w:hAnsi="Stone Sans II ITC Std Sm"/>
                        <w:b/>
                        <w:w w:val="110"/>
                      </w:rPr>
                      <w:t>and</w:t>
                    </w:r>
                    <w:r>
                      <w:rPr>
                        <w:rFonts w:ascii="Stone Sans II ITC Std Sm" w:hAnsi="Stone Sans II ITC Std Sm"/>
                        <w:b/>
                        <w:spacing w:val="4"/>
                        <w:w w:val="110"/>
                      </w:rPr>
                      <w:t> </w:t>
                    </w:r>
                    <w:r>
                      <w:rPr>
                        <w:rFonts w:ascii="Stone Sans II ITC Std Sm" w:hAnsi="Stone Sans II ITC Std Sm"/>
                        <w:b/>
                        <w:w w:val="110"/>
                      </w:rPr>
                      <w:t>youth</w:t>
                    </w:r>
                    <w:r>
                      <w:rPr>
                        <w:rFonts w:ascii="Stone Sans II ITC Std Sm" w:hAnsi="Stone Sans II ITC Std Sm"/>
                        <w:b/>
                        <w:spacing w:val="1"/>
                        <w:w w:val="110"/>
                      </w:rPr>
                      <w:t> </w:t>
                    </w:r>
                    <w:r>
                      <w:rPr>
                        <w:rFonts w:ascii="Stone Sans II ITC Std Sm" w:hAnsi="Stone Sans II ITC Std Sm"/>
                        <w:b/>
                        <w:w w:val="110"/>
                      </w:rPr>
                      <w:t>work</w:t>
                      <w:tab/>
                    </w:r>
                    <w:r>
                      <w:rPr>
                        <w:rFonts w:ascii="Stone Sans II ITC Std Lt" w:hAnsi="Stone Sans II ITC Std Lt"/>
                        <w:b w:val="0"/>
                        <w:color w:val="707172"/>
                        <w:spacing w:val="-6"/>
                        <w:w w:val="110"/>
                      </w:rPr>
                      <w:t>.........................................................</w:t>
                    </w:r>
                  </w:hyperlink>
                </w:p>
                <w:p>
                  <w:pPr>
                    <w:pStyle w:val="BodyText"/>
                    <w:tabs>
                      <w:tab w:pos="2276" w:val="left" w:leader="none"/>
                    </w:tabs>
                    <w:spacing w:before="46"/>
                    <w:rPr>
                      <w:rFonts w:ascii="Stone Sans II ITC Std Lt"/>
                      <w:b w:val="0"/>
                    </w:rPr>
                  </w:pPr>
                  <w:hyperlink w:history="true" w:anchor="_bookmark16">
                    <w:r>
                      <w:rPr>
                        <w:rFonts w:ascii="Stone Sans II ITC Std Sm"/>
                        <w:b/>
                        <w:w w:val="110"/>
                      </w:rPr>
                      <w:t>Communications</w:t>
                      <w:tab/>
                    </w:r>
                    <w:r>
                      <w:rPr>
                        <w:rFonts w:ascii="Stone Sans II ITC Std Lt"/>
                        <w:b w:val="0"/>
                        <w:color w:val="707172"/>
                        <w:spacing w:val="-6"/>
                        <w:w w:val="110"/>
                      </w:rPr>
                      <w:t>..........................................................................</w:t>
                    </w:r>
                  </w:hyperlink>
                </w:p>
                <w:p>
                  <w:pPr>
                    <w:pStyle w:val="BodyText"/>
                    <w:tabs>
                      <w:tab w:pos="2879" w:val="left" w:leader="none"/>
                    </w:tabs>
                    <w:spacing w:before="47"/>
                    <w:rPr>
                      <w:rFonts w:ascii="Stone Sans II ITC Std Lt"/>
                      <w:b w:val="0"/>
                    </w:rPr>
                  </w:pPr>
                  <w:hyperlink w:history="true" w:anchor="_bookmark17">
                    <w:r>
                      <w:rPr>
                        <w:rFonts w:ascii="Stone Sans II ITC Std Sm"/>
                        <w:b/>
                        <w:w w:val="110"/>
                      </w:rPr>
                      <w:t>Education</w:t>
                    </w:r>
                    <w:r>
                      <w:rPr>
                        <w:rFonts w:ascii="Stone Sans II ITC Std Sm"/>
                        <w:b/>
                        <w:spacing w:val="-1"/>
                        <w:w w:val="110"/>
                      </w:rPr>
                      <w:t> </w:t>
                    </w:r>
                    <w:r>
                      <w:rPr>
                        <w:rFonts w:ascii="Stone Sans II ITC Std Sm"/>
                        <w:b/>
                        <w:w w:val="110"/>
                      </w:rPr>
                      <w:t>and</w:t>
                    </w:r>
                    <w:r>
                      <w:rPr>
                        <w:rFonts w:ascii="Stone Sans II ITC Std Sm"/>
                        <w:b/>
                        <w:spacing w:val="-1"/>
                        <w:w w:val="110"/>
                      </w:rPr>
                      <w:t> </w:t>
                    </w:r>
                    <w:r>
                      <w:rPr>
                        <w:rFonts w:ascii="Stone Sans II ITC Std Sm"/>
                        <w:b/>
                        <w:w w:val="110"/>
                      </w:rPr>
                      <w:t>learning</w:t>
                      <w:tab/>
                    </w:r>
                    <w:r>
                      <w:rPr>
                        <w:rFonts w:ascii="Stone Sans II ITC Std Lt"/>
                        <w:b w:val="0"/>
                        <w:color w:val="707172"/>
                        <w:spacing w:val="-6"/>
                        <w:w w:val="110"/>
                      </w:rPr>
                      <w:t>...............................................................</w:t>
                    </w:r>
                  </w:hyperlink>
                </w:p>
                <w:p>
                  <w:pPr>
                    <w:pStyle w:val="BodyText"/>
                    <w:tabs>
                      <w:tab w:pos="2276" w:val="left" w:leader="none"/>
                    </w:tabs>
                    <w:spacing w:before="46"/>
                    <w:rPr>
                      <w:rFonts w:ascii="Stone Sans II ITC Std Lt"/>
                      <w:b w:val="0"/>
                    </w:rPr>
                  </w:pPr>
                  <w:hyperlink w:history="true" w:anchor="_bookmark18">
                    <w:r>
                      <w:rPr>
                        <w:rFonts w:ascii="Stone Sans II ITC Std Sm"/>
                        <w:b/>
                        <w:w w:val="110"/>
                      </w:rPr>
                      <w:t>Equalities</w:t>
                      <w:tab/>
                    </w:r>
                    <w:r>
                      <w:rPr>
                        <w:rFonts w:ascii="Stone Sans II ITC Std Lt"/>
                        <w:b w:val="0"/>
                        <w:color w:val="707172"/>
                        <w:spacing w:val="-6"/>
                        <w:w w:val="110"/>
                      </w:rPr>
                      <w:t>..........................................................................</w:t>
                    </w:r>
                  </w:hyperlink>
                </w:p>
                <w:p>
                  <w:pPr>
                    <w:pStyle w:val="BodyText"/>
                    <w:tabs>
                      <w:tab w:pos="2276" w:val="left" w:leader="none"/>
                    </w:tabs>
                    <w:spacing w:before="46"/>
                    <w:rPr>
                      <w:rFonts w:ascii="Stone Sans II ITC Std Lt"/>
                      <w:b w:val="0"/>
                    </w:rPr>
                  </w:pPr>
                  <w:hyperlink w:history="true" w:anchor="_bookmark19">
                    <w:r>
                      <w:rPr>
                        <w:rFonts w:ascii="Stone Sans II ITC Std Sm"/>
                        <w:b/>
                        <w:w w:val="110"/>
                      </w:rPr>
                      <w:t>Faith</w:t>
                    </w:r>
                    <w:r>
                      <w:rPr>
                        <w:rFonts w:ascii="Stone Sans II ITC Std Sm"/>
                        <w:b/>
                        <w:spacing w:val="-2"/>
                        <w:w w:val="110"/>
                      </w:rPr>
                      <w:t> </w:t>
                    </w:r>
                    <w:r>
                      <w:rPr>
                        <w:rFonts w:ascii="Stone Sans II ITC Std Sm"/>
                        <w:b/>
                        <w:w w:val="110"/>
                      </w:rPr>
                      <w:t>and</w:t>
                    </w:r>
                    <w:r>
                      <w:rPr>
                        <w:rFonts w:ascii="Stone Sans II ITC Std Sm"/>
                        <w:b/>
                        <w:spacing w:val="-1"/>
                        <w:w w:val="110"/>
                      </w:rPr>
                      <w:t> </w:t>
                    </w:r>
                    <w:r>
                      <w:rPr>
                        <w:rFonts w:ascii="Stone Sans II ITC Std Sm"/>
                        <w:b/>
                        <w:w w:val="110"/>
                      </w:rPr>
                      <w:t>order</w:t>
                      <w:tab/>
                    </w:r>
                    <w:r>
                      <w:rPr>
                        <w:rFonts w:ascii="Stone Sans II ITC Std Lt"/>
                        <w:b w:val="0"/>
                        <w:color w:val="707172"/>
                        <w:spacing w:val="-6"/>
                        <w:w w:val="110"/>
                      </w:rPr>
                      <w:t>..........................................................................</w:t>
                    </w:r>
                  </w:hyperlink>
                </w:p>
                <w:p>
                  <w:pPr>
                    <w:pStyle w:val="BodyText"/>
                    <w:tabs>
                      <w:tab w:pos="2276" w:val="left" w:leader="none"/>
                    </w:tabs>
                    <w:spacing w:before="46"/>
                    <w:rPr>
                      <w:rFonts w:ascii="Stone Sans II ITC Std Lt"/>
                      <w:b w:val="0"/>
                    </w:rPr>
                  </w:pPr>
                  <w:hyperlink w:history="true" w:anchor="_bookmark20">
                    <w:r>
                      <w:rPr>
                        <w:rFonts w:ascii="Stone Sans II ITC Std Sm"/>
                        <w:b/>
                        <w:w w:val="110"/>
                      </w:rPr>
                      <w:t>Finance</w:t>
                      <w:tab/>
                    </w:r>
                    <w:r>
                      <w:rPr>
                        <w:rFonts w:ascii="Stone Sans II ITC Std Lt"/>
                        <w:b w:val="0"/>
                        <w:color w:val="707172"/>
                        <w:spacing w:val="-6"/>
                        <w:w w:val="110"/>
                      </w:rPr>
                      <w:t>..........................................................................</w:t>
                    </w:r>
                  </w:hyperlink>
                </w:p>
                <w:p>
                  <w:pPr>
                    <w:pStyle w:val="BodyText"/>
                    <w:tabs>
                      <w:tab w:pos="3208" w:val="left" w:leader="none"/>
                    </w:tabs>
                    <w:spacing w:before="46"/>
                    <w:ind w:left="284"/>
                    <w:rPr>
                      <w:rFonts w:ascii="Stone Sans II ITC Std Lt" w:hAnsi="Stone Sans II ITC Std Lt"/>
                      <w:b w:val="0"/>
                    </w:rPr>
                  </w:pPr>
                  <w:hyperlink w:history="true" w:anchor="_bookmark21">
                    <w:r>
                      <w:rPr>
                        <w:w w:val="120"/>
                      </w:rPr>
                      <w:t>Finance –</w:t>
                    </w:r>
                    <w:r>
                      <w:rPr>
                        <w:spacing w:val="2"/>
                        <w:w w:val="120"/>
                      </w:rPr>
                      <w:t> </w:t>
                    </w:r>
                    <w:r>
                      <w:rPr>
                        <w:w w:val="120"/>
                      </w:rPr>
                      <w:t>annual</w:t>
                    </w:r>
                    <w:r>
                      <w:rPr>
                        <w:spacing w:val="1"/>
                        <w:w w:val="120"/>
                      </w:rPr>
                      <w:t> </w:t>
                    </w:r>
                    <w:r>
                      <w:rPr>
                        <w:w w:val="120"/>
                      </w:rPr>
                      <w:t>accounts</w:t>
                      <w:tab/>
                    </w:r>
                    <w:r>
                      <w:rPr>
                        <w:rFonts w:ascii="Stone Sans II ITC Std Lt" w:hAnsi="Stone Sans II ITC Std Lt"/>
                        <w:b w:val="0"/>
                        <w:color w:val="707172"/>
                        <w:spacing w:val="-6"/>
                        <w:w w:val="110"/>
                      </w:rPr>
                      <w:t>.........................................................</w:t>
                    </w:r>
                  </w:hyperlink>
                </w:p>
                <w:p>
                  <w:pPr>
                    <w:pStyle w:val="BodyText"/>
                    <w:tabs>
                      <w:tab w:pos="2276" w:val="left" w:leader="none"/>
                    </w:tabs>
                    <w:spacing w:before="47"/>
                    <w:rPr>
                      <w:rFonts w:ascii="Stone Sans II ITC Std Lt"/>
                      <w:b w:val="0"/>
                    </w:rPr>
                  </w:pPr>
                  <w:hyperlink w:history="true" w:anchor="_bookmark22">
                    <w:r>
                      <w:rPr>
                        <w:rFonts w:ascii="Stone Sans II ITC Std Sm"/>
                        <w:b/>
                        <w:w w:val="110"/>
                      </w:rPr>
                      <w:t>Ministries</w:t>
                      <w:tab/>
                    </w:r>
                    <w:r>
                      <w:rPr>
                        <w:rFonts w:ascii="Stone Sans II ITC Std Lt"/>
                        <w:b w:val="0"/>
                        <w:color w:val="707172"/>
                        <w:spacing w:val="-6"/>
                        <w:w w:val="110"/>
                      </w:rPr>
                      <w:t>..........................................................................</w:t>
                    </w:r>
                  </w:hyperlink>
                </w:p>
                <w:p>
                  <w:pPr>
                    <w:pStyle w:val="BodyText"/>
                    <w:tabs>
                      <w:tab w:pos="2276" w:val="left" w:leader="none"/>
                    </w:tabs>
                    <w:spacing w:before="46"/>
                    <w:ind w:left="284"/>
                    <w:rPr>
                      <w:rFonts w:ascii="Stone Sans II ITC Std Lt"/>
                      <w:b w:val="0"/>
                    </w:rPr>
                  </w:pPr>
                  <w:hyperlink w:history="true" w:anchor="_bookmark23">
                    <w:r>
                      <w:rPr>
                        <w:w w:val="115"/>
                      </w:rPr>
                      <w:t>Active</w:t>
                    </w:r>
                    <w:r>
                      <w:rPr>
                        <w:spacing w:val="19"/>
                        <w:w w:val="115"/>
                      </w:rPr>
                      <w:t> </w:t>
                    </w:r>
                    <w:r>
                      <w:rPr>
                        <w:w w:val="115"/>
                      </w:rPr>
                      <w:t>ministers</w:t>
                      <w:tab/>
                    </w:r>
                    <w:r>
                      <w:rPr>
                        <w:rFonts w:ascii="Stone Sans II ITC Std Lt"/>
                        <w:b w:val="0"/>
                        <w:color w:val="707172"/>
                        <w:spacing w:val="-6"/>
                        <w:w w:val="110"/>
                      </w:rPr>
                      <w:t>..........................................................................</w:t>
                    </w:r>
                  </w:hyperlink>
                </w:p>
                <w:p>
                  <w:pPr>
                    <w:pStyle w:val="BodyText"/>
                    <w:tabs>
                      <w:tab w:pos="3373" w:val="left" w:leader="none"/>
                    </w:tabs>
                    <w:spacing w:before="46"/>
                    <w:ind w:left="284"/>
                    <w:rPr>
                      <w:rFonts w:ascii="Stone Sans II ITC Std Lt" w:hAnsi="Stone Sans II ITC Std Lt"/>
                      <w:b w:val="0"/>
                    </w:rPr>
                  </w:pPr>
                  <w:hyperlink w:history="true" w:anchor="_bookmark24">
                    <w:r>
                      <w:rPr>
                        <w:w w:val="120"/>
                      </w:rPr>
                      <w:t>Discerning</w:t>
                    </w:r>
                    <w:r>
                      <w:rPr>
                        <w:spacing w:val="12"/>
                        <w:w w:val="120"/>
                      </w:rPr>
                      <w:t> </w:t>
                    </w:r>
                    <w:r>
                      <w:rPr>
                        <w:w w:val="120"/>
                      </w:rPr>
                      <w:t>God’s</w:t>
                    </w:r>
                    <w:r>
                      <w:rPr>
                        <w:spacing w:val="13"/>
                        <w:w w:val="120"/>
                      </w:rPr>
                      <w:t> </w:t>
                    </w:r>
                    <w:r>
                      <w:rPr>
                        <w:w w:val="120"/>
                      </w:rPr>
                      <w:t>call</w:t>
                      <w:tab/>
                    </w:r>
                    <w:r>
                      <w:rPr>
                        <w:rFonts w:ascii="Stone Sans II ITC Std Lt" w:hAnsi="Stone Sans II ITC Std Lt"/>
                        <w:b w:val="0"/>
                        <w:color w:val="707172"/>
                        <w:spacing w:val="-6"/>
                        <w:w w:val="110"/>
                      </w:rPr>
                      <w:t>......................................................</w:t>
                    </w:r>
                  </w:hyperlink>
                </w:p>
                <w:p>
                  <w:pPr>
                    <w:pStyle w:val="BodyText"/>
                    <w:tabs>
                      <w:tab w:pos="3372" w:val="left" w:leader="none"/>
                    </w:tabs>
                    <w:spacing w:before="46"/>
                    <w:ind w:left="283"/>
                    <w:rPr>
                      <w:rFonts w:ascii="Stone Sans II ITC Std Lt"/>
                      <w:b w:val="0"/>
                    </w:rPr>
                  </w:pPr>
                  <w:hyperlink w:history="true" w:anchor="_bookmark25">
                    <w:r>
                      <w:rPr>
                        <w:w w:val="115"/>
                      </w:rPr>
                      <w:t>Non-stipendiary</w:t>
                    </w:r>
                    <w:r>
                      <w:rPr>
                        <w:spacing w:val="43"/>
                        <w:w w:val="115"/>
                      </w:rPr>
                      <w:t> </w:t>
                    </w:r>
                    <w:r>
                      <w:rPr>
                        <w:w w:val="115"/>
                      </w:rPr>
                      <w:t>ministry</w:t>
                      <w:tab/>
                    </w:r>
                    <w:r>
                      <w:rPr>
                        <w:rFonts w:ascii="Stone Sans II ITC Std Lt"/>
                        <w:b w:val="0"/>
                        <w:color w:val="707172"/>
                        <w:spacing w:val="-6"/>
                        <w:w w:val="110"/>
                      </w:rPr>
                      <w:t>......................................................</w:t>
                    </w:r>
                  </w:hyperlink>
                </w:p>
                <w:p>
                  <w:pPr>
                    <w:pStyle w:val="BodyText"/>
                    <w:tabs>
                      <w:tab w:pos="2276" w:val="left" w:leader="none"/>
                    </w:tabs>
                    <w:spacing w:before="46"/>
                    <w:rPr>
                      <w:rFonts w:ascii="Stone Sans II ITC Std Lt"/>
                      <w:b w:val="0"/>
                    </w:rPr>
                  </w:pPr>
                  <w:hyperlink w:history="true" w:anchor="_bookmark26">
                    <w:r>
                      <w:rPr>
                        <w:rFonts w:ascii="Stone Sans II ITC Std Sm"/>
                        <w:b/>
                        <w:w w:val="110"/>
                      </w:rPr>
                      <w:t>Mission</w:t>
                      <w:tab/>
                    </w:r>
                    <w:r>
                      <w:rPr>
                        <w:rFonts w:ascii="Stone Sans II ITC Std Lt"/>
                        <w:b w:val="0"/>
                        <w:color w:val="707172"/>
                        <w:spacing w:val="-6"/>
                        <w:w w:val="110"/>
                      </w:rPr>
                      <w:t>..........................................................................</w:t>
                    </w:r>
                  </w:hyperlink>
                </w:p>
                <w:p>
                  <w:pPr>
                    <w:pStyle w:val="BodyText"/>
                    <w:spacing w:before="59"/>
                    <w:ind w:left="287"/>
                  </w:pPr>
                  <w:hyperlink w:history="true" w:anchor="_bookmark27">
                    <w:r>
                      <w:rPr>
                        <w:w w:val="120"/>
                      </w:rPr>
                      <w:t>Expressing commitment to global and intercultural</w:t>
                    </w:r>
                    <w:r>
                      <w:rPr>
                        <w:spacing w:val="42"/>
                        <w:w w:val="120"/>
                      </w:rPr>
                      <w:t> </w:t>
                    </w:r>
                    <w:r>
                      <w:rPr>
                        <w:w w:val="120"/>
                      </w:rPr>
                      <w:t>ministries</w:t>
                    </w:r>
                  </w:hyperlink>
                </w:p>
                <w:p>
                  <w:pPr>
                    <w:pStyle w:val="BodyText"/>
                    <w:tabs>
                      <w:tab w:pos="2276" w:val="left" w:leader="none"/>
                    </w:tabs>
                    <w:spacing w:line="253" w:lineRule="exact" w:before="60"/>
                    <w:rPr>
                      <w:rFonts w:ascii="Stone Sans II ITC Std Lt"/>
                      <w:b w:val="0"/>
                    </w:rPr>
                  </w:pPr>
                  <w:hyperlink w:history="true" w:anchor="_bookmark28">
                    <w:r>
                      <w:rPr>
                        <w:rFonts w:ascii="Stone Sans II ITC Std Sm"/>
                        <w:b/>
                        <w:w w:val="110"/>
                      </w:rPr>
                      <w:t>Nominations</w:t>
                      <w:tab/>
                    </w:r>
                    <w:r>
                      <w:rPr>
                        <w:rFonts w:ascii="Stone Sans II ITC Std Lt"/>
                        <w:b w:val="0"/>
                        <w:color w:val="707172"/>
                        <w:spacing w:val="-6"/>
                        <w:w w:val="110"/>
                      </w:rPr>
                      <w:t>..........................................................................</w:t>
                    </w:r>
                  </w:hyperlink>
                </w:p>
              </w:txbxContent>
            </v:textbox>
            <w10:wrap type="none"/>
          </v:shape>
        </w:pict>
      </w:r>
      <w:r>
        <w:rPr/>
        <w:pict>
          <v:shape style="position:absolute;margin-left:472.475586pt;margin-top:119.480217pt;width:14.55pt;height:158.65pt;mso-position-horizontal-relative:page;mso-position-vertical-relative:page;z-index:251672576" type="#_x0000_t202" filled="false" stroked="false">
            <v:textbox inset="0,0,0,0">
              <w:txbxContent>
                <w:p>
                  <w:pPr>
                    <w:pStyle w:val="BodyText"/>
                    <w:ind w:left="33"/>
                  </w:pPr>
                  <w:hyperlink w:history="true" w:anchor="_bookmark2">
                    <w:r>
                      <w:rPr>
                        <w:spacing w:val="-9"/>
                        <w:w w:val="125"/>
                      </w:rPr>
                      <w:t>12</w:t>
                    </w:r>
                  </w:hyperlink>
                </w:p>
                <w:p>
                  <w:pPr>
                    <w:pStyle w:val="BodyText"/>
                    <w:spacing w:before="35"/>
                    <w:ind w:left="32"/>
                  </w:pPr>
                  <w:hyperlink w:history="true" w:anchor="_bookmark3">
                    <w:r>
                      <w:rPr>
                        <w:spacing w:val="-8"/>
                        <w:w w:val="125"/>
                      </w:rPr>
                      <w:t>14</w:t>
                    </w:r>
                  </w:hyperlink>
                </w:p>
                <w:p>
                  <w:pPr>
                    <w:pStyle w:val="BodyText"/>
                    <w:spacing w:before="36"/>
                    <w:ind w:left="31"/>
                  </w:pPr>
                  <w:hyperlink w:history="true" w:anchor="_bookmark4">
                    <w:r>
                      <w:rPr>
                        <w:spacing w:val="-8"/>
                        <w:w w:val="125"/>
                      </w:rPr>
                      <w:t>16</w:t>
                    </w:r>
                  </w:hyperlink>
                </w:p>
                <w:p>
                  <w:pPr>
                    <w:pStyle w:val="BodyText"/>
                    <w:spacing w:before="36"/>
                    <w:ind w:left="18"/>
                  </w:pPr>
                  <w:hyperlink w:history="true" w:anchor="_bookmark5">
                    <w:r>
                      <w:rPr>
                        <w:w w:val="125"/>
                      </w:rPr>
                      <w:t>20</w:t>
                    </w:r>
                  </w:hyperlink>
                </w:p>
                <w:p>
                  <w:pPr>
                    <w:pStyle w:val="BodyText"/>
                    <w:spacing w:before="36"/>
                    <w:ind w:left="17"/>
                  </w:pPr>
                  <w:hyperlink w:history="true" w:anchor="_bookmark6">
                    <w:r>
                      <w:rPr>
                        <w:w w:val="125"/>
                      </w:rPr>
                      <w:t>22</w:t>
                    </w:r>
                  </w:hyperlink>
                </w:p>
                <w:p>
                  <w:pPr>
                    <w:pStyle w:val="BodyText"/>
                    <w:spacing w:before="36"/>
                    <w:ind w:left="27"/>
                  </w:pPr>
                  <w:hyperlink w:history="true" w:anchor="_bookmark7">
                    <w:r>
                      <w:rPr>
                        <w:spacing w:val="-6"/>
                        <w:w w:val="125"/>
                      </w:rPr>
                      <w:t>33</w:t>
                    </w:r>
                  </w:hyperlink>
                </w:p>
                <w:p>
                  <w:pPr>
                    <w:pStyle w:val="BodyText"/>
                    <w:spacing w:before="36"/>
                    <w:ind w:left="18"/>
                  </w:pPr>
                  <w:hyperlink w:history="true" w:anchor="_bookmark8">
                    <w:r>
                      <w:rPr>
                        <w:w w:val="125"/>
                      </w:rPr>
                      <w:t>38</w:t>
                    </w:r>
                  </w:hyperlink>
                </w:p>
                <w:p>
                  <w:pPr>
                    <w:pStyle w:val="BodyText"/>
                    <w:spacing w:before="23"/>
                    <w:rPr>
                      <w:rFonts w:ascii="Stone Sans II ITC Std Sm"/>
                      <w:b/>
                    </w:rPr>
                  </w:pPr>
                  <w:hyperlink w:history="true" w:anchor="_bookmark9">
                    <w:r>
                      <w:rPr>
                        <w:rFonts w:ascii="Stone Sans II ITC Std Sm"/>
                        <w:b/>
                        <w:w w:val="110"/>
                      </w:rPr>
                      <w:t>48</w:t>
                    </w:r>
                  </w:hyperlink>
                </w:p>
                <w:p>
                  <w:pPr>
                    <w:pStyle w:val="BodyText"/>
                    <w:spacing w:before="49"/>
                    <w:ind w:left="12"/>
                    <w:rPr>
                      <w:rFonts w:ascii="Stone Sans II ITC Std Sm"/>
                      <w:b/>
                    </w:rPr>
                  </w:pPr>
                  <w:hyperlink w:history="true" w:anchor="_bookmark10">
                    <w:r>
                      <w:rPr>
                        <w:rFonts w:ascii="Stone Sans II ITC Std Sm"/>
                        <w:b/>
                        <w:spacing w:val="-11"/>
                        <w:w w:val="110"/>
                      </w:rPr>
                      <w:t>51</w:t>
                    </w:r>
                  </w:hyperlink>
                </w:p>
                <w:p>
                  <w:pPr>
                    <w:pStyle w:val="BodyText"/>
                    <w:spacing w:before="67"/>
                    <w:ind w:left="5"/>
                    <w:rPr>
                      <w:rFonts w:ascii="Stone Sans II ITC Std Sm"/>
                      <w:b/>
                    </w:rPr>
                  </w:pPr>
                  <w:hyperlink w:history="true" w:anchor="_bookmark11">
                    <w:r>
                      <w:rPr>
                        <w:rFonts w:ascii="Stone Sans II ITC Std Sm"/>
                        <w:b/>
                        <w:spacing w:val="-4"/>
                        <w:w w:val="110"/>
                      </w:rPr>
                      <w:t>71</w:t>
                    </w:r>
                  </w:hyperlink>
                </w:p>
                <w:p>
                  <w:pPr>
                    <w:pStyle w:val="BodyText"/>
                    <w:spacing w:line="252" w:lineRule="exact" w:before="46"/>
                    <w:ind w:left="5"/>
                    <w:rPr>
                      <w:rFonts w:ascii="Stone Sans II ITC Std Sm"/>
                      <w:b/>
                    </w:rPr>
                  </w:pPr>
                  <w:hyperlink w:history="true" w:anchor="_bookmark12">
                    <w:r>
                      <w:rPr>
                        <w:rFonts w:ascii="Stone Sans II ITC Std Sm"/>
                        <w:b/>
                        <w:spacing w:val="-4"/>
                        <w:w w:val="110"/>
                      </w:rPr>
                      <w:t>77</w:t>
                    </w:r>
                  </w:hyperlink>
                </w:p>
              </w:txbxContent>
            </v:textbox>
            <w10:wrap type="none"/>
          </v:shape>
        </w:pict>
      </w:r>
      <w:r>
        <w:rPr/>
        <w:pict>
          <v:shape style="position:absolute;margin-left:141.023605pt;margin-top:265.980408pt;width:317.55pt;height:12.15pt;mso-position-horizontal-relative:page;mso-position-vertical-relative:page;z-index:251673600" type="#_x0000_t202" filled="false" stroked="false">
            <v:textbox inset="0,0,0,0">
              <w:txbxContent>
                <w:p>
                  <w:pPr>
                    <w:pStyle w:val="BodyText"/>
                    <w:tabs>
                      <w:tab w:pos="2331" w:val="left" w:leader="none"/>
                    </w:tabs>
                    <w:spacing w:line="243" w:lineRule="exact"/>
                    <w:rPr>
                      <w:rFonts w:ascii="Stone Sans II ITC Std Lt"/>
                      <w:b w:val="0"/>
                    </w:rPr>
                  </w:pPr>
                  <w:hyperlink w:history="true" w:anchor="_bookmark12">
                    <w:r>
                      <w:rPr>
                        <w:rFonts w:ascii="Stone Sans II ITC Std Sm"/>
                        <w:b/>
                        <w:w w:val="110"/>
                      </w:rPr>
                      <w:t>Church</w:t>
                    </w:r>
                    <w:r>
                      <w:rPr>
                        <w:rFonts w:ascii="Stone Sans II ITC Std Sm"/>
                        <w:b/>
                        <w:spacing w:val="-2"/>
                        <w:w w:val="110"/>
                      </w:rPr>
                      <w:t> </w:t>
                    </w:r>
                    <w:r>
                      <w:rPr>
                        <w:rFonts w:ascii="Stone Sans II ITC Std Sm"/>
                        <w:b/>
                        <w:w w:val="110"/>
                      </w:rPr>
                      <w:t>changes</w:t>
                      <w:tab/>
                    </w:r>
                    <w:r>
                      <w:rPr>
                        <w:rFonts w:ascii="Stone Sans II ITC Std Lt"/>
                        <w:b w:val="0"/>
                        <w:color w:val="707172"/>
                        <w:spacing w:val="-6"/>
                        <w:w w:val="110"/>
                      </w:rPr>
                      <w:t>.........................................................................</w:t>
                    </w:r>
                  </w:hyperlink>
                </w:p>
              </w:txbxContent>
            </v:textbox>
            <w10:wrap type="none"/>
          </v:shape>
        </w:pict>
      </w:r>
      <w:r>
        <w:rPr/>
        <w:pict>
          <v:shape style="position:absolute;margin-left:141.023605pt;margin-top:119.480217pt;width:317.7pt;height:142.85pt;mso-position-horizontal-relative:page;mso-position-vertical-relative:page;z-index:251674624" type="#_x0000_t202" filled="false" stroked="false">
            <v:textbox inset="0,0,0,0">
              <w:txbxContent>
                <w:p>
                  <w:pPr>
                    <w:pStyle w:val="BodyText"/>
                    <w:numPr>
                      <w:ilvl w:val="0"/>
                      <w:numId w:val="2"/>
                    </w:numPr>
                    <w:tabs>
                      <w:tab w:pos="624" w:val="left" w:leader="none"/>
                    </w:tabs>
                    <w:spacing w:line="240" w:lineRule="auto" w:before="0" w:after="0"/>
                    <w:ind w:left="623" w:right="0" w:hanging="341"/>
                    <w:jc w:val="left"/>
                  </w:pPr>
                  <w:hyperlink w:history="true" w:anchor="_bookmark2">
                    <w:r>
                      <w:rPr>
                        <w:w w:val="120"/>
                      </w:rPr>
                      <w:t>Summary of URC Ethical Investment</w:t>
                    </w:r>
                    <w:r>
                      <w:rPr>
                        <w:spacing w:val="13"/>
                        <w:w w:val="120"/>
                      </w:rPr>
                      <w:t> </w:t>
                    </w:r>
                    <w:r>
                      <w:rPr>
                        <w:w w:val="120"/>
                      </w:rPr>
                      <w:t>Guidelines</w:t>
                    </w:r>
                  </w:hyperlink>
                </w:p>
                <w:p>
                  <w:pPr>
                    <w:pStyle w:val="BodyText"/>
                    <w:numPr>
                      <w:ilvl w:val="0"/>
                      <w:numId w:val="2"/>
                    </w:numPr>
                    <w:tabs>
                      <w:tab w:pos="624" w:val="left" w:leader="none"/>
                    </w:tabs>
                    <w:spacing w:line="240" w:lineRule="auto" w:before="35" w:after="0"/>
                    <w:ind w:left="623" w:right="0" w:hanging="341"/>
                    <w:jc w:val="left"/>
                  </w:pPr>
                  <w:hyperlink w:history="true" w:anchor="_bookmark3">
                    <w:r>
                      <w:rPr>
                        <w:w w:val="120"/>
                      </w:rPr>
                      <w:t>Nominations</w:t>
                    </w:r>
                  </w:hyperlink>
                </w:p>
                <w:p>
                  <w:pPr>
                    <w:pStyle w:val="BodyText"/>
                    <w:numPr>
                      <w:ilvl w:val="0"/>
                      <w:numId w:val="2"/>
                    </w:numPr>
                    <w:tabs>
                      <w:tab w:pos="624" w:val="left" w:leader="none"/>
                    </w:tabs>
                    <w:spacing w:line="240" w:lineRule="auto" w:before="36" w:after="0"/>
                    <w:ind w:left="623" w:right="0" w:hanging="341"/>
                    <w:jc w:val="left"/>
                  </w:pPr>
                  <w:hyperlink w:history="true" w:anchor="_bookmark4">
                    <w:r>
                      <w:rPr>
                        <w:w w:val="120"/>
                      </w:rPr>
                      <w:t>The election of Assembly</w:t>
                    </w:r>
                    <w:r>
                      <w:rPr>
                        <w:spacing w:val="8"/>
                        <w:w w:val="120"/>
                      </w:rPr>
                      <w:t> </w:t>
                    </w:r>
                    <w:r>
                      <w:rPr>
                        <w:w w:val="120"/>
                      </w:rPr>
                      <w:t>Moderators</w:t>
                    </w:r>
                  </w:hyperlink>
                </w:p>
                <w:p>
                  <w:pPr>
                    <w:pStyle w:val="BodyText"/>
                    <w:numPr>
                      <w:ilvl w:val="0"/>
                      <w:numId w:val="2"/>
                    </w:numPr>
                    <w:tabs>
                      <w:tab w:pos="624" w:val="left" w:leader="none"/>
                    </w:tabs>
                    <w:spacing w:line="240" w:lineRule="auto" w:before="36" w:after="0"/>
                    <w:ind w:left="623" w:right="0" w:hanging="341"/>
                    <w:jc w:val="left"/>
                  </w:pPr>
                  <w:hyperlink w:history="true" w:anchor="_bookmark5">
                    <w:r>
                      <w:rPr>
                        <w:w w:val="120"/>
                      </w:rPr>
                      <w:t>The role of elders in the United Reformed</w:t>
                    </w:r>
                    <w:r>
                      <w:rPr>
                        <w:spacing w:val="25"/>
                        <w:w w:val="120"/>
                      </w:rPr>
                      <w:t> </w:t>
                    </w:r>
                    <w:r>
                      <w:rPr>
                        <w:w w:val="120"/>
                      </w:rPr>
                      <w:t>Church</w:t>
                    </w:r>
                  </w:hyperlink>
                </w:p>
                <w:p>
                  <w:pPr>
                    <w:pStyle w:val="BodyText"/>
                    <w:numPr>
                      <w:ilvl w:val="0"/>
                      <w:numId w:val="2"/>
                    </w:numPr>
                    <w:tabs>
                      <w:tab w:pos="624" w:val="left" w:leader="none"/>
                    </w:tabs>
                    <w:spacing w:line="240" w:lineRule="auto" w:before="36" w:after="0"/>
                    <w:ind w:left="623" w:right="0" w:hanging="341"/>
                    <w:jc w:val="left"/>
                  </w:pPr>
                  <w:hyperlink w:history="true" w:anchor="_bookmark6">
                    <w:r>
                      <w:rPr>
                        <w:spacing w:val="2"/>
                        <w:w w:val="120"/>
                      </w:rPr>
                      <w:t>Report </w:t>
                    </w:r>
                    <w:r>
                      <w:rPr>
                        <w:w w:val="120"/>
                      </w:rPr>
                      <w:t>from the </w:t>
                    </w:r>
                    <w:r>
                      <w:rPr>
                        <w:spacing w:val="3"/>
                        <w:w w:val="120"/>
                      </w:rPr>
                      <w:t>20-40 </w:t>
                    </w:r>
                    <w:r>
                      <w:rPr>
                        <w:w w:val="120"/>
                      </w:rPr>
                      <w:t>task</w:t>
                    </w:r>
                    <w:r>
                      <w:rPr>
                        <w:spacing w:val="7"/>
                        <w:w w:val="120"/>
                      </w:rPr>
                      <w:t> </w:t>
                    </w:r>
                    <w:r>
                      <w:rPr>
                        <w:w w:val="120"/>
                      </w:rPr>
                      <w:t>group</w:t>
                    </w:r>
                  </w:hyperlink>
                </w:p>
                <w:p>
                  <w:pPr>
                    <w:pStyle w:val="BodyText"/>
                    <w:numPr>
                      <w:ilvl w:val="0"/>
                      <w:numId w:val="2"/>
                    </w:numPr>
                    <w:tabs>
                      <w:tab w:pos="624" w:val="left" w:leader="none"/>
                    </w:tabs>
                    <w:spacing w:line="240" w:lineRule="auto" w:before="36" w:after="0"/>
                    <w:ind w:left="623" w:right="0" w:hanging="341"/>
                    <w:jc w:val="left"/>
                  </w:pPr>
                  <w:hyperlink w:history="true" w:anchor="_bookmark7">
                    <w:r>
                      <w:rPr>
                        <w:w w:val="120"/>
                      </w:rPr>
                      <w:t>Safeguarding priorities and</w:t>
                    </w:r>
                    <w:r>
                      <w:rPr>
                        <w:spacing w:val="11"/>
                        <w:w w:val="120"/>
                      </w:rPr>
                      <w:t> </w:t>
                    </w:r>
                    <w:r>
                      <w:rPr>
                        <w:w w:val="120"/>
                      </w:rPr>
                      <w:t>developments</w:t>
                    </w:r>
                  </w:hyperlink>
                </w:p>
                <w:p>
                  <w:pPr>
                    <w:pStyle w:val="BodyText"/>
                    <w:numPr>
                      <w:ilvl w:val="0"/>
                      <w:numId w:val="2"/>
                    </w:numPr>
                    <w:tabs>
                      <w:tab w:pos="624" w:val="left" w:leader="none"/>
                    </w:tabs>
                    <w:spacing w:line="240" w:lineRule="auto" w:before="36" w:after="0"/>
                    <w:ind w:left="623" w:right="0" w:hanging="341"/>
                    <w:jc w:val="left"/>
                  </w:pPr>
                  <w:hyperlink w:history="true" w:anchor="_bookmark8">
                    <w:r>
                      <w:rPr>
                        <w:w w:val="120"/>
                      </w:rPr>
                      <w:t>Past case review: recommendations and</w:t>
                    </w:r>
                    <w:r>
                      <w:rPr>
                        <w:spacing w:val="3"/>
                        <w:w w:val="120"/>
                      </w:rPr>
                      <w:t> </w:t>
                    </w:r>
                    <w:r>
                      <w:rPr>
                        <w:w w:val="120"/>
                      </w:rPr>
                      <w:t>responses</w:t>
                    </w:r>
                  </w:hyperlink>
                </w:p>
                <w:p>
                  <w:pPr>
                    <w:pStyle w:val="BodyText"/>
                    <w:numPr>
                      <w:ilvl w:val="0"/>
                      <w:numId w:val="2"/>
                    </w:numPr>
                    <w:tabs>
                      <w:tab w:pos="624" w:val="left" w:leader="none"/>
                    </w:tabs>
                    <w:spacing w:line="240" w:lineRule="auto" w:before="35" w:after="0"/>
                    <w:ind w:left="623" w:right="0" w:hanging="341"/>
                    <w:jc w:val="left"/>
                  </w:pPr>
                  <w:hyperlink w:history="true" w:anchor="_bookmark9">
                    <w:r>
                      <w:rPr>
                        <w:w w:val="120"/>
                      </w:rPr>
                      <w:t>‘Walking the</w:t>
                    </w:r>
                    <w:r>
                      <w:rPr>
                        <w:spacing w:val="3"/>
                        <w:w w:val="120"/>
                      </w:rPr>
                      <w:t> </w:t>
                    </w:r>
                    <w:r>
                      <w:rPr>
                        <w:w w:val="120"/>
                      </w:rPr>
                      <w:t>Way’</w:t>
                    </w:r>
                  </w:hyperlink>
                </w:p>
                <w:p>
                  <w:pPr>
                    <w:pStyle w:val="BodyText"/>
                    <w:tabs>
                      <w:tab w:pos="5073" w:val="left" w:leader="none"/>
                    </w:tabs>
                    <w:spacing w:before="64"/>
                    <w:rPr>
                      <w:rFonts w:ascii="Stone Sans II ITC Std Lt"/>
                      <w:b w:val="0"/>
                    </w:rPr>
                  </w:pPr>
                  <w:hyperlink w:history="true" w:anchor="_bookmark10">
                    <w:r>
                      <w:rPr>
                        <w:rFonts w:ascii="Stone Sans II ITC Std Sm"/>
                        <w:b/>
                        <w:w w:val="110"/>
                      </w:rPr>
                      <w:t>Proposals for the future of</w:t>
                    </w:r>
                    <w:r>
                      <w:rPr>
                        <w:rFonts w:ascii="Stone Sans II ITC Std Sm"/>
                        <w:b/>
                        <w:spacing w:val="3"/>
                        <w:w w:val="110"/>
                      </w:rPr>
                      <w:t> </w:t>
                    </w:r>
                    <w:r>
                      <w:rPr>
                        <w:rFonts w:ascii="Stone Sans II ITC Std Sm"/>
                        <w:b/>
                        <w:w w:val="110"/>
                      </w:rPr>
                      <w:t>General</w:t>
                    </w:r>
                    <w:r>
                      <w:rPr>
                        <w:rFonts w:ascii="Stone Sans II ITC Std Sm"/>
                        <w:b/>
                        <w:spacing w:val="1"/>
                        <w:w w:val="110"/>
                      </w:rPr>
                      <w:t> </w:t>
                    </w:r>
                    <w:r>
                      <w:rPr>
                        <w:rFonts w:ascii="Stone Sans II ITC Std Sm"/>
                        <w:b/>
                        <w:w w:val="110"/>
                      </w:rPr>
                      <w:t>Assembly</w:t>
                      <w:tab/>
                    </w:r>
                    <w:r>
                      <w:rPr>
                        <w:rFonts w:ascii="Stone Sans II ITC Std Lt"/>
                        <w:b w:val="0"/>
                        <w:color w:val="707172"/>
                        <w:spacing w:val="-6"/>
                        <w:w w:val="110"/>
                      </w:rPr>
                      <w:t>.......................</w:t>
                    </w:r>
                  </w:hyperlink>
                </w:p>
                <w:p>
                  <w:pPr>
                    <w:pStyle w:val="BodyText"/>
                    <w:tabs>
                      <w:tab w:pos="3153" w:val="left" w:leader="none"/>
                    </w:tabs>
                    <w:spacing w:line="253" w:lineRule="exact" w:before="66"/>
                    <w:rPr>
                      <w:rFonts w:ascii="Stone Sans II ITC Std Lt" w:hAnsi="Stone Sans II ITC Std Lt"/>
                      <w:b w:val="0"/>
                    </w:rPr>
                  </w:pPr>
                  <w:hyperlink w:history="true" w:anchor="_bookmark11">
                    <w:r>
                      <w:rPr>
                        <w:rFonts w:ascii="Stone Sans II ITC Std Sm" w:hAnsi="Stone Sans II ITC Std Sm"/>
                        <w:b/>
                        <w:w w:val="110"/>
                      </w:rPr>
                      <w:t>Synod Moderators’</w:t>
                    </w:r>
                    <w:r>
                      <w:rPr>
                        <w:rFonts w:ascii="Stone Sans II ITC Std Sm" w:hAnsi="Stone Sans II ITC Std Sm"/>
                        <w:b/>
                        <w:spacing w:val="1"/>
                        <w:w w:val="110"/>
                      </w:rPr>
                      <w:t> </w:t>
                    </w:r>
                    <w:r>
                      <w:rPr>
                        <w:rFonts w:ascii="Stone Sans II ITC Std Sm" w:hAnsi="Stone Sans II ITC Std Sm"/>
                        <w:b/>
                        <w:w w:val="110"/>
                      </w:rPr>
                      <w:t>report</w:t>
                      <w:tab/>
                    </w:r>
                    <w:r>
                      <w:rPr>
                        <w:rFonts w:ascii="Stone Sans II ITC Std Lt" w:hAnsi="Stone Sans II ITC Std Lt"/>
                        <w:b w:val="0"/>
                        <w:color w:val="707172"/>
                        <w:spacing w:val="-6"/>
                        <w:w w:val="110"/>
                      </w:rPr>
                      <w:t>..........................................................</w:t>
                    </w:r>
                  </w:hyperlink>
                </w:p>
              </w:txbxContent>
            </v:textbox>
            <w10:wrap type="none"/>
          </v:shape>
        </w:pict>
      </w:r>
      <w:r>
        <w:rPr/>
        <w:pict>
          <v:shape style="position:absolute;margin-left:478.66861pt;margin-top:71.593918pt;width:8.35pt;height:29.25pt;mso-position-horizontal-relative:page;mso-position-vertical-relative:page;z-index:251675648" type="#_x0000_t202" filled="false" stroked="false">
            <v:textbox inset="0,0,0,0">
              <w:txbxContent>
                <w:p>
                  <w:pPr>
                    <w:spacing w:line="266" w:lineRule="exact" w:before="0"/>
                    <w:ind w:left="0" w:right="0" w:firstLine="0"/>
                    <w:jc w:val="left"/>
                    <w:rPr>
                      <w:rFonts w:ascii="Stone Sans II ITC Std X Bd"/>
                      <w:b/>
                      <w:sz w:val="20"/>
                    </w:rPr>
                  </w:pPr>
                  <w:hyperlink w:history="true" w:anchor="_bookmark0">
                    <w:r>
                      <w:rPr>
                        <w:rFonts w:ascii="Stone Sans II ITC Std X Bd"/>
                        <w:b/>
                        <w:w w:val="110"/>
                        <w:sz w:val="20"/>
                      </w:rPr>
                      <w:t>3</w:t>
                    </w:r>
                  </w:hyperlink>
                </w:p>
                <w:p>
                  <w:pPr>
                    <w:pStyle w:val="BodyText"/>
                    <w:spacing w:line="253" w:lineRule="exact" w:before="66"/>
                    <w:ind w:left="12"/>
                    <w:rPr>
                      <w:rFonts w:ascii="Stone Sans II ITC Std Sm"/>
                      <w:b/>
                    </w:rPr>
                  </w:pPr>
                  <w:hyperlink w:history="true" w:anchor="_bookmark1">
                    <w:r>
                      <w:rPr>
                        <w:rFonts w:ascii="Stone Sans II ITC Std Sm"/>
                        <w:b/>
                        <w:w w:val="110"/>
                      </w:rPr>
                      <w:t>5</w:t>
                    </w:r>
                  </w:hyperlink>
                </w:p>
              </w:txbxContent>
            </v:textbox>
            <w10:wrap type="none"/>
          </v:shape>
        </w:pict>
      </w:r>
      <w:r>
        <w:rPr/>
        <w:pict>
          <v:shape style="position:absolute;margin-left:295.958588pt;margin-top:88.948616pt;width:162.65pt;height:11.9pt;mso-position-horizontal-relative:page;mso-position-vertical-relative:page;z-index:251676672" type="#_x0000_t202" filled="false" stroked="false">
            <v:textbox inset="0,0,0,0">
              <w:txbxContent>
                <w:p>
                  <w:pPr>
                    <w:pStyle w:val="BodyText"/>
                    <w:spacing w:line="237" w:lineRule="exact"/>
                    <w:rPr>
                      <w:rFonts w:ascii="Stone Sans II ITC Std Lt"/>
                      <w:b w:val="0"/>
                    </w:rPr>
                  </w:pPr>
                  <w:hyperlink w:history="true" w:anchor="_bookmark1">
                    <w:r>
                      <w:rPr>
                        <w:rFonts w:ascii="Stone Sans II ITC Std Lt"/>
                        <w:b w:val="0"/>
                        <w:color w:val="707172"/>
                        <w:spacing w:val="-6"/>
                        <w:w w:val="110"/>
                      </w:rPr>
                      <w:t>...........................................................</w:t>
                    </w:r>
                  </w:hyperlink>
                </w:p>
              </w:txbxContent>
            </v:textbox>
            <w10:wrap type="none"/>
          </v:shape>
        </w:pict>
      </w:r>
      <w:r>
        <w:rPr/>
        <w:pict>
          <v:shape style="position:absolute;margin-left:141.012604pt;margin-top:88.423912pt;width:126.1pt;height:28.25pt;mso-position-horizontal-relative:page;mso-position-vertical-relative:page;z-index:251677696" type="#_x0000_t202" filled="false" stroked="false">
            <v:textbox inset="0,0,0,0">
              <w:txbxContent>
                <w:p>
                  <w:pPr>
                    <w:spacing w:line="266" w:lineRule="exact" w:before="0"/>
                    <w:ind w:left="0" w:right="0" w:firstLine="0"/>
                    <w:jc w:val="left"/>
                    <w:rPr>
                      <w:rFonts w:ascii="Stone Sans II ITC Std X Bd"/>
                      <w:b/>
                      <w:sz w:val="20"/>
                    </w:rPr>
                  </w:pPr>
                  <w:hyperlink w:history="true" w:anchor="_bookmark1">
                    <w:r>
                      <w:rPr>
                        <w:rFonts w:ascii="Stone Sans II ITC Std X Bd"/>
                        <w:b/>
                        <w:w w:val="110"/>
                        <w:sz w:val="20"/>
                      </w:rPr>
                      <w:t>Mission Council report</w:t>
                    </w:r>
                  </w:hyperlink>
                </w:p>
                <w:p>
                  <w:pPr>
                    <w:pStyle w:val="BodyText"/>
                    <w:spacing w:line="240" w:lineRule="exact" w:before="58"/>
                    <w:ind w:left="283"/>
                  </w:pPr>
                  <w:hyperlink w:history="true" w:anchor="_bookmark2">
                    <w:r>
                      <w:rPr>
                        <w:w w:val="120"/>
                      </w:rPr>
                      <w:t>Appendices:</w:t>
                    </w:r>
                  </w:hyperlink>
                </w:p>
              </w:txbxContent>
            </v:textbox>
            <w10:wrap type="none"/>
          </v:shape>
        </w:pict>
      </w:r>
      <w:r>
        <w:rPr/>
        <w:pict>
          <v:shape style="position:absolute;margin-left:254.829605pt;margin-top:72.118614pt;width:203.7pt;height:11.9pt;mso-position-horizontal-relative:page;mso-position-vertical-relative:page;z-index:251678720" type="#_x0000_t202" filled="false" stroked="false">
            <v:textbox inset="0,0,0,0">
              <w:txbxContent>
                <w:p>
                  <w:pPr>
                    <w:pStyle w:val="BodyText"/>
                    <w:spacing w:line="237" w:lineRule="exact"/>
                    <w:rPr>
                      <w:rFonts w:ascii="Stone Sans II ITC Std Lt"/>
                      <w:b w:val="0"/>
                    </w:rPr>
                  </w:pPr>
                  <w:hyperlink w:history="true" w:anchor="_bookmark0">
                    <w:r>
                      <w:rPr>
                        <w:rFonts w:ascii="Stone Sans II ITC Std Lt"/>
                        <w:b w:val="0"/>
                        <w:color w:val="707172"/>
                        <w:spacing w:val="-6"/>
                        <w:w w:val="110"/>
                      </w:rPr>
                      <w:t>..........................................................................</w:t>
                    </w:r>
                  </w:hyperlink>
                </w:p>
              </w:txbxContent>
            </v:textbox>
            <w10:wrap type="none"/>
          </v:shape>
        </w:pict>
      </w:r>
      <w:r>
        <w:rPr/>
        <w:pict>
          <v:shape style="position:absolute;margin-left:141.023605pt;margin-top:71.593918pt;width:72.4pt;height:12.5pt;mso-position-horizontal-relative:page;mso-position-vertical-relative:page;z-index:251679744" type="#_x0000_t202" filled="false" stroked="false">
            <v:textbox inset="0,0,0,0">
              <w:txbxContent>
                <w:p>
                  <w:pPr>
                    <w:spacing w:line="249" w:lineRule="exact" w:before="0"/>
                    <w:ind w:left="0" w:right="0" w:firstLine="0"/>
                    <w:jc w:val="left"/>
                    <w:rPr>
                      <w:rFonts w:ascii="Stone Sans II ITC Std X Bd"/>
                      <w:b/>
                      <w:sz w:val="20"/>
                    </w:rPr>
                  </w:pPr>
                  <w:hyperlink w:history="true" w:anchor="_bookmark0">
                    <w:r>
                      <w:rPr>
                        <w:rFonts w:ascii="Stone Sans II ITC Std X Bd"/>
                        <w:b/>
                        <w:w w:val="110"/>
                        <w:sz w:val="20"/>
                      </w:rPr>
                      <w:t>Introduction</w:t>
                    </w:r>
                  </w:hyperlink>
                </w:p>
              </w:txbxContent>
            </v:textbox>
            <w10:wrap type="none"/>
          </v:shape>
        </w:pict>
      </w:r>
      <w:r>
        <w:rPr/>
        <w:pict>
          <v:shape style="position:absolute;margin-left:503.989685pt;margin-top:40.575115pt;width:42.85pt;height:160.65pt;mso-position-horizontal-relative:page;mso-position-vertical-relative:page;z-index:251680768" type="#_x0000_t202" filled="false" stroked="false">
            <v:textbox inset="0,0,0,0" style="layout-flow:vertical">
              <w:txbxContent>
                <w:p>
                  <w:pPr>
                    <w:spacing w:line="848" w:lineRule="exact" w:before="9"/>
                    <w:ind w:left="20" w:right="0" w:firstLine="0"/>
                    <w:jc w:val="left"/>
                    <w:rPr>
                      <w:rFonts w:ascii="Stone Sans II ITC Std X Bd"/>
                      <w:b/>
                      <w:sz w:val="65"/>
                    </w:rPr>
                  </w:pPr>
                  <w:r>
                    <w:rPr>
                      <w:rFonts w:ascii="Stone Sans II ITC Std X Bd"/>
                      <w:b/>
                      <w:spacing w:val="-9"/>
                      <w:w w:val="110"/>
                      <w:sz w:val="65"/>
                    </w:rPr>
                    <w:t>Conte</w:t>
                  </w:r>
                  <w:hyperlink w:history="true" w:anchor="_bookmark13">
                    <w:r>
                      <w:rPr>
                        <w:rFonts w:ascii="Stone Sans II ITC Std X Bd"/>
                        <w:b/>
                        <w:spacing w:val="-9"/>
                        <w:w w:val="110"/>
                        <w:sz w:val="65"/>
                      </w:rPr>
                      <w:t>nts</w:t>
                    </w:r>
                  </w:hyperlink>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pStyle w:val="BodyText"/>
        <w:tabs>
          <w:tab w:pos="4669" w:val="left" w:leader="none"/>
        </w:tabs>
        <w:ind w:left="2119"/>
      </w:pPr>
      <w:r>
        <w:rPr/>
        <w:pict>
          <v:shape style="width:99.25pt;height:30.35pt;mso-position-horizontal-relative:char;mso-position-vertical-relative:line" type="#_x0000_t202" filled="false" stroked="false">
            <w10:anchorlock/>
            <v:textbox inset="0,0,0,0">
              <w:txbxContent>
                <w:p>
                  <w:pPr>
                    <w:spacing w:line="266" w:lineRule="exact" w:before="0"/>
                    <w:ind w:left="0" w:right="0" w:firstLine="0"/>
                    <w:jc w:val="left"/>
                    <w:rPr>
                      <w:rFonts w:ascii="Stone Sans II ITC Std X Bd"/>
                      <w:b/>
                      <w:sz w:val="20"/>
                    </w:rPr>
                  </w:pPr>
                  <w:hyperlink w:history="true" w:anchor="_bookmark36">
                    <w:r>
                      <w:rPr>
                        <w:rFonts w:ascii="Stone Sans II ITC Std X Bd"/>
                        <w:b/>
                        <w:w w:val="110"/>
                        <w:sz w:val="20"/>
                      </w:rPr>
                      <w:t>Resolutions index</w:t>
                    </w:r>
                  </w:hyperlink>
                </w:p>
                <w:p>
                  <w:pPr>
                    <w:spacing w:line="254" w:lineRule="exact" w:before="86"/>
                    <w:ind w:left="0" w:right="0" w:firstLine="0"/>
                    <w:jc w:val="left"/>
                    <w:rPr>
                      <w:rFonts w:ascii="Stone Sans II ITC Std X Bd"/>
                      <w:b/>
                      <w:sz w:val="20"/>
                    </w:rPr>
                  </w:pPr>
                  <w:hyperlink w:history="true" w:anchor="_bookmark37">
                    <w:r>
                      <w:rPr>
                        <w:rFonts w:ascii="Stone Sans II ITC Std X Bd"/>
                        <w:b/>
                        <w:w w:val="110"/>
                        <w:sz w:val="20"/>
                      </w:rPr>
                      <w:t>Standing Orders</w:t>
                    </w:r>
                  </w:hyperlink>
                </w:p>
              </w:txbxContent>
            </v:textbox>
          </v:shape>
        </w:pict>
      </w:r>
      <w:r>
        <w:rPr/>
      </w:r>
      <w:r>
        <w:rPr/>
        <w:tab/>
      </w:r>
      <w:r>
        <w:rPr/>
        <w:pict>
          <v:shape style="width:218.5pt;height:30.35pt;mso-position-horizontal-relative:char;mso-position-vertical-relative:line" type="#_x0000_t202" filled="false" stroked="false">
            <w10:anchorlock/>
            <v:textbox inset="0,0,0,0">
              <w:txbxContent>
                <w:p>
                  <w:pPr>
                    <w:pStyle w:val="BodyText"/>
                    <w:spacing w:line="266" w:lineRule="exact"/>
                    <w:ind w:left="54"/>
                    <w:rPr>
                      <w:rFonts w:ascii="Stone Sans II ITC Std X Bd"/>
                      <w:b/>
                    </w:rPr>
                  </w:pPr>
                  <w:hyperlink w:history="true" w:anchor="_bookmark36">
                    <w:r>
                      <w:rPr>
                        <w:rFonts w:ascii="Stone Sans II ITC Std Lt"/>
                        <w:b w:val="0"/>
                        <w:color w:val="707172"/>
                        <w:spacing w:val="-6"/>
                        <w:w w:val="110"/>
                      </w:rPr>
                      <w:t>.................................................................... </w:t>
                    </w:r>
                    <w:r>
                      <w:rPr>
                        <w:rFonts w:ascii="Stone Sans II ITC Std Lt"/>
                        <w:b w:val="0"/>
                        <w:color w:val="707172"/>
                        <w:spacing w:val="38"/>
                        <w:w w:val="110"/>
                      </w:rPr>
                      <w:t> </w:t>
                    </w:r>
                    <w:r>
                      <w:rPr>
                        <w:rFonts w:ascii="Stone Sans II ITC Std X Bd"/>
                        <w:b/>
                        <w:spacing w:val="-6"/>
                        <w:w w:val="110"/>
                      </w:rPr>
                      <w:t>187</w:t>
                    </w:r>
                  </w:hyperlink>
                </w:p>
                <w:p>
                  <w:pPr>
                    <w:pStyle w:val="BodyText"/>
                    <w:spacing w:line="254" w:lineRule="exact" w:before="86"/>
                    <w:rPr>
                      <w:rFonts w:ascii="Stone Sans II ITC Std X Bd"/>
                      <w:b/>
                    </w:rPr>
                  </w:pPr>
                  <w:hyperlink w:history="true" w:anchor="_bookmark37">
                    <w:r>
                      <w:rPr>
                        <w:rFonts w:ascii="Stone Sans II ITC Std Lt"/>
                        <w:b w:val="0"/>
                        <w:color w:val="707172"/>
                        <w:spacing w:val="-6"/>
                        <w:w w:val="110"/>
                      </w:rPr>
                      <w:t>..................................................................... </w:t>
                    </w:r>
                    <w:r>
                      <w:rPr>
                        <w:rFonts w:ascii="Stone Sans II ITC Std Lt"/>
                        <w:b w:val="0"/>
                        <w:color w:val="707172"/>
                        <w:spacing w:val="42"/>
                        <w:w w:val="110"/>
                      </w:rPr>
                      <w:t> </w:t>
                    </w:r>
                    <w:r>
                      <w:rPr>
                        <w:rFonts w:ascii="Stone Sans II ITC Std X Bd"/>
                        <w:b/>
                        <w:spacing w:val="-7"/>
                        <w:w w:val="110"/>
                      </w:rPr>
                      <w:t>195</w:t>
                    </w:r>
                  </w:hyperlink>
                </w:p>
              </w:txbxContent>
            </v:textbox>
          </v:shape>
        </w:pict>
      </w:r>
      <w:r>
        <w:rPr/>
      </w:r>
    </w:p>
    <w:p>
      <w:pPr>
        <w:pStyle w:val="BodyText"/>
      </w:pPr>
    </w:p>
    <w:p>
      <w:pPr>
        <w:pStyle w:val="BodyText"/>
      </w:pPr>
    </w:p>
    <w:p>
      <w:pPr>
        <w:pStyle w:val="BodyText"/>
      </w:pPr>
    </w:p>
    <w:p>
      <w:pPr>
        <w:pStyle w:val="BodyText"/>
      </w:pPr>
    </w:p>
    <w:p>
      <w:pPr>
        <w:pStyle w:val="BodyText"/>
      </w:pPr>
    </w:p>
    <w:p>
      <w:pPr>
        <w:pStyle w:val="Heading7"/>
        <w:spacing w:before="251"/>
        <w:ind w:left="4253"/>
        <w:rPr>
          <w:rFonts w:ascii="Stone Sans II ITC Std X Bd" w:hAnsi="Stone Sans II ITC Std X Bd"/>
          <w:b/>
          <w:sz w:val="24"/>
        </w:rPr>
      </w:pPr>
      <w:r>
        <w:rPr>
          <w:rFonts w:ascii="Stone Sans II ITC Std Sm" w:hAnsi="Stone Sans II ITC Std Sm"/>
          <w:b/>
          <w:color w:val="7EAABF"/>
          <w:w w:val="105"/>
        </w:rPr>
        <w:t>United Reformed Church </w:t>
      </w:r>
      <w:r>
        <w:rPr>
          <w:color w:val="7EAABF"/>
          <w:w w:val="105"/>
        </w:rPr>
        <w:t>• </w:t>
      </w:r>
      <w:r>
        <w:rPr>
          <w:rFonts w:ascii="Stone Sans II ITC Std Sm" w:hAnsi="Stone Sans II ITC Std Sm"/>
          <w:b/>
          <w:color w:val="7EAABF"/>
          <w:w w:val="105"/>
        </w:rPr>
        <w:t>General Assembly 2018 </w:t>
      </w:r>
      <w:r>
        <w:rPr>
          <w:rFonts w:ascii="Symbol" w:hAnsi="Symbol"/>
          <w:color w:val="7EAABF"/>
          <w:w w:val="105"/>
        </w:rPr>
        <w:t></w:t>
      </w:r>
      <w:r>
        <w:rPr>
          <w:rFonts w:ascii="Times New Roman" w:hAnsi="Times New Roman"/>
          <w:color w:val="7EAABF"/>
          <w:w w:val="105"/>
        </w:rPr>
        <w:t> </w:t>
      </w:r>
      <w:r>
        <w:rPr>
          <w:rFonts w:ascii="Stone Sans II ITC Std X Bd" w:hAnsi="Stone Sans II ITC Std X Bd"/>
          <w:b/>
          <w:w w:val="105"/>
          <w:sz w:val="24"/>
        </w:rPr>
        <w:t>1</w:t>
      </w:r>
    </w:p>
    <w:p>
      <w:pPr>
        <w:spacing w:after="0"/>
        <w:rPr>
          <w:rFonts w:ascii="Stone Sans II ITC Std X Bd" w:hAnsi="Stone Sans II ITC Std X Bd"/>
          <w:sz w:val="24"/>
        </w:rPr>
        <w:sectPr>
          <w:pgSz w:w="11910" w:h="16840"/>
          <w:pgMar w:top="1420" w:bottom="280" w:left="700" w:right="0"/>
        </w:sectPr>
      </w:pPr>
    </w:p>
    <w:p>
      <w:pPr>
        <w:pStyle w:val="BodyText"/>
        <w:rPr>
          <w:rFonts w:ascii="Stone Sans II ITC Std X Bd"/>
          <w:b/>
        </w:rPr>
      </w:pPr>
      <w:r>
        <w:rPr/>
        <w:pict>
          <v:group style="position:absolute;margin-left:0pt;margin-top:0pt;width:595.3pt;height:841.9pt;mso-position-horizontal-relative:page;mso-position-vertical-relative:page;z-index:-267601920" coordorigin="0,0" coordsize="11906,16838">
            <v:shape style="position:absolute;left:0;top:0;width:11906;height:16838" type="#_x0000_t75" stroked="false">
              <v:imagedata r:id="rId29" o:title=""/>
            </v:shape>
            <v:line style="position:absolute" from="5080,0" to="5080,16838" stroked="true" strokeweight="2pt" strokecolor="#ffffff">
              <v:stroke dashstyle="solid"/>
            </v:line>
            <v:shape style="position:absolute;left:0;top:0;width:4967;height:16838" type="#_x0000_t75" stroked="false">
              <v:imagedata r:id="rId30" o:title=""/>
            </v:shape>
            <v:line style="position:absolute" from="10124,16143" to="5669,16143" stroked="true" strokeweight=".5pt" strokecolor="#7eaabf">
              <v:stroke dashstyle="solid"/>
            </v:line>
            <v:shape style="position:absolute;left:0;top:3532;width:4967;height:7528" coordorigin="0,3532" coordsize="4967,7528" path="m0,11059l4966,11059m0,7297l4966,7297m0,3532l4966,3532e" filled="false" stroked="true" strokeweight="2pt" strokecolor="#ffffff">
              <v:path arrowok="t"/>
              <v:stroke dashstyle="solid"/>
            </v:shape>
            <w10:wrap type="none"/>
          </v:group>
        </w:pict>
      </w: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rPr>
          <w:rFonts w:ascii="Stone Sans II ITC Std X Bd"/>
          <w:b/>
        </w:rPr>
      </w:pPr>
    </w:p>
    <w:p>
      <w:pPr>
        <w:pStyle w:val="BodyText"/>
        <w:spacing w:before="1"/>
        <w:rPr>
          <w:rFonts w:ascii="Stone Sans II ITC Std X Bd"/>
          <w:b/>
          <w:sz w:val="19"/>
        </w:rPr>
      </w:pPr>
    </w:p>
    <w:p>
      <w:pPr>
        <w:spacing w:before="108"/>
        <w:ind w:left="7189" w:right="0" w:firstLine="0"/>
        <w:jc w:val="left"/>
        <w:rPr>
          <w:sz w:val="26"/>
        </w:rPr>
      </w:pPr>
      <w:r>
        <w:rPr>
          <w:color w:val="7EAABF"/>
          <w:w w:val="120"/>
          <w:sz w:val="26"/>
        </w:rPr>
        <w:t>Nottingham 2018</w:t>
      </w:r>
    </w:p>
    <w:p>
      <w:pPr>
        <w:spacing w:after="0"/>
        <w:jc w:val="left"/>
        <w:rPr>
          <w:sz w:val="26"/>
        </w:rPr>
        <w:sectPr>
          <w:headerReference w:type="even" r:id="rId27"/>
          <w:headerReference w:type="default" r:id="rId28"/>
          <w:pgSz w:w="11910" w:h="16840"/>
          <w:pgMar w:header="0" w:footer="0" w:top="1580" w:bottom="280" w:left="700" w:right="0"/>
        </w:sectPr>
      </w:pPr>
    </w:p>
    <w:p>
      <w:pPr>
        <w:pStyle w:val="BodyText"/>
      </w:pPr>
      <w:r>
        <w:rPr/>
        <w:pict>
          <v:rect style="position:absolute;margin-left:0pt;margin-top:.000015pt;width:549.207pt;height:841.89pt;mso-position-horizontal-relative:page;mso-position-vertical-relative:page;z-index:-267600896" filled="true" fillcolor="#fef4df" stroked="false">
            <v:fill type="solid"/>
            <w10:wrap type="none"/>
          </v:rect>
        </w:pict>
      </w:r>
      <w:r>
        <w:rPr/>
        <w:pict>
          <v:group style="position:absolute;margin-left:75.830498pt;margin-top:.000015pt;width:519.4500pt;height:841.9pt;mso-position-horizontal-relative:page;mso-position-vertical-relative:page;z-index:-267599872" coordorigin="1517,0" coordsize="10389,16838">
            <v:rect style="position:absolute;left:1530;top:0;width:9454;height:15789" filled="true" fillcolor="#ffffff" stroked="false">
              <v:fill type="solid"/>
            </v:rect>
            <v:shape style="position:absolute;left:10984;top:0;width:922;height:16838" type="#_x0000_t75" stroked="false">
              <v:imagedata r:id="rId31" o:title=""/>
            </v:shape>
            <v:shape style="position:absolute;left:1516;top:14305;width:1540;height:1513" coordorigin="1517,14306" coordsize="1540,1513" path="m1517,14306l1517,15818,3053,15818,2977,15816,2902,15811,2828,15802,2755,15789,2684,15774,2613,15754,2544,15732,2477,15707,2411,15678,2347,15647,2284,15612,2223,15575,2165,15535,2108,15493,2053,15448,2000,15401,1950,15351,1902,15299,1856,15245,1813,15189,1772,15130,1734,15070,1699,15008,1667,14944,1637,14879,1611,14812,1587,14743,1567,14673,1550,14602,1537,14530,1526,14456,1520,14381,1517,14306xm3056,15818l3055,15818,3054,15818,3056,15818,3056,15818xe" filled="true" fillcolor="#fef4df" stroked="false">
              <v:path arrowok="t"/>
              <v:fill type="solid"/>
            </v:shape>
            <v:shape style="position:absolute;left:7790;top:1620;width:955;height:502" coordorigin="7791,1620" coordsize="955,502" path="m8236,1620l8062,1659,7921,1746,7826,1832,7791,1871,7910,2016,7996,2091,8090,2118,8236,2122,8308,2114,8379,2091,8446,2058,8483,2035,8236,2035,8115,2009,8016,1953,7949,1897,7925,1871,8008,1777,8068,1728,8134,1710,8236,1708,8495,1708,8456,1683,8388,1650,8314,1628,8236,1620xm8732,1938l8612,1938,8727,2049,8744,1992,8736,1945,8732,1938xm8495,1708l8236,1708,8354,1733,8453,1789,8521,1846,8547,1871,8457,1966,8395,2014,8331,2032,8236,2035,8483,2035,8509,2019,8565,1978,8612,1938,8732,1938,8712,1906,8681,1871,8713,1837,8734,1801,8615,1801,8571,1762,8517,1721,8495,1708xm8727,1692l8615,1801,8734,1801,8737,1796,8745,1749,8727,1692xe" filled="true" fillcolor="#7c7b7b" stroked="false">
              <v:path arrowok="t"/>
              <v:fill type="solid"/>
            </v:shape>
            <v:shape style="position:absolute;left:7611;top:783;width:1266;height:1903" coordorigin="7611,783" coordsize="1266,1903" path="m8217,2586l8175,2586,8177,2594,8180,2608,8188,2652,8191,2663,8201,2686,8212,2684,8217,2586xm8337,2468l8223,2468,8228,2685,8255,2680,8272,2670,8281,2660,8284,2655,8282,2643,8283,2624,8286,2622,8300,2611,8306,2539,8310,2503,8311,2490,8311,2490,8337,2490,8337,2468xm8337,1524l8156,1524,8156,2507,8157,2548,8158,2579,8159,2614,8159,2622,8169,2618,8173,2615,8178,2610,8175,2586,8217,2586,8223,2468,8337,2468,8337,1524xm8337,2490l8311,2490,8312,2507,8313,2548,8313,2562,8314,2575,8317,2579,8321,2597,8334,2590,8336,2576,8337,2548,8337,2517,8337,2490xm8798,1331l8755,1331,7670,1331,7661,1334,7660,1340,7663,1347,7667,1353,7696,1359,7746,1363,7774,1368,7735,1372,7718,1373,7685,1375,7647,1378,7618,1382,7611,1392,7614,1413,7621,1438,7630,1452,7637,1458,7640,1459,7694,1471,7694,1473,7686,1475,7676,1479,7673,1487,7686,1490,7742,1494,7754,1496,7746,1498,7728,1501,7709,1504,7697,1508,7693,1512,7691,1520,7691,1524,7744,1524,8828,1524,8837,1511,8832,1506,8823,1501,8807,1497,8793,1493,8787,1491,8797,1489,8816,1486,8835,1483,8846,1479,8860,1469,8868,1460,8873,1446,8876,1424,8866,1412,8844,1409,8817,1407,8723,1400,8736,1399,8773,1398,8813,1393,8832,1376,8824,1372,8791,1357,8784,1353,8784,1350,8795,1347,8802,1341,8798,1335,8798,1331xm8828,1524l8337,1524,8766,1524,8828,1524xm8167,813l8158,823,8156,839,8156,1331,8337,1331,8337,924,8303,924,8301,909,8210,909,8208,903,8208,893,8180,893,8179,882,8177,855,8174,827,8172,814,8167,813xm8326,836l8319,840,8313,856,8307,884,8304,912,8303,924,8337,924,8337,909,8337,903,8337,855,8337,849,8326,836xm8291,783l8288,784,8271,785,8240,793,8224,808,8219,822,8218,828,8210,909,8301,909,8300,903,8298,859,8295,809,8291,783xm8195,859l8190,862,8186,873,8180,893,8208,893,8207,886,8205,868,8201,859,8195,859xe" filled="true" fillcolor="#000000" stroked="false">
              <v:path arrowok="t"/>
              <v:fill type="solid"/>
            </v:shape>
            <v:shape style="position:absolute;left:8991;top:1109;width:430;height:225" type="#_x0000_t75" stroked="false">
              <v:imagedata r:id="rId32" o:title=""/>
            </v:shape>
            <v:shape style="position:absolute;left:8995;top:1480;width:184;height:240" type="#_x0000_t75" stroked="false">
              <v:imagedata r:id="rId33" o:title=""/>
            </v:shape>
            <v:shape style="position:absolute;left:9217;top:1541;width:156;height:175" type="#_x0000_t75" stroked="false">
              <v:imagedata r:id="rId34" o:title=""/>
            </v:shape>
            <v:shape style="position:absolute;left:9409;top:1467;width:551;height:252" type="#_x0000_t75" stroked="false">
              <v:imagedata r:id="rId35" o:title=""/>
            </v:shape>
            <v:shape style="position:absolute;left:8995;top:1848;width:640;height:257" type="#_x0000_t75" stroked="false">
              <v:imagedata r:id="rId36" o:title=""/>
            </v:shape>
            <v:shape style="position:absolute;left:9669;top:1926;width:376;height:175" type="#_x0000_t75" stroked="false">
              <v:imagedata r:id="rId37" o:title=""/>
            </v:shape>
            <v:shape style="position:absolute;left:10079;top:1852;width:349;height:253" type="#_x0000_t75" stroked="false">
              <v:imagedata r:id="rId38" o:title=""/>
            </v:shape>
            <v:shape style="position:absolute;left:8983;top:2236;width:365;height:252" type="#_x0000_t75" stroked="false">
              <v:imagedata r:id="rId39" o:title=""/>
            </v:shape>
            <v:shape style="position:absolute;left:9382;top:2314;width:155;height:175" type="#_x0000_t75" stroked="false">
              <v:imagedata r:id="rId40" o:title=""/>
            </v:shape>
            <v:shape style="position:absolute;left:9569;top:2236;width:427;height:252" type="#_x0000_t75" stroked="false">
              <v:imagedata r:id="rId41" o:title=""/>
            </v:shape>
            <v:shape style="position:absolute;left:8124;top:2005;width:243;height:117" type="#_x0000_t75" stroked="false">
              <v:imagedata r:id="rId42" o:title=""/>
            </v:shape>
            <v:shape style="position:absolute;left:2707;top:14270;width:2168;height:571" type="#_x0000_t75" stroked="false">
              <v:imagedata r:id="rId43" o:title=""/>
            </v:shape>
            <w10:wrap type="none"/>
          </v:group>
        </w:pict>
      </w:r>
      <w:r>
        <w:rPr/>
        <w:pict>
          <v:shape style="position:absolute;margin-left:554.282898pt;margin-top:44.911316pt;width:26pt;height:131.75pt;mso-position-horizontal-relative:page;mso-position-vertical-relative:page;z-index:251684864" type="#_x0000_t202" filled="false" stroked="false">
            <v:textbox inset="0,0,0,0" style="layout-flow:vertical">
              <w:txbxContent>
                <w:p>
                  <w:pPr>
                    <w:spacing w:before="29"/>
                    <w:ind w:left="20" w:right="0" w:firstLine="0"/>
                    <w:jc w:val="left"/>
                    <w:rPr>
                      <w:sz w:val="39"/>
                    </w:rPr>
                  </w:pPr>
                  <w:r>
                    <w:rPr>
                      <w:color w:val="FFFFFF"/>
                      <w:w w:val="125"/>
                      <w:sz w:val="39"/>
                    </w:rPr>
                    <w:t>Introduction</w:t>
                  </w:r>
                </w:p>
              </w:txbxContent>
            </v:textbox>
            <w10:wrap type="none"/>
          </v:shape>
        </w:pict>
      </w:r>
    </w:p>
    <w:p>
      <w:pPr>
        <w:pStyle w:val="BodyText"/>
      </w:pPr>
    </w:p>
    <w:p>
      <w:pPr>
        <w:pStyle w:val="BodyText"/>
      </w:pPr>
    </w:p>
    <w:p>
      <w:pPr>
        <w:pStyle w:val="BodyText"/>
        <w:spacing w:before="9"/>
        <w:rPr>
          <w:sz w:val="16"/>
        </w:rPr>
      </w:pPr>
    </w:p>
    <w:p>
      <w:pPr>
        <w:pStyle w:val="BodyText"/>
        <w:spacing w:before="100"/>
        <w:ind w:left="1992"/>
      </w:pPr>
      <w:bookmarkStart w:name="_bookmark0" w:id="1"/>
      <w:bookmarkEnd w:id="1"/>
      <w:r>
        <w:rPr/>
      </w:r>
      <w:r>
        <w:rPr>
          <w:w w:val="120"/>
        </w:rPr>
        <w:t>Dear friends,</w:t>
      </w:r>
    </w:p>
    <w:p>
      <w:pPr>
        <w:pStyle w:val="BodyText"/>
        <w:spacing w:before="8"/>
        <w:rPr>
          <w:sz w:val="19"/>
        </w:rPr>
      </w:pPr>
    </w:p>
    <w:p>
      <w:pPr>
        <w:pStyle w:val="BodyText"/>
        <w:spacing w:line="235" w:lineRule="auto"/>
        <w:ind w:left="1992" w:right="1283"/>
      </w:pPr>
      <w:r>
        <w:rPr>
          <w:w w:val="120"/>
        </w:rPr>
        <w:t>Welcome to General Assembly 2018. Welcome to Nottingham, where members of East Midlands Synod will host us. Welcome as you take responsibility for the life of our Church.</w:t>
      </w:r>
    </w:p>
    <w:p>
      <w:pPr>
        <w:pStyle w:val="BodyText"/>
        <w:spacing w:before="10"/>
        <w:rPr>
          <w:sz w:val="19"/>
        </w:rPr>
      </w:pPr>
    </w:p>
    <w:p>
      <w:pPr>
        <w:pStyle w:val="BodyText"/>
        <w:spacing w:line="235" w:lineRule="auto"/>
        <w:ind w:left="1992" w:right="1292"/>
      </w:pPr>
      <w:r>
        <w:rPr>
          <w:w w:val="120"/>
        </w:rPr>
        <w:t>Thank</w:t>
      </w:r>
      <w:r>
        <w:rPr>
          <w:spacing w:val="-5"/>
          <w:w w:val="120"/>
        </w:rPr>
        <w:t> </w:t>
      </w:r>
      <w:r>
        <w:rPr>
          <w:spacing w:val="-3"/>
          <w:w w:val="120"/>
        </w:rPr>
        <w:t>you</w:t>
      </w:r>
      <w:r>
        <w:rPr>
          <w:spacing w:val="-5"/>
          <w:w w:val="120"/>
        </w:rPr>
        <w:t> </w:t>
      </w:r>
      <w:r>
        <w:rPr>
          <w:w w:val="120"/>
        </w:rPr>
        <w:t>for</w:t>
      </w:r>
      <w:r>
        <w:rPr>
          <w:spacing w:val="-5"/>
          <w:w w:val="120"/>
        </w:rPr>
        <w:t> </w:t>
      </w:r>
      <w:r>
        <w:rPr>
          <w:spacing w:val="-3"/>
          <w:w w:val="120"/>
        </w:rPr>
        <w:t>your</w:t>
      </w:r>
      <w:r>
        <w:rPr>
          <w:spacing w:val="-5"/>
          <w:w w:val="120"/>
        </w:rPr>
        <w:t> </w:t>
      </w:r>
      <w:r>
        <w:rPr>
          <w:w w:val="120"/>
        </w:rPr>
        <w:t>willingness</w:t>
      </w:r>
      <w:r>
        <w:rPr>
          <w:spacing w:val="-5"/>
          <w:w w:val="120"/>
        </w:rPr>
        <w:t> </w:t>
      </w:r>
      <w:r>
        <w:rPr>
          <w:spacing w:val="-3"/>
          <w:w w:val="120"/>
        </w:rPr>
        <w:t>to</w:t>
      </w:r>
      <w:r>
        <w:rPr>
          <w:spacing w:val="-5"/>
          <w:w w:val="120"/>
        </w:rPr>
        <w:t> </w:t>
      </w:r>
      <w:r>
        <w:rPr>
          <w:w w:val="120"/>
        </w:rPr>
        <w:t>be</w:t>
      </w:r>
      <w:r>
        <w:rPr>
          <w:spacing w:val="-5"/>
          <w:w w:val="120"/>
        </w:rPr>
        <w:t> </w:t>
      </w:r>
      <w:r>
        <w:rPr>
          <w:w w:val="120"/>
        </w:rPr>
        <w:t>part</w:t>
      </w:r>
      <w:r>
        <w:rPr>
          <w:spacing w:val="-5"/>
          <w:w w:val="120"/>
        </w:rPr>
        <w:t> </w:t>
      </w:r>
      <w:r>
        <w:rPr>
          <w:w w:val="120"/>
        </w:rPr>
        <w:t>of</w:t>
      </w:r>
      <w:r>
        <w:rPr>
          <w:spacing w:val="-4"/>
          <w:w w:val="120"/>
        </w:rPr>
        <w:t> </w:t>
      </w:r>
      <w:r>
        <w:rPr>
          <w:spacing w:val="-3"/>
          <w:w w:val="120"/>
        </w:rPr>
        <w:t>this</w:t>
      </w:r>
      <w:r>
        <w:rPr>
          <w:spacing w:val="-5"/>
          <w:w w:val="120"/>
        </w:rPr>
        <w:t> </w:t>
      </w:r>
      <w:r>
        <w:rPr>
          <w:spacing w:val="-3"/>
          <w:w w:val="120"/>
        </w:rPr>
        <w:t>event.</w:t>
      </w:r>
      <w:r>
        <w:rPr>
          <w:spacing w:val="-5"/>
          <w:w w:val="120"/>
        </w:rPr>
        <w:t> </w:t>
      </w:r>
      <w:r>
        <w:rPr>
          <w:w w:val="120"/>
        </w:rPr>
        <w:t>Every</w:t>
      </w:r>
      <w:r>
        <w:rPr>
          <w:spacing w:val="-5"/>
          <w:w w:val="120"/>
        </w:rPr>
        <w:t> </w:t>
      </w:r>
      <w:r>
        <w:rPr>
          <w:w w:val="120"/>
        </w:rPr>
        <w:t>member</w:t>
      </w:r>
      <w:r>
        <w:rPr>
          <w:spacing w:val="-5"/>
          <w:w w:val="120"/>
        </w:rPr>
        <w:t> </w:t>
      </w:r>
      <w:r>
        <w:rPr>
          <w:w w:val="120"/>
        </w:rPr>
        <w:t>of</w:t>
      </w:r>
      <w:r>
        <w:rPr>
          <w:spacing w:val="-5"/>
          <w:w w:val="120"/>
        </w:rPr>
        <w:t> </w:t>
      </w:r>
      <w:r>
        <w:rPr>
          <w:w w:val="120"/>
        </w:rPr>
        <w:t>Assembly has an important contribution to make, in listening, reflecting, speaking and voting. People in our local churches and synods have trusted us to represent their needs and concerns, and to take decisions in ways that will really help their work and</w:t>
      </w:r>
      <w:r>
        <w:rPr>
          <w:spacing w:val="4"/>
          <w:w w:val="120"/>
        </w:rPr>
        <w:t> </w:t>
      </w:r>
      <w:r>
        <w:rPr>
          <w:w w:val="120"/>
        </w:rPr>
        <w:t>worship.</w:t>
      </w:r>
    </w:p>
    <w:p>
      <w:pPr>
        <w:pStyle w:val="BodyText"/>
        <w:spacing w:before="12"/>
        <w:rPr>
          <w:sz w:val="19"/>
        </w:rPr>
      </w:pPr>
    </w:p>
    <w:p>
      <w:pPr>
        <w:pStyle w:val="BodyText"/>
        <w:spacing w:line="235" w:lineRule="auto"/>
        <w:ind w:left="1992" w:right="1283"/>
      </w:pPr>
      <w:r>
        <w:rPr>
          <w:w w:val="120"/>
        </w:rPr>
        <w:t>Be aware too that we also have an informal contribution to make outside the programmed business sessions. Among friend and stranger we shall share fellowship, listen to opinions, experiences and concerns, and nurture for a few days a special and supportive Christian community. Other people – including many you have never met before – will value your presence and involvement.</w:t>
      </w:r>
    </w:p>
    <w:p>
      <w:pPr>
        <w:pStyle w:val="BodyText"/>
        <w:spacing w:before="11"/>
        <w:rPr>
          <w:sz w:val="19"/>
        </w:rPr>
      </w:pPr>
    </w:p>
    <w:p>
      <w:pPr>
        <w:pStyle w:val="BodyText"/>
        <w:spacing w:line="235" w:lineRule="auto"/>
        <w:ind w:left="1992" w:right="1584"/>
      </w:pPr>
      <w:r>
        <w:rPr>
          <w:w w:val="120"/>
        </w:rPr>
        <w:t>Some who read this may be observing Assembly from afar, through streaming of the discussions or through on-line reporting. Thank you for your interest; we ask too for your</w:t>
      </w:r>
      <w:r>
        <w:rPr>
          <w:spacing w:val="8"/>
          <w:w w:val="120"/>
        </w:rPr>
        <w:t> </w:t>
      </w:r>
      <w:r>
        <w:rPr>
          <w:w w:val="120"/>
        </w:rPr>
        <w:t>prayers.</w:t>
      </w:r>
    </w:p>
    <w:p>
      <w:pPr>
        <w:pStyle w:val="BodyText"/>
        <w:spacing w:before="11"/>
        <w:rPr>
          <w:sz w:val="19"/>
        </w:rPr>
      </w:pPr>
    </w:p>
    <w:p>
      <w:pPr>
        <w:pStyle w:val="BodyText"/>
        <w:spacing w:line="235" w:lineRule="auto"/>
        <w:ind w:left="1992" w:right="1283"/>
      </w:pPr>
      <w:r>
        <w:rPr>
          <w:w w:val="120"/>
        </w:rPr>
        <w:t>At Nottingham we shall be led by our Moderators, Derek Estill and Nigel Uden, and our Assembly will include people from around the three nations that make up the URC. There will also be visitors from ecumenical and international partner churches, including speakers from three Christian bodies with whom we are linked</w:t>
      </w:r>
      <w:r>
        <w:rPr>
          <w:spacing w:val="8"/>
          <w:w w:val="120"/>
        </w:rPr>
        <w:t> </w:t>
      </w:r>
      <w:r>
        <w:rPr>
          <w:w w:val="120"/>
        </w:rPr>
        <w:t>–</w:t>
      </w:r>
      <w:r>
        <w:rPr>
          <w:spacing w:val="9"/>
          <w:w w:val="120"/>
        </w:rPr>
        <w:t> </w:t>
      </w:r>
      <w:r>
        <w:rPr>
          <w:w w:val="120"/>
        </w:rPr>
        <w:t>Yvonne</w:t>
      </w:r>
      <w:r>
        <w:rPr>
          <w:spacing w:val="9"/>
          <w:w w:val="120"/>
        </w:rPr>
        <w:t> </w:t>
      </w:r>
      <w:r>
        <w:rPr>
          <w:w w:val="120"/>
        </w:rPr>
        <w:t>Campbell</w:t>
      </w:r>
      <w:r>
        <w:rPr>
          <w:spacing w:val="8"/>
          <w:w w:val="120"/>
        </w:rPr>
        <w:t> </w:t>
      </w:r>
      <w:r>
        <w:rPr>
          <w:w w:val="120"/>
        </w:rPr>
        <w:t>of</w:t>
      </w:r>
      <w:r>
        <w:rPr>
          <w:spacing w:val="9"/>
          <w:w w:val="120"/>
        </w:rPr>
        <w:t> </w:t>
      </w:r>
      <w:r>
        <w:rPr>
          <w:w w:val="120"/>
        </w:rPr>
        <w:t>the</w:t>
      </w:r>
      <w:r>
        <w:rPr>
          <w:spacing w:val="9"/>
          <w:w w:val="120"/>
        </w:rPr>
        <w:t> </w:t>
      </w:r>
      <w:r>
        <w:rPr>
          <w:w w:val="120"/>
        </w:rPr>
        <w:t>Congregational</w:t>
      </w:r>
      <w:r>
        <w:rPr>
          <w:spacing w:val="9"/>
          <w:w w:val="120"/>
        </w:rPr>
        <w:t> </w:t>
      </w:r>
      <w:r>
        <w:rPr>
          <w:w w:val="120"/>
        </w:rPr>
        <w:t>Federation,</w:t>
      </w:r>
      <w:r>
        <w:rPr>
          <w:spacing w:val="8"/>
          <w:w w:val="120"/>
        </w:rPr>
        <w:t> </w:t>
      </w:r>
      <w:r>
        <w:rPr>
          <w:w w:val="120"/>
        </w:rPr>
        <w:t>Collin</w:t>
      </w:r>
      <w:r>
        <w:rPr>
          <w:spacing w:val="9"/>
          <w:w w:val="120"/>
        </w:rPr>
        <w:t> </w:t>
      </w:r>
      <w:r>
        <w:rPr>
          <w:w w:val="120"/>
        </w:rPr>
        <w:t>Cowan</w:t>
      </w:r>
    </w:p>
    <w:p>
      <w:pPr>
        <w:pStyle w:val="BodyText"/>
        <w:spacing w:line="235" w:lineRule="auto" w:before="4"/>
        <w:ind w:left="1992" w:right="1417"/>
      </w:pPr>
      <w:r>
        <w:rPr>
          <w:w w:val="120"/>
        </w:rPr>
        <w:t>from the Council for World Mission, and Amanda Khozi Mukwashi, the new Chief Executive of Christian Aid. There will also be a major item on the </w:t>
      </w:r>
      <w:r>
        <w:rPr>
          <w:spacing w:val="-3"/>
          <w:w w:val="120"/>
        </w:rPr>
        <w:t>Church’s </w:t>
      </w:r>
      <w:r>
        <w:rPr>
          <w:w w:val="120"/>
        </w:rPr>
        <w:t>relationship with neighbours of other faiths, informed in </w:t>
      </w:r>
      <w:r>
        <w:rPr>
          <w:spacing w:val="2"/>
          <w:w w:val="120"/>
        </w:rPr>
        <w:t>part </w:t>
      </w:r>
      <w:r>
        <w:rPr>
          <w:w w:val="120"/>
        </w:rPr>
        <w:t>by Derek Estill’s experience of local inter-faith contact in</w:t>
      </w:r>
      <w:r>
        <w:rPr>
          <w:spacing w:val="10"/>
          <w:w w:val="120"/>
        </w:rPr>
        <w:t> </w:t>
      </w:r>
      <w:r>
        <w:rPr>
          <w:w w:val="120"/>
        </w:rPr>
        <w:t>Lancashire.</w:t>
      </w:r>
    </w:p>
    <w:p>
      <w:pPr>
        <w:pStyle w:val="BodyText"/>
        <w:spacing w:before="10"/>
        <w:rPr>
          <w:sz w:val="19"/>
        </w:rPr>
      </w:pPr>
    </w:p>
    <w:p>
      <w:pPr>
        <w:pStyle w:val="BodyText"/>
        <w:spacing w:line="235" w:lineRule="auto" w:before="1"/>
        <w:ind w:left="1992" w:right="1193"/>
      </w:pPr>
      <w:r>
        <w:rPr>
          <w:w w:val="120"/>
        </w:rPr>
        <w:t>Within our own Church we shall hear about new opportunities for Christian learning, about an audit of our safeguarding record, about ways we might offer membership to people who love the URC but no longer live near a local church, about the call to refresh our commitment to children and young adults, and about the invitation to us all to deepen our discipleship as we walk the way of Jesus.</w:t>
      </w:r>
    </w:p>
    <w:p>
      <w:pPr>
        <w:pStyle w:val="BodyText"/>
        <w:spacing w:before="11"/>
        <w:rPr>
          <w:sz w:val="19"/>
        </w:rPr>
      </w:pPr>
    </w:p>
    <w:p>
      <w:pPr>
        <w:pStyle w:val="BodyText"/>
        <w:spacing w:line="235" w:lineRule="auto"/>
        <w:ind w:left="1992" w:right="1283"/>
      </w:pPr>
      <w:r>
        <w:rPr>
          <w:w w:val="120"/>
        </w:rPr>
        <w:t>Assembly at its best is a time of vision, renewal, realistic planning, uplifting worship and mutual support. I look forward to seeing many of you</w:t>
      </w:r>
      <w:r>
        <w:rPr>
          <w:spacing w:val="52"/>
          <w:w w:val="120"/>
        </w:rPr>
        <w:t> </w:t>
      </w:r>
      <w:r>
        <w:rPr>
          <w:w w:val="120"/>
        </w:rPr>
        <w:t>there.</w:t>
      </w:r>
    </w:p>
    <w:p>
      <w:pPr>
        <w:pStyle w:val="BodyText"/>
        <w:spacing w:before="9"/>
        <w:rPr>
          <w:sz w:val="19"/>
        </w:rPr>
      </w:pPr>
    </w:p>
    <w:p>
      <w:pPr>
        <w:pStyle w:val="BodyText"/>
        <w:spacing w:line="235" w:lineRule="auto" w:before="1"/>
        <w:ind w:left="1992" w:right="1283"/>
      </w:pPr>
      <w:r>
        <w:rPr>
          <w:w w:val="120"/>
        </w:rPr>
        <w:t>Meanwhile we hold the faith and seek to share it in a troubled and damaged world. I thank God for the many people in our Church whose practical service expresses the love of Jesus in their communities, whose faith burns bright across the years, and whose witness and life we seek to sustain and encourage through all we do at Assembly.</w:t>
      </w:r>
    </w:p>
    <w:p>
      <w:pPr>
        <w:pStyle w:val="BodyText"/>
        <w:spacing w:before="8"/>
        <w:rPr>
          <w:sz w:val="19"/>
        </w:rPr>
      </w:pPr>
    </w:p>
    <w:p>
      <w:pPr>
        <w:pStyle w:val="BodyText"/>
        <w:ind w:left="1992"/>
      </w:pPr>
      <w:r>
        <w:rPr>
          <w:w w:val="120"/>
        </w:rPr>
        <w:t>Yours sincerely,</w:t>
      </w:r>
    </w:p>
    <w:p>
      <w:pPr>
        <w:pStyle w:val="BodyText"/>
        <w:rPr>
          <w:sz w:val="24"/>
        </w:rPr>
      </w:pPr>
    </w:p>
    <w:p>
      <w:pPr>
        <w:pStyle w:val="BodyText"/>
        <w:spacing w:before="11"/>
        <w:rPr>
          <w:sz w:val="34"/>
        </w:rPr>
      </w:pPr>
    </w:p>
    <w:p>
      <w:pPr>
        <w:pStyle w:val="BodyText"/>
        <w:spacing w:line="235" w:lineRule="auto" w:before="1"/>
        <w:ind w:left="1992" w:right="7232"/>
      </w:pPr>
      <w:r>
        <w:rPr>
          <w:w w:val="120"/>
        </w:rPr>
        <w:t>John Proctor General Secretary</w:t>
      </w:r>
    </w:p>
    <w:p>
      <w:pPr>
        <w:pStyle w:val="BodyText"/>
        <w:rPr>
          <w:sz w:val="24"/>
        </w:rPr>
      </w:pPr>
    </w:p>
    <w:p>
      <w:pPr>
        <w:pStyle w:val="BodyText"/>
        <w:spacing w:before="7"/>
        <w:rPr>
          <w:sz w:val="27"/>
        </w:rPr>
      </w:pPr>
    </w:p>
    <w:p>
      <w:pPr>
        <w:pStyle w:val="Heading7"/>
        <w:spacing w:before="0"/>
        <w:ind w:left="3886"/>
        <w:rPr>
          <w:rFonts w:ascii="Stone Sans II ITC Std X Bd" w:hAnsi="Stone Sans II ITC Std X Bd"/>
          <w:b/>
          <w:sz w:val="24"/>
        </w:rPr>
      </w:pP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 </w:t>
      </w:r>
      <w:r>
        <w:rPr>
          <w:rFonts w:ascii="Symbol" w:hAnsi="Symbol"/>
          <w:color w:val="7EAABF"/>
          <w:w w:val="110"/>
        </w:rPr>
        <w:t></w:t>
      </w:r>
      <w:r>
        <w:rPr>
          <w:rFonts w:ascii="Times New Roman" w:hAnsi="Times New Roman"/>
          <w:color w:val="7EAABF"/>
          <w:w w:val="110"/>
        </w:rPr>
        <w:t> </w:t>
      </w:r>
      <w:r>
        <w:rPr>
          <w:rFonts w:ascii="Stone Sans II ITC Std X Bd" w:hAnsi="Stone Sans II ITC Std X Bd"/>
          <w:b/>
          <w:w w:val="110"/>
          <w:sz w:val="24"/>
        </w:rPr>
        <w:t>3</w:t>
      </w:r>
    </w:p>
    <w:p>
      <w:pPr>
        <w:spacing w:after="0"/>
        <w:rPr>
          <w:rFonts w:ascii="Stone Sans II ITC Std X Bd" w:hAnsi="Stone Sans II ITC Std X Bd"/>
          <w:sz w:val="24"/>
        </w:rPr>
        <w:sectPr>
          <w:pgSz w:w="11910" w:h="16840"/>
          <w:pgMar w:header="0" w:footer="0" w:top="1580" w:bottom="280" w:left="700" w:right="0"/>
        </w:sectPr>
      </w:pPr>
    </w:p>
    <w:p>
      <w:pPr>
        <w:pStyle w:val="BodyText"/>
        <w:rPr>
          <w:rFonts w:ascii="Stone Sans II ITC Std X Bd"/>
          <w:b/>
        </w:rPr>
      </w:pPr>
      <w:r>
        <w:rPr/>
        <w:pict>
          <v:rect style="position:absolute;margin-left:0pt;margin-top:.000015pt;width:595.275pt;height:841.89pt;mso-position-horizontal-relative:page;mso-position-vertical-relative:page;z-index:-267597824" filled="true" fillcolor="#fef4df" stroked="false">
            <v:fill type="solid"/>
            <w10:wrap type="none"/>
          </v:rect>
        </w:pict>
      </w:r>
      <w:r>
        <w:rPr/>
        <w:pict>
          <v:group style="position:absolute;margin-left:51.023998pt;margin-top:51.732014pt;width:482.85pt;height:740.25pt;mso-position-horizontal-relative:page;mso-position-vertical-relative:page;z-index:-267596800" coordorigin="1020,1035" coordsize="9657,14805">
            <v:rect style="position:absolute;left:1050;top:1064;width:9627;height:14775" filled="true" fillcolor="#000000" stroked="false">
              <v:fill opacity="26870f" type="solid"/>
            </v:rect>
            <v:shape style="position:absolute;left:1020;top:1034;width:9406;height:14556" coordorigin="1020,1035" coordsize="9406,14556" path="m10426,1035l1020,1035,1020,14337,1020,15590,10426,15590,10426,14337,10426,1035e" filled="true" fillcolor="#ffffff" stroked="false">
              <v:path arrowok="t"/>
              <v:fill type="solid"/>
            </v:shape>
            <v:rect style="position:absolute;left:9731;top:1370;width:359;height:372" filled="true" fillcolor="#e85113" stroked="false">
              <v:fill type="solid"/>
            </v:rect>
            <v:rect style="position:absolute;left:9731;top:1865;width:359;height:359" filled="true" fillcolor="#f6af81" stroked="false">
              <v:fill type="solid"/>
            </v:rect>
            <v:rect style="position:absolute;left:9731;top:2357;width:359;height:359" filled="true" fillcolor="#fad0b4" stroked="false">
              <v:fill opacity="32768f" type="solid"/>
            </v:rect>
            <v:rect style="position:absolute;left:7923;top:12877;width:2456;height:2614" filled="true" fillcolor="#000000" stroked="false">
              <v:fill opacity="21627f" type="solid"/>
            </v:rect>
            <v:shape style="position:absolute;left:8286;top:12885;width:246;height:647" type="#_x0000_t75" stroked="false">
              <v:imagedata r:id="rId45" o:title=""/>
            </v:shape>
            <v:shape style="position:absolute;left:8590;top:13308;width:378;height:1134" type="#_x0000_t75" stroked="false">
              <v:imagedata r:id="rId46" o:title=""/>
            </v:shape>
            <v:shape style="position:absolute;left:8916;top:13011;width:737;height:1426" type="#_x0000_t75" stroked="false">
              <v:imagedata r:id="rId47" o:title=""/>
            </v:shape>
            <v:shape style="position:absolute;left:8156;top:15071;width:204;height:229" coordorigin="8157,15072" coordsize="204,229" path="m8188,15072l8157,15072,8245,15300,8275,15300,8285,15273,8260,15273,8188,15072xm8360,15072l8332,15072,8261,15273,8285,15273,8360,15072xe" filled="true" fillcolor="#e53f17" stroked="false">
              <v:path arrowok="t"/>
              <v:fill type="solid"/>
            </v:shape>
            <v:line style="position:absolute" from="8402,15072" to="8402,15300" stroked="true" strokeweight="1.396pt" strokecolor="#e53f17">
              <v:stroke dashstyle="solid"/>
            </v:line>
            <v:rect style="position:absolute;left:8388;top:14983;width:28;height:45" filled="true" fillcolor="#e53f17" stroked="false">
              <v:fill type="solid"/>
            </v:rect>
            <v:shape style="position:absolute;left:8457;top:15065;width:186;height:242" type="#_x0000_t75" stroked="false">
              <v:imagedata r:id="rId48" o:title=""/>
            </v:shape>
            <v:line style="position:absolute" from="8698,15072" to="8698,15300" stroked="true" strokeweight="1.396pt" strokecolor="#e53f17">
              <v:stroke dashstyle="solid"/>
            </v:line>
            <v:shape style="position:absolute;left:8753;top:15065;width:217;height:242" type="#_x0000_t75" stroked="false">
              <v:imagedata r:id="rId49" o:title=""/>
            </v:shape>
            <v:shape style="position:absolute;left:9011;top:15065;width:186;height:236" type="#_x0000_t75" stroked="false">
              <v:imagedata r:id="rId50" o:title=""/>
            </v:shape>
            <v:shape style="position:absolute;left:9240;top:14983;width:213;height:317" type="#_x0000_t75" stroked="false">
              <v:imagedata r:id="rId51" o:title=""/>
            </v:shape>
            <v:shape style="position:absolute;left:9485;top:14983;width:215;height:323" type="#_x0000_t75" stroked="false">
              <v:imagedata r:id="rId52" o:title=""/>
            </v:shape>
            <v:shape style="position:absolute;left:9733;top:14983;width:213;height:317" type="#_x0000_t75" stroked="false">
              <v:imagedata r:id="rId53" o:title=""/>
            </v:shape>
            <v:shape style="position:absolute;left:9978;top:14983;width:215;height:323" type="#_x0000_t75" stroked="false">
              <v:imagedata r:id="rId54" o:title=""/>
            </v:shape>
            <v:shape style="position:absolute;left:7946;top:13410;width:1529;height:1622" type="#_x0000_t75" stroked="false">
              <v:imagedata r:id="rId55" o:title=""/>
            </v:shape>
            <w10:wrap type="none"/>
          </v:group>
        </w:pict>
      </w:r>
    </w:p>
    <w:p>
      <w:pPr>
        <w:pStyle w:val="BodyText"/>
        <w:rPr>
          <w:rFonts w:ascii="Stone Sans II ITC Std X Bd"/>
          <w:b/>
        </w:rPr>
      </w:pPr>
    </w:p>
    <w:p>
      <w:pPr>
        <w:pStyle w:val="BodyText"/>
        <w:spacing w:before="9"/>
        <w:rPr>
          <w:rFonts w:ascii="Stone Sans II ITC Std X Bd"/>
          <w:b/>
        </w:rPr>
      </w:pPr>
    </w:p>
    <w:p>
      <w:pPr>
        <w:pStyle w:val="Heading8"/>
        <w:spacing w:line="240" w:lineRule="auto" w:before="94"/>
        <w:ind w:left="1278" w:firstLine="0"/>
      </w:pPr>
      <w:r>
        <w:rPr/>
        <w:pict>
          <v:shape style="position:absolute;margin-left:456.075623pt;margin-top:2.624182pt;width:53.9pt;height:513pt;mso-position-horizontal-relative:page;mso-position-vertical-relative:paragraph;z-index:-267595776" type="#_x0000_t202" filled="false" stroked="false">
            <v:textbox inset="0,0,0,0" style="layout-flow:vertical">
              <w:txbxContent>
                <w:p>
                  <w:pPr>
                    <w:spacing w:line="479" w:lineRule="exact" w:before="15"/>
                    <w:ind w:left="1169" w:right="0" w:firstLine="0"/>
                    <w:jc w:val="left"/>
                    <w:rPr>
                      <w:rFonts w:ascii="Stone Sans II ITC Std Bk"/>
                      <w:b/>
                      <w:sz w:val="39"/>
                    </w:rPr>
                  </w:pPr>
                  <w:r>
                    <w:rPr>
                      <w:rFonts w:ascii="Stone Sans II ITC Std Bk"/>
                      <w:b/>
                      <w:color w:val="E2001A"/>
                      <w:w w:val="115"/>
                      <w:sz w:val="39"/>
                    </w:rPr>
                    <w:t>Framework for Mission</w:t>
                  </w:r>
                </w:p>
                <w:p>
                  <w:pPr>
                    <w:spacing w:line="584" w:lineRule="exact" w:before="0"/>
                    <w:ind w:left="20" w:right="0" w:firstLine="0"/>
                    <w:jc w:val="left"/>
                    <w:rPr>
                      <w:rFonts w:ascii="Stone Sans II ITC Std X Bd"/>
                      <w:b/>
                      <w:sz w:val="48"/>
                    </w:rPr>
                  </w:pPr>
                  <w:r>
                    <w:rPr>
                      <w:rFonts w:ascii="Stone Sans II ITC Std X Bd"/>
                      <w:b/>
                      <w:spacing w:val="-6"/>
                      <w:w w:val="110"/>
                      <w:sz w:val="48"/>
                    </w:rPr>
                    <w:t>ten statements </w:t>
                  </w:r>
                  <w:r>
                    <w:rPr>
                      <w:rFonts w:ascii="Stone Sans II ITC Std X Bd"/>
                      <w:b/>
                      <w:spacing w:val="-3"/>
                      <w:w w:val="110"/>
                      <w:sz w:val="48"/>
                    </w:rPr>
                    <w:t>of </w:t>
                  </w:r>
                  <w:r>
                    <w:rPr>
                      <w:rFonts w:ascii="Stone Sans II ITC Std X Bd"/>
                      <w:b/>
                      <w:spacing w:val="-4"/>
                      <w:w w:val="110"/>
                      <w:sz w:val="48"/>
                    </w:rPr>
                    <w:t>our </w:t>
                  </w:r>
                  <w:r>
                    <w:rPr>
                      <w:rFonts w:ascii="Stone Sans II ITC Std X Bd"/>
                      <w:b/>
                      <w:spacing w:val="-5"/>
                      <w:w w:val="110"/>
                      <w:sz w:val="48"/>
                    </w:rPr>
                    <w:t>mission</w:t>
                  </w:r>
                  <w:r>
                    <w:rPr>
                      <w:rFonts w:ascii="Stone Sans II ITC Std X Bd"/>
                      <w:b/>
                      <w:spacing w:val="-69"/>
                      <w:w w:val="110"/>
                      <w:sz w:val="48"/>
                    </w:rPr>
                    <w:t> </w:t>
                  </w:r>
                  <w:r>
                    <w:rPr>
                      <w:rFonts w:ascii="Stone Sans II ITC Std X Bd"/>
                      <w:b/>
                      <w:spacing w:val="-4"/>
                      <w:w w:val="110"/>
                      <w:sz w:val="48"/>
                    </w:rPr>
                    <w:t>purpose</w:t>
                  </w:r>
                </w:p>
              </w:txbxContent>
            </v:textbox>
            <w10:wrap type="none"/>
          </v:shape>
        </w:pict>
      </w:r>
      <w:r>
        <w:rPr>
          <w:color w:val="E85113"/>
          <w:w w:val="110"/>
        </w:rPr>
        <w:t>Statement 1: </w:t>
      </w:r>
      <w:r>
        <w:rPr>
          <w:w w:val="110"/>
        </w:rPr>
        <w:t>Spirituality and prayer</w:t>
      </w:r>
    </w:p>
    <w:p>
      <w:pPr>
        <w:spacing w:line="249" w:lineRule="auto" w:before="169"/>
        <w:ind w:left="1278" w:right="3705" w:firstLine="0"/>
        <w:jc w:val="left"/>
        <w:rPr>
          <w:sz w:val="15"/>
        </w:rPr>
      </w:pPr>
      <w:r>
        <w:rPr>
          <w:w w:val="125"/>
          <w:sz w:val="15"/>
        </w:rPr>
        <w:t>We will grow in our practice of prayer and spirituality, nurturing strength for our witness to Jesus Christ, and developing our discernment of where God is and  what God is calling us to do by reading and studying the Bible and through the power of the Holy</w:t>
      </w:r>
      <w:r>
        <w:rPr>
          <w:spacing w:val="7"/>
          <w:w w:val="125"/>
          <w:sz w:val="15"/>
        </w:rPr>
        <w:t> </w:t>
      </w:r>
      <w:r>
        <w:rPr>
          <w:w w:val="125"/>
          <w:sz w:val="15"/>
        </w:rPr>
        <w:t>Spirit.</w:t>
      </w:r>
    </w:p>
    <w:p>
      <w:pPr>
        <w:pStyle w:val="BodyText"/>
        <w:spacing w:before="10"/>
        <w:rPr>
          <w:sz w:val="25"/>
        </w:rPr>
      </w:pPr>
    </w:p>
    <w:p>
      <w:pPr>
        <w:pStyle w:val="Heading8"/>
        <w:spacing w:line="240" w:lineRule="auto"/>
        <w:ind w:left="1278" w:firstLine="0"/>
      </w:pPr>
      <w:r>
        <w:rPr>
          <w:color w:val="E85113"/>
          <w:w w:val="110"/>
        </w:rPr>
        <w:t>Statement 2: </w:t>
      </w:r>
      <w:r>
        <w:rPr>
          <w:w w:val="110"/>
        </w:rPr>
        <w:t>Identity</w:t>
      </w:r>
    </w:p>
    <w:p>
      <w:pPr>
        <w:spacing w:line="249" w:lineRule="auto" w:before="169"/>
        <w:ind w:left="1278" w:right="3242" w:firstLine="0"/>
        <w:jc w:val="left"/>
        <w:rPr>
          <w:sz w:val="15"/>
        </w:rPr>
      </w:pPr>
      <w:r>
        <w:rPr>
          <w:w w:val="130"/>
          <w:sz w:val="15"/>
        </w:rPr>
        <w:t>The URC will be a Church where every local congregation will be able to say who they are, what they do and why they do it.</w:t>
      </w:r>
    </w:p>
    <w:p>
      <w:pPr>
        <w:pStyle w:val="BodyText"/>
        <w:rPr>
          <w:sz w:val="26"/>
        </w:rPr>
      </w:pPr>
    </w:p>
    <w:p>
      <w:pPr>
        <w:pStyle w:val="Heading8"/>
        <w:spacing w:line="240" w:lineRule="auto"/>
        <w:ind w:left="1278" w:firstLine="0"/>
      </w:pPr>
      <w:r>
        <w:rPr>
          <w:color w:val="E85113"/>
          <w:w w:val="110"/>
        </w:rPr>
        <w:t>Statement 3: </w:t>
      </w:r>
      <w:r>
        <w:rPr>
          <w:w w:val="110"/>
        </w:rPr>
        <w:t>Christian Ecumenical Partnerships</w:t>
      </w:r>
    </w:p>
    <w:p>
      <w:pPr>
        <w:spacing w:line="249" w:lineRule="auto" w:before="169"/>
        <w:ind w:left="1278" w:right="3242" w:firstLine="0"/>
        <w:jc w:val="left"/>
        <w:rPr>
          <w:sz w:val="15"/>
        </w:rPr>
      </w:pPr>
      <w:r>
        <w:rPr>
          <w:w w:val="125"/>
          <w:sz w:val="15"/>
        </w:rPr>
        <w:t>We will be more confident in our identity, valuing the treasures of our tradition, discerning when to seek ecumenical partnerships, and when and how to seek the further unity of the Church.</w:t>
      </w:r>
    </w:p>
    <w:p>
      <w:pPr>
        <w:pStyle w:val="BodyText"/>
        <w:spacing w:before="11"/>
        <w:rPr>
          <w:sz w:val="25"/>
        </w:rPr>
      </w:pPr>
    </w:p>
    <w:p>
      <w:pPr>
        <w:pStyle w:val="Heading8"/>
        <w:spacing w:line="240" w:lineRule="auto"/>
        <w:ind w:left="1278" w:firstLine="0"/>
      </w:pPr>
      <w:r>
        <w:rPr>
          <w:color w:val="E85113"/>
          <w:w w:val="110"/>
        </w:rPr>
        <w:t>Statement 4: </w:t>
      </w:r>
      <w:r>
        <w:rPr>
          <w:w w:val="110"/>
        </w:rPr>
        <w:t>Community partnerships</w:t>
      </w:r>
    </w:p>
    <w:p>
      <w:pPr>
        <w:spacing w:before="169"/>
        <w:ind w:left="1278" w:right="0" w:firstLine="0"/>
        <w:jc w:val="left"/>
        <w:rPr>
          <w:sz w:val="15"/>
        </w:rPr>
      </w:pPr>
      <w:r>
        <w:rPr>
          <w:w w:val="125"/>
          <w:sz w:val="15"/>
        </w:rPr>
        <w:t>We will be a Church that is more active in the life of local neighbourhoods.</w:t>
      </w:r>
    </w:p>
    <w:p>
      <w:pPr>
        <w:pStyle w:val="BodyText"/>
        <w:spacing w:before="8"/>
        <w:rPr>
          <w:sz w:val="26"/>
        </w:rPr>
      </w:pPr>
    </w:p>
    <w:p>
      <w:pPr>
        <w:pStyle w:val="Heading8"/>
        <w:spacing w:line="240" w:lineRule="auto" w:before="1"/>
        <w:ind w:left="1278" w:firstLine="0"/>
      </w:pPr>
      <w:r>
        <w:rPr>
          <w:color w:val="E85113"/>
          <w:w w:val="110"/>
        </w:rPr>
        <w:t>Statement 5: </w:t>
      </w:r>
      <w:r>
        <w:rPr>
          <w:w w:val="110"/>
        </w:rPr>
        <w:t>Hospitality and diversity</w:t>
      </w:r>
    </w:p>
    <w:p>
      <w:pPr>
        <w:spacing w:line="249" w:lineRule="auto" w:before="169"/>
        <w:ind w:left="1278" w:right="3705" w:firstLine="0"/>
        <w:jc w:val="left"/>
        <w:rPr>
          <w:sz w:val="15"/>
        </w:rPr>
      </w:pPr>
      <w:r>
        <w:rPr>
          <w:w w:val="130"/>
          <w:sz w:val="15"/>
        </w:rPr>
        <w:t>We will be a Church committed to becoming even more welcoming and hospitable, and embracing all people equally.</w:t>
      </w:r>
    </w:p>
    <w:p>
      <w:pPr>
        <w:pStyle w:val="BodyText"/>
        <w:spacing w:before="12"/>
        <w:rPr>
          <w:sz w:val="25"/>
        </w:rPr>
      </w:pPr>
    </w:p>
    <w:p>
      <w:pPr>
        <w:pStyle w:val="Heading8"/>
        <w:spacing w:line="240" w:lineRule="auto"/>
        <w:ind w:left="1278" w:firstLine="0"/>
      </w:pPr>
      <w:r>
        <w:rPr>
          <w:color w:val="E85113"/>
          <w:w w:val="110"/>
        </w:rPr>
        <w:t>Statement 6: </w:t>
      </w:r>
      <w:r>
        <w:rPr>
          <w:w w:val="110"/>
        </w:rPr>
        <w:t>Evangelism</w:t>
      </w:r>
    </w:p>
    <w:p>
      <w:pPr>
        <w:spacing w:line="249" w:lineRule="auto" w:before="169"/>
        <w:ind w:left="1278" w:right="3678" w:firstLine="0"/>
        <w:jc w:val="left"/>
        <w:rPr>
          <w:sz w:val="15"/>
        </w:rPr>
      </w:pPr>
      <w:r>
        <w:rPr>
          <w:w w:val="130"/>
          <w:sz w:val="15"/>
        </w:rPr>
        <w:t>We will be more confident to engage in evangelism, proclaiming the good news of the kingdom of God with friends, families and strangers, through story and action.</w:t>
      </w:r>
    </w:p>
    <w:p>
      <w:pPr>
        <w:pStyle w:val="BodyText"/>
        <w:spacing w:before="11"/>
        <w:rPr>
          <w:sz w:val="25"/>
        </w:rPr>
      </w:pPr>
    </w:p>
    <w:p>
      <w:pPr>
        <w:pStyle w:val="Heading8"/>
        <w:spacing w:line="240" w:lineRule="auto"/>
        <w:ind w:left="1278" w:firstLine="0"/>
      </w:pPr>
      <w:r>
        <w:rPr>
          <w:color w:val="E85113"/>
          <w:w w:val="110"/>
        </w:rPr>
        <w:t>Statement 7: </w:t>
      </w:r>
      <w:r>
        <w:rPr>
          <w:w w:val="110"/>
        </w:rPr>
        <w:t>Church growth</w:t>
      </w:r>
    </w:p>
    <w:p>
      <w:pPr>
        <w:spacing w:before="169"/>
        <w:ind w:left="1278" w:right="0" w:firstLine="0"/>
        <w:jc w:val="left"/>
        <w:rPr>
          <w:sz w:val="15"/>
        </w:rPr>
      </w:pPr>
      <w:r>
        <w:rPr>
          <w:w w:val="125"/>
          <w:sz w:val="15"/>
        </w:rPr>
        <w:t>We will be a growing Church with an increasing membership.</w:t>
      </w:r>
    </w:p>
    <w:p>
      <w:pPr>
        <w:pStyle w:val="BodyText"/>
        <w:spacing w:before="8"/>
        <w:rPr>
          <w:sz w:val="26"/>
        </w:rPr>
      </w:pPr>
    </w:p>
    <w:p>
      <w:pPr>
        <w:pStyle w:val="Heading8"/>
        <w:spacing w:line="240" w:lineRule="auto"/>
        <w:ind w:left="1278" w:firstLine="0"/>
      </w:pPr>
      <w:r>
        <w:rPr>
          <w:color w:val="E85113"/>
          <w:w w:val="110"/>
        </w:rPr>
        <w:t>Statement 8: </w:t>
      </w:r>
      <w:r>
        <w:rPr>
          <w:w w:val="110"/>
        </w:rPr>
        <w:t>Global partnerships</w:t>
      </w:r>
    </w:p>
    <w:p>
      <w:pPr>
        <w:spacing w:line="249" w:lineRule="auto" w:before="169"/>
        <w:ind w:left="1278" w:right="3705" w:firstLine="0"/>
        <w:jc w:val="left"/>
        <w:rPr>
          <w:sz w:val="15"/>
        </w:rPr>
      </w:pPr>
      <w:r>
        <w:rPr>
          <w:w w:val="130"/>
          <w:sz w:val="15"/>
        </w:rPr>
        <w:t>We</w:t>
      </w:r>
      <w:r>
        <w:rPr>
          <w:spacing w:val="-9"/>
          <w:w w:val="130"/>
          <w:sz w:val="15"/>
        </w:rPr>
        <w:t> </w:t>
      </w:r>
      <w:r>
        <w:rPr>
          <w:w w:val="130"/>
          <w:sz w:val="15"/>
        </w:rPr>
        <w:t>will</w:t>
      </w:r>
      <w:r>
        <w:rPr>
          <w:spacing w:val="-8"/>
          <w:w w:val="130"/>
          <w:sz w:val="15"/>
        </w:rPr>
        <w:t> </w:t>
      </w:r>
      <w:r>
        <w:rPr>
          <w:w w:val="130"/>
          <w:sz w:val="15"/>
        </w:rPr>
        <w:t>be</w:t>
      </w:r>
      <w:r>
        <w:rPr>
          <w:spacing w:val="-8"/>
          <w:w w:val="130"/>
          <w:sz w:val="15"/>
        </w:rPr>
        <w:t> </w:t>
      </w:r>
      <w:r>
        <w:rPr>
          <w:w w:val="130"/>
          <w:sz w:val="15"/>
        </w:rPr>
        <w:t>a</w:t>
      </w:r>
      <w:r>
        <w:rPr>
          <w:spacing w:val="-9"/>
          <w:w w:val="130"/>
          <w:sz w:val="15"/>
        </w:rPr>
        <w:t> </w:t>
      </w:r>
      <w:r>
        <w:rPr>
          <w:w w:val="130"/>
          <w:sz w:val="15"/>
        </w:rPr>
        <w:t>Church</w:t>
      </w:r>
      <w:r>
        <w:rPr>
          <w:spacing w:val="-8"/>
          <w:w w:val="130"/>
          <w:sz w:val="15"/>
        </w:rPr>
        <w:t> </w:t>
      </w:r>
      <w:r>
        <w:rPr>
          <w:w w:val="130"/>
          <w:sz w:val="15"/>
        </w:rPr>
        <w:t>that</w:t>
      </w:r>
      <w:r>
        <w:rPr>
          <w:spacing w:val="-8"/>
          <w:w w:val="130"/>
          <w:sz w:val="15"/>
        </w:rPr>
        <w:t> </w:t>
      </w:r>
      <w:r>
        <w:rPr>
          <w:w w:val="130"/>
          <w:sz w:val="15"/>
        </w:rPr>
        <w:t>is</w:t>
      </w:r>
      <w:r>
        <w:rPr>
          <w:spacing w:val="-9"/>
          <w:w w:val="130"/>
          <w:sz w:val="15"/>
        </w:rPr>
        <w:t> </w:t>
      </w:r>
      <w:r>
        <w:rPr>
          <w:w w:val="130"/>
          <w:sz w:val="15"/>
        </w:rPr>
        <w:t>an</w:t>
      </w:r>
      <w:r>
        <w:rPr>
          <w:spacing w:val="-8"/>
          <w:w w:val="130"/>
          <w:sz w:val="15"/>
        </w:rPr>
        <w:t> </w:t>
      </w:r>
      <w:r>
        <w:rPr>
          <w:w w:val="130"/>
          <w:sz w:val="15"/>
        </w:rPr>
        <w:t>active</w:t>
      </w:r>
      <w:r>
        <w:rPr>
          <w:spacing w:val="-8"/>
          <w:w w:val="130"/>
          <w:sz w:val="15"/>
        </w:rPr>
        <w:t> </w:t>
      </w:r>
      <w:r>
        <w:rPr>
          <w:w w:val="130"/>
          <w:sz w:val="15"/>
        </w:rPr>
        <w:t>partner</w:t>
      </w:r>
      <w:r>
        <w:rPr>
          <w:spacing w:val="-9"/>
          <w:w w:val="130"/>
          <w:sz w:val="15"/>
        </w:rPr>
        <w:t> </w:t>
      </w:r>
      <w:r>
        <w:rPr>
          <w:w w:val="130"/>
          <w:sz w:val="15"/>
        </w:rPr>
        <w:t>in</w:t>
      </w:r>
      <w:r>
        <w:rPr>
          <w:spacing w:val="-8"/>
          <w:w w:val="130"/>
          <w:sz w:val="15"/>
        </w:rPr>
        <w:t> </w:t>
      </w:r>
      <w:r>
        <w:rPr>
          <w:w w:val="130"/>
          <w:sz w:val="15"/>
        </w:rPr>
        <w:t>God’s</w:t>
      </w:r>
      <w:r>
        <w:rPr>
          <w:spacing w:val="-8"/>
          <w:w w:val="130"/>
          <w:sz w:val="15"/>
        </w:rPr>
        <w:t> </w:t>
      </w:r>
      <w:r>
        <w:rPr>
          <w:w w:val="130"/>
          <w:sz w:val="15"/>
        </w:rPr>
        <w:t>global</w:t>
      </w:r>
      <w:r>
        <w:rPr>
          <w:spacing w:val="-9"/>
          <w:w w:val="130"/>
          <w:sz w:val="15"/>
        </w:rPr>
        <w:t> </w:t>
      </w:r>
      <w:r>
        <w:rPr>
          <w:w w:val="130"/>
          <w:sz w:val="15"/>
        </w:rPr>
        <w:t>mission</w:t>
      </w:r>
      <w:r>
        <w:rPr>
          <w:spacing w:val="-8"/>
          <w:w w:val="130"/>
          <w:sz w:val="15"/>
        </w:rPr>
        <w:t> </w:t>
      </w:r>
      <w:r>
        <w:rPr>
          <w:w w:val="130"/>
          <w:sz w:val="15"/>
        </w:rPr>
        <w:t>with</w:t>
      </w:r>
      <w:r>
        <w:rPr>
          <w:spacing w:val="-8"/>
          <w:w w:val="130"/>
          <w:sz w:val="15"/>
        </w:rPr>
        <w:t> </w:t>
      </w:r>
      <w:r>
        <w:rPr>
          <w:w w:val="130"/>
          <w:sz w:val="15"/>
        </w:rPr>
        <w:t>other Churches around the</w:t>
      </w:r>
      <w:r>
        <w:rPr>
          <w:spacing w:val="-2"/>
          <w:w w:val="130"/>
          <w:sz w:val="15"/>
        </w:rPr>
        <w:t> </w:t>
      </w:r>
      <w:r>
        <w:rPr>
          <w:w w:val="130"/>
          <w:sz w:val="15"/>
        </w:rPr>
        <w:t>world.</w:t>
      </w:r>
    </w:p>
    <w:p>
      <w:pPr>
        <w:pStyle w:val="BodyText"/>
        <w:rPr>
          <w:sz w:val="26"/>
        </w:rPr>
      </w:pPr>
    </w:p>
    <w:p>
      <w:pPr>
        <w:pStyle w:val="Heading8"/>
        <w:spacing w:line="240" w:lineRule="auto"/>
        <w:ind w:left="1278" w:firstLine="0"/>
      </w:pPr>
      <w:r>
        <w:rPr>
          <w:color w:val="E85113"/>
          <w:w w:val="110"/>
        </w:rPr>
        <w:t>Statement 9: </w:t>
      </w:r>
      <w:r>
        <w:rPr>
          <w:w w:val="110"/>
        </w:rPr>
        <w:t>Justice and peace</w:t>
      </w:r>
    </w:p>
    <w:p>
      <w:pPr>
        <w:spacing w:line="249" w:lineRule="auto" w:before="169"/>
        <w:ind w:left="1278" w:right="3705" w:firstLine="0"/>
        <w:jc w:val="left"/>
        <w:rPr>
          <w:sz w:val="15"/>
        </w:rPr>
      </w:pPr>
      <w:r>
        <w:rPr>
          <w:w w:val="125"/>
          <w:sz w:val="15"/>
        </w:rPr>
        <w:t>We will be a Church committed to peacemaking and reconciliation that keeps faith with the poor and challenges injustice.</w:t>
      </w:r>
    </w:p>
    <w:p>
      <w:pPr>
        <w:pStyle w:val="BodyText"/>
        <w:rPr>
          <w:sz w:val="26"/>
        </w:rPr>
      </w:pPr>
    </w:p>
    <w:p>
      <w:pPr>
        <w:pStyle w:val="Heading8"/>
        <w:spacing w:line="240" w:lineRule="auto"/>
        <w:ind w:left="1278" w:firstLine="0"/>
      </w:pPr>
      <w:r>
        <w:rPr>
          <w:color w:val="E85113"/>
          <w:w w:val="110"/>
        </w:rPr>
        <w:t>Statement 10: </w:t>
      </w:r>
      <w:r>
        <w:rPr>
          <w:w w:val="110"/>
        </w:rPr>
        <w:t>The integrity of creation</w:t>
      </w:r>
    </w:p>
    <w:p>
      <w:pPr>
        <w:spacing w:line="249" w:lineRule="auto" w:before="169"/>
        <w:ind w:left="1278" w:right="3705" w:firstLine="0"/>
        <w:jc w:val="left"/>
        <w:rPr>
          <w:sz w:val="15"/>
        </w:rPr>
      </w:pPr>
      <w:r>
        <w:rPr>
          <w:w w:val="125"/>
          <w:sz w:val="15"/>
        </w:rPr>
        <w:t>We will be a Church that has taken significant steps to safeguard the integrity of creation, to sustain and renew the life of the earth.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pStyle w:val="Heading7"/>
        <w:spacing w:before="96"/>
        <w:ind w:left="377"/>
      </w:pPr>
      <w:r>
        <w:rPr>
          <w:rFonts w:ascii="Stone Sans II ITC Std X Bd" w:hAnsi="Stone Sans II ITC Std X Bd"/>
          <w:b/>
          <w:w w:val="110"/>
          <w:sz w:val="24"/>
        </w:rPr>
        <w:t>4 </w:t>
      </w:r>
      <w:r>
        <w:rPr>
          <w:rFonts w:ascii="Symbol" w:hAnsi="Symbol"/>
          <w:color w:val="7EAABF"/>
          <w:w w:val="110"/>
        </w:rPr>
        <w:t></w:t>
      </w:r>
      <w:r>
        <w:rPr>
          <w:rFonts w:ascii="Times New Roman" w:hAnsi="Times New Roman"/>
          <w:color w:val="7EAABF"/>
          <w:w w:val="110"/>
        </w:rPr>
        <w:t> </w:t>
      </w: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w:t>
      </w:r>
    </w:p>
    <w:p>
      <w:pPr>
        <w:spacing w:after="0"/>
        <w:sectPr>
          <w:headerReference w:type="even" r:id="rId44"/>
          <w:pgSz w:w="11910" w:h="16840"/>
          <w:pgMar w:header="0" w:footer="0" w:top="1020" w:bottom="280" w:left="700" w:right="0"/>
        </w:sectPr>
      </w:pPr>
    </w:p>
    <w:p>
      <w:pPr>
        <w:pStyle w:val="BodyText"/>
      </w:pPr>
      <w:r>
        <w:rPr/>
        <w:pict>
          <v:shape style="position:absolute;margin-left:228.753799pt;margin-top:31.192715pt;width:304.2pt;height:783.5pt;mso-position-horizontal-relative:page;mso-position-vertical-relative:page;z-index:-267594752" type="#_x0000_t202" filled="false" stroked="false">
            <v:textbox inset="0,0,0,0">
              <w:txbxContent>
                <w:p>
                  <w:pPr>
                    <w:spacing w:before="8"/>
                    <w:ind w:left="0" w:right="0" w:firstLine="0"/>
                    <w:jc w:val="right"/>
                    <w:rPr>
                      <w:sz w:val="26"/>
                    </w:rPr>
                  </w:pPr>
                  <w:r>
                    <w:rPr>
                      <w:color w:val="7EAABF"/>
                      <w:w w:val="120"/>
                      <w:sz w:val="26"/>
                    </w:rPr>
                    <w:t>Mission</w:t>
                  </w:r>
                  <w:r>
                    <w:rPr>
                      <w:color w:val="7EAABF"/>
                      <w:spacing w:val="-10"/>
                      <w:w w:val="120"/>
                      <w:sz w:val="26"/>
                    </w:rPr>
                    <w:t> </w:t>
                  </w:r>
                  <w:r>
                    <w:rPr>
                      <w:color w:val="7EAABF"/>
                      <w:w w:val="120"/>
                      <w:sz w:val="26"/>
                    </w:rPr>
                    <w:t>Council</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1"/>
                    <w:rPr>
                      <w:sz w:val="47"/>
                    </w:rPr>
                  </w:pPr>
                </w:p>
                <w:p>
                  <w:pPr>
                    <w:spacing w:line="306" w:lineRule="exact" w:before="0"/>
                    <w:ind w:left="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color w:val="7EAABF"/>
                      <w:spacing w:val="11"/>
                      <w:w w:val="110"/>
                      <w:sz w:val="23"/>
                    </w:rPr>
                    <w:t>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spacing w:val="-130"/>
                      <w:w w:val="110"/>
                      <w:sz w:val="24"/>
                    </w:rPr>
                    <w:t>5</w:t>
                  </w:r>
                </w:p>
              </w:txbxContent>
            </v:textbox>
            <w10:wrap type="none"/>
          </v:shape>
        </w:pict>
      </w:r>
      <w:r>
        <w:rPr/>
        <w:drawing>
          <wp:anchor distT="0" distB="0" distL="0" distR="0" allowOverlap="1" layoutInCell="1" locked="0" behindDoc="0" simplePos="0" relativeHeight="251689984">
            <wp:simplePos x="0" y="0"/>
            <wp:positionH relativeFrom="page">
              <wp:posOffset>6974928</wp:posOffset>
            </wp:positionH>
            <wp:positionV relativeFrom="page">
              <wp:posOffset>0</wp:posOffset>
            </wp:positionV>
            <wp:extent cx="585076" cy="10692003"/>
            <wp:effectExtent l="0" t="0" r="0" b="0"/>
            <wp:wrapNone/>
            <wp:docPr id="3" name="image48.jpeg"/>
            <wp:cNvGraphicFramePr>
              <a:graphicFrameLocks noChangeAspect="1"/>
            </wp:cNvGraphicFramePr>
            <a:graphic>
              <a:graphicData uri="http://schemas.openxmlformats.org/drawingml/2006/picture">
                <pic:pic>
                  <pic:nvPicPr>
                    <pic:cNvPr id="4" name="image48.jpeg"/>
                    <pic:cNvPicPr/>
                  </pic:nvPicPr>
                  <pic:blipFill>
                    <a:blip r:embed="rId57" cstate="print"/>
                    <a:stretch>
                      <a:fillRect/>
                    </a:stretch>
                  </pic:blipFill>
                  <pic:spPr>
                    <a:xfrm>
                      <a:off x="0" y="0"/>
                      <a:ext cx="585076" cy="10692003"/>
                    </a:xfrm>
                    <a:prstGeom prst="rect">
                      <a:avLst/>
                    </a:prstGeom>
                  </pic:spPr>
                </pic:pic>
              </a:graphicData>
            </a:graphic>
          </wp:anchor>
        </w:drawing>
      </w:r>
      <w:r>
        <w:rPr/>
        <w:pict>
          <v:rect style="position:absolute;margin-left:0pt;margin-top:.000015pt;width:549.207pt;height:841.89pt;mso-position-horizontal-relative:page;mso-position-vertical-relative:page;z-index:-267592704" filled="true" fillcolor="#fef4df" stroked="false">
            <v:fill type="solid"/>
            <w10:wrap type="none"/>
          </v:rect>
        </w:pict>
      </w:r>
      <w:r>
        <w:rPr/>
        <w:drawing>
          <wp:anchor distT="0" distB="0" distL="0" distR="0" allowOverlap="1" layoutInCell="1" locked="0" behindDoc="0" simplePos="0" relativeHeight="251692032">
            <wp:simplePos x="0" y="0"/>
            <wp:positionH relativeFrom="page">
              <wp:posOffset>6974928</wp:posOffset>
            </wp:positionH>
            <wp:positionV relativeFrom="page">
              <wp:posOffset>0</wp:posOffset>
            </wp:positionV>
            <wp:extent cx="585063" cy="10692003"/>
            <wp:effectExtent l="0" t="0" r="0" b="0"/>
            <wp:wrapNone/>
            <wp:docPr id="5" name="image24.png"/>
            <wp:cNvGraphicFramePr>
              <a:graphicFrameLocks noChangeAspect="1"/>
            </wp:cNvGraphicFramePr>
            <a:graphic>
              <a:graphicData uri="http://schemas.openxmlformats.org/drawingml/2006/picture">
                <pic:pic>
                  <pic:nvPicPr>
                    <pic:cNvPr id="6"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line="638" w:lineRule="exact" w:before="97"/>
        <w:ind w:left="1100" w:right="0" w:firstLine="0"/>
        <w:jc w:val="left"/>
        <w:rPr>
          <w:rFonts w:ascii="Stone Sans II ITC Std X Bd"/>
          <w:b/>
          <w:sz w:val="50"/>
        </w:rPr>
      </w:pPr>
      <w:r>
        <w:rPr/>
        <w:pict>
          <v:shape style="position:absolute;margin-left:554.141174pt;margin-top:-5.998084pt;width:26pt;height:165.65pt;mso-position-horizontal-relative:page;mso-position-vertical-relative:paragraph;z-index:251693056"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bookmarkStart w:name="_bookmark1" w:id="2"/>
      <w:bookmarkEnd w:id="2"/>
      <w:r>
        <w:rPr/>
      </w:r>
      <w:r>
        <w:rPr>
          <w:rFonts w:ascii="Stone Sans II ITC Std X Bd"/>
          <w:b/>
          <w:color w:val="F1B400"/>
          <w:w w:val="110"/>
          <w:sz w:val="50"/>
        </w:rPr>
        <w:t>Mission Council</w:t>
      </w:r>
    </w:p>
    <w:p>
      <w:pPr>
        <w:spacing w:line="638" w:lineRule="exact" w:before="0"/>
        <w:ind w:left="1100" w:right="0" w:firstLine="0"/>
        <w:jc w:val="left"/>
        <w:rPr>
          <w:rFonts w:ascii="Stone Sans II ITC Std X Bd"/>
          <w:b/>
          <w:sz w:val="50"/>
        </w:rPr>
      </w:pPr>
      <w:r>
        <w:rPr>
          <w:rFonts w:ascii="Stone Sans II ITC Std X Bd"/>
          <w:b/>
          <w:w w:val="110"/>
          <w:sz w:val="50"/>
        </w:rPr>
        <w:t>Report on Work, 2016-18</w:t>
      </w:r>
    </w:p>
    <w:p>
      <w:pPr>
        <w:spacing w:before="339" w:after="10"/>
        <w:ind w:left="1100"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110"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before="108"/>
              <w:ind w:left="79"/>
              <w:rPr>
                <w:sz w:val="20"/>
              </w:rPr>
            </w:pPr>
            <w:r>
              <w:rPr>
                <w:w w:val="120"/>
                <w:sz w:val="20"/>
              </w:rPr>
              <w:t>General Secretary: </w:t>
            </w:r>
            <w:hyperlink r:id="rId58">
              <w:r>
                <w:rPr>
                  <w:color w:val="006AB3"/>
                  <w:w w:val="120"/>
                  <w:sz w:val="20"/>
                </w:rPr>
                <w:t>john.proctor@urc.org.uk</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8"/>
              <w:ind w:left="79"/>
              <w:rPr>
                <w:sz w:val="20"/>
              </w:rPr>
            </w:pPr>
            <w:r>
              <w:rPr>
                <w:w w:val="120"/>
                <w:sz w:val="20"/>
              </w:rPr>
              <w:t>For information; papers with resolutions follow as appendices.</w:t>
            </w:r>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spacing w:before="95"/>
              <w:ind w:left="79"/>
              <w:rPr>
                <w:rFonts w:ascii="Stone Sans II ITC Std Bk"/>
                <w:b/>
                <w:sz w:val="20"/>
              </w:rPr>
            </w:pPr>
            <w:r>
              <w:rPr>
                <w:rFonts w:ascii="Stone Sans II ITC Std Bk"/>
                <w:b/>
                <w:w w:val="110"/>
                <w:sz w:val="20"/>
              </w:rPr>
              <w:t>None in the General Report.</w:t>
            </w:r>
          </w:p>
        </w:tc>
      </w:tr>
    </w:tbl>
    <w:p>
      <w:pPr>
        <w:spacing w:before="187" w:after="9"/>
        <w:ind w:left="1100"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110"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40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before="108"/>
              <w:ind w:left="79"/>
              <w:rPr>
                <w:sz w:val="20"/>
              </w:rPr>
            </w:pPr>
            <w:r>
              <w:rPr>
                <w:w w:val="120"/>
                <w:sz w:val="20"/>
              </w:rPr>
              <w:t>To report on the work of Mission Council in the last two years.</w:t>
            </w:r>
          </w:p>
        </w:tc>
      </w:tr>
      <w:tr>
        <w:trPr>
          <w:trHeight w:val="64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Pr>
                <w:sz w:val="20"/>
              </w:rPr>
            </w:pPr>
            <w:r>
              <w:rPr>
                <w:w w:val="120"/>
                <w:sz w:val="20"/>
              </w:rPr>
              <w:t>There are many. Those that require Assembly decision appear in the various appendices.</w:t>
            </w:r>
          </w:p>
        </w:tc>
      </w:tr>
      <w:tr>
        <w:trPr>
          <w:trHeight w:val="64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Pr>
                <w:sz w:val="20"/>
              </w:rPr>
            </w:pPr>
            <w:r>
              <w:rPr>
                <w:w w:val="120"/>
                <w:sz w:val="20"/>
              </w:rPr>
              <w:t>Mission Council papers from November 2016, May and October 2017 and March 2018, available on the URC website.</w:t>
            </w:r>
          </w:p>
        </w:tc>
      </w:tr>
      <w:tr>
        <w:trPr>
          <w:trHeight w:val="64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before="108"/>
              <w:ind w:left="79"/>
              <w:rPr>
                <w:sz w:val="20"/>
              </w:rPr>
            </w:pPr>
            <w:r>
              <w:rPr>
                <w:w w:val="120"/>
                <w:sz w:val="20"/>
              </w:rPr>
              <w:t>The committees and synods of the Church.</w:t>
            </w:r>
          </w:p>
        </w:tc>
      </w:tr>
    </w:tbl>
    <w:p>
      <w:pPr>
        <w:spacing w:before="187" w:after="9"/>
        <w:ind w:left="1100"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110"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rPr>
                <w:rFonts w:ascii="Times New Roman"/>
                <w:sz w:val="22"/>
              </w:rPr>
            </w:pPr>
          </w:p>
        </w:tc>
      </w:tr>
      <w:tr>
        <w:trPr>
          <w:trHeight w:val="112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ight="202"/>
              <w:rPr>
                <w:sz w:val="20"/>
              </w:rPr>
            </w:pPr>
            <w:r>
              <w:rPr>
                <w:w w:val="120"/>
                <w:sz w:val="20"/>
              </w:rPr>
              <w:t>The Methodist Church regularly sends a representative to Mission Council, who contributes helpfully to the Council’s work; the Church of England may also be represented, but has not recently taken up its seat on Mission Council.</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2"/>
        <w:rPr>
          <w:rFonts w:ascii="Stone Sans II ITC Std Bk"/>
          <w:b/>
          <w:sz w:val="36"/>
        </w:rPr>
      </w:pPr>
    </w:p>
    <w:p>
      <w:pPr>
        <w:spacing w:before="0"/>
        <w:ind w:left="3886"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5</w:t>
      </w:r>
    </w:p>
    <w:p>
      <w:pPr>
        <w:spacing w:after="0"/>
        <w:jc w:val="left"/>
        <w:rPr>
          <w:rFonts w:ascii="Stone Sans II ITC Std X Bd" w:hAnsi="Stone Sans II ITC Std X Bd"/>
          <w:sz w:val="24"/>
        </w:rPr>
        <w:sectPr>
          <w:headerReference w:type="default" r:id="rId56"/>
          <w:pgSz w:w="11910" w:h="16840"/>
          <w:pgMar w:header="0" w:footer="0" w:top="0" w:bottom="0" w:left="700" w:right="0"/>
        </w:sectPr>
      </w:pPr>
    </w:p>
    <w:p>
      <w:pPr>
        <w:pStyle w:val="BodyText"/>
        <w:rPr>
          <w:rFonts w:ascii="Stone Sans II ITC Std X Bd"/>
          <w:b/>
        </w:rPr>
      </w:pPr>
      <w:r>
        <w:rPr/>
        <w:drawing>
          <wp:anchor distT="0" distB="0" distL="0" distR="0" allowOverlap="1" layoutInCell="1" locked="0" behindDoc="1" simplePos="0" relativeHeight="235726848">
            <wp:simplePos x="0" y="0"/>
            <wp:positionH relativeFrom="page">
              <wp:posOffset>0</wp:posOffset>
            </wp:positionH>
            <wp:positionV relativeFrom="page">
              <wp:posOffset>0</wp:posOffset>
            </wp:positionV>
            <wp:extent cx="594067" cy="10692003"/>
            <wp:effectExtent l="0" t="0" r="0" b="0"/>
            <wp:wrapNone/>
            <wp:docPr id="7" name="image49.png"/>
            <wp:cNvGraphicFramePr>
              <a:graphicFrameLocks noChangeAspect="1"/>
            </wp:cNvGraphicFramePr>
            <a:graphic>
              <a:graphicData uri="http://schemas.openxmlformats.org/drawingml/2006/picture">
                <pic:pic>
                  <pic:nvPicPr>
                    <pic:cNvPr id="8"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165.65pt;mso-position-horizontal-relative:page;mso-position-vertical-relative:page;z-index:-267588608"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p>
    <w:p>
      <w:pPr>
        <w:pStyle w:val="BodyText"/>
        <w:spacing w:before="5"/>
        <w:rPr>
          <w:rFonts w:ascii="Stone Sans II ITC Std X Bd"/>
          <w:b/>
          <w:sz w:val="17"/>
        </w:rPr>
      </w:pPr>
    </w:p>
    <w:p>
      <w:pPr>
        <w:spacing w:before="109"/>
        <w:ind w:left="547" w:right="0" w:firstLine="0"/>
        <w:jc w:val="left"/>
        <w:rPr>
          <w:sz w:val="26"/>
        </w:rPr>
      </w:pPr>
      <w:r>
        <w:rPr>
          <w:color w:val="7EAABF"/>
          <w:w w:val="120"/>
          <w:sz w:val="26"/>
        </w:rPr>
        <w:t>Mission Council</w:t>
      </w:r>
    </w:p>
    <w:p>
      <w:pPr>
        <w:pStyle w:val="BodyText"/>
        <w:spacing w:before="8"/>
        <w:rPr>
          <w:sz w:val="24"/>
        </w:rPr>
      </w:pPr>
    </w:p>
    <w:p>
      <w:pPr>
        <w:spacing w:line="213" w:lineRule="auto" w:before="0"/>
        <w:ind w:left="2584" w:right="2112" w:hanging="1796"/>
        <w:jc w:val="left"/>
        <w:rPr>
          <w:rFonts w:ascii="Stone Sans II ITC Std X Bd"/>
          <w:b/>
          <w:sz w:val="50"/>
        </w:rPr>
      </w:pPr>
      <w:r>
        <w:rPr>
          <w:rFonts w:ascii="Stone Sans II ITC Std X Bd"/>
          <w:b/>
          <w:w w:val="110"/>
          <w:sz w:val="50"/>
        </w:rPr>
        <w:t>Report on the work of Mission Council, 2016-18</w:t>
      </w:r>
    </w:p>
    <w:p>
      <w:pPr>
        <w:spacing w:before="411"/>
        <w:ind w:left="547" w:right="0" w:firstLine="0"/>
        <w:jc w:val="left"/>
        <w:rPr>
          <w:rFonts w:ascii="Stone Sans II ITC Std Bk"/>
          <w:b/>
          <w:sz w:val="29"/>
        </w:rPr>
      </w:pPr>
      <w:r>
        <w:rPr>
          <w:rFonts w:ascii="Stone Sans II ITC Std Bk"/>
          <w:b/>
          <w:w w:val="110"/>
          <w:sz w:val="29"/>
        </w:rPr>
        <w:t>Introduction</w:t>
      </w:r>
    </w:p>
    <w:p>
      <w:pPr>
        <w:pStyle w:val="ListParagraph"/>
        <w:numPr>
          <w:ilvl w:val="0"/>
          <w:numId w:val="3"/>
        </w:numPr>
        <w:tabs>
          <w:tab w:pos="1227" w:val="left" w:leader="none"/>
          <w:tab w:pos="1228" w:val="left" w:leader="none"/>
        </w:tabs>
        <w:spacing w:line="235" w:lineRule="auto" w:before="309" w:after="0"/>
        <w:ind w:left="547" w:right="2120" w:firstLine="0"/>
        <w:jc w:val="left"/>
        <w:rPr>
          <w:sz w:val="20"/>
        </w:rPr>
      </w:pPr>
      <w:r>
        <w:rPr>
          <w:w w:val="120"/>
          <w:sz w:val="20"/>
        </w:rPr>
        <w:t>The brief for Mission </w:t>
      </w:r>
      <w:r>
        <w:rPr>
          <w:spacing w:val="-3"/>
          <w:w w:val="120"/>
          <w:sz w:val="20"/>
        </w:rPr>
        <w:t>Council </w:t>
      </w:r>
      <w:r>
        <w:rPr>
          <w:w w:val="120"/>
          <w:sz w:val="20"/>
        </w:rPr>
        <w:t>directs it </w:t>
      </w:r>
      <w:r>
        <w:rPr>
          <w:spacing w:val="-3"/>
          <w:w w:val="120"/>
          <w:sz w:val="20"/>
        </w:rPr>
        <w:t>to oversee, </w:t>
      </w:r>
      <w:r>
        <w:rPr>
          <w:w w:val="120"/>
          <w:sz w:val="20"/>
        </w:rPr>
        <w:t>prepare and sift business between meetings of </w:t>
      </w:r>
      <w:r>
        <w:rPr>
          <w:spacing w:val="-3"/>
          <w:w w:val="120"/>
          <w:sz w:val="20"/>
        </w:rPr>
        <w:t>Assembly. </w:t>
      </w:r>
      <w:r>
        <w:rPr>
          <w:w w:val="120"/>
          <w:sz w:val="20"/>
        </w:rPr>
        <w:t>It tries </w:t>
      </w:r>
      <w:r>
        <w:rPr>
          <w:spacing w:val="-3"/>
          <w:w w:val="120"/>
          <w:sz w:val="20"/>
        </w:rPr>
        <w:t>to </w:t>
      </w:r>
      <w:r>
        <w:rPr>
          <w:w w:val="120"/>
          <w:sz w:val="20"/>
        </w:rPr>
        <w:t>keep a proper </w:t>
      </w:r>
      <w:r>
        <w:rPr>
          <w:spacing w:val="-3"/>
          <w:w w:val="120"/>
          <w:sz w:val="20"/>
        </w:rPr>
        <w:t>focus </w:t>
      </w:r>
      <w:r>
        <w:rPr>
          <w:w w:val="120"/>
          <w:sz w:val="20"/>
        </w:rPr>
        <w:t>on the </w:t>
      </w:r>
      <w:r>
        <w:rPr>
          <w:spacing w:val="-5"/>
          <w:w w:val="120"/>
          <w:sz w:val="20"/>
        </w:rPr>
        <w:t>Church’s </w:t>
      </w:r>
      <w:r>
        <w:rPr>
          <w:w w:val="120"/>
          <w:sz w:val="20"/>
        </w:rPr>
        <w:t>main </w:t>
      </w:r>
      <w:r>
        <w:rPr>
          <w:spacing w:val="-3"/>
          <w:w w:val="120"/>
          <w:sz w:val="20"/>
        </w:rPr>
        <w:t>concerns,</w:t>
      </w:r>
      <w:r>
        <w:rPr>
          <w:spacing w:val="-7"/>
          <w:w w:val="120"/>
          <w:sz w:val="20"/>
        </w:rPr>
        <w:t> </w:t>
      </w:r>
      <w:r>
        <w:rPr>
          <w:w w:val="120"/>
          <w:sz w:val="20"/>
        </w:rPr>
        <w:t>so</w:t>
      </w:r>
      <w:r>
        <w:rPr>
          <w:spacing w:val="-7"/>
          <w:w w:val="120"/>
          <w:sz w:val="20"/>
        </w:rPr>
        <w:t> </w:t>
      </w:r>
      <w:r>
        <w:rPr>
          <w:w w:val="120"/>
          <w:sz w:val="20"/>
        </w:rPr>
        <w:t>that</w:t>
      </w:r>
      <w:r>
        <w:rPr>
          <w:spacing w:val="-6"/>
          <w:w w:val="120"/>
          <w:sz w:val="20"/>
        </w:rPr>
        <w:t> </w:t>
      </w:r>
      <w:r>
        <w:rPr>
          <w:w w:val="120"/>
          <w:sz w:val="20"/>
        </w:rPr>
        <w:t>all</w:t>
      </w:r>
      <w:r>
        <w:rPr>
          <w:spacing w:val="-7"/>
          <w:w w:val="120"/>
          <w:sz w:val="20"/>
        </w:rPr>
        <w:t> </w:t>
      </w:r>
      <w:r>
        <w:rPr>
          <w:w w:val="120"/>
          <w:sz w:val="20"/>
        </w:rPr>
        <w:t>our</w:t>
      </w:r>
      <w:r>
        <w:rPr>
          <w:spacing w:val="-6"/>
          <w:w w:val="120"/>
          <w:sz w:val="20"/>
        </w:rPr>
        <w:t> </w:t>
      </w:r>
      <w:r>
        <w:rPr>
          <w:w w:val="120"/>
          <w:sz w:val="20"/>
        </w:rPr>
        <w:t>work</w:t>
      </w:r>
      <w:r>
        <w:rPr>
          <w:spacing w:val="-7"/>
          <w:w w:val="120"/>
          <w:sz w:val="20"/>
        </w:rPr>
        <w:t> </w:t>
      </w:r>
      <w:r>
        <w:rPr>
          <w:w w:val="120"/>
          <w:sz w:val="20"/>
        </w:rPr>
        <w:t>will</w:t>
      </w:r>
      <w:r>
        <w:rPr>
          <w:spacing w:val="-7"/>
          <w:w w:val="120"/>
          <w:sz w:val="20"/>
        </w:rPr>
        <w:t> </w:t>
      </w:r>
      <w:r>
        <w:rPr>
          <w:w w:val="120"/>
          <w:sz w:val="20"/>
        </w:rPr>
        <w:t>further</w:t>
      </w:r>
      <w:r>
        <w:rPr>
          <w:spacing w:val="-6"/>
          <w:w w:val="120"/>
          <w:sz w:val="20"/>
        </w:rPr>
        <w:t> </w:t>
      </w:r>
      <w:r>
        <w:rPr>
          <w:w w:val="120"/>
          <w:sz w:val="20"/>
        </w:rPr>
        <w:t>the</w:t>
      </w:r>
      <w:r>
        <w:rPr>
          <w:spacing w:val="-7"/>
          <w:w w:val="120"/>
          <w:sz w:val="20"/>
        </w:rPr>
        <w:t> </w:t>
      </w:r>
      <w:r>
        <w:rPr>
          <w:spacing w:val="-3"/>
          <w:w w:val="120"/>
          <w:sz w:val="20"/>
        </w:rPr>
        <w:t>mission</w:t>
      </w:r>
      <w:r>
        <w:rPr>
          <w:spacing w:val="-6"/>
          <w:w w:val="120"/>
          <w:sz w:val="20"/>
        </w:rPr>
        <w:t> </w:t>
      </w:r>
      <w:r>
        <w:rPr>
          <w:w w:val="120"/>
          <w:sz w:val="20"/>
        </w:rPr>
        <w:t>of</w:t>
      </w:r>
      <w:r>
        <w:rPr>
          <w:spacing w:val="-7"/>
          <w:w w:val="120"/>
          <w:sz w:val="20"/>
        </w:rPr>
        <w:t> </w:t>
      </w:r>
      <w:r>
        <w:rPr>
          <w:w w:val="120"/>
          <w:sz w:val="20"/>
        </w:rPr>
        <w:t>the</w:t>
      </w:r>
      <w:r>
        <w:rPr>
          <w:spacing w:val="-7"/>
          <w:w w:val="120"/>
          <w:sz w:val="20"/>
        </w:rPr>
        <w:t> </w:t>
      </w:r>
      <w:r>
        <w:rPr>
          <w:w w:val="120"/>
          <w:sz w:val="20"/>
        </w:rPr>
        <w:t>Gospel.</w:t>
      </w:r>
      <w:r>
        <w:rPr>
          <w:spacing w:val="-6"/>
          <w:w w:val="120"/>
          <w:sz w:val="20"/>
        </w:rPr>
        <w:t> </w:t>
      </w:r>
      <w:r>
        <w:rPr>
          <w:w w:val="120"/>
          <w:sz w:val="20"/>
        </w:rPr>
        <w:t>It</w:t>
      </w:r>
      <w:r>
        <w:rPr>
          <w:spacing w:val="-7"/>
          <w:w w:val="120"/>
          <w:sz w:val="20"/>
        </w:rPr>
        <w:t> </w:t>
      </w:r>
      <w:r>
        <w:rPr>
          <w:w w:val="120"/>
          <w:sz w:val="20"/>
        </w:rPr>
        <w:t>also</w:t>
      </w:r>
      <w:r>
        <w:rPr>
          <w:spacing w:val="-6"/>
          <w:w w:val="120"/>
          <w:sz w:val="20"/>
        </w:rPr>
        <w:t> </w:t>
      </w:r>
      <w:r>
        <w:rPr>
          <w:w w:val="120"/>
          <w:sz w:val="20"/>
        </w:rPr>
        <w:t>has</w:t>
      </w:r>
      <w:r>
        <w:rPr>
          <w:spacing w:val="-7"/>
          <w:w w:val="120"/>
          <w:sz w:val="20"/>
        </w:rPr>
        <w:t> </w:t>
      </w:r>
      <w:r>
        <w:rPr>
          <w:spacing w:val="-2"/>
          <w:w w:val="120"/>
          <w:sz w:val="20"/>
        </w:rPr>
        <w:t>delegated </w:t>
      </w:r>
      <w:r>
        <w:rPr>
          <w:spacing w:val="-3"/>
          <w:w w:val="120"/>
          <w:sz w:val="20"/>
        </w:rPr>
        <w:t>power</w:t>
      </w:r>
      <w:r>
        <w:rPr>
          <w:spacing w:val="-6"/>
          <w:w w:val="120"/>
          <w:sz w:val="20"/>
        </w:rPr>
        <w:t> </w:t>
      </w:r>
      <w:r>
        <w:rPr>
          <w:spacing w:val="-3"/>
          <w:w w:val="120"/>
          <w:sz w:val="20"/>
        </w:rPr>
        <w:t>to</w:t>
      </w:r>
      <w:r>
        <w:rPr>
          <w:spacing w:val="-5"/>
          <w:w w:val="120"/>
          <w:sz w:val="20"/>
        </w:rPr>
        <w:t> </w:t>
      </w:r>
      <w:r>
        <w:rPr>
          <w:w w:val="120"/>
          <w:sz w:val="20"/>
        </w:rPr>
        <w:t>deal</w:t>
      </w:r>
      <w:r>
        <w:rPr>
          <w:spacing w:val="-5"/>
          <w:w w:val="120"/>
          <w:sz w:val="20"/>
        </w:rPr>
        <w:t> </w:t>
      </w:r>
      <w:r>
        <w:rPr>
          <w:w w:val="120"/>
          <w:sz w:val="20"/>
        </w:rPr>
        <w:t>on</w:t>
      </w:r>
      <w:r>
        <w:rPr>
          <w:spacing w:val="-5"/>
          <w:w w:val="120"/>
          <w:sz w:val="20"/>
        </w:rPr>
        <w:t> </w:t>
      </w:r>
      <w:r>
        <w:rPr>
          <w:spacing w:val="-3"/>
          <w:w w:val="120"/>
          <w:sz w:val="20"/>
        </w:rPr>
        <w:t>Assembly’s</w:t>
      </w:r>
      <w:r>
        <w:rPr>
          <w:spacing w:val="-6"/>
          <w:w w:val="120"/>
          <w:sz w:val="20"/>
        </w:rPr>
        <w:t> </w:t>
      </w:r>
      <w:r>
        <w:rPr>
          <w:w w:val="120"/>
          <w:sz w:val="20"/>
        </w:rPr>
        <w:t>behalf</w:t>
      </w:r>
      <w:r>
        <w:rPr>
          <w:spacing w:val="-5"/>
          <w:w w:val="120"/>
          <w:sz w:val="20"/>
        </w:rPr>
        <w:t> </w:t>
      </w:r>
      <w:r>
        <w:rPr>
          <w:w w:val="120"/>
          <w:sz w:val="20"/>
        </w:rPr>
        <w:t>with</w:t>
      </w:r>
      <w:r>
        <w:rPr>
          <w:spacing w:val="-5"/>
          <w:w w:val="120"/>
          <w:sz w:val="20"/>
        </w:rPr>
        <w:t> </w:t>
      </w:r>
      <w:r>
        <w:rPr>
          <w:w w:val="120"/>
          <w:sz w:val="20"/>
        </w:rPr>
        <w:t>matters</w:t>
      </w:r>
      <w:r>
        <w:rPr>
          <w:spacing w:val="-5"/>
          <w:w w:val="120"/>
          <w:sz w:val="20"/>
        </w:rPr>
        <w:t> </w:t>
      </w:r>
      <w:r>
        <w:rPr>
          <w:w w:val="120"/>
          <w:sz w:val="20"/>
        </w:rPr>
        <w:t>that</w:t>
      </w:r>
      <w:r>
        <w:rPr>
          <w:spacing w:val="-6"/>
          <w:w w:val="120"/>
          <w:sz w:val="20"/>
        </w:rPr>
        <w:t> </w:t>
      </w:r>
      <w:r>
        <w:rPr>
          <w:w w:val="120"/>
          <w:sz w:val="20"/>
        </w:rPr>
        <w:t>require</w:t>
      </w:r>
      <w:r>
        <w:rPr>
          <w:spacing w:val="-5"/>
          <w:w w:val="120"/>
          <w:sz w:val="20"/>
        </w:rPr>
        <w:t> </w:t>
      </w:r>
      <w:r>
        <w:rPr>
          <w:w w:val="120"/>
          <w:sz w:val="20"/>
        </w:rPr>
        <w:t>prompt</w:t>
      </w:r>
      <w:r>
        <w:rPr>
          <w:spacing w:val="-5"/>
          <w:w w:val="120"/>
          <w:sz w:val="20"/>
        </w:rPr>
        <w:t> </w:t>
      </w:r>
      <w:r>
        <w:rPr>
          <w:w w:val="120"/>
          <w:sz w:val="20"/>
        </w:rPr>
        <w:t>attention.</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060" w:firstLine="0"/>
        <w:jc w:val="left"/>
        <w:rPr>
          <w:sz w:val="20"/>
        </w:rPr>
      </w:pPr>
      <w:r>
        <w:rPr>
          <w:w w:val="120"/>
          <w:sz w:val="20"/>
        </w:rPr>
        <w:t>Thus Mission Council must often deal with detail and practicalities, so that specific matters may progress without undue </w:t>
      </w:r>
      <w:r>
        <w:rPr>
          <w:spacing w:val="-3"/>
          <w:w w:val="120"/>
          <w:sz w:val="20"/>
        </w:rPr>
        <w:t>delay. </w:t>
      </w:r>
      <w:r>
        <w:rPr>
          <w:w w:val="120"/>
          <w:sz w:val="20"/>
        </w:rPr>
        <w:t>It also attends to overview and vision, so that the presentation of business at Assembly may enable Assembly ‘to take a more comprehensive view of the activity and policy of the </w:t>
      </w:r>
      <w:r>
        <w:rPr>
          <w:spacing w:val="-4"/>
          <w:w w:val="120"/>
          <w:sz w:val="20"/>
        </w:rPr>
        <w:t>Church’. </w:t>
      </w:r>
      <w:r>
        <w:rPr>
          <w:w w:val="120"/>
          <w:sz w:val="20"/>
        </w:rPr>
        <w:t>In order for Mission Council to be alert to the needs, concerns, opportunities and hopes of the whole body of</w:t>
      </w:r>
      <w:r>
        <w:rPr>
          <w:spacing w:val="4"/>
          <w:w w:val="120"/>
          <w:sz w:val="20"/>
        </w:rPr>
        <w:t> </w:t>
      </w:r>
      <w:r>
        <w:rPr>
          <w:w w:val="120"/>
          <w:sz w:val="20"/>
        </w:rPr>
        <w:t>the</w:t>
      </w:r>
      <w:r>
        <w:rPr>
          <w:spacing w:val="4"/>
          <w:w w:val="120"/>
          <w:sz w:val="20"/>
        </w:rPr>
        <w:t> </w:t>
      </w:r>
      <w:r>
        <w:rPr>
          <w:w w:val="120"/>
          <w:sz w:val="20"/>
        </w:rPr>
        <w:t>URC,</w:t>
      </w:r>
      <w:r>
        <w:rPr>
          <w:spacing w:val="5"/>
          <w:w w:val="120"/>
          <w:sz w:val="20"/>
        </w:rPr>
        <w:t> </w:t>
      </w:r>
      <w:r>
        <w:rPr>
          <w:w w:val="120"/>
          <w:sz w:val="20"/>
        </w:rPr>
        <w:t>people</w:t>
      </w:r>
      <w:r>
        <w:rPr>
          <w:spacing w:val="4"/>
          <w:w w:val="120"/>
          <w:sz w:val="20"/>
        </w:rPr>
        <w:t> </w:t>
      </w:r>
      <w:r>
        <w:rPr>
          <w:w w:val="120"/>
          <w:sz w:val="20"/>
        </w:rPr>
        <w:t>from</w:t>
      </w:r>
      <w:r>
        <w:rPr>
          <w:spacing w:val="5"/>
          <w:w w:val="120"/>
          <w:sz w:val="20"/>
        </w:rPr>
        <w:t> </w:t>
      </w:r>
      <w:r>
        <w:rPr>
          <w:w w:val="120"/>
          <w:sz w:val="20"/>
        </w:rPr>
        <w:t>the</w:t>
      </w:r>
      <w:r>
        <w:rPr>
          <w:spacing w:val="4"/>
          <w:w w:val="120"/>
          <w:sz w:val="20"/>
        </w:rPr>
        <w:t> </w:t>
      </w:r>
      <w:r>
        <w:rPr>
          <w:w w:val="120"/>
          <w:sz w:val="20"/>
        </w:rPr>
        <w:t>synods</w:t>
      </w:r>
      <w:r>
        <w:rPr>
          <w:spacing w:val="5"/>
          <w:w w:val="120"/>
          <w:sz w:val="20"/>
        </w:rPr>
        <w:t> </w:t>
      </w:r>
      <w:r>
        <w:rPr>
          <w:w w:val="120"/>
          <w:sz w:val="20"/>
        </w:rPr>
        <w:t>of</w:t>
      </w:r>
      <w:r>
        <w:rPr>
          <w:spacing w:val="4"/>
          <w:w w:val="120"/>
          <w:sz w:val="20"/>
        </w:rPr>
        <w:t> </w:t>
      </w:r>
      <w:r>
        <w:rPr>
          <w:w w:val="120"/>
          <w:sz w:val="20"/>
        </w:rPr>
        <w:t>the</w:t>
      </w:r>
      <w:r>
        <w:rPr>
          <w:spacing w:val="5"/>
          <w:w w:val="120"/>
          <w:sz w:val="20"/>
        </w:rPr>
        <w:t> </w:t>
      </w:r>
      <w:r>
        <w:rPr>
          <w:w w:val="120"/>
          <w:sz w:val="20"/>
        </w:rPr>
        <w:t>Church</w:t>
      </w:r>
      <w:r>
        <w:rPr>
          <w:spacing w:val="4"/>
          <w:w w:val="120"/>
          <w:sz w:val="20"/>
        </w:rPr>
        <w:t> </w:t>
      </w:r>
      <w:r>
        <w:rPr>
          <w:w w:val="120"/>
          <w:sz w:val="20"/>
        </w:rPr>
        <w:t>make</w:t>
      </w:r>
      <w:r>
        <w:rPr>
          <w:spacing w:val="5"/>
          <w:w w:val="120"/>
          <w:sz w:val="20"/>
        </w:rPr>
        <w:t> </w:t>
      </w:r>
      <w:r>
        <w:rPr>
          <w:w w:val="120"/>
          <w:sz w:val="20"/>
        </w:rPr>
        <w:t>up</w:t>
      </w:r>
      <w:r>
        <w:rPr>
          <w:spacing w:val="4"/>
          <w:w w:val="120"/>
          <w:sz w:val="20"/>
        </w:rPr>
        <w:t> </w:t>
      </w:r>
      <w:r>
        <w:rPr>
          <w:w w:val="120"/>
          <w:sz w:val="20"/>
        </w:rPr>
        <w:t>most</w:t>
      </w:r>
      <w:r>
        <w:rPr>
          <w:spacing w:val="5"/>
          <w:w w:val="120"/>
          <w:sz w:val="20"/>
        </w:rPr>
        <w:t> </w:t>
      </w:r>
      <w:r>
        <w:rPr>
          <w:w w:val="120"/>
          <w:sz w:val="20"/>
        </w:rPr>
        <w:t>of</w:t>
      </w:r>
      <w:r>
        <w:rPr>
          <w:spacing w:val="4"/>
          <w:w w:val="120"/>
          <w:sz w:val="20"/>
        </w:rPr>
        <w:t> </w:t>
      </w:r>
      <w:r>
        <w:rPr>
          <w:w w:val="120"/>
          <w:sz w:val="20"/>
        </w:rPr>
        <w:t>its</w:t>
      </w:r>
      <w:r>
        <w:rPr>
          <w:spacing w:val="5"/>
          <w:w w:val="120"/>
          <w:sz w:val="20"/>
        </w:rPr>
        <w:t> </w:t>
      </w:r>
      <w:r>
        <w:rPr>
          <w:w w:val="120"/>
          <w:sz w:val="20"/>
        </w:rPr>
        <w:t>membership.</w:t>
      </w:r>
    </w:p>
    <w:p>
      <w:pPr>
        <w:pStyle w:val="BodyText"/>
      </w:pPr>
    </w:p>
    <w:p>
      <w:pPr>
        <w:pStyle w:val="ListParagraph"/>
        <w:numPr>
          <w:ilvl w:val="0"/>
          <w:numId w:val="3"/>
        </w:numPr>
        <w:tabs>
          <w:tab w:pos="1227" w:val="left" w:leader="none"/>
          <w:tab w:pos="1228" w:val="left" w:leader="none"/>
        </w:tabs>
        <w:spacing w:line="235" w:lineRule="auto" w:before="0" w:after="0"/>
        <w:ind w:left="547" w:right="2610" w:firstLine="0"/>
        <w:jc w:val="left"/>
        <w:rPr>
          <w:sz w:val="20"/>
        </w:rPr>
      </w:pPr>
      <w:r>
        <w:rPr>
          <w:w w:val="120"/>
          <w:sz w:val="20"/>
        </w:rPr>
        <w:t>Mission Council meets in the autumn and the spring, for 48 hours on each occasion, and thus has met four times since the last meeting of General</w:t>
      </w:r>
      <w:r>
        <w:rPr>
          <w:spacing w:val="4"/>
          <w:w w:val="120"/>
          <w:sz w:val="20"/>
        </w:rPr>
        <w:t> </w:t>
      </w:r>
      <w:r>
        <w:rPr>
          <w:w w:val="120"/>
          <w:sz w:val="20"/>
        </w:rPr>
        <w:t>Assembly.</w:t>
      </w:r>
    </w:p>
    <w:p>
      <w:pPr>
        <w:pStyle w:val="BodyText"/>
        <w:spacing w:before="2"/>
        <w:rPr>
          <w:sz w:val="22"/>
        </w:rPr>
      </w:pPr>
    </w:p>
    <w:p>
      <w:pPr>
        <w:spacing w:before="0"/>
        <w:ind w:left="547" w:right="0" w:firstLine="0"/>
        <w:jc w:val="left"/>
        <w:rPr>
          <w:rFonts w:ascii="Stone Sans II ITC Std Bk"/>
          <w:b/>
          <w:sz w:val="29"/>
        </w:rPr>
      </w:pPr>
      <w:r>
        <w:rPr>
          <w:rFonts w:ascii="Stone Sans II ITC Std Bk"/>
          <w:b/>
          <w:w w:val="110"/>
          <w:sz w:val="29"/>
        </w:rPr>
        <w:t>Preparing work for this Assembly</w:t>
      </w:r>
    </w:p>
    <w:p>
      <w:pPr>
        <w:pStyle w:val="ListParagraph"/>
        <w:numPr>
          <w:ilvl w:val="0"/>
          <w:numId w:val="3"/>
        </w:numPr>
        <w:tabs>
          <w:tab w:pos="1227" w:val="left" w:leader="none"/>
          <w:tab w:pos="1228" w:val="left" w:leader="none"/>
        </w:tabs>
        <w:spacing w:line="235" w:lineRule="auto" w:before="69" w:after="0"/>
        <w:ind w:left="547" w:right="1974" w:firstLine="0"/>
        <w:jc w:val="left"/>
        <w:rPr>
          <w:sz w:val="20"/>
        </w:rPr>
      </w:pPr>
      <w:r>
        <w:rPr>
          <w:w w:val="120"/>
          <w:sz w:val="20"/>
        </w:rPr>
        <w:t>A number of major projects and tasks have been considered at Mission Council, often more than once as work evolved from one stage to another. Several of these pieces of work are included elsewhere in the Assembly agenda, so need just a mention here rather than lengthy exposition. They all, </w:t>
      </w:r>
      <w:r>
        <w:rPr>
          <w:spacing w:val="-3"/>
          <w:w w:val="120"/>
          <w:sz w:val="20"/>
        </w:rPr>
        <w:t>however, </w:t>
      </w:r>
      <w:r>
        <w:rPr>
          <w:w w:val="120"/>
          <w:sz w:val="20"/>
        </w:rPr>
        <w:t>claimed time and care in Mission Council,</w:t>
      </w:r>
      <w:r>
        <w:rPr>
          <w:spacing w:val="7"/>
          <w:w w:val="120"/>
          <w:sz w:val="20"/>
        </w:rPr>
        <w:t> </w:t>
      </w:r>
      <w:r>
        <w:rPr>
          <w:w w:val="120"/>
          <w:sz w:val="20"/>
        </w:rPr>
        <w:t>which</w:t>
      </w:r>
      <w:r>
        <w:rPr>
          <w:spacing w:val="7"/>
          <w:w w:val="120"/>
          <w:sz w:val="20"/>
        </w:rPr>
        <w:t> </w:t>
      </w:r>
      <w:r>
        <w:rPr>
          <w:w w:val="120"/>
          <w:sz w:val="20"/>
        </w:rPr>
        <w:t>was</w:t>
      </w:r>
      <w:r>
        <w:rPr>
          <w:spacing w:val="7"/>
          <w:w w:val="120"/>
          <w:sz w:val="20"/>
        </w:rPr>
        <w:t> </w:t>
      </w:r>
      <w:r>
        <w:rPr>
          <w:w w:val="120"/>
          <w:sz w:val="20"/>
        </w:rPr>
        <w:t>concerned</w:t>
      </w:r>
      <w:r>
        <w:rPr>
          <w:spacing w:val="7"/>
          <w:w w:val="120"/>
          <w:sz w:val="20"/>
        </w:rPr>
        <w:t> </w:t>
      </w:r>
      <w:r>
        <w:rPr>
          <w:w w:val="120"/>
          <w:sz w:val="20"/>
        </w:rPr>
        <w:t>to</w:t>
      </w:r>
      <w:r>
        <w:rPr>
          <w:spacing w:val="7"/>
          <w:w w:val="120"/>
          <w:sz w:val="20"/>
        </w:rPr>
        <w:t> </w:t>
      </w:r>
      <w:r>
        <w:rPr>
          <w:w w:val="120"/>
          <w:sz w:val="20"/>
        </w:rPr>
        <w:t>bring</w:t>
      </w:r>
      <w:r>
        <w:rPr>
          <w:spacing w:val="7"/>
          <w:w w:val="120"/>
          <w:sz w:val="20"/>
        </w:rPr>
        <w:t> </w:t>
      </w:r>
      <w:r>
        <w:rPr>
          <w:w w:val="120"/>
          <w:sz w:val="20"/>
        </w:rPr>
        <w:t>them</w:t>
      </w:r>
      <w:r>
        <w:rPr>
          <w:spacing w:val="7"/>
          <w:w w:val="120"/>
          <w:sz w:val="20"/>
        </w:rPr>
        <w:t> </w:t>
      </w:r>
      <w:r>
        <w:rPr>
          <w:w w:val="120"/>
          <w:sz w:val="20"/>
        </w:rPr>
        <w:t>to</w:t>
      </w:r>
      <w:r>
        <w:rPr>
          <w:spacing w:val="7"/>
          <w:w w:val="120"/>
          <w:sz w:val="20"/>
        </w:rPr>
        <w:t> </w:t>
      </w:r>
      <w:r>
        <w:rPr>
          <w:w w:val="120"/>
          <w:sz w:val="20"/>
        </w:rPr>
        <w:t>Assembly</w:t>
      </w:r>
      <w:r>
        <w:rPr>
          <w:spacing w:val="7"/>
          <w:w w:val="120"/>
          <w:sz w:val="20"/>
        </w:rPr>
        <w:t> </w:t>
      </w:r>
      <w:r>
        <w:rPr>
          <w:w w:val="120"/>
          <w:sz w:val="20"/>
        </w:rPr>
        <w:t>in</w:t>
      </w:r>
      <w:r>
        <w:rPr>
          <w:spacing w:val="7"/>
          <w:w w:val="120"/>
          <w:sz w:val="20"/>
        </w:rPr>
        <w:t> </w:t>
      </w:r>
      <w:r>
        <w:rPr>
          <w:w w:val="120"/>
          <w:sz w:val="20"/>
        </w:rPr>
        <w:t>the</w:t>
      </w:r>
      <w:r>
        <w:rPr>
          <w:spacing w:val="7"/>
          <w:w w:val="120"/>
          <w:sz w:val="20"/>
        </w:rPr>
        <w:t> </w:t>
      </w:r>
      <w:r>
        <w:rPr>
          <w:w w:val="120"/>
          <w:sz w:val="20"/>
        </w:rPr>
        <w:t>best</w:t>
      </w:r>
      <w:r>
        <w:rPr>
          <w:spacing w:val="8"/>
          <w:w w:val="120"/>
          <w:sz w:val="20"/>
        </w:rPr>
        <w:t> </w:t>
      </w:r>
      <w:r>
        <w:rPr>
          <w:w w:val="120"/>
          <w:sz w:val="20"/>
        </w:rPr>
        <w:t>possible</w:t>
      </w:r>
      <w:r>
        <w:rPr>
          <w:spacing w:val="7"/>
          <w:w w:val="120"/>
          <w:sz w:val="20"/>
        </w:rPr>
        <w:t> </w:t>
      </w:r>
      <w:r>
        <w:rPr>
          <w:w w:val="120"/>
          <w:sz w:val="20"/>
        </w:rPr>
        <w:t>shape.</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1" w:after="0"/>
        <w:ind w:left="547" w:right="2050" w:hanging="1"/>
        <w:jc w:val="left"/>
        <w:rPr>
          <w:sz w:val="20"/>
        </w:rPr>
      </w:pPr>
      <w:r>
        <w:rPr>
          <w:w w:val="120"/>
          <w:sz w:val="20"/>
        </w:rPr>
        <w:t>Assembly</w:t>
      </w:r>
      <w:r>
        <w:rPr>
          <w:spacing w:val="-6"/>
          <w:w w:val="120"/>
          <w:sz w:val="20"/>
        </w:rPr>
        <w:t> </w:t>
      </w:r>
      <w:r>
        <w:rPr>
          <w:spacing w:val="-8"/>
          <w:w w:val="120"/>
          <w:sz w:val="20"/>
        </w:rPr>
        <w:t>2016</w:t>
      </w:r>
      <w:r>
        <w:rPr>
          <w:spacing w:val="-5"/>
          <w:w w:val="120"/>
          <w:sz w:val="20"/>
        </w:rPr>
        <w:t> </w:t>
      </w:r>
      <w:r>
        <w:rPr>
          <w:spacing w:val="-3"/>
          <w:w w:val="120"/>
          <w:sz w:val="20"/>
        </w:rPr>
        <w:t>commissioned</w:t>
      </w:r>
      <w:r>
        <w:rPr>
          <w:spacing w:val="-6"/>
          <w:w w:val="120"/>
          <w:sz w:val="20"/>
        </w:rPr>
        <w:t> </w:t>
      </w:r>
      <w:r>
        <w:rPr>
          <w:w w:val="120"/>
          <w:sz w:val="20"/>
        </w:rPr>
        <w:t>work</w:t>
      </w:r>
      <w:r>
        <w:rPr>
          <w:spacing w:val="-5"/>
          <w:w w:val="120"/>
          <w:sz w:val="20"/>
        </w:rPr>
        <w:t> </w:t>
      </w:r>
      <w:r>
        <w:rPr>
          <w:w w:val="120"/>
          <w:sz w:val="20"/>
        </w:rPr>
        <w:t>from</w:t>
      </w:r>
      <w:r>
        <w:rPr>
          <w:spacing w:val="-5"/>
          <w:w w:val="120"/>
          <w:sz w:val="20"/>
        </w:rPr>
        <w:t> </w:t>
      </w:r>
      <w:r>
        <w:rPr>
          <w:w w:val="120"/>
          <w:sz w:val="20"/>
        </w:rPr>
        <w:t>a</w:t>
      </w:r>
      <w:r>
        <w:rPr>
          <w:spacing w:val="-6"/>
          <w:w w:val="120"/>
          <w:sz w:val="20"/>
        </w:rPr>
        <w:t> </w:t>
      </w:r>
      <w:r>
        <w:rPr>
          <w:w w:val="120"/>
          <w:sz w:val="20"/>
        </w:rPr>
        <w:t>task</w:t>
      </w:r>
      <w:r>
        <w:rPr>
          <w:spacing w:val="-5"/>
          <w:w w:val="120"/>
          <w:sz w:val="20"/>
        </w:rPr>
        <w:t> </w:t>
      </w:r>
      <w:r>
        <w:rPr>
          <w:w w:val="120"/>
          <w:sz w:val="20"/>
        </w:rPr>
        <w:t>group</w:t>
      </w:r>
      <w:r>
        <w:rPr>
          <w:spacing w:val="-5"/>
          <w:w w:val="120"/>
          <w:sz w:val="20"/>
        </w:rPr>
        <w:t> </w:t>
      </w:r>
      <w:r>
        <w:rPr>
          <w:w w:val="120"/>
          <w:sz w:val="20"/>
        </w:rPr>
        <w:t>on</w:t>
      </w:r>
      <w:r>
        <w:rPr>
          <w:spacing w:val="-6"/>
          <w:w w:val="120"/>
          <w:sz w:val="20"/>
        </w:rPr>
        <w:t> </w:t>
      </w:r>
      <w:r>
        <w:rPr>
          <w:w w:val="120"/>
          <w:sz w:val="20"/>
        </w:rPr>
        <w:t>the</w:t>
      </w:r>
      <w:r>
        <w:rPr>
          <w:spacing w:val="-5"/>
          <w:w w:val="120"/>
          <w:sz w:val="20"/>
        </w:rPr>
        <w:t> </w:t>
      </w:r>
      <w:r>
        <w:rPr>
          <w:w w:val="120"/>
          <w:sz w:val="20"/>
        </w:rPr>
        <w:t>future</w:t>
      </w:r>
      <w:r>
        <w:rPr>
          <w:spacing w:val="-5"/>
          <w:w w:val="120"/>
          <w:sz w:val="20"/>
        </w:rPr>
        <w:t> </w:t>
      </w:r>
      <w:r>
        <w:rPr>
          <w:w w:val="120"/>
          <w:sz w:val="20"/>
        </w:rPr>
        <w:t>arrangements for General </w:t>
      </w:r>
      <w:r>
        <w:rPr>
          <w:spacing w:val="-3"/>
          <w:w w:val="120"/>
          <w:sz w:val="20"/>
        </w:rPr>
        <w:t>Assembly, </w:t>
      </w:r>
      <w:r>
        <w:rPr>
          <w:w w:val="120"/>
          <w:sz w:val="20"/>
        </w:rPr>
        <w:t>for the years </w:t>
      </w:r>
      <w:r>
        <w:rPr>
          <w:spacing w:val="-4"/>
          <w:w w:val="120"/>
          <w:sz w:val="20"/>
        </w:rPr>
        <w:t>2020 </w:t>
      </w:r>
      <w:r>
        <w:rPr>
          <w:spacing w:val="-3"/>
          <w:w w:val="120"/>
          <w:sz w:val="20"/>
        </w:rPr>
        <w:t>to </w:t>
      </w:r>
      <w:r>
        <w:rPr>
          <w:spacing w:val="-5"/>
          <w:w w:val="120"/>
          <w:sz w:val="20"/>
        </w:rPr>
        <w:t>2030. </w:t>
      </w:r>
      <w:r>
        <w:rPr>
          <w:w w:val="120"/>
          <w:sz w:val="20"/>
        </w:rPr>
        <w:t>This task group has shared its </w:t>
      </w:r>
      <w:r>
        <w:rPr>
          <w:spacing w:val="-2"/>
          <w:w w:val="120"/>
          <w:sz w:val="20"/>
        </w:rPr>
        <w:t>thinking </w:t>
      </w:r>
      <w:r>
        <w:rPr>
          <w:w w:val="120"/>
          <w:sz w:val="20"/>
        </w:rPr>
        <w:t>in </w:t>
      </w:r>
      <w:r>
        <w:rPr>
          <w:spacing w:val="-3"/>
          <w:w w:val="120"/>
          <w:sz w:val="20"/>
        </w:rPr>
        <w:t>provisional ways </w:t>
      </w:r>
      <w:r>
        <w:rPr>
          <w:w w:val="120"/>
          <w:sz w:val="20"/>
        </w:rPr>
        <w:t>with Mission </w:t>
      </w:r>
      <w:r>
        <w:rPr>
          <w:spacing w:val="-3"/>
          <w:w w:val="120"/>
          <w:sz w:val="20"/>
        </w:rPr>
        <w:t>Council </w:t>
      </w:r>
      <w:r>
        <w:rPr>
          <w:w w:val="120"/>
          <w:sz w:val="20"/>
        </w:rPr>
        <w:t>and will </w:t>
      </w:r>
      <w:r>
        <w:rPr>
          <w:spacing w:val="-2"/>
          <w:w w:val="120"/>
          <w:sz w:val="20"/>
        </w:rPr>
        <w:t>now </w:t>
      </w:r>
      <w:r>
        <w:rPr>
          <w:w w:val="120"/>
          <w:sz w:val="20"/>
        </w:rPr>
        <w:t>report </w:t>
      </w:r>
      <w:r>
        <w:rPr>
          <w:spacing w:val="-3"/>
          <w:w w:val="120"/>
          <w:sz w:val="20"/>
        </w:rPr>
        <w:t>to </w:t>
      </w:r>
      <w:r>
        <w:rPr>
          <w:w w:val="120"/>
          <w:sz w:val="20"/>
        </w:rPr>
        <w:t>General </w:t>
      </w:r>
      <w:r>
        <w:rPr>
          <w:spacing w:val="-3"/>
          <w:w w:val="120"/>
          <w:sz w:val="20"/>
        </w:rPr>
        <w:t>Assembly, </w:t>
      </w:r>
      <w:r>
        <w:rPr>
          <w:w w:val="120"/>
          <w:sz w:val="20"/>
        </w:rPr>
        <w:t>in order that Assembly </w:t>
      </w:r>
      <w:r>
        <w:rPr>
          <w:spacing w:val="-3"/>
          <w:w w:val="120"/>
          <w:sz w:val="20"/>
        </w:rPr>
        <w:t>may </w:t>
      </w:r>
      <w:r>
        <w:rPr>
          <w:w w:val="120"/>
          <w:sz w:val="20"/>
        </w:rPr>
        <w:t>take its </w:t>
      </w:r>
      <w:r>
        <w:rPr>
          <w:spacing w:val="-2"/>
          <w:w w:val="120"/>
          <w:sz w:val="20"/>
        </w:rPr>
        <w:t>own </w:t>
      </w:r>
      <w:r>
        <w:rPr>
          <w:spacing w:val="-3"/>
          <w:w w:val="120"/>
          <w:sz w:val="20"/>
        </w:rPr>
        <w:t>decisions </w:t>
      </w:r>
      <w:r>
        <w:rPr>
          <w:w w:val="120"/>
          <w:sz w:val="20"/>
        </w:rPr>
        <w:t>about its </w:t>
      </w:r>
      <w:r>
        <w:rPr>
          <w:spacing w:val="-2"/>
          <w:w w:val="120"/>
          <w:sz w:val="20"/>
        </w:rPr>
        <w:t>own</w:t>
      </w:r>
      <w:r>
        <w:rPr>
          <w:spacing w:val="-25"/>
          <w:w w:val="120"/>
          <w:sz w:val="20"/>
        </w:rPr>
        <w:t> </w:t>
      </w:r>
      <w:r>
        <w:rPr>
          <w:w w:val="120"/>
          <w:sz w:val="20"/>
        </w:rPr>
        <w:t>work.</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016" w:firstLine="0"/>
        <w:jc w:val="both"/>
        <w:rPr>
          <w:sz w:val="20"/>
        </w:rPr>
      </w:pPr>
      <w:r>
        <w:rPr>
          <w:w w:val="120"/>
          <w:sz w:val="20"/>
        </w:rPr>
        <w:t>Mission Council has received regular </w:t>
      </w:r>
      <w:r>
        <w:rPr>
          <w:spacing w:val="2"/>
          <w:w w:val="120"/>
          <w:sz w:val="20"/>
        </w:rPr>
        <w:t>reports </w:t>
      </w:r>
      <w:r>
        <w:rPr>
          <w:w w:val="120"/>
          <w:sz w:val="20"/>
        </w:rPr>
        <w:t>on work for ‘Walking the </w:t>
      </w:r>
      <w:r>
        <w:rPr>
          <w:spacing w:val="-5"/>
          <w:w w:val="120"/>
          <w:sz w:val="20"/>
        </w:rPr>
        <w:t>Way’, </w:t>
      </w:r>
      <w:r>
        <w:rPr>
          <w:w w:val="120"/>
          <w:sz w:val="20"/>
        </w:rPr>
        <w:t>with its focus on Missional Discipleship. An account of this work, its vision and its progress, is an appendix to this Mission Council</w:t>
      </w:r>
      <w:r>
        <w:rPr>
          <w:spacing w:val="14"/>
          <w:w w:val="120"/>
          <w:sz w:val="20"/>
        </w:rPr>
        <w:t> </w:t>
      </w:r>
      <w:r>
        <w:rPr>
          <w:w w:val="120"/>
          <w:sz w:val="20"/>
        </w:rPr>
        <w:t>report.</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1955" w:firstLine="0"/>
        <w:jc w:val="left"/>
        <w:rPr>
          <w:sz w:val="20"/>
        </w:rPr>
      </w:pPr>
      <w:r>
        <w:rPr>
          <w:w w:val="120"/>
          <w:sz w:val="20"/>
        </w:rPr>
        <w:t>The ministries committee has developed its thinking on patterns of local ministry and leadership, on deployment and call, and in particular on non-stipendiary ministry. It has reported on these matters to Mission Council and has received encouragement and guidance as it continues these pieces of</w:t>
      </w:r>
      <w:r>
        <w:rPr>
          <w:spacing w:val="14"/>
          <w:w w:val="120"/>
          <w:sz w:val="20"/>
        </w:rPr>
        <w:t> </w:t>
      </w:r>
      <w:r>
        <w:rPr>
          <w:w w:val="120"/>
          <w:sz w:val="20"/>
        </w:rPr>
        <w:t>work.</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200" w:firstLine="0"/>
        <w:jc w:val="left"/>
        <w:rPr>
          <w:sz w:val="20"/>
        </w:rPr>
      </w:pPr>
      <w:r>
        <w:rPr>
          <w:w w:val="120"/>
          <w:sz w:val="20"/>
        </w:rPr>
        <w:t>The education and learning committee has used Mission Council as a sounding board for its work on a Discipleship Development Strategy, and on the learning resource </w:t>
      </w:r>
      <w:r>
        <w:rPr>
          <w:spacing w:val="-3"/>
          <w:w w:val="120"/>
          <w:sz w:val="20"/>
        </w:rPr>
        <w:t>(called Stepwise) </w:t>
      </w:r>
      <w:r>
        <w:rPr>
          <w:w w:val="120"/>
          <w:sz w:val="20"/>
        </w:rPr>
        <w:t>that is to succeed</w:t>
      </w:r>
      <w:r>
        <w:rPr>
          <w:spacing w:val="24"/>
          <w:w w:val="120"/>
          <w:sz w:val="20"/>
        </w:rPr>
        <w:t> </w:t>
      </w:r>
      <w:r>
        <w:rPr>
          <w:w w:val="120"/>
          <w:sz w:val="20"/>
        </w:rPr>
        <w:t>TLS.</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2350" w:firstLine="0"/>
        <w:jc w:val="left"/>
        <w:rPr>
          <w:sz w:val="20"/>
        </w:rPr>
      </w:pPr>
      <w:r>
        <w:rPr>
          <w:spacing w:val="3"/>
          <w:w w:val="120"/>
          <w:sz w:val="20"/>
        </w:rPr>
        <w:t>As </w:t>
      </w:r>
      <w:r>
        <w:rPr>
          <w:w w:val="120"/>
          <w:sz w:val="20"/>
        </w:rPr>
        <w:t>the faith and order committee worked with the </w:t>
      </w:r>
      <w:r>
        <w:rPr>
          <w:spacing w:val="-7"/>
          <w:w w:val="120"/>
          <w:sz w:val="20"/>
        </w:rPr>
        <w:t>2016 </w:t>
      </w:r>
      <w:r>
        <w:rPr>
          <w:w w:val="120"/>
          <w:sz w:val="20"/>
        </w:rPr>
        <w:t>Assembly resolution on isolated members, it discussed practical possibilities with Mission Council, before bringing a carefully thought-out proposal to this</w:t>
      </w:r>
      <w:r>
        <w:rPr>
          <w:spacing w:val="22"/>
          <w:w w:val="120"/>
          <w:sz w:val="20"/>
        </w:rPr>
        <w:t> </w:t>
      </w:r>
      <w:r>
        <w:rPr>
          <w:w w:val="120"/>
          <w:sz w:val="20"/>
        </w:rPr>
        <w:t>Assembly.</w:t>
      </w:r>
    </w:p>
    <w:p>
      <w:pPr>
        <w:pStyle w:val="BodyText"/>
        <w:spacing w:before="3"/>
        <w:rPr>
          <w:sz w:val="22"/>
        </w:rPr>
      </w:pPr>
    </w:p>
    <w:p>
      <w:pPr>
        <w:pStyle w:val="Heading4"/>
        <w:ind w:left="547" w:firstLine="0"/>
      </w:pPr>
      <w:r>
        <w:rPr>
          <w:w w:val="110"/>
        </w:rPr>
        <w:t>Assembly remits and Assembly process</w:t>
      </w:r>
    </w:p>
    <w:p>
      <w:pPr>
        <w:pStyle w:val="ListParagraph"/>
        <w:numPr>
          <w:ilvl w:val="0"/>
          <w:numId w:val="3"/>
        </w:numPr>
        <w:tabs>
          <w:tab w:pos="1227" w:val="left" w:leader="none"/>
          <w:tab w:pos="1228" w:val="left" w:leader="none"/>
        </w:tabs>
        <w:spacing w:line="235" w:lineRule="auto" w:before="69" w:after="0"/>
        <w:ind w:left="547" w:right="2402" w:firstLine="0"/>
        <w:jc w:val="left"/>
        <w:rPr>
          <w:sz w:val="20"/>
        </w:rPr>
      </w:pPr>
      <w:r>
        <w:rPr>
          <w:w w:val="120"/>
          <w:sz w:val="20"/>
        </w:rPr>
        <w:t>Mission Council addressed several matters that were either considered at the Southport General Assembly in </w:t>
      </w:r>
      <w:r>
        <w:rPr>
          <w:spacing w:val="-7"/>
          <w:w w:val="120"/>
          <w:sz w:val="20"/>
        </w:rPr>
        <w:t>2016 </w:t>
      </w:r>
      <w:r>
        <w:rPr>
          <w:w w:val="120"/>
          <w:sz w:val="20"/>
        </w:rPr>
        <w:t>or that relate directly to the business of this </w:t>
      </w:r>
      <w:r>
        <w:rPr>
          <w:spacing w:val="-6"/>
          <w:w w:val="120"/>
          <w:sz w:val="20"/>
        </w:rPr>
        <w:t>2018</w:t>
      </w:r>
      <w:r>
        <w:rPr>
          <w:spacing w:val="2"/>
          <w:w w:val="120"/>
          <w:sz w:val="20"/>
        </w:rPr>
        <w:t> </w:t>
      </w:r>
      <w:r>
        <w:rPr>
          <w:w w:val="120"/>
          <w:sz w:val="20"/>
        </w:rPr>
        <w:t>Assembly.</w:t>
      </w:r>
    </w:p>
    <w:p>
      <w:pPr>
        <w:spacing w:after="0" w:line="235" w:lineRule="auto"/>
        <w:jc w:val="left"/>
        <w:rPr>
          <w:sz w:val="20"/>
        </w:rPr>
        <w:sectPr>
          <w:headerReference w:type="even" r:id="rId59"/>
          <w:footerReference w:type="even" r:id="rId60"/>
          <w:footerReference w:type="default" r:id="rId61"/>
          <w:pgSz w:w="11910" w:h="16840"/>
          <w:pgMar w:header="0" w:footer="647" w:top="0" w:bottom="840" w:left="700" w:right="0"/>
          <w:pgNumType w:start="6"/>
        </w:sectPr>
      </w:pPr>
    </w:p>
    <w:p>
      <w:pPr>
        <w:pStyle w:val="BodyText"/>
      </w:pPr>
      <w:r>
        <w:rPr/>
        <w:drawing>
          <wp:anchor distT="0" distB="0" distL="0" distR="0" allowOverlap="1" layoutInCell="1" locked="0" behindDoc="0" simplePos="0" relativeHeight="251696128">
            <wp:simplePos x="0" y="0"/>
            <wp:positionH relativeFrom="page">
              <wp:posOffset>6974928</wp:posOffset>
            </wp:positionH>
            <wp:positionV relativeFrom="page">
              <wp:posOffset>0</wp:posOffset>
            </wp:positionV>
            <wp:extent cx="585076" cy="10692003"/>
            <wp:effectExtent l="0" t="0" r="0" b="0"/>
            <wp:wrapNone/>
            <wp:docPr id="9" name="image50.png"/>
            <wp:cNvGraphicFramePr>
              <a:graphicFrameLocks noChangeAspect="1"/>
            </wp:cNvGraphicFramePr>
            <a:graphic>
              <a:graphicData uri="http://schemas.openxmlformats.org/drawingml/2006/picture">
                <pic:pic>
                  <pic:nvPicPr>
                    <pic:cNvPr id="1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165.65pt;mso-position-horizontal-relative:page;mso-position-vertical-relative:paragraph;z-index:251697152"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r>
        <w:rPr>
          <w:color w:val="7EAABF"/>
          <w:w w:val="120"/>
        </w:rPr>
        <w:t>Mission Council</w:t>
      </w:r>
    </w:p>
    <w:p>
      <w:pPr>
        <w:pStyle w:val="ListParagraph"/>
        <w:numPr>
          <w:ilvl w:val="0"/>
          <w:numId w:val="3"/>
        </w:numPr>
        <w:tabs>
          <w:tab w:pos="1964" w:val="left" w:leader="none"/>
          <w:tab w:pos="1965" w:val="left" w:leader="none"/>
        </w:tabs>
        <w:spacing w:line="235" w:lineRule="auto" w:before="222" w:after="0"/>
        <w:ind w:left="1284" w:right="1481" w:firstLine="0"/>
        <w:jc w:val="left"/>
        <w:rPr>
          <w:sz w:val="20"/>
        </w:rPr>
      </w:pPr>
      <w:r>
        <w:rPr>
          <w:w w:val="120"/>
          <w:sz w:val="20"/>
        </w:rPr>
        <w:t>After the matter had been duly referred to the synods of the Church, Mission Council gave final approval to Resolution 3 from Southport, which sets out procedure for Appeal, Reference and Constitutional Review between councils of the</w:t>
      </w:r>
      <w:r>
        <w:rPr>
          <w:spacing w:val="39"/>
          <w:w w:val="120"/>
          <w:sz w:val="20"/>
        </w:rPr>
        <w:t> </w:t>
      </w:r>
      <w:r>
        <w:rPr>
          <w:w w:val="120"/>
          <w:sz w:val="20"/>
        </w:rPr>
        <w:t>Church.</w:t>
      </w:r>
    </w:p>
    <w:p>
      <w:pPr>
        <w:pStyle w:val="BodyText"/>
        <w:spacing w:line="235" w:lineRule="auto" w:before="2"/>
        <w:ind w:left="1284" w:right="1816"/>
      </w:pPr>
      <w:r>
        <w:rPr>
          <w:w w:val="120"/>
        </w:rPr>
        <w:t>Mission Council also clarified that an Appeal, in this connection, may be made by   a person directly affected by a decision, even if that person is not a member of the council that made the</w:t>
      </w:r>
      <w:r>
        <w:rPr>
          <w:spacing w:val="8"/>
          <w:w w:val="120"/>
        </w:rPr>
        <w:t> </w:t>
      </w:r>
      <w:r>
        <w:rPr>
          <w:w w:val="120"/>
        </w:rPr>
        <w:t>decision.</w:t>
      </w:r>
    </w:p>
    <w:p>
      <w:pPr>
        <w:pStyle w:val="BodyText"/>
        <w:spacing w:before="10"/>
        <w:rPr>
          <w:sz w:val="19"/>
        </w:rPr>
      </w:pPr>
    </w:p>
    <w:p>
      <w:pPr>
        <w:pStyle w:val="ListParagraph"/>
        <w:numPr>
          <w:ilvl w:val="0"/>
          <w:numId w:val="3"/>
        </w:numPr>
        <w:tabs>
          <w:tab w:pos="1964" w:val="left" w:leader="none"/>
          <w:tab w:pos="1965" w:val="left" w:leader="none"/>
        </w:tabs>
        <w:spacing w:line="235" w:lineRule="auto" w:before="0" w:after="0"/>
        <w:ind w:left="1284" w:right="1376" w:firstLine="0"/>
        <w:jc w:val="left"/>
        <w:rPr>
          <w:sz w:val="20"/>
        </w:rPr>
      </w:pPr>
      <w:r>
        <w:rPr>
          <w:w w:val="120"/>
          <w:sz w:val="20"/>
        </w:rPr>
        <w:t>Again after due referral to the synods, Mission Council gave final approval to Resolution </w:t>
      </w:r>
      <w:r>
        <w:rPr>
          <w:spacing w:val="-5"/>
          <w:w w:val="120"/>
          <w:sz w:val="20"/>
        </w:rPr>
        <w:t>42 </w:t>
      </w:r>
      <w:r>
        <w:rPr>
          <w:w w:val="120"/>
          <w:sz w:val="20"/>
        </w:rPr>
        <w:t>from Southport, which provided more flexibly than before for youth representation in councils of the Church. Mission Council also clarified that the upper age limit for URC </w:t>
      </w:r>
      <w:r>
        <w:rPr>
          <w:spacing w:val="-3"/>
          <w:w w:val="120"/>
          <w:sz w:val="20"/>
        </w:rPr>
        <w:t>Youth </w:t>
      </w:r>
      <w:r>
        <w:rPr>
          <w:w w:val="120"/>
          <w:sz w:val="20"/>
        </w:rPr>
        <w:t>is a person’s 26th birthday: people aged 25 are youthful; those aged </w:t>
      </w:r>
      <w:r>
        <w:rPr>
          <w:spacing w:val="-3"/>
          <w:w w:val="120"/>
          <w:sz w:val="20"/>
        </w:rPr>
        <w:t>26 </w:t>
      </w:r>
      <w:r>
        <w:rPr>
          <w:w w:val="120"/>
          <w:sz w:val="20"/>
        </w:rPr>
        <w:t>are</w:t>
      </w:r>
      <w:r>
        <w:rPr>
          <w:spacing w:val="9"/>
          <w:w w:val="120"/>
          <w:sz w:val="20"/>
        </w:rPr>
        <w:t> </w:t>
      </w:r>
      <w:r>
        <w:rPr>
          <w:w w:val="120"/>
          <w:sz w:val="20"/>
        </w:rPr>
        <w:t>not.</w:t>
      </w:r>
    </w:p>
    <w:p>
      <w:pPr>
        <w:pStyle w:val="BodyText"/>
        <w:spacing w:before="11"/>
        <w:rPr>
          <w:sz w:val="19"/>
        </w:rPr>
      </w:pPr>
    </w:p>
    <w:p>
      <w:pPr>
        <w:pStyle w:val="ListParagraph"/>
        <w:numPr>
          <w:ilvl w:val="0"/>
          <w:numId w:val="3"/>
        </w:numPr>
        <w:tabs>
          <w:tab w:pos="1964" w:val="left" w:leader="none"/>
          <w:tab w:pos="1965" w:val="left" w:leader="none"/>
        </w:tabs>
        <w:spacing w:line="235" w:lineRule="auto" w:before="1" w:after="0"/>
        <w:ind w:left="1284" w:right="1631" w:firstLine="0"/>
        <w:jc w:val="left"/>
        <w:rPr>
          <w:sz w:val="20"/>
        </w:rPr>
      </w:pPr>
      <w:r>
        <w:rPr>
          <w:w w:val="120"/>
          <w:sz w:val="20"/>
        </w:rPr>
        <w:t>Mission Council extended Resolution 7 from Southport, on the marriage of same sex couples, in response to legislation in the Isle of Man and in Guernsey. New legislation in Jersey may also be considered before long, possibly in autumn </w:t>
      </w:r>
      <w:r>
        <w:rPr>
          <w:spacing w:val="-5"/>
          <w:w w:val="120"/>
          <w:sz w:val="20"/>
        </w:rPr>
        <w:t>2018. </w:t>
      </w:r>
      <w:r>
        <w:rPr>
          <w:w w:val="120"/>
          <w:sz w:val="20"/>
        </w:rPr>
        <w:t>Mission Council also thanked and discharged the human sexuality task group, which had brought careful and extensive material to Assembly meetings in </w:t>
      </w:r>
      <w:r>
        <w:rPr>
          <w:spacing w:val="-7"/>
          <w:w w:val="120"/>
          <w:sz w:val="20"/>
        </w:rPr>
        <w:t>2014 </w:t>
      </w:r>
      <w:r>
        <w:rPr>
          <w:w w:val="120"/>
          <w:sz w:val="20"/>
        </w:rPr>
        <w:t>and</w:t>
      </w:r>
      <w:r>
        <w:rPr>
          <w:spacing w:val="54"/>
          <w:w w:val="120"/>
          <w:sz w:val="20"/>
        </w:rPr>
        <w:t> </w:t>
      </w:r>
      <w:r>
        <w:rPr>
          <w:spacing w:val="-7"/>
          <w:w w:val="120"/>
          <w:sz w:val="20"/>
        </w:rPr>
        <w:t>2015.</w:t>
      </w:r>
    </w:p>
    <w:p>
      <w:pPr>
        <w:pStyle w:val="BodyText"/>
        <w:spacing w:before="11"/>
        <w:rPr>
          <w:sz w:val="19"/>
        </w:rPr>
      </w:pPr>
    </w:p>
    <w:p>
      <w:pPr>
        <w:pStyle w:val="ListParagraph"/>
        <w:numPr>
          <w:ilvl w:val="0"/>
          <w:numId w:val="3"/>
        </w:numPr>
        <w:tabs>
          <w:tab w:pos="1964" w:val="left" w:leader="none"/>
          <w:tab w:pos="1965" w:val="left" w:leader="none"/>
        </w:tabs>
        <w:spacing w:line="235" w:lineRule="auto" w:before="0" w:after="0"/>
        <w:ind w:left="1284" w:right="1443" w:firstLine="0"/>
        <w:jc w:val="left"/>
        <w:rPr>
          <w:sz w:val="20"/>
        </w:rPr>
      </w:pPr>
      <w:r>
        <w:rPr>
          <w:w w:val="120"/>
          <w:sz w:val="20"/>
        </w:rPr>
        <w:t>Resolutions </w:t>
      </w:r>
      <w:r>
        <w:rPr>
          <w:spacing w:val="-8"/>
          <w:w w:val="120"/>
          <w:sz w:val="20"/>
        </w:rPr>
        <w:t>16 </w:t>
      </w:r>
      <w:r>
        <w:rPr>
          <w:w w:val="120"/>
          <w:sz w:val="20"/>
        </w:rPr>
        <w:t>and </w:t>
      </w:r>
      <w:r>
        <w:rPr>
          <w:spacing w:val="-7"/>
          <w:w w:val="120"/>
          <w:sz w:val="20"/>
        </w:rPr>
        <w:t>18 </w:t>
      </w:r>
      <w:r>
        <w:rPr>
          <w:w w:val="120"/>
          <w:sz w:val="20"/>
        </w:rPr>
        <w:t>from Southport asked for the preparation of a code of conduct </w:t>
      </w:r>
      <w:r>
        <w:rPr>
          <w:spacing w:val="-8"/>
          <w:w w:val="120"/>
          <w:sz w:val="20"/>
        </w:rPr>
        <w:t>(16) </w:t>
      </w:r>
      <w:r>
        <w:rPr>
          <w:w w:val="120"/>
          <w:sz w:val="20"/>
        </w:rPr>
        <w:t>and training material </w:t>
      </w:r>
      <w:r>
        <w:rPr>
          <w:spacing w:val="-10"/>
          <w:w w:val="120"/>
          <w:sz w:val="20"/>
        </w:rPr>
        <w:t>(18) </w:t>
      </w:r>
      <w:r>
        <w:rPr>
          <w:w w:val="120"/>
          <w:sz w:val="20"/>
        </w:rPr>
        <w:t>for people who serve as authorised elders. Mission Council signed off this code and noted the availability of the training</w:t>
      </w:r>
      <w:r>
        <w:rPr>
          <w:spacing w:val="50"/>
          <w:w w:val="120"/>
          <w:sz w:val="20"/>
        </w:rPr>
        <w:t> </w:t>
      </w:r>
      <w:r>
        <w:rPr>
          <w:w w:val="120"/>
          <w:sz w:val="20"/>
        </w:rPr>
        <w:t>material.</w:t>
      </w:r>
    </w:p>
    <w:p>
      <w:pPr>
        <w:pStyle w:val="BodyText"/>
        <w:spacing w:before="10"/>
        <w:rPr>
          <w:sz w:val="19"/>
        </w:rPr>
      </w:pPr>
    </w:p>
    <w:p>
      <w:pPr>
        <w:pStyle w:val="ListParagraph"/>
        <w:numPr>
          <w:ilvl w:val="0"/>
          <w:numId w:val="3"/>
        </w:numPr>
        <w:tabs>
          <w:tab w:pos="1965" w:val="left" w:leader="none"/>
        </w:tabs>
        <w:spacing w:line="235" w:lineRule="auto" w:before="0" w:after="0"/>
        <w:ind w:left="1284" w:right="1379" w:firstLine="0"/>
        <w:jc w:val="both"/>
        <w:rPr>
          <w:sz w:val="20"/>
        </w:rPr>
      </w:pPr>
      <w:r>
        <w:rPr>
          <w:w w:val="120"/>
          <w:sz w:val="20"/>
        </w:rPr>
        <w:t>Mission Council approved a tidier and more streamlined version of the </w:t>
      </w:r>
      <w:r>
        <w:rPr>
          <w:spacing w:val="-3"/>
          <w:w w:val="120"/>
          <w:sz w:val="20"/>
        </w:rPr>
        <w:t>Church’s </w:t>
      </w:r>
      <w:r>
        <w:rPr>
          <w:w w:val="120"/>
          <w:sz w:val="20"/>
        </w:rPr>
        <w:t>Standing Orders, which govern the meetings of Assembly and are therefore printed in this </w:t>
      </w:r>
      <w:r>
        <w:rPr>
          <w:i/>
          <w:w w:val="120"/>
          <w:sz w:val="20"/>
        </w:rPr>
        <w:t>Book of</w:t>
      </w:r>
      <w:r>
        <w:rPr>
          <w:i/>
          <w:spacing w:val="-4"/>
          <w:w w:val="120"/>
          <w:sz w:val="20"/>
        </w:rPr>
        <w:t> </w:t>
      </w:r>
      <w:r>
        <w:rPr>
          <w:i/>
          <w:w w:val="120"/>
          <w:sz w:val="20"/>
        </w:rPr>
        <w:t>Reports</w:t>
      </w:r>
      <w:r>
        <w:rPr>
          <w:w w:val="120"/>
          <w:sz w:val="20"/>
        </w:rPr>
        <w:t>.</w:t>
      </w:r>
    </w:p>
    <w:p>
      <w:pPr>
        <w:pStyle w:val="BodyText"/>
        <w:spacing w:before="3"/>
        <w:rPr>
          <w:sz w:val="22"/>
        </w:rPr>
      </w:pPr>
    </w:p>
    <w:p>
      <w:pPr>
        <w:pStyle w:val="Heading4"/>
        <w:spacing w:before="1"/>
        <w:ind w:left="1284" w:firstLine="0"/>
      </w:pPr>
      <w:r>
        <w:rPr>
          <w:w w:val="110"/>
        </w:rPr>
        <w:t>External commitments</w:t>
      </w:r>
    </w:p>
    <w:p>
      <w:pPr>
        <w:pStyle w:val="ListParagraph"/>
        <w:numPr>
          <w:ilvl w:val="0"/>
          <w:numId w:val="3"/>
        </w:numPr>
        <w:tabs>
          <w:tab w:pos="1964" w:val="left" w:leader="none"/>
          <w:tab w:pos="1965" w:val="left" w:leader="none"/>
        </w:tabs>
        <w:spacing w:line="235" w:lineRule="auto" w:before="69" w:after="0"/>
        <w:ind w:left="1284" w:right="1755" w:firstLine="0"/>
        <w:jc w:val="left"/>
        <w:rPr>
          <w:sz w:val="20"/>
        </w:rPr>
      </w:pPr>
      <w:r>
        <w:rPr>
          <w:w w:val="120"/>
          <w:sz w:val="20"/>
        </w:rPr>
        <w:t>Mission Council made a number of commitments on behalf of the Church in regard to international or ecumenical</w:t>
      </w:r>
      <w:r>
        <w:rPr>
          <w:spacing w:val="9"/>
          <w:w w:val="120"/>
          <w:sz w:val="20"/>
        </w:rPr>
        <w:t> </w:t>
      </w:r>
      <w:r>
        <w:rPr>
          <w:w w:val="120"/>
          <w:sz w:val="20"/>
        </w:rPr>
        <w:t>relationships.</w:t>
      </w:r>
    </w:p>
    <w:p>
      <w:pPr>
        <w:pStyle w:val="BodyText"/>
        <w:spacing w:before="9"/>
        <w:rPr>
          <w:sz w:val="19"/>
        </w:rPr>
      </w:pPr>
    </w:p>
    <w:p>
      <w:pPr>
        <w:pStyle w:val="ListParagraph"/>
        <w:numPr>
          <w:ilvl w:val="0"/>
          <w:numId w:val="3"/>
        </w:numPr>
        <w:tabs>
          <w:tab w:pos="1964" w:val="left" w:leader="none"/>
          <w:tab w:pos="1965" w:val="left" w:leader="none"/>
        </w:tabs>
        <w:spacing w:line="235" w:lineRule="auto" w:before="0" w:after="0"/>
        <w:ind w:left="1284" w:right="1627" w:firstLine="0"/>
        <w:jc w:val="left"/>
        <w:rPr>
          <w:sz w:val="20"/>
        </w:rPr>
      </w:pPr>
      <w:r>
        <w:rPr>
          <w:w w:val="120"/>
          <w:sz w:val="20"/>
        </w:rPr>
        <w:t>It supported a proposal that the World Communion of Reformed Churches associate itself formally with the </w:t>
      </w:r>
      <w:r>
        <w:rPr>
          <w:spacing w:val="-4"/>
          <w:w w:val="120"/>
          <w:sz w:val="20"/>
        </w:rPr>
        <w:t>1999 </w:t>
      </w:r>
      <w:r>
        <w:rPr>
          <w:w w:val="120"/>
          <w:sz w:val="20"/>
        </w:rPr>
        <w:t>Lutheran-Roman Catholic Joint Declaration on the Doctrine of Justification. The Communion took this step in the summer of </w:t>
      </w:r>
      <w:r>
        <w:rPr>
          <w:spacing w:val="-12"/>
          <w:w w:val="120"/>
          <w:sz w:val="20"/>
        </w:rPr>
        <w:t>2017.</w:t>
      </w:r>
    </w:p>
    <w:p>
      <w:pPr>
        <w:pStyle w:val="BodyText"/>
        <w:spacing w:before="10"/>
        <w:rPr>
          <w:sz w:val="19"/>
        </w:rPr>
      </w:pPr>
    </w:p>
    <w:p>
      <w:pPr>
        <w:pStyle w:val="ListParagraph"/>
        <w:numPr>
          <w:ilvl w:val="0"/>
          <w:numId w:val="3"/>
        </w:numPr>
        <w:tabs>
          <w:tab w:pos="1964" w:val="left" w:leader="none"/>
          <w:tab w:pos="1965" w:val="left" w:leader="none"/>
        </w:tabs>
        <w:spacing w:line="235" w:lineRule="auto" w:before="0" w:after="0"/>
        <w:ind w:left="1284" w:right="1471" w:firstLine="0"/>
        <w:jc w:val="left"/>
        <w:rPr>
          <w:sz w:val="20"/>
        </w:rPr>
      </w:pPr>
      <w:r>
        <w:rPr>
          <w:w w:val="120"/>
          <w:sz w:val="20"/>
        </w:rPr>
        <w:t>It supported resolutions from the Mission Committee to recommit to partnerships (outlined in each case in a short Memorandum of Understanding) with two Ghanaian churches in the UK – with the London and Europe Presbytery of the Presbyterian Church of Ghana, and with the UK congregations of the Evangelical Presbyterian Church, Ghana. These Churches have significant presence in the </w:t>
      </w:r>
      <w:r>
        <w:rPr>
          <w:spacing w:val="2"/>
          <w:w w:val="120"/>
          <w:sz w:val="20"/>
        </w:rPr>
        <w:t>UK, </w:t>
      </w:r>
      <w:r>
        <w:rPr>
          <w:w w:val="120"/>
          <w:sz w:val="20"/>
        </w:rPr>
        <w:t>and value their relationship with a sister Church in their own Reformed tradition that is rooted</w:t>
      </w:r>
      <w:r>
        <w:rPr>
          <w:spacing w:val="1"/>
          <w:w w:val="120"/>
          <w:sz w:val="20"/>
        </w:rPr>
        <w:t> </w:t>
      </w:r>
      <w:r>
        <w:rPr>
          <w:w w:val="120"/>
          <w:sz w:val="20"/>
        </w:rPr>
        <w:t>here.</w:t>
      </w:r>
    </w:p>
    <w:p>
      <w:pPr>
        <w:pStyle w:val="BodyText"/>
        <w:spacing w:before="1"/>
      </w:pPr>
    </w:p>
    <w:p>
      <w:pPr>
        <w:pStyle w:val="ListParagraph"/>
        <w:numPr>
          <w:ilvl w:val="0"/>
          <w:numId w:val="3"/>
        </w:numPr>
        <w:tabs>
          <w:tab w:pos="1964" w:val="left" w:leader="none"/>
          <w:tab w:pos="1965" w:val="left" w:leader="none"/>
        </w:tabs>
        <w:spacing w:line="235" w:lineRule="auto" w:before="0" w:after="0"/>
        <w:ind w:left="1284" w:right="1431" w:firstLine="0"/>
        <w:jc w:val="left"/>
        <w:rPr>
          <w:sz w:val="20"/>
        </w:rPr>
      </w:pPr>
      <w:r>
        <w:rPr>
          <w:w w:val="120"/>
          <w:sz w:val="20"/>
        </w:rPr>
        <w:t>Council for World Mission member churches in Europe and the Caribbean met to explore ideals and hopes for </w:t>
      </w:r>
      <w:r>
        <w:rPr>
          <w:spacing w:val="3"/>
          <w:w w:val="120"/>
          <w:sz w:val="20"/>
        </w:rPr>
        <w:t>NIFEA, </w:t>
      </w:r>
      <w:r>
        <w:rPr>
          <w:w w:val="120"/>
          <w:sz w:val="20"/>
        </w:rPr>
        <w:t>a New International Financial and Economic Architecture, seeking a fuller level of justice, respect and responsibility in the handling of trade and money among the nations. Mission Council endorsed ‘the direction of travel’ and commended the conference’s Kingston Declaration to the churches of the URC ‘for prayers, study, reflection and </w:t>
      </w:r>
      <w:r>
        <w:rPr>
          <w:spacing w:val="-3"/>
          <w:w w:val="120"/>
          <w:sz w:val="20"/>
        </w:rPr>
        <w:t>action’. </w:t>
      </w:r>
      <w:r>
        <w:rPr>
          <w:w w:val="120"/>
          <w:sz w:val="20"/>
        </w:rPr>
        <w:t>The text of the declaration is at</w:t>
      </w:r>
      <w:hyperlink r:id="rId65">
        <w:r>
          <w:rPr>
            <w:color w:val="006AB3"/>
            <w:w w:val="120"/>
            <w:sz w:val="20"/>
          </w:rPr>
          <w:t> </w:t>
        </w:r>
        <w:r>
          <w:rPr>
            <w:color w:val="006AB3"/>
            <w:spacing w:val="-4"/>
            <w:w w:val="120"/>
            <w:sz w:val="20"/>
          </w:rPr>
          <w:t>http://bit.ly/2017paperI3</w:t>
        </w:r>
      </w:hyperlink>
    </w:p>
    <w:p>
      <w:pPr>
        <w:pStyle w:val="BodyText"/>
        <w:spacing w:before="1"/>
      </w:pPr>
    </w:p>
    <w:p>
      <w:pPr>
        <w:pStyle w:val="ListParagraph"/>
        <w:numPr>
          <w:ilvl w:val="0"/>
          <w:numId w:val="3"/>
        </w:numPr>
        <w:tabs>
          <w:tab w:pos="1964" w:val="left" w:leader="none"/>
          <w:tab w:pos="1965" w:val="left" w:leader="none"/>
        </w:tabs>
        <w:spacing w:line="235" w:lineRule="auto" w:before="1" w:after="0"/>
        <w:ind w:left="1284" w:right="1304" w:firstLine="0"/>
        <w:jc w:val="left"/>
        <w:rPr>
          <w:sz w:val="20"/>
        </w:rPr>
      </w:pPr>
      <w:r>
        <w:rPr>
          <w:w w:val="120"/>
          <w:sz w:val="20"/>
        </w:rPr>
        <w:t>Mission Council is sometimes able to respond promptly to news from partner churches, especially at times of difficulty or change. For example, in March </w:t>
      </w:r>
      <w:r>
        <w:rPr>
          <w:spacing w:val="-6"/>
          <w:w w:val="120"/>
          <w:sz w:val="20"/>
        </w:rPr>
        <w:t>2018 </w:t>
      </w:r>
      <w:r>
        <w:rPr>
          <w:w w:val="120"/>
          <w:sz w:val="20"/>
        </w:rPr>
        <w:t>the Revd David Grosch-Miller reported on a visit to a Christian peace forum in Korea, which had coincided more-or-less exactly with the announcement that Presidents </w:t>
      </w:r>
      <w:r>
        <w:rPr>
          <w:spacing w:val="-3"/>
          <w:w w:val="120"/>
          <w:sz w:val="20"/>
        </w:rPr>
        <w:t>Trump </w:t>
      </w:r>
      <w:r>
        <w:rPr>
          <w:w w:val="120"/>
          <w:sz w:val="20"/>
        </w:rPr>
        <w:t>and Kim would meet. At that juncture it was important to assure Korean church</w:t>
      </w:r>
      <w:r>
        <w:rPr>
          <w:spacing w:val="21"/>
          <w:w w:val="120"/>
          <w:sz w:val="20"/>
        </w:rPr>
        <w:t> </w:t>
      </w:r>
      <w:r>
        <w:rPr>
          <w:w w:val="120"/>
          <w:sz w:val="20"/>
        </w:rPr>
        <w:t>partners</w:t>
      </w:r>
    </w:p>
    <w:p>
      <w:pPr>
        <w:pStyle w:val="BodyText"/>
        <w:spacing w:line="235" w:lineRule="auto" w:before="3"/>
        <w:ind w:left="1284" w:right="1283"/>
      </w:pPr>
      <w:r>
        <w:rPr>
          <w:w w:val="120"/>
        </w:rPr>
        <w:t>of our support, concern and prayers, as they yearn for the settled peace of their land. Other meetings of Mission Council have heard of events in Syria and in Myanmar.</w:t>
      </w:r>
    </w:p>
    <w:p>
      <w:pPr>
        <w:spacing w:after="0" w:line="235" w:lineRule="auto"/>
        <w:sectPr>
          <w:headerReference w:type="default" r:id="rId63"/>
          <w:pgSz w:w="11910" w:h="16840"/>
          <w:pgMar w:header="0" w:footer="647" w:top="0" w:bottom="840" w:left="700" w:right="0"/>
        </w:sectPr>
      </w:pPr>
    </w:p>
    <w:p>
      <w:pPr>
        <w:pStyle w:val="BodyText"/>
      </w:pPr>
      <w:r>
        <w:rPr/>
        <w:drawing>
          <wp:anchor distT="0" distB="0" distL="0" distR="0" allowOverlap="1" layoutInCell="1" locked="0" behindDoc="1" simplePos="0" relativeHeight="235730944">
            <wp:simplePos x="0" y="0"/>
            <wp:positionH relativeFrom="page">
              <wp:posOffset>0</wp:posOffset>
            </wp:positionH>
            <wp:positionV relativeFrom="page">
              <wp:posOffset>0</wp:posOffset>
            </wp:positionV>
            <wp:extent cx="594067" cy="10692003"/>
            <wp:effectExtent l="0" t="0" r="0" b="0"/>
            <wp:wrapNone/>
            <wp:docPr id="11" name="image49.png"/>
            <wp:cNvGraphicFramePr>
              <a:graphicFrameLocks noChangeAspect="1"/>
            </wp:cNvGraphicFramePr>
            <a:graphic>
              <a:graphicData uri="http://schemas.openxmlformats.org/drawingml/2006/picture">
                <pic:pic>
                  <pic:nvPicPr>
                    <pic:cNvPr id="1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165.65pt;mso-position-horizontal-relative:page;mso-position-vertical-relative:page;z-index:-267584512"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p>
    <w:p>
      <w:pPr>
        <w:pStyle w:val="BodyText"/>
        <w:spacing w:before="5"/>
        <w:rPr>
          <w:sz w:val="21"/>
        </w:rPr>
      </w:pPr>
    </w:p>
    <w:p>
      <w:pPr>
        <w:pStyle w:val="Heading5"/>
        <w:ind w:left="547"/>
      </w:pPr>
      <w:r>
        <w:rPr>
          <w:color w:val="7EAABF"/>
          <w:w w:val="120"/>
        </w:rPr>
        <w:t>Mission Council</w:t>
      </w:r>
    </w:p>
    <w:p>
      <w:pPr>
        <w:spacing w:before="215"/>
        <w:ind w:left="547" w:right="0" w:firstLine="0"/>
        <w:jc w:val="left"/>
        <w:rPr>
          <w:rFonts w:ascii="Stone Sans II ITC Std Bk"/>
          <w:b/>
          <w:sz w:val="29"/>
        </w:rPr>
      </w:pPr>
      <w:r>
        <w:rPr>
          <w:rFonts w:ascii="Stone Sans II ITC Std Bk"/>
          <w:b/>
          <w:w w:val="110"/>
          <w:sz w:val="29"/>
        </w:rPr>
        <w:t>Arrangements in Church life</w:t>
      </w:r>
    </w:p>
    <w:p>
      <w:pPr>
        <w:pStyle w:val="ListParagraph"/>
        <w:numPr>
          <w:ilvl w:val="0"/>
          <w:numId w:val="3"/>
        </w:numPr>
        <w:tabs>
          <w:tab w:pos="1227" w:val="left" w:leader="none"/>
          <w:tab w:pos="1228" w:val="left" w:leader="none"/>
        </w:tabs>
        <w:spacing w:line="235" w:lineRule="auto" w:before="69" w:after="0"/>
        <w:ind w:left="547" w:right="2160" w:firstLine="0"/>
        <w:jc w:val="left"/>
        <w:rPr>
          <w:sz w:val="20"/>
        </w:rPr>
      </w:pPr>
      <w:r>
        <w:rPr>
          <w:w w:val="120"/>
          <w:sz w:val="20"/>
        </w:rPr>
        <w:t>Mission Council made a number of changes to arrangements that shape the life of the Church in one way or</w:t>
      </w:r>
      <w:r>
        <w:rPr>
          <w:spacing w:val="13"/>
          <w:w w:val="120"/>
          <w:sz w:val="20"/>
        </w:rPr>
        <w:t> </w:t>
      </w:r>
      <w:r>
        <w:rPr>
          <w:w w:val="120"/>
          <w:sz w:val="20"/>
        </w:rPr>
        <w:t>another.</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2032" w:firstLine="0"/>
        <w:jc w:val="left"/>
        <w:rPr>
          <w:sz w:val="20"/>
        </w:rPr>
      </w:pPr>
      <w:r>
        <w:rPr>
          <w:w w:val="120"/>
          <w:sz w:val="20"/>
        </w:rPr>
        <w:t>In order to divide duty more flexibly between the treasurer and deputy  treasurer, small changes were made to the terms of reference of the URC investment committee, and to the procedure for appointing Church directors to the URC Ministers’ Pension Fund. Mission Council also accepted a recommendation to thank and disband the members of the stewardship subcommittee and to merge its responsibilities into those of its parent finance</w:t>
      </w:r>
      <w:r>
        <w:rPr>
          <w:spacing w:val="7"/>
          <w:w w:val="120"/>
          <w:sz w:val="20"/>
        </w:rPr>
        <w:t> </w:t>
      </w:r>
      <w:r>
        <w:rPr>
          <w:w w:val="120"/>
          <w:sz w:val="20"/>
        </w:rPr>
        <w:t>committee.</w:t>
      </w:r>
    </w:p>
    <w:p>
      <w:pPr>
        <w:pStyle w:val="BodyText"/>
      </w:pPr>
    </w:p>
    <w:p>
      <w:pPr>
        <w:pStyle w:val="ListParagraph"/>
        <w:numPr>
          <w:ilvl w:val="0"/>
          <w:numId w:val="3"/>
        </w:numPr>
        <w:tabs>
          <w:tab w:pos="1227" w:val="left" w:leader="none"/>
          <w:tab w:pos="1228" w:val="left" w:leader="none"/>
        </w:tabs>
        <w:spacing w:line="235" w:lineRule="auto" w:before="0" w:after="0"/>
        <w:ind w:left="547" w:right="2801" w:firstLine="0"/>
        <w:jc w:val="left"/>
        <w:rPr>
          <w:sz w:val="20"/>
        </w:rPr>
      </w:pPr>
      <w:r>
        <w:rPr>
          <w:w w:val="120"/>
          <w:sz w:val="20"/>
        </w:rPr>
        <w:t>Some very limited amendments were made to the Plan for Partnership in Ministerial Remuneration.</w:t>
      </w:r>
      <w:r>
        <w:rPr>
          <w:spacing w:val="1"/>
          <w:w w:val="120"/>
          <w:sz w:val="20"/>
        </w:rPr>
        <w:t> </w:t>
      </w:r>
      <w:hyperlink r:id="rId69">
        <w:r>
          <w:rPr>
            <w:color w:val="006AB3"/>
            <w:w w:val="120"/>
            <w:sz w:val="20"/>
          </w:rPr>
          <w:t>http://bit.ly/paperH3</w:t>
        </w:r>
      </w:hyperlink>
    </w:p>
    <w:p>
      <w:pPr>
        <w:pStyle w:val="BodyText"/>
        <w:spacing w:before="9"/>
        <w:rPr>
          <w:sz w:val="19"/>
        </w:rPr>
      </w:pPr>
    </w:p>
    <w:p>
      <w:pPr>
        <w:pStyle w:val="ListParagraph"/>
        <w:numPr>
          <w:ilvl w:val="0"/>
          <w:numId w:val="3"/>
        </w:numPr>
        <w:tabs>
          <w:tab w:pos="1227" w:val="left" w:leader="none"/>
          <w:tab w:pos="1228" w:val="left" w:leader="none"/>
        </w:tabs>
        <w:spacing w:line="235" w:lineRule="auto" w:before="0" w:after="0"/>
        <w:ind w:left="547" w:right="2268" w:firstLine="0"/>
        <w:jc w:val="left"/>
        <w:rPr>
          <w:sz w:val="20"/>
        </w:rPr>
      </w:pPr>
      <w:r>
        <w:rPr>
          <w:w w:val="120"/>
          <w:sz w:val="20"/>
        </w:rPr>
        <w:t>Mission Council made two amendments to the rules for the URC Ministers’ Pension Fund. One of these corrected an error that might have inadvertently disadvantaged part-time stipendiary ministers. The second responded to a change in the law by determining that the pension benefits due to same-sex spouses and civil partners will match those due to opposite-sex spouses.</w:t>
      </w:r>
      <w:r>
        <w:rPr>
          <w:spacing w:val="8"/>
          <w:w w:val="120"/>
          <w:sz w:val="20"/>
        </w:rPr>
        <w:t> </w:t>
      </w:r>
      <w:hyperlink r:id="rId70">
        <w:r>
          <w:rPr>
            <w:color w:val="006AB3"/>
            <w:w w:val="120"/>
            <w:sz w:val="20"/>
          </w:rPr>
          <w:t>http://bit.ly/paperG3</w:t>
        </w:r>
      </w:hyperlink>
    </w:p>
    <w:p>
      <w:pPr>
        <w:pStyle w:val="BodyText"/>
      </w:pPr>
    </w:p>
    <w:p>
      <w:pPr>
        <w:pStyle w:val="ListParagraph"/>
        <w:numPr>
          <w:ilvl w:val="0"/>
          <w:numId w:val="3"/>
        </w:numPr>
        <w:tabs>
          <w:tab w:pos="1227" w:val="left" w:leader="none"/>
          <w:tab w:pos="1228" w:val="left" w:leader="none"/>
        </w:tabs>
        <w:spacing w:line="235" w:lineRule="auto" w:before="0" w:after="0"/>
        <w:ind w:left="547" w:right="2092" w:firstLine="0"/>
        <w:jc w:val="left"/>
        <w:rPr>
          <w:sz w:val="20"/>
        </w:rPr>
      </w:pPr>
      <w:r>
        <w:rPr>
          <w:w w:val="120"/>
          <w:sz w:val="20"/>
        </w:rPr>
        <w:t>Mission Council adjusted the </w:t>
      </w:r>
      <w:r>
        <w:rPr>
          <w:spacing w:val="-3"/>
          <w:w w:val="120"/>
          <w:sz w:val="20"/>
        </w:rPr>
        <w:t>Church’s </w:t>
      </w:r>
      <w:r>
        <w:rPr>
          <w:w w:val="120"/>
          <w:sz w:val="20"/>
        </w:rPr>
        <w:t>‘Ethical Investment Guidelines’ in regard to</w:t>
      </w:r>
      <w:r>
        <w:rPr>
          <w:spacing w:val="5"/>
          <w:w w:val="120"/>
          <w:sz w:val="20"/>
        </w:rPr>
        <w:t> </w:t>
      </w:r>
      <w:r>
        <w:rPr>
          <w:w w:val="120"/>
          <w:sz w:val="20"/>
        </w:rPr>
        <w:t>Usury,</w:t>
      </w:r>
      <w:r>
        <w:rPr>
          <w:spacing w:val="5"/>
          <w:w w:val="120"/>
          <w:sz w:val="20"/>
        </w:rPr>
        <w:t> </w:t>
      </w:r>
      <w:r>
        <w:rPr>
          <w:w w:val="120"/>
          <w:sz w:val="20"/>
        </w:rPr>
        <w:t>and</w:t>
      </w:r>
      <w:r>
        <w:rPr>
          <w:spacing w:val="5"/>
          <w:w w:val="120"/>
          <w:sz w:val="20"/>
        </w:rPr>
        <w:t> </w:t>
      </w:r>
      <w:r>
        <w:rPr>
          <w:w w:val="120"/>
          <w:sz w:val="20"/>
        </w:rPr>
        <w:t>the</w:t>
      </w:r>
      <w:r>
        <w:rPr>
          <w:spacing w:val="5"/>
          <w:w w:val="120"/>
          <w:sz w:val="20"/>
        </w:rPr>
        <w:t> </w:t>
      </w:r>
      <w:r>
        <w:rPr>
          <w:w w:val="120"/>
          <w:sz w:val="20"/>
        </w:rPr>
        <w:t>revised</w:t>
      </w:r>
      <w:r>
        <w:rPr>
          <w:spacing w:val="5"/>
          <w:w w:val="120"/>
          <w:sz w:val="20"/>
        </w:rPr>
        <w:t> </w:t>
      </w:r>
      <w:r>
        <w:rPr>
          <w:w w:val="120"/>
          <w:sz w:val="20"/>
        </w:rPr>
        <w:t>summary</w:t>
      </w:r>
      <w:r>
        <w:rPr>
          <w:spacing w:val="5"/>
          <w:w w:val="120"/>
          <w:sz w:val="20"/>
        </w:rPr>
        <w:t> </w:t>
      </w:r>
      <w:r>
        <w:rPr>
          <w:w w:val="120"/>
          <w:sz w:val="20"/>
        </w:rPr>
        <w:t>guidelines</w:t>
      </w:r>
      <w:r>
        <w:rPr>
          <w:spacing w:val="5"/>
          <w:w w:val="120"/>
          <w:sz w:val="20"/>
        </w:rPr>
        <w:t> </w:t>
      </w:r>
      <w:r>
        <w:rPr>
          <w:w w:val="120"/>
          <w:sz w:val="20"/>
        </w:rPr>
        <w:t>are</w:t>
      </w:r>
      <w:r>
        <w:rPr>
          <w:spacing w:val="6"/>
          <w:w w:val="120"/>
          <w:sz w:val="20"/>
        </w:rPr>
        <w:t> </w:t>
      </w:r>
      <w:r>
        <w:rPr>
          <w:w w:val="120"/>
          <w:sz w:val="20"/>
        </w:rPr>
        <w:t>given</w:t>
      </w:r>
      <w:r>
        <w:rPr>
          <w:spacing w:val="5"/>
          <w:w w:val="120"/>
          <w:sz w:val="20"/>
        </w:rPr>
        <w:t> </w:t>
      </w:r>
      <w:r>
        <w:rPr>
          <w:w w:val="120"/>
          <w:sz w:val="20"/>
        </w:rPr>
        <w:t>as</w:t>
      </w:r>
      <w:r>
        <w:rPr>
          <w:spacing w:val="5"/>
          <w:w w:val="120"/>
          <w:sz w:val="20"/>
        </w:rPr>
        <w:t> </w:t>
      </w:r>
      <w:r>
        <w:rPr>
          <w:w w:val="120"/>
          <w:sz w:val="20"/>
        </w:rPr>
        <w:t>appendix</w:t>
      </w:r>
      <w:r>
        <w:rPr>
          <w:spacing w:val="5"/>
          <w:w w:val="120"/>
          <w:sz w:val="20"/>
        </w:rPr>
        <w:t> </w:t>
      </w:r>
      <w:r>
        <w:rPr>
          <w:w w:val="120"/>
          <w:sz w:val="20"/>
        </w:rPr>
        <w:t>one</w:t>
      </w:r>
      <w:r>
        <w:rPr>
          <w:spacing w:val="5"/>
          <w:w w:val="120"/>
          <w:sz w:val="20"/>
        </w:rPr>
        <w:t> </w:t>
      </w:r>
      <w:r>
        <w:rPr>
          <w:w w:val="120"/>
          <w:sz w:val="20"/>
        </w:rPr>
        <w:t>to</w:t>
      </w:r>
      <w:r>
        <w:rPr>
          <w:spacing w:val="5"/>
          <w:w w:val="120"/>
          <w:sz w:val="20"/>
        </w:rPr>
        <w:t> </w:t>
      </w:r>
      <w:r>
        <w:rPr>
          <w:w w:val="120"/>
          <w:sz w:val="20"/>
        </w:rPr>
        <w:t>this</w:t>
      </w:r>
      <w:r>
        <w:rPr>
          <w:spacing w:val="5"/>
          <w:w w:val="120"/>
          <w:sz w:val="20"/>
        </w:rPr>
        <w:t> </w:t>
      </w:r>
      <w:r>
        <w:rPr>
          <w:w w:val="120"/>
          <w:sz w:val="20"/>
        </w:rPr>
        <w:t>report.</w:t>
      </w:r>
    </w:p>
    <w:p>
      <w:pPr>
        <w:pStyle w:val="BodyText"/>
        <w:spacing w:before="9"/>
        <w:rPr>
          <w:sz w:val="19"/>
        </w:rPr>
      </w:pPr>
    </w:p>
    <w:p>
      <w:pPr>
        <w:pStyle w:val="ListParagraph"/>
        <w:numPr>
          <w:ilvl w:val="0"/>
          <w:numId w:val="3"/>
        </w:numPr>
        <w:tabs>
          <w:tab w:pos="1227" w:val="left" w:leader="none"/>
          <w:tab w:pos="1228" w:val="left" w:leader="none"/>
        </w:tabs>
        <w:spacing w:line="235" w:lineRule="auto" w:before="0" w:after="0"/>
        <w:ind w:left="547" w:right="2108" w:firstLine="0"/>
        <w:jc w:val="left"/>
        <w:rPr>
          <w:sz w:val="20"/>
        </w:rPr>
      </w:pPr>
      <w:r>
        <w:rPr>
          <w:w w:val="120"/>
          <w:sz w:val="20"/>
        </w:rPr>
        <w:t>Mission Council altered the formula for dividing stipendiary minister posts among the synods of the Church: 60% of a synod’s allocation now depends on the number of its church members and 40% on the number of congregations. There is   now no direct weighting for the wider population total in the region or nation that the synod</w:t>
      </w:r>
      <w:r>
        <w:rPr>
          <w:spacing w:val="2"/>
          <w:w w:val="120"/>
          <w:sz w:val="20"/>
        </w:rPr>
        <w:t> </w:t>
      </w:r>
      <w:r>
        <w:rPr>
          <w:w w:val="120"/>
          <w:sz w:val="20"/>
        </w:rPr>
        <w:t>serves.</w:t>
      </w:r>
    </w:p>
    <w:p>
      <w:pPr>
        <w:pStyle w:val="BodyText"/>
      </w:pPr>
    </w:p>
    <w:p>
      <w:pPr>
        <w:pStyle w:val="ListParagraph"/>
        <w:numPr>
          <w:ilvl w:val="0"/>
          <w:numId w:val="3"/>
        </w:numPr>
        <w:tabs>
          <w:tab w:pos="1227" w:val="left" w:leader="none"/>
          <w:tab w:pos="1228" w:val="left" w:leader="none"/>
        </w:tabs>
        <w:spacing w:line="235" w:lineRule="auto" w:before="0" w:after="0"/>
        <w:ind w:left="547" w:right="2634" w:firstLine="0"/>
        <w:jc w:val="left"/>
        <w:rPr>
          <w:sz w:val="20"/>
        </w:rPr>
      </w:pPr>
      <w:r>
        <w:rPr>
          <w:w w:val="120"/>
          <w:sz w:val="20"/>
        </w:rPr>
        <w:t>Mission Council approved a pilot scheme for funding additional patterns   of</w:t>
      </w:r>
      <w:r>
        <w:rPr>
          <w:spacing w:val="6"/>
          <w:w w:val="120"/>
          <w:sz w:val="20"/>
        </w:rPr>
        <w:t> </w:t>
      </w:r>
      <w:r>
        <w:rPr>
          <w:w w:val="120"/>
          <w:sz w:val="20"/>
        </w:rPr>
        <w:t>ministry</w:t>
      </w:r>
      <w:r>
        <w:rPr>
          <w:spacing w:val="7"/>
          <w:w w:val="120"/>
          <w:sz w:val="20"/>
        </w:rPr>
        <w:t> </w:t>
      </w:r>
      <w:r>
        <w:rPr>
          <w:w w:val="120"/>
          <w:sz w:val="20"/>
        </w:rPr>
        <w:t>and</w:t>
      </w:r>
      <w:r>
        <w:rPr>
          <w:spacing w:val="6"/>
          <w:w w:val="120"/>
          <w:sz w:val="20"/>
        </w:rPr>
        <w:t> </w:t>
      </w:r>
      <w:r>
        <w:rPr>
          <w:w w:val="120"/>
          <w:sz w:val="20"/>
        </w:rPr>
        <w:t>local</w:t>
      </w:r>
      <w:r>
        <w:rPr>
          <w:spacing w:val="7"/>
          <w:w w:val="120"/>
          <w:sz w:val="20"/>
        </w:rPr>
        <w:t> </w:t>
      </w:r>
      <w:r>
        <w:rPr>
          <w:w w:val="120"/>
          <w:sz w:val="20"/>
        </w:rPr>
        <w:t>church</w:t>
      </w:r>
      <w:r>
        <w:rPr>
          <w:spacing w:val="6"/>
          <w:w w:val="120"/>
          <w:sz w:val="20"/>
        </w:rPr>
        <w:t> </w:t>
      </w:r>
      <w:r>
        <w:rPr>
          <w:w w:val="120"/>
          <w:sz w:val="20"/>
        </w:rPr>
        <w:t>leadership</w:t>
      </w:r>
      <w:r>
        <w:rPr>
          <w:spacing w:val="7"/>
          <w:w w:val="120"/>
          <w:sz w:val="20"/>
        </w:rPr>
        <w:t> </w:t>
      </w:r>
      <w:r>
        <w:rPr>
          <w:w w:val="120"/>
          <w:sz w:val="20"/>
        </w:rPr>
        <w:t>in</w:t>
      </w:r>
      <w:r>
        <w:rPr>
          <w:spacing w:val="7"/>
          <w:w w:val="120"/>
          <w:sz w:val="20"/>
        </w:rPr>
        <w:t> </w:t>
      </w:r>
      <w:r>
        <w:rPr>
          <w:w w:val="120"/>
          <w:sz w:val="20"/>
        </w:rPr>
        <w:t>two</w:t>
      </w:r>
      <w:r>
        <w:rPr>
          <w:spacing w:val="6"/>
          <w:w w:val="120"/>
          <w:sz w:val="20"/>
        </w:rPr>
        <w:t> </w:t>
      </w:r>
      <w:r>
        <w:rPr>
          <w:w w:val="120"/>
          <w:sz w:val="20"/>
        </w:rPr>
        <w:t>synods,</w:t>
      </w:r>
      <w:r>
        <w:rPr>
          <w:spacing w:val="7"/>
          <w:w w:val="120"/>
          <w:sz w:val="20"/>
        </w:rPr>
        <w:t> </w:t>
      </w:r>
      <w:r>
        <w:rPr>
          <w:w w:val="120"/>
          <w:sz w:val="20"/>
        </w:rPr>
        <w:t>and</w:t>
      </w:r>
      <w:r>
        <w:rPr>
          <w:spacing w:val="6"/>
          <w:w w:val="120"/>
          <w:sz w:val="20"/>
        </w:rPr>
        <w:t> </w:t>
      </w:r>
      <w:r>
        <w:rPr>
          <w:w w:val="120"/>
          <w:sz w:val="20"/>
        </w:rPr>
        <w:t>directed</w:t>
      </w:r>
      <w:r>
        <w:rPr>
          <w:spacing w:val="7"/>
          <w:w w:val="120"/>
          <w:sz w:val="20"/>
        </w:rPr>
        <w:t> </w:t>
      </w:r>
      <w:r>
        <w:rPr>
          <w:w w:val="120"/>
          <w:sz w:val="20"/>
        </w:rPr>
        <w:t>the</w:t>
      </w:r>
      <w:r>
        <w:rPr>
          <w:spacing w:val="6"/>
          <w:w w:val="120"/>
          <w:sz w:val="20"/>
        </w:rPr>
        <w:t> </w:t>
      </w:r>
      <w:r>
        <w:rPr>
          <w:w w:val="120"/>
          <w:sz w:val="20"/>
        </w:rPr>
        <w:t>ministries</w:t>
      </w:r>
    </w:p>
    <w:p>
      <w:pPr>
        <w:pStyle w:val="BodyText"/>
        <w:spacing w:line="242" w:lineRule="exact"/>
        <w:ind w:left="547"/>
      </w:pPr>
      <w:r>
        <w:rPr>
          <w:w w:val="120"/>
        </w:rPr>
        <w:t>committee to identify two appropriate synods for the pilot and to set this task in hand.</w:t>
      </w:r>
    </w:p>
    <w:p>
      <w:pPr>
        <w:pStyle w:val="BodyText"/>
        <w:spacing w:before="8"/>
        <w:rPr>
          <w:sz w:val="19"/>
        </w:rPr>
      </w:pPr>
    </w:p>
    <w:p>
      <w:pPr>
        <w:pStyle w:val="ListParagraph"/>
        <w:numPr>
          <w:ilvl w:val="0"/>
          <w:numId w:val="3"/>
        </w:numPr>
        <w:tabs>
          <w:tab w:pos="1227" w:val="left" w:leader="none"/>
          <w:tab w:pos="1228" w:val="left" w:leader="none"/>
        </w:tabs>
        <w:spacing w:line="235" w:lineRule="auto" w:before="0" w:after="0"/>
        <w:ind w:left="547" w:right="2125" w:firstLine="0"/>
        <w:jc w:val="left"/>
        <w:rPr>
          <w:sz w:val="20"/>
        </w:rPr>
      </w:pPr>
      <w:r>
        <w:rPr>
          <w:w w:val="120"/>
          <w:sz w:val="20"/>
        </w:rPr>
        <w:t>Mission Council approved broader terms of reference for the </w:t>
      </w:r>
      <w:r>
        <w:rPr>
          <w:spacing w:val="-3"/>
          <w:w w:val="120"/>
          <w:sz w:val="20"/>
        </w:rPr>
        <w:t>Church’s </w:t>
      </w:r>
      <w:r>
        <w:rPr>
          <w:w w:val="120"/>
          <w:sz w:val="20"/>
        </w:rPr>
        <w:t>long- standing Jewish Fund, which may now be used for the ‘promotion of contact, understanding and respect among Christians, Jews and members of other faith communities, in ways consonant with the beliefs and practices of the United Reformed </w:t>
      </w:r>
      <w:r>
        <w:rPr>
          <w:spacing w:val="-4"/>
          <w:w w:val="120"/>
          <w:sz w:val="20"/>
        </w:rPr>
        <w:t>Church’.</w:t>
      </w:r>
    </w:p>
    <w:p>
      <w:pPr>
        <w:pStyle w:val="BodyText"/>
        <w:spacing w:before="12"/>
        <w:rPr>
          <w:sz w:val="19"/>
        </w:rPr>
      </w:pPr>
    </w:p>
    <w:p>
      <w:pPr>
        <w:pStyle w:val="ListParagraph"/>
        <w:numPr>
          <w:ilvl w:val="0"/>
          <w:numId w:val="3"/>
        </w:numPr>
        <w:tabs>
          <w:tab w:pos="1227" w:val="left" w:leader="none"/>
          <w:tab w:pos="1228" w:val="left" w:leader="none"/>
        </w:tabs>
        <w:spacing w:line="235" w:lineRule="auto" w:before="0" w:after="0"/>
        <w:ind w:left="547" w:right="2293" w:firstLine="0"/>
        <w:jc w:val="left"/>
        <w:rPr>
          <w:sz w:val="20"/>
        </w:rPr>
      </w:pPr>
      <w:r>
        <w:rPr>
          <w:w w:val="120"/>
          <w:sz w:val="20"/>
        </w:rPr>
        <w:t>Mission Council agreed to maintain the budgeted subvention for </w:t>
      </w:r>
      <w:r>
        <w:rPr>
          <w:i/>
          <w:w w:val="120"/>
          <w:sz w:val="20"/>
        </w:rPr>
        <w:t>Reform </w:t>
      </w:r>
      <w:r>
        <w:rPr>
          <w:w w:val="120"/>
          <w:sz w:val="20"/>
        </w:rPr>
        <w:t>magazine in the years </w:t>
      </w:r>
      <w:r>
        <w:rPr>
          <w:spacing w:val="-6"/>
          <w:w w:val="120"/>
          <w:sz w:val="20"/>
        </w:rPr>
        <w:t>2018 </w:t>
      </w:r>
      <w:r>
        <w:rPr>
          <w:w w:val="120"/>
          <w:sz w:val="20"/>
        </w:rPr>
        <w:t>to </w:t>
      </w:r>
      <w:r>
        <w:rPr>
          <w:spacing w:val="-3"/>
          <w:w w:val="120"/>
          <w:sz w:val="20"/>
        </w:rPr>
        <w:t>2020, </w:t>
      </w:r>
      <w:r>
        <w:rPr>
          <w:w w:val="120"/>
          <w:sz w:val="20"/>
        </w:rPr>
        <w:t>and asked for an update on circulation figures in May</w:t>
      </w:r>
      <w:r>
        <w:rPr>
          <w:spacing w:val="2"/>
          <w:w w:val="120"/>
          <w:sz w:val="20"/>
        </w:rPr>
        <w:t> </w:t>
      </w:r>
      <w:r>
        <w:rPr>
          <w:spacing w:val="-8"/>
          <w:w w:val="120"/>
          <w:sz w:val="20"/>
        </w:rPr>
        <w:t>2019.</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2014" w:firstLine="0"/>
        <w:jc w:val="left"/>
        <w:rPr>
          <w:sz w:val="20"/>
        </w:rPr>
      </w:pPr>
      <w:r>
        <w:rPr>
          <w:w w:val="120"/>
          <w:sz w:val="20"/>
        </w:rPr>
        <w:t>The URC contributed substantially to the Greenbelt Christian </w:t>
      </w:r>
      <w:r>
        <w:rPr>
          <w:spacing w:val="3"/>
          <w:w w:val="120"/>
          <w:sz w:val="20"/>
        </w:rPr>
        <w:t>arts </w:t>
      </w:r>
      <w:r>
        <w:rPr>
          <w:w w:val="120"/>
          <w:sz w:val="20"/>
        </w:rPr>
        <w:t>and music festival in </w:t>
      </w:r>
      <w:r>
        <w:rPr>
          <w:spacing w:val="-7"/>
          <w:w w:val="120"/>
          <w:sz w:val="20"/>
        </w:rPr>
        <w:t>2016 </w:t>
      </w:r>
      <w:r>
        <w:rPr>
          <w:w w:val="120"/>
          <w:sz w:val="20"/>
        </w:rPr>
        <w:t>and </w:t>
      </w:r>
      <w:r>
        <w:rPr>
          <w:spacing w:val="-12"/>
          <w:w w:val="120"/>
          <w:sz w:val="20"/>
        </w:rPr>
        <w:t>2017. </w:t>
      </w:r>
      <w:r>
        <w:rPr>
          <w:w w:val="120"/>
          <w:sz w:val="20"/>
        </w:rPr>
        <w:t>Mission Council heard </w:t>
      </w:r>
      <w:r>
        <w:rPr>
          <w:spacing w:val="2"/>
          <w:w w:val="120"/>
          <w:sz w:val="20"/>
        </w:rPr>
        <w:t>reports </w:t>
      </w:r>
      <w:r>
        <w:rPr>
          <w:w w:val="120"/>
          <w:sz w:val="20"/>
        </w:rPr>
        <w:t>on this work and will be invited to review it after the </w:t>
      </w:r>
      <w:r>
        <w:rPr>
          <w:spacing w:val="-6"/>
          <w:w w:val="120"/>
          <w:sz w:val="20"/>
        </w:rPr>
        <w:t>2018</w:t>
      </w:r>
      <w:r>
        <w:rPr>
          <w:spacing w:val="10"/>
          <w:w w:val="120"/>
          <w:sz w:val="20"/>
        </w:rPr>
        <w:t> </w:t>
      </w:r>
      <w:r>
        <w:rPr>
          <w:w w:val="120"/>
          <w:sz w:val="20"/>
        </w:rPr>
        <w:t>festival.</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1" w:after="0"/>
        <w:ind w:left="547" w:right="2092" w:firstLine="0"/>
        <w:jc w:val="left"/>
        <w:rPr>
          <w:sz w:val="20"/>
        </w:rPr>
      </w:pPr>
      <w:r>
        <w:rPr>
          <w:w w:val="120"/>
          <w:sz w:val="20"/>
        </w:rPr>
        <w:t>A ‘Complaints Policy’ was drawn up for the councils and congregations of the Church, and this was also commended to the Synod Trust Companies. The full text is at</w:t>
      </w:r>
      <w:hyperlink r:id="rId71">
        <w:r>
          <w:rPr>
            <w:color w:val="006AB3"/>
            <w:w w:val="120"/>
            <w:sz w:val="20"/>
          </w:rPr>
          <w:t> http://bit.ly/sectionQ</w:t>
        </w:r>
      </w:hyperlink>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2699" w:firstLine="0"/>
        <w:jc w:val="left"/>
        <w:rPr>
          <w:sz w:val="20"/>
        </w:rPr>
      </w:pPr>
      <w:r>
        <w:rPr>
          <w:w w:val="120"/>
          <w:sz w:val="20"/>
        </w:rPr>
        <w:t>Mission Council made some limited changes to the ministerial disciplinary process and heard of discussions about possible fuller revision of the</w:t>
      </w:r>
      <w:r>
        <w:rPr>
          <w:spacing w:val="16"/>
          <w:w w:val="120"/>
          <w:sz w:val="20"/>
        </w:rPr>
        <w:t> </w:t>
      </w:r>
      <w:r>
        <w:rPr>
          <w:w w:val="120"/>
          <w:sz w:val="20"/>
        </w:rPr>
        <w:t>process.</w:t>
      </w:r>
    </w:p>
    <w:p>
      <w:pPr>
        <w:pStyle w:val="BodyText"/>
        <w:spacing w:before="9"/>
        <w:rPr>
          <w:sz w:val="19"/>
        </w:rPr>
      </w:pPr>
    </w:p>
    <w:p>
      <w:pPr>
        <w:pStyle w:val="ListParagraph"/>
        <w:numPr>
          <w:ilvl w:val="0"/>
          <w:numId w:val="3"/>
        </w:numPr>
        <w:tabs>
          <w:tab w:pos="1227" w:val="left" w:leader="none"/>
          <w:tab w:pos="1228" w:val="left" w:leader="none"/>
        </w:tabs>
        <w:spacing w:line="235" w:lineRule="auto" w:before="0" w:after="0"/>
        <w:ind w:left="547" w:right="2486" w:firstLine="0"/>
        <w:jc w:val="left"/>
        <w:rPr>
          <w:sz w:val="20"/>
        </w:rPr>
      </w:pPr>
      <w:r>
        <w:rPr>
          <w:w w:val="120"/>
          <w:sz w:val="20"/>
        </w:rPr>
        <w:t>A </w:t>
      </w:r>
      <w:r>
        <w:rPr>
          <w:spacing w:val="2"/>
          <w:w w:val="120"/>
          <w:sz w:val="20"/>
        </w:rPr>
        <w:t>report </w:t>
      </w:r>
      <w:r>
        <w:rPr>
          <w:w w:val="120"/>
          <w:sz w:val="20"/>
        </w:rPr>
        <w:t>was approved that restructured, slightly, the Board of Governors at Westminster College,</w:t>
      </w:r>
      <w:r>
        <w:rPr>
          <w:spacing w:val="5"/>
          <w:w w:val="120"/>
          <w:sz w:val="20"/>
        </w:rPr>
        <w:t> </w:t>
      </w:r>
      <w:r>
        <w:rPr>
          <w:w w:val="120"/>
          <w:sz w:val="20"/>
        </w:rPr>
        <w:t>Cambridge.</w:t>
      </w:r>
    </w:p>
    <w:p>
      <w:pPr>
        <w:spacing w:after="0" w:line="235" w:lineRule="auto"/>
        <w:jc w:val="left"/>
        <w:rPr>
          <w:sz w:val="20"/>
        </w:rPr>
        <w:sectPr>
          <w:headerReference w:type="even" r:id="rId66"/>
          <w:footerReference w:type="even" r:id="rId67"/>
          <w:footerReference w:type="default" r:id="rId68"/>
          <w:pgSz w:w="11910" w:h="16840"/>
          <w:pgMar w:header="0" w:footer="647" w:top="0" w:bottom="840" w:left="700" w:right="0"/>
          <w:pgNumType w:start="8"/>
        </w:sectPr>
      </w:pPr>
    </w:p>
    <w:p>
      <w:pPr>
        <w:pStyle w:val="BodyText"/>
      </w:pPr>
      <w:r>
        <w:rPr/>
        <w:drawing>
          <wp:anchor distT="0" distB="0" distL="0" distR="0" allowOverlap="1" layoutInCell="1" locked="0" behindDoc="0" simplePos="0" relativeHeight="251700224">
            <wp:simplePos x="0" y="0"/>
            <wp:positionH relativeFrom="page">
              <wp:posOffset>6974928</wp:posOffset>
            </wp:positionH>
            <wp:positionV relativeFrom="page">
              <wp:posOffset>0</wp:posOffset>
            </wp:positionV>
            <wp:extent cx="585076" cy="10692003"/>
            <wp:effectExtent l="0" t="0" r="0" b="0"/>
            <wp:wrapNone/>
            <wp:docPr id="13" name="image50.png"/>
            <wp:cNvGraphicFramePr>
              <a:graphicFrameLocks noChangeAspect="1"/>
            </wp:cNvGraphicFramePr>
            <a:graphic>
              <a:graphicData uri="http://schemas.openxmlformats.org/drawingml/2006/picture">
                <pic:pic>
                  <pic:nvPicPr>
                    <pic:cNvPr id="1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165.65pt;mso-position-horizontal-relative:page;mso-position-vertical-relative:paragraph;z-index:251701248"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r>
        <w:rPr>
          <w:color w:val="7EAABF"/>
          <w:w w:val="120"/>
        </w:rPr>
        <w:t>Mission Council</w:t>
      </w:r>
    </w:p>
    <w:p>
      <w:pPr>
        <w:pStyle w:val="ListParagraph"/>
        <w:numPr>
          <w:ilvl w:val="0"/>
          <w:numId w:val="3"/>
        </w:numPr>
        <w:tabs>
          <w:tab w:pos="1964" w:val="left" w:leader="none"/>
          <w:tab w:pos="1965" w:val="left" w:leader="none"/>
        </w:tabs>
        <w:spacing w:line="235" w:lineRule="auto" w:before="222" w:after="0"/>
        <w:ind w:left="1284" w:right="1359" w:firstLine="0"/>
        <w:jc w:val="left"/>
        <w:rPr>
          <w:sz w:val="20"/>
        </w:rPr>
      </w:pPr>
      <w:r>
        <w:rPr>
          <w:w w:val="120"/>
          <w:sz w:val="20"/>
        </w:rPr>
        <w:t>In a series of discussions Mission Council was invited by the synod Moderators to consider the need to be selective about what we do as Church. Many pieces of work or activity might seem attractive and interesting. However, the claims of the kingdom of God call us to apply more rigorous criteria to any new proposal. This applies at   every level of the </w:t>
      </w:r>
      <w:r>
        <w:rPr>
          <w:spacing w:val="-3"/>
          <w:w w:val="120"/>
          <w:sz w:val="20"/>
        </w:rPr>
        <w:t>Church’s </w:t>
      </w:r>
      <w:r>
        <w:rPr>
          <w:w w:val="120"/>
          <w:sz w:val="20"/>
        </w:rPr>
        <w:t>life, both local and wider. One result of these conversations is likely to be a sharper focus on the relevance to the local church of any business considered in the wider</w:t>
      </w:r>
      <w:r>
        <w:rPr>
          <w:spacing w:val="9"/>
          <w:w w:val="120"/>
          <w:sz w:val="20"/>
        </w:rPr>
        <w:t> </w:t>
      </w:r>
      <w:r>
        <w:rPr>
          <w:w w:val="120"/>
          <w:sz w:val="20"/>
        </w:rPr>
        <w:t>church.</w:t>
      </w:r>
    </w:p>
    <w:p>
      <w:pPr>
        <w:pStyle w:val="BodyText"/>
        <w:spacing w:before="5"/>
        <w:rPr>
          <w:sz w:val="22"/>
        </w:rPr>
      </w:pPr>
    </w:p>
    <w:p>
      <w:pPr>
        <w:pStyle w:val="Heading4"/>
        <w:ind w:left="1284" w:firstLine="0"/>
      </w:pPr>
      <w:r>
        <w:rPr>
          <w:w w:val="110"/>
        </w:rPr>
        <w:t>Persons and appointments</w:t>
      </w:r>
    </w:p>
    <w:p>
      <w:pPr>
        <w:pStyle w:val="ListParagraph"/>
        <w:numPr>
          <w:ilvl w:val="0"/>
          <w:numId w:val="3"/>
        </w:numPr>
        <w:tabs>
          <w:tab w:pos="1964" w:val="left" w:leader="none"/>
          <w:tab w:pos="1965" w:val="left" w:leader="none"/>
        </w:tabs>
        <w:spacing w:line="235" w:lineRule="auto" w:before="69" w:after="0"/>
        <w:ind w:left="1284" w:right="1592" w:firstLine="0"/>
        <w:jc w:val="left"/>
        <w:rPr>
          <w:sz w:val="20"/>
        </w:rPr>
      </w:pPr>
      <w:r>
        <w:rPr>
          <w:w w:val="120"/>
          <w:sz w:val="20"/>
        </w:rPr>
        <w:t>A number of changes in Assembly appointed staff at Church House and elsewhere were agreed or noted by Mission Council, in every case after due process. At Church House, Philip Brooks arrived as Secretary for Ecumenical and Interfaith Relations when David </w:t>
      </w:r>
      <w:r>
        <w:rPr>
          <w:spacing w:val="-4"/>
          <w:w w:val="120"/>
          <w:sz w:val="20"/>
        </w:rPr>
        <w:t>Tatem </w:t>
      </w:r>
      <w:r>
        <w:rPr>
          <w:w w:val="120"/>
          <w:sz w:val="20"/>
        </w:rPr>
        <w:t>retired in July </w:t>
      </w:r>
      <w:r>
        <w:rPr>
          <w:spacing w:val="-12"/>
          <w:w w:val="120"/>
          <w:sz w:val="20"/>
        </w:rPr>
        <w:t>2017. </w:t>
      </w:r>
      <w:r>
        <w:rPr>
          <w:w w:val="120"/>
          <w:sz w:val="20"/>
        </w:rPr>
        <w:t>Karen Morrison moved on from her role as Head of Children’s and </w:t>
      </w:r>
      <w:r>
        <w:rPr>
          <w:spacing w:val="-3"/>
          <w:w w:val="120"/>
          <w:sz w:val="20"/>
        </w:rPr>
        <w:t>Youth </w:t>
      </w:r>
      <w:r>
        <w:rPr>
          <w:w w:val="120"/>
          <w:sz w:val="20"/>
        </w:rPr>
        <w:t>Work and was succeeded in November </w:t>
      </w:r>
      <w:r>
        <w:rPr>
          <w:spacing w:val="-9"/>
          <w:w w:val="120"/>
          <w:sz w:val="20"/>
        </w:rPr>
        <w:t>2017 </w:t>
      </w:r>
      <w:r>
        <w:rPr>
          <w:w w:val="120"/>
          <w:sz w:val="20"/>
        </w:rPr>
        <w:t>by Sam Richards. Simeon Mitchell started in January </w:t>
      </w:r>
      <w:r>
        <w:rPr>
          <w:spacing w:val="-6"/>
          <w:w w:val="120"/>
          <w:sz w:val="20"/>
        </w:rPr>
        <w:t>2018 </w:t>
      </w:r>
      <w:r>
        <w:rPr>
          <w:w w:val="120"/>
          <w:sz w:val="20"/>
        </w:rPr>
        <w:t>as Secretary for Church and Society, succeeding Grace Pengelly. Finally, Peter Meek’s initial term as Moderator in the East Midlands ran until August </w:t>
      </w:r>
      <w:r>
        <w:rPr>
          <w:spacing w:val="-6"/>
          <w:w w:val="120"/>
          <w:sz w:val="20"/>
        </w:rPr>
        <w:t>2018; </w:t>
      </w:r>
      <w:r>
        <w:rPr>
          <w:w w:val="120"/>
          <w:sz w:val="20"/>
        </w:rPr>
        <w:t>his tenure was reviewed in the penultimate year of this term and was extended to August</w:t>
      </w:r>
      <w:r>
        <w:rPr>
          <w:spacing w:val="20"/>
          <w:w w:val="120"/>
          <w:sz w:val="20"/>
        </w:rPr>
        <w:t> </w:t>
      </w:r>
      <w:r>
        <w:rPr>
          <w:spacing w:val="-3"/>
          <w:w w:val="120"/>
          <w:sz w:val="20"/>
        </w:rPr>
        <w:t>2023.</w:t>
      </w:r>
    </w:p>
    <w:p>
      <w:pPr>
        <w:pStyle w:val="BodyText"/>
        <w:spacing w:before="2"/>
      </w:pPr>
    </w:p>
    <w:p>
      <w:pPr>
        <w:pStyle w:val="ListParagraph"/>
        <w:numPr>
          <w:ilvl w:val="0"/>
          <w:numId w:val="3"/>
        </w:numPr>
        <w:tabs>
          <w:tab w:pos="1964" w:val="left" w:leader="none"/>
          <w:tab w:pos="1965" w:val="left" w:leader="none"/>
        </w:tabs>
        <w:spacing w:line="235" w:lineRule="auto" w:before="1" w:after="0"/>
        <w:ind w:left="1284" w:right="1451" w:firstLine="0"/>
        <w:jc w:val="left"/>
        <w:rPr>
          <w:sz w:val="20"/>
        </w:rPr>
      </w:pPr>
      <w:r>
        <w:rPr>
          <w:w w:val="120"/>
          <w:sz w:val="20"/>
        </w:rPr>
        <w:t>A number of nominations are commended by Mission Council to Assembly and listed in an appendix to this</w:t>
      </w:r>
      <w:r>
        <w:rPr>
          <w:spacing w:val="12"/>
          <w:w w:val="120"/>
          <w:sz w:val="20"/>
        </w:rPr>
        <w:t> </w:t>
      </w:r>
      <w:r>
        <w:rPr>
          <w:w w:val="120"/>
          <w:sz w:val="20"/>
        </w:rPr>
        <w:t>paper.</w:t>
      </w:r>
    </w:p>
    <w:p>
      <w:pPr>
        <w:pStyle w:val="BodyText"/>
        <w:spacing w:before="9"/>
        <w:rPr>
          <w:sz w:val="19"/>
        </w:rPr>
      </w:pPr>
    </w:p>
    <w:p>
      <w:pPr>
        <w:pStyle w:val="ListParagraph"/>
        <w:numPr>
          <w:ilvl w:val="0"/>
          <w:numId w:val="3"/>
        </w:numPr>
        <w:tabs>
          <w:tab w:pos="1964" w:val="left" w:leader="none"/>
          <w:tab w:pos="1965" w:val="left" w:leader="none"/>
        </w:tabs>
        <w:spacing w:line="235" w:lineRule="auto" w:before="0" w:after="0"/>
        <w:ind w:left="1284" w:right="1349" w:firstLine="0"/>
        <w:jc w:val="left"/>
        <w:rPr>
          <w:sz w:val="20"/>
        </w:rPr>
      </w:pPr>
      <w:r>
        <w:rPr>
          <w:w w:val="120"/>
          <w:sz w:val="20"/>
        </w:rPr>
        <w:t>Mission Council sent a warm personal greeting to the Revd Bernard Thorogood, former General Secretary, now living in Australia, on his ninetieth</w:t>
      </w:r>
      <w:r>
        <w:rPr>
          <w:spacing w:val="23"/>
          <w:w w:val="120"/>
          <w:sz w:val="20"/>
        </w:rPr>
        <w:t> </w:t>
      </w:r>
      <w:r>
        <w:rPr>
          <w:w w:val="120"/>
          <w:sz w:val="20"/>
        </w:rPr>
        <w:t>birthday.</w:t>
      </w:r>
    </w:p>
    <w:p>
      <w:pPr>
        <w:pStyle w:val="BodyText"/>
        <w:spacing w:before="2"/>
        <w:rPr>
          <w:sz w:val="22"/>
        </w:rPr>
      </w:pPr>
    </w:p>
    <w:p>
      <w:pPr>
        <w:pStyle w:val="Heading4"/>
        <w:ind w:left="1284" w:firstLine="0"/>
      </w:pPr>
      <w:r>
        <w:rPr>
          <w:w w:val="110"/>
        </w:rPr>
        <w:t>Church House, London</w:t>
      </w:r>
    </w:p>
    <w:p>
      <w:pPr>
        <w:pStyle w:val="ListParagraph"/>
        <w:numPr>
          <w:ilvl w:val="0"/>
          <w:numId w:val="3"/>
        </w:numPr>
        <w:tabs>
          <w:tab w:pos="1964" w:val="left" w:leader="none"/>
          <w:tab w:pos="1965" w:val="left" w:leader="none"/>
        </w:tabs>
        <w:spacing w:line="235" w:lineRule="auto" w:before="69" w:after="0"/>
        <w:ind w:left="1284" w:right="1285" w:firstLine="0"/>
        <w:jc w:val="left"/>
        <w:rPr>
          <w:sz w:val="20"/>
        </w:rPr>
      </w:pPr>
      <w:r>
        <w:rPr>
          <w:w w:val="120"/>
          <w:sz w:val="20"/>
        </w:rPr>
        <w:t>The Mission Council </w:t>
      </w:r>
      <w:r>
        <w:rPr>
          <w:spacing w:val="2"/>
          <w:w w:val="120"/>
          <w:sz w:val="20"/>
        </w:rPr>
        <w:t>report </w:t>
      </w:r>
      <w:r>
        <w:rPr>
          <w:w w:val="120"/>
          <w:sz w:val="20"/>
        </w:rPr>
        <w:t>to Assembly in </w:t>
      </w:r>
      <w:r>
        <w:rPr>
          <w:spacing w:val="-7"/>
          <w:w w:val="120"/>
          <w:sz w:val="20"/>
        </w:rPr>
        <w:t>2016 </w:t>
      </w:r>
      <w:r>
        <w:rPr>
          <w:w w:val="120"/>
          <w:sz w:val="20"/>
        </w:rPr>
        <w:t>set out at length plans that were then being considered to refurbish the </w:t>
      </w:r>
      <w:r>
        <w:rPr>
          <w:spacing w:val="-3"/>
          <w:w w:val="120"/>
          <w:sz w:val="20"/>
        </w:rPr>
        <w:t>Church’s </w:t>
      </w:r>
      <w:r>
        <w:rPr>
          <w:w w:val="120"/>
          <w:sz w:val="20"/>
        </w:rPr>
        <w:t>central office in London. That </w:t>
      </w:r>
      <w:r>
        <w:rPr>
          <w:spacing w:val="2"/>
          <w:w w:val="120"/>
          <w:sz w:val="20"/>
        </w:rPr>
        <w:t>report </w:t>
      </w:r>
      <w:r>
        <w:rPr>
          <w:w w:val="120"/>
          <w:sz w:val="20"/>
        </w:rPr>
        <w:t>explained (para </w:t>
      </w:r>
      <w:r>
        <w:rPr>
          <w:spacing w:val="-8"/>
          <w:w w:val="120"/>
          <w:sz w:val="20"/>
        </w:rPr>
        <w:t>10) </w:t>
      </w:r>
      <w:r>
        <w:rPr>
          <w:w w:val="120"/>
          <w:sz w:val="20"/>
        </w:rPr>
        <w:t>that, ‘the building ought to be made more accessible and more flexible; if it can be more compactly used, </w:t>
      </w:r>
      <w:r>
        <w:rPr>
          <w:spacing w:val="2"/>
          <w:w w:val="120"/>
          <w:sz w:val="20"/>
        </w:rPr>
        <w:t>part </w:t>
      </w:r>
      <w:r>
        <w:rPr>
          <w:w w:val="120"/>
          <w:sz w:val="20"/>
        </w:rPr>
        <w:t>of it may earn us money through rental; there is scope to make it more efficient environmentally; and we ought to develop our facility to host ‘virtual </w:t>
      </w:r>
      <w:r>
        <w:rPr>
          <w:spacing w:val="-3"/>
          <w:w w:val="120"/>
          <w:sz w:val="20"/>
        </w:rPr>
        <w:t>meetings’, </w:t>
      </w:r>
      <w:r>
        <w:rPr>
          <w:w w:val="120"/>
          <w:sz w:val="20"/>
        </w:rPr>
        <w:t>thus enabling some of the </w:t>
      </w:r>
      <w:r>
        <w:rPr>
          <w:spacing w:val="-3"/>
          <w:w w:val="120"/>
          <w:sz w:val="20"/>
        </w:rPr>
        <w:t>Church’s </w:t>
      </w:r>
      <w:r>
        <w:rPr>
          <w:w w:val="120"/>
          <w:sz w:val="20"/>
        </w:rPr>
        <w:t>committee work   to be quicker, less cumbersome and more open to people who cannot commit long hours to</w:t>
      </w:r>
      <w:r>
        <w:rPr>
          <w:spacing w:val="3"/>
          <w:w w:val="120"/>
          <w:sz w:val="20"/>
        </w:rPr>
        <w:t> </w:t>
      </w:r>
      <w:r>
        <w:rPr>
          <w:spacing w:val="-3"/>
          <w:w w:val="120"/>
          <w:sz w:val="20"/>
        </w:rPr>
        <w:t>travel.’</w:t>
      </w:r>
    </w:p>
    <w:p>
      <w:pPr>
        <w:pStyle w:val="BodyText"/>
        <w:spacing w:before="2"/>
      </w:pPr>
    </w:p>
    <w:p>
      <w:pPr>
        <w:pStyle w:val="ListParagraph"/>
        <w:numPr>
          <w:ilvl w:val="0"/>
          <w:numId w:val="3"/>
        </w:numPr>
        <w:tabs>
          <w:tab w:pos="1964" w:val="left" w:leader="none"/>
          <w:tab w:pos="1965" w:val="left" w:leader="none"/>
        </w:tabs>
        <w:spacing w:line="235" w:lineRule="auto" w:before="0" w:after="0"/>
        <w:ind w:left="1284" w:right="1408" w:firstLine="0"/>
        <w:jc w:val="left"/>
        <w:rPr>
          <w:sz w:val="20"/>
        </w:rPr>
      </w:pPr>
      <w:r>
        <w:rPr>
          <w:w w:val="120"/>
          <w:sz w:val="20"/>
        </w:rPr>
        <w:t>All of the above has now  </w:t>
      </w:r>
      <w:r>
        <w:rPr>
          <w:spacing w:val="2"/>
          <w:w w:val="120"/>
          <w:sz w:val="20"/>
        </w:rPr>
        <w:t>been </w:t>
      </w:r>
      <w:r>
        <w:rPr>
          <w:w w:val="120"/>
          <w:sz w:val="20"/>
        </w:rPr>
        <w:t>done,  </w:t>
      </w:r>
      <w:r>
        <w:rPr>
          <w:spacing w:val="2"/>
          <w:w w:val="120"/>
          <w:sz w:val="20"/>
        </w:rPr>
        <w:t>through </w:t>
      </w:r>
      <w:r>
        <w:rPr>
          <w:w w:val="120"/>
          <w:sz w:val="20"/>
        </w:rPr>
        <w:t>a  </w:t>
      </w:r>
      <w:r>
        <w:rPr>
          <w:spacing w:val="2"/>
          <w:w w:val="120"/>
          <w:sz w:val="20"/>
        </w:rPr>
        <w:t>thorough refurbishment </w:t>
      </w:r>
      <w:r>
        <w:rPr>
          <w:w w:val="120"/>
          <w:sz w:val="20"/>
        </w:rPr>
        <w:t>of our </w:t>
      </w:r>
      <w:r>
        <w:rPr>
          <w:spacing w:val="2"/>
          <w:w w:val="120"/>
          <w:sz w:val="20"/>
        </w:rPr>
        <w:t>60-year-old </w:t>
      </w:r>
      <w:r>
        <w:rPr>
          <w:w w:val="120"/>
          <w:sz w:val="20"/>
        </w:rPr>
        <w:t>building, which </w:t>
      </w:r>
      <w:r>
        <w:rPr>
          <w:spacing w:val="3"/>
          <w:w w:val="120"/>
          <w:sz w:val="20"/>
        </w:rPr>
        <w:t>exists </w:t>
      </w:r>
      <w:r>
        <w:rPr>
          <w:w w:val="120"/>
          <w:sz w:val="20"/>
        </w:rPr>
        <w:t>only to </w:t>
      </w:r>
      <w:r>
        <w:rPr>
          <w:spacing w:val="3"/>
          <w:w w:val="120"/>
          <w:sz w:val="20"/>
        </w:rPr>
        <w:t>serve </w:t>
      </w:r>
      <w:r>
        <w:rPr>
          <w:w w:val="120"/>
          <w:sz w:val="20"/>
        </w:rPr>
        <w:t>the wider life of the Church. </w:t>
      </w:r>
      <w:r>
        <w:rPr>
          <w:spacing w:val="2"/>
          <w:w w:val="120"/>
          <w:sz w:val="20"/>
        </w:rPr>
        <w:t>The </w:t>
      </w:r>
      <w:r>
        <w:rPr>
          <w:w w:val="120"/>
          <w:sz w:val="20"/>
        </w:rPr>
        <w:t>work was approved by Mission Council, on the recommendation of the URC Trust, which</w:t>
      </w:r>
      <w:r>
        <w:rPr>
          <w:spacing w:val="10"/>
          <w:w w:val="120"/>
          <w:sz w:val="20"/>
        </w:rPr>
        <w:t> </w:t>
      </w:r>
      <w:r>
        <w:rPr>
          <w:w w:val="120"/>
          <w:sz w:val="20"/>
        </w:rPr>
        <w:t>is</w:t>
      </w:r>
      <w:r>
        <w:rPr>
          <w:spacing w:val="11"/>
          <w:w w:val="120"/>
          <w:sz w:val="20"/>
        </w:rPr>
        <w:t> </w:t>
      </w:r>
      <w:r>
        <w:rPr>
          <w:spacing w:val="2"/>
          <w:w w:val="120"/>
          <w:sz w:val="20"/>
        </w:rPr>
        <w:t>legal</w:t>
      </w:r>
      <w:r>
        <w:rPr>
          <w:spacing w:val="11"/>
          <w:w w:val="120"/>
          <w:sz w:val="20"/>
        </w:rPr>
        <w:t> </w:t>
      </w:r>
      <w:r>
        <w:rPr>
          <w:w w:val="120"/>
          <w:sz w:val="20"/>
        </w:rPr>
        <w:t>steward</w:t>
      </w:r>
      <w:r>
        <w:rPr>
          <w:spacing w:val="11"/>
          <w:w w:val="120"/>
          <w:sz w:val="20"/>
        </w:rPr>
        <w:t> </w:t>
      </w:r>
      <w:r>
        <w:rPr>
          <w:w w:val="120"/>
          <w:sz w:val="20"/>
        </w:rPr>
        <w:t>of</w:t>
      </w:r>
      <w:r>
        <w:rPr>
          <w:spacing w:val="11"/>
          <w:w w:val="120"/>
          <w:sz w:val="20"/>
        </w:rPr>
        <w:t> </w:t>
      </w:r>
      <w:r>
        <w:rPr>
          <w:w w:val="120"/>
          <w:sz w:val="20"/>
        </w:rPr>
        <w:t>the</w:t>
      </w:r>
      <w:r>
        <w:rPr>
          <w:spacing w:val="11"/>
          <w:w w:val="120"/>
          <w:sz w:val="20"/>
        </w:rPr>
        <w:t> </w:t>
      </w:r>
      <w:r>
        <w:rPr>
          <w:w w:val="120"/>
          <w:sz w:val="20"/>
        </w:rPr>
        <w:t>Church’s</w:t>
      </w:r>
      <w:r>
        <w:rPr>
          <w:spacing w:val="11"/>
          <w:w w:val="120"/>
          <w:sz w:val="20"/>
        </w:rPr>
        <w:t> </w:t>
      </w:r>
      <w:r>
        <w:rPr>
          <w:w w:val="120"/>
          <w:sz w:val="20"/>
        </w:rPr>
        <w:t>central</w:t>
      </w:r>
      <w:r>
        <w:rPr>
          <w:spacing w:val="11"/>
          <w:w w:val="120"/>
          <w:sz w:val="20"/>
        </w:rPr>
        <w:t> </w:t>
      </w:r>
      <w:r>
        <w:rPr>
          <w:spacing w:val="2"/>
          <w:w w:val="120"/>
          <w:sz w:val="20"/>
        </w:rPr>
        <w:t>assets.</w:t>
      </w:r>
      <w:r>
        <w:rPr>
          <w:spacing w:val="11"/>
          <w:w w:val="120"/>
          <w:sz w:val="20"/>
        </w:rPr>
        <w:t> </w:t>
      </w:r>
      <w:r>
        <w:rPr>
          <w:spacing w:val="2"/>
          <w:w w:val="120"/>
          <w:sz w:val="20"/>
        </w:rPr>
        <w:t>The</w:t>
      </w:r>
      <w:r>
        <w:rPr>
          <w:spacing w:val="11"/>
          <w:w w:val="120"/>
          <w:sz w:val="20"/>
        </w:rPr>
        <w:t> </w:t>
      </w:r>
      <w:r>
        <w:rPr>
          <w:w w:val="120"/>
          <w:sz w:val="20"/>
        </w:rPr>
        <w:t>total</w:t>
      </w:r>
      <w:r>
        <w:rPr>
          <w:spacing w:val="11"/>
          <w:w w:val="120"/>
          <w:sz w:val="20"/>
        </w:rPr>
        <w:t> </w:t>
      </w:r>
      <w:r>
        <w:rPr>
          <w:w w:val="120"/>
          <w:sz w:val="20"/>
        </w:rPr>
        <w:t>cost</w:t>
      </w:r>
      <w:r>
        <w:rPr>
          <w:spacing w:val="10"/>
          <w:w w:val="120"/>
          <w:sz w:val="20"/>
        </w:rPr>
        <w:t> </w:t>
      </w:r>
      <w:r>
        <w:rPr>
          <w:w w:val="120"/>
          <w:sz w:val="20"/>
        </w:rPr>
        <w:t>was</w:t>
      </w:r>
      <w:r>
        <w:rPr>
          <w:spacing w:val="11"/>
          <w:w w:val="120"/>
          <w:sz w:val="20"/>
        </w:rPr>
        <w:t> </w:t>
      </w:r>
      <w:r>
        <w:rPr>
          <w:w w:val="120"/>
          <w:sz w:val="20"/>
        </w:rPr>
        <w:t>2.65</w:t>
      </w:r>
      <w:r>
        <w:rPr>
          <w:spacing w:val="11"/>
          <w:w w:val="120"/>
          <w:sz w:val="20"/>
        </w:rPr>
        <w:t> </w:t>
      </w:r>
      <w:r>
        <w:rPr>
          <w:w w:val="120"/>
          <w:sz w:val="20"/>
        </w:rPr>
        <w:t>million</w:t>
      </w:r>
    </w:p>
    <w:p>
      <w:pPr>
        <w:pStyle w:val="BodyText"/>
        <w:spacing w:line="235" w:lineRule="auto" w:before="3"/>
        <w:ind w:left="1284" w:right="1283"/>
      </w:pPr>
      <w:r>
        <w:rPr>
          <w:w w:val="120"/>
        </w:rPr>
        <w:t>pounds. The building work was undertaken between January and June 2017, and staff moved back in July.</w:t>
      </w:r>
    </w:p>
    <w:p>
      <w:pPr>
        <w:pStyle w:val="BodyText"/>
        <w:spacing w:before="9"/>
        <w:rPr>
          <w:sz w:val="19"/>
        </w:rPr>
      </w:pPr>
    </w:p>
    <w:p>
      <w:pPr>
        <w:pStyle w:val="ListParagraph"/>
        <w:numPr>
          <w:ilvl w:val="0"/>
          <w:numId w:val="3"/>
        </w:numPr>
        <w:tabs>
          <w:tab w:pos="1964" w:val="left" w:leader="none"/>
          <w:tab w:pos="1965" w:val="left" w:leader="none"/>
        </w:tabs>
        <w:spacing w:line="235" w:lineRule="auto" w:before="1" w:after="0"/>
        <w:ind w:left="1284" w:right="1296" w:firstLine="0"/>
        <w:jc w:val="left"/>
        <w:rPr>
          <w:sz w:val="20"/>
        </w:rPr>
      </w:pPr>
      <w:r>
        <w:rPr>
          <w:w w:val="120"/>
          <w:sz w:val="20"/>
        </w:rPr>
        <w:t>The second floor of Church House, which had been intentionally freed for  letting, was leased to the Greenbelt Christian festival as a central office from September </w:t>
      </w:r>
      <w:r>
        <w:rPr>
          <w:spacing w:val="-9"/>
          <w:w w:val="120"/>
          <w:sz w:val="20"/>
        </w:rPr>
        <w:t>2017 </w:t>
      </w:r>
      <w:r>
        <w:rPr>
          <w:w w:val="120"/>
          <w:sz w:val="20"/>
        </w:rPr>
        <w:t>for at least five years. While trustees are obliged to expect a commercial</w:t>
      </w:r>
      <w:r>
        <w:rPr>
          <w:spacing w:val="24"/>
          <w:w w:val="120"/>
          <w:sz w:val="20"/>
        </w:rPr>
        <w:t> </w:t>
      </w:r>
      <w:r>
        <w:rPr>
          <w:w w:val="120"/>
          <w:sz w:val="20"/>
        </w:rPr>
        <w:t>rent</w:t>
      </w:r>
    </w:p>
    <w:p>
      <w:pPr>
        <w:pStyle w:val="BodyText"/>
        <w:spacing w:line="235" w:lineRule="auto" w:before="2"/>
        <w:ind w:left="1284" w:right="1283"/>
      </w:pPr>
      <w:r>
        <w:rPr>
          <w:w w:val="120"/>
        </w:rPr>
        <w:t>for this space, they have also been glad to welcome a tenant whose ethos and values match quite closely to those of the URC.</w:t>
      </w:r>
    </w:p>
    <w:p>
      <w:pPr>
        <w:pStyle w:val="BodyText"/>
        <w:spacing w:before="9"/>
        <w:rPr>
          <w:sz w:val="19"/>
        </w:rPr>
      </w:pPr>
    </w:p>
    <w:p>
      <w:pPr>
        <w:pStyle w:val="ListParagraph"/>
        <w:numPr>
          <w:ilvl w:val="0"/>
          <w:numId w:val="3"/>
        </w:numPr>
        <w:tabs>
          <w:tab w:pos="1964" w:val="left" w:leader="none"/>
          <w:tab w:pos="1965" w:val="left" w:leader="none"/>
        </w:tabs>
        <w:spacing w:line="235" w:lineRule="auto" w:before="0" w:after="0"/>
        <w:ind w:left="1284" w:right="1324" w:firstLine="0"/>
        <w:jc w:val="left"/>
        <w:rPr>
          <w:sz w:val="20"/>
        </w:rPr>
      </w:pPr>
      <w:r>
        <w:rPr>
          <w:w w:val="120"/>
          <w:sz w:val="20"/>
        </w:rPr>
        <w:t>There has been one major </w:t>
      </w:r>
      <w:r>
        <w:rPr>
          <w:spacing w:val="-3"/>
          <w:w w:val="120"/>
          <w:sz w:val="20"/>
        </w:rPr>
        <w:t>piece </w:t>
      </w:r>
      <w:r>
        <w:rPr>
          <w:w w:val="120"/>
          <w:sz w:val="20"/>
        </w:rPr>
        <w:t>of builders’ snagging </w:t>
      </w:r>
      <w:r>
        <w:rPr>
          <w:spacing w:val="-3"/>
          <w:w w:val="120"/>
          <w:sz w:val="20"/>
        </w:rPr>
        <w:t>to </w:t>
      </w:r>
      <w:r>
        <w:rPr>
          <w:w w:val="120"/>
          <w:sz w:val="20"/>
        </w:rPr>
        <w:t>undertake after the </w:t>
      </w:r>
      <w:r>
        <w:rPr>
          <w:spacing w:val="-3"/>
          <w:w w:val="120"/>
          <w:sz w:val="20"/>
        </w:rPr>
        <w:t>completion </w:t>
      </w:r>
      <w:r>
        <w:rPr>
          <w:w w:val="120"/>
          <w:sz w:val="20"/>
        </w:rPr>
        <w:t>of the contract. The </w:t>
      </w:r>
      <w:r>
        <w:rPr>
          <w:spacing w:val="-3"/>
          <w:w w:val="120"/>
          <w:sz w:val="20"/>
        </w:rPr>
        <w:t>lower </w:t>
      </w:r>
      <w:r>
        <w:rPr>
          <w:w w:val="120"/>
          <w:sz w:val="20"/>
        </w:rPr>
        <w:t>ground floor has been </w:t>
      </w:r>
      <w:r>
        <w:rPr>
          <w:spacing w:val="-3"/>
          <w:w w:val="120"/>
          <w:sz w:val="20"/>
        </w:rPr>
        <w:t>damp. </w:t>
      </w:r>
      <w:r>
        <w:rPr>
          <w:w w:val="120"/>
          <w:sz w:val="20"/>
        </w:rPr>
        <w:t>At time of writing, three</w:t>
      </w:r>
      <w:r>
        <w:rPr>
          <w:spacing w:val="-6"/>
          <w:w w:val="120"/>
          <w:sz w:val="20"/>
        </w:rPr>
        <w:t> </w:t>
      </w:r>
      <w:r>
        <w:rPr>
          <w:spacing w:val="-3"/>
          <w:w w:val="120"/>
          <w:sz w:val="20"/>
        </w:rPr>
        <w:t>months</w:t>
      </w:r>
      <w:r>
        <w:rPr>
          <w:spacing w:val="-6"/>
          <w:w w:val="120"/>
          <w:sz w:val="20"/>
        </w:rPr>
        <w:t> </w:t>
      </w:r>
      <w:r>
        <w:rPr>
          <w:w w:val="120"/>
          <w:sz w:val="20"/>
        </w:rPr>
        <w:t>before</w:t>
      </w:r>
      <w:r>
        <w:rPr>
          <w:spacing w:val="-5"/>
          <w:w w:val="120"/>
          <w:sz w:val="20"/>
        </w:rPr>
        <w:t> </w:t>
      </w:r>
      <w:r>
        <w:rPr>
          <w:spacing w:val="-3"/>
          <w:w w:val="120"/>
          <w:sz w:val="20"/>
        </w:rPr>
        <w:t>Assembly,</w:t>
      </w:r>
      <w:r>
        <w:rPr>
          <w:spacing w:val="-6"/>
          <w:w w:val="120"/>
          <w:sz w:val="20"/>
        </w:rPr>
        <w:t> </w:t>
      </w:r>
      <w:r>
        <w:rPr>
          <w:w w:val="120"/>
          <w:sz w:val="20"/>
        </w:rPr>
        <w:t>a</w:t>
      </w:r>
      <w:r>
        <w:rPr>
          <w:spacing w:val="-6"/>
          <w:w w:val="120"/>
          <w:sz w:val="20"/>
        </w:rPr>
        <w:t> </w:t>
      </w:r>
      <w:r>
        <w:rPr>
          <w:w w:val="120"/>
          <w:sz w:val="20"/>
        </w:rPr>
        <w:t>plan</w:t>
      </w:r>
      <w:r>
        <w:rPr>
          <w:spacing w:val="-5"/>
          <w:w w:val="120"/>
          <w:sz w:val="20"/>
        </w:rPr>
        <w:t> </w:t>
      </w:r>
      <w:r>
        <w:rPr>
          <w:w w:val="120"/>
          <w:sz w:val="20"/>
        </w:rPr>
        <w:t>for</w:t>
      </w:r>
      <w:r>
        <w:rPr>
          <w:spacing w:val="-6"/>
          <w:w w:val="120"/>
          <w:sz w:val="20"/>
        </w:rPr>
        <w:t> </w:t>
      </w:r>
      <w:r>
        <w:rPr>
          <w:w w:val="120"/>
          <w:sz w:val="20"/>
        </w:rPr>
        <w:t>dealing</w:t>
      </w:r>
      <w:r>
        <w:rPr>
          <w:spacing w:val="-6"/>
          <w:w w:val="120"/>
          <w:sz w:val="20"/>
        </w:rPr>
        <w:t> </w:t>
      </w:r>
      <w:r>
        <w:rPr>
          <w:w w:val="120"/>
          <w:sz w:val="20"/>
        </w:rPr>
        <w:t>with</w:t>
      </w:r>
      <w:r>
        <w:rPr>
          <w:spacing w:val="-5"/>
          <w:w w:val="120"/>
          <w:sz w:val="20"/>
        </w:rPr>
        <w:t> </w:t>
      </w:r>
      <w:r>
        <w:rPr>
          <w:spacing w:val="-3"/>
          <w:w w:val="120"/>
          <w:sz w:val="20"/>
        </w:rPr>
        <w:t>this</w:t>
      </w:r>
      <w:r>
        <w:rPr>
          <w:spacing w:val="-6"/>
          <w:w w:val="120"/>
          <w:sz w:val="20"/>
        </w:rPr>
        <w:t> </w:t>
      </w:r>
      <w:r>
        <w:rPr>
          <w:w w:val="120"/>
          <w:sz w:val="20"/>
        </w:rPr>
        <w:t>is</w:t>
      </w:r>
      <w:r>
        <w:rPr>
          <w:spacing w:val="-6"/>
          <w:w w:val="120"/>
          <w:sz w:val="20"/>
        </w:rPr>
        <w:t> </w:t>
      </w:r>
      <w:r>
        <w:rPr>
          <w:w w:val="120"/>
          <w:sz w:val="20"/>
        </w:rPr>
        <w:t>under</w:t>
      </w:r>
      <w:r>
        <w:rPr>
          <w:spacing w:val="-5"/>
          <w:w w:val="120"/>
          <w:sz w:val="20"/>
        </w:rPr>
        <w:t> </w:t>
      </w:r>
      <w:r>
        <w:rPr>
          <w:w w:val="120"/>
          <w:sz w:val="20"/>
        </w:rPr>
        <w:t>careful</w:t>
      </w:r>
      <w:r>
        <w:rPr>
          <w:spacing w:val="-6"/>
          <w:w w:val="120"/>
          <w:sz w:val="20"/>
        </w:rPr>
        <w:t> </w:t>
      </w:r>
      <w:r>
        <w:rPr>
          <w:spacing w:val="-3"/>
          <w:w w:val="120"/>
          <w:sz w:val="20"/>
        </w:rPr>
        <w:t>consideration.</w:t>
      </w:r>
    </w:p>
    <w:p>
      <w:pPr>
        <w:pStyle w:val="BodyText"/>
        <w:spacing w:before="10"/>
        <w:rPr>
          <w:sz w:val="19"/>
        </w:rPr>
      </w:pPr>
    </w:p>
    <w:p>
      <w:pPr>
        <w:pStyle w:val="ListParagraph"/>
        <w:numPr>
          <w:ilvl w:val="0"/>
          <w:numId w:val="3"/>
        </w:numPr>
        <w:tabs>
          <w:tab w:pos="1964" w:val="left" w:leader="none"/>
          <w:tab w:pos="1965" w:val="left" w:leader="none"/>
        </w:tabs>
        <w:spacing w:line="235" w:lineRule="auto" w:before="1" w:after="0"/>
        <w:ind w:left="1284" w:right="1361" w:firstLine="0"/>
        <w:jc w:val="left"/>
        <w:rPr>
          <w:sz w:val="20"/>
        </w:rPr>
      </w:pPr>
      <w:r>
        <w:rPr>
          <w:w w:val="120"/>
          <w:sz w:val="20"/>
        </w:rPr>
        <w:t>All of this involved some disruption to the working arrangements for our central staff, and Mission Council made a point of thanking them on the </w:t>
      </w:r>
      <w:r>
        <w:rPr>
          <w:spacing w:val="-3"/>
          <w:w w:val="120"/>
          <w:sz w:val="20"/>
        </w:rPr>
        <w:t>Church’s </w:t>
      </w:r>
      <w:r>
        <w:rPr>
          <w:w w:val="120"/>
          <w:sz w:val="20"/>
        </w:rPr>
        <w:t>behalf for their patience through these months, and for their strong commitment to the service and support of the whole life of the</w:t>
      </w:r>
      <w:r>
        <w:rPr>
          <w:spacing w:val="18"/>
          <w:w w:val="120"/>
          <w:sz w:val="20"/>
        </w:rPr>
        <w:t> </w:t>
      </w:r>
      <w:r>
        <w:rPr>
          <w:w w:val="120"/>
          <w:sz w:val="20"/>
        </w:rPr>
        <w:t>denomination.</w:t>
      </w:r>
    </w:p>
    <w:p>
      <w:pPr>
        <w:spacing w:after="0" w:line="235" w:lineRule="auto"/>
        <w:jc w:val="left"/>
        <w:rPr>
          <w:sz w:val="20"/>
        </w:rPr>
        <w:sectPr>
          <w:headerReference w:type="default" r:id="rId72"/>
          <w:pgSz w:w="11910" w:h="16840"/>
          <w:pgMar w:header="0" w:footer="647" w:top="0" w:bottom="840" w:left="700" w:right="0"/>
        </w:sectPr>
      </w:pPr>
    </w:p>
    <w:p>
      <w:pPr>
        <w:pStyle w:val="BodyText"/>
      </w:pPr>
      <w:r>
        <w:rPr/>
        <w:drawing>
          <wp:anchor distT="0" distB="0" distL="0" distR="0" allowOverlap="1" layoutInCell="1" locked="0" behindDoc="1" simplePos="0" relativeHeight="235735040">
            <wp:simplePos x="0" y="0"/>
            <wp:positionH relativeFrom="page">
              <wp:posOffset>0</wp:posOffset>
            </wp:positionH>
            <wp:positionV relativeFrom="page">
              <wp:posOffset>0</wp:posOffset>
            </wp:positionV>
            <wp:extent cx="594067" cy="10692003"/>
            <wp:effectExtent l="0" t="0" r="0" b="0"/>
            <wp:wrapNone/>
            <wp:docPr id="15" name="image49.png"/>
            <wp:cNvGraphicFramePr>
              <a:graphicFrameLocks noChangeAspect="1"/>
            </wp:cNvGraphicFramePr>
            <a:graphic>
              <a:graphicData uri="http://schemas.openxmlformats.org/drawingml/2006/picture">
                <pic:pic>
                  <pic:nvPicPr>
                    <pic:cNvPr id="16"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165.65pt;mso-position-horizontal-relative:page;mso-position-vertical-relative:page;z-index:-267580416"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p>
    <w:p>
      <w:pPr>
        <w:pStyle w:val="BodyText"/>
        <w:spacing w:before="5"/>
        <w:rPr>
          <w:sz w:val="21"/>
        </w:rPr>
      </w:pPr>
    </w:p>
    <w:p>
      <w:pPr>
        <w:pStyle w:val="Heading5"/>
        <w:ind w:left="547"/>
      </w:pPr>
      <w:r>
        <w:rPr>
          <w:color w:val="7EAABF"/>
          <w:w w:val="120"/>
        </w:rPr>
        <w:t>Mission Council</w:t>
      </w:r>
    </w:p>
    <w:p>
      <w:pPr>
        <w:spacing w:before="215"/>
        <w:ind w:left="547" w:right="0" w:firstLine="0"/>
        <w:jc w:val="left"/>
        <w:rPr>
          <w:rFonts w:ascii="Stone Sans II ITC Std Bk"/>
          <w:b/>
          <w:sz w:val="29"/>
        </w:rPr>
      </w:pPr>
      <w:r>
        <w:rPr>
          <w:rFonts w:ascii="Stone Sans II ITC Std Bk"/>
          <w:b/>
          <w:w w:val="110"/>
          <w:sz w:val="29"/>
        </w:rPr>
        <w:t>The Windermere Centre</w:t>
      </w:r>
    </w:p>
    <w:p>
      <w:pPr>
        <w:pStyle w:val="ListParagraph"/>
        <w:numPr>
          <w:ilvl w:val="0"/>
          <w:numId w:val="3"/>
        </w:numPr>
        <w:tabs>
          <w:tab w:pos="1227" w:val="left" w:leader="none"/>
          <w:tab w:pos="1228" w:val="left" w:leader="none"/>
        </w:tabs>
        <w:spacing w:line="235" w:lineRule="auto" w:before="69" w:after="0"/>
        <w:ind w:left="547" w:right="2466" w:firstLine="0"/>
        <w:jc w:val="left"/>
        <w:rPr>
          <w:sz w:val="20"/>
        </w:rPr>
      </w:pPr>
      <w:r>
        <w:rPr>
          <w:w w:val="120"/>
          <w:sz w:val="20"/>
        </w:rPr>
        <w:t>Very much the most painful decision in Mission Council concerned the Windermere Centre. The sequence of events, and the issues that arose, were</w:t>
      </w:r>
      <w:r>
        <w:rPr>
          <w:spacing w:val="-19"/>
          <w:w w:val="120"/>
          <w:sz w:val="20"/>
        </w:rPr>
        <w:t> </w:t>
      </w:r>
      <w:r>
        <w:rPr>
          <w:w w:val="120"/>
          <w:sz w:val="20"/>
        </w:rPr>
        <w:t>these.</w:t>
      </w:r>
    </w:p>
    <w:p>
      <w:pPr>
        <w:pStyle w:val="BodyText"/>
        <w:spacing w:before="10"/>
        <w:rPr>
          <w:sz w:val="19"/>
        </w:rPr>
      </w:pPr>
    </w:p>
    <w:p>
      <w:pPr>
        <w:pStyle w:val="ListParagraph"/>
        <w:numPr>
          <w:ilvl w:val="0"/>
          <w:numId w:val="3"/>
        </w:numPr>
        <w:tabs>
          <w:tab w:pos="1227" w:val="left" w:leader="none"/>
          <w:tab w:pos="1228" w:val="left" w:leader="none"/>
        </w:tabs>
        <w:spacing w:line="235" w:lineRule="auto" w:before="0" w:after="0"/>
        <w:ind w:left="547" w:right="2055" w:firstLine="0"/>
        <w:jc w:val="left"/>
        <w:rPr>
          <w:sz w:val="20"/>
        </w:rPr>
      </w:pPr>
      <w:r>
        <w:rPr>
          <w:w w:val="120"/>
          <w:sz w:val="20"/>
        </w:rPr>
        <w:t>Before Mr Lawrence Moore </w:t>
      </w:r>
      <w:r>
        <w:rPr>
          <w:spacing w:val="2"/>
          <w:w w:val="120"/>
          <w:sz w:val="20"/>
        </w:rPr>
        <w:t>left </w:t>
      </w:r>
      <w:r>
        <w:rPr>
          <w:w w:val="120"/>
          <w:sz w:val="20"/>
        </w:rPr>
        <w:t>post as Director in September </w:t>
      </w:r>
      <w:r>
        <w:rPr>
          <w:spacing w:val="-6"/>
          <w:w w:val="120"/>
          <w:sz w:val="20"/>
        </w:rPr>
        <w:t>2016, </w:t>
      </w:r>
      <w:r>
        <w:rPr>
          <w:w w:val="120"/>
          <w:sz w:val="20"/>
        </w:rPr>
        <w:t>the management of house staff and hospitality was already being covered by a staff member seconded from a partner church organisation that has long experience of residential Christian events. It seemed possible that a longer-term arrangement might emerge from this, which would enable us to benefit from the expertise of the partner organisation. </w:t>
      </w:r>
      <w:r>
        <w:rPr>
          <w:spacing w:val="-5"/>
          <w:w w:val="120"/>
          <w:sz w:val="20"/>
        </w:rPr>
        <w:t>Yet </w:t>
      </w:r>
      <w:r>
        <w:rPr>
          <w:w w:val="120"/>
          <w:sz w:val="20"/>
        </w:rPr>
        <w:t>as this possibility was explored with hope and in detail, it became increasingly clear that the </w:t>
      </w:r>
      <w:r>
        <w:rPr>
          <w:spacing w:val="-3"/>
          <w:w w:val="120"/>
          <w:sz w:val="20"/>
        </w:rPr>
        <w:t>centre’s </w:t>
      </w:r>
      <w:r>
        <w:rPr>
          <w:w w:val="120"/>
          <w:sz w:val="20"/>
        </w:rPr>
        <w:t>usage figures fell far below the levels that one would expect in a facility of this</w:t>
      </w:r>
      <w:r>
        <w:rPr>
          <w:spacing w:val="12"/>
          <w:w w:val="120"/>
          <w:sz w:val="20"/>
        </w:rPr>
        <w:t> </w:t>
      </w:r>
      <w:r>
        <w:rPr>
          <w:w w:val="120"/>
          <w:sz w:val="20"/>
        </w:rPr>
        <w:t>kind.</w:t>
      </w:r>
    </w:p>
    <w:p>
      <w:pPr>
        <w:pStyle w:val="BodyText"/>
        <w:spacing w:before="1"/>
      </w:pPr>
    </w:p>
    <w:p>
      <w:pPr>
        <w:pStyle w:val="ListParagraph"/>
        <w:numPr>
          <w:ilvl w:val="0"/>
          <w:numId w:val="3"/>
        </w:numPr>
        <w:tabs>
          <w:tab w:pos="1227" w:val="left" w:leader="none"/>
          <w:tab w:pos="1228" w:val="left" w:leader="none"/>
        </w:tabs>
        <w:spacing w:line="235" w:lineRule="auto" w:before="1" w:after="0"/>
        <w:ind w:left="547" w:right="2380" w:firstLine="0"/>
        <w:jc w:val="left"/>
        <w:rPr>
          <w:sz w:val="20"/>
        </w:rPr>
      </w:pPr>
      <w:r>
        <w:rPr>
          <w:spacing w:val="3"/>
          <w:w w:val="120"/>
          <w:sz w:val="20"/>
        </w:rPr>
        <w:t>As </w:t>
      </w:r>
      <w:r>
        <w:rPr>
          <w:w w:val="120"/>
          <w:sz w:val="20"/>
        </w:rPr>
        <w:t>a result, the education and learning and finance committees reported to Mission Council in October </w:t>
      </w:r>
      <w:r>
        <w:rPr>
          <w:spacing w:val="-7"/>
          <w:w w:val="120"/>
          <w:sz w:val="20"/>
        </w:rPr>
        <w:t>2016 </w:t>
      </w:r>
      <w:r>
        <w:rPr>
          <w:w w:val="120"/>
          <w:sz w:val="20"/>
        </w:rPr>
        <w:t>that there was a serious question of viability. There followed two very difficult discussions in Mission Council, that October and the following </w:t>
      </w:r>
      <w:r>
        <w:rPr>
          <w:spacing w:val="-4"/>
          <w:w w:val="120"/>
          <w:sz w:val="20"/>
        </w:rPr>
        <w:t>May, </w:t>
      </w:r>
      <w:r>
        <w:rPr>
          <w:w w:val="120"/>
          <w:sz w:val="20"/>
        </w:rPr>
        <w:t>and some careful committee work</w:t>
      </w:r>
      <w:r>
        <w:rPr>
          <w:spacing w:val="22"/>
          <w:w w:val="120"/>
          <w:sz w:val="20"/>
        </w:rPr>
        <w:t> </w:t>
      </w:r>
      <w:r>
        <w:rPr>
          <w:w w:val="120"/>
          <w:sz w:val="20"/>
        </w:rPr>
        <w:t>in-between.</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298" w:firstLine="0"/>
        <w:jc w:val="left"/>
        <w:rPr>
          <w:sz w:val="20"/>
        </w:rPr>
      </w:pPr>
      <w:r>
        <w:rPr>
          <w:w w:val="120"/>
          <w:sz w:val="20"/>
        </w:rPr>
        <w:t>The difficulty came from talking practically about a place that many of us have loved,</w:t>
      </w:r>
      <w:r>
        <w:rPr>
          <w:spacing w:val="7"/>
          <w:w w:val="120"/>
          <w:sz w:val="20"/>
        </w:rPr>
        <w:t> </w:t>
      </w:r>
      <w:r>
        <w:rPr>
          <w:w w:val="120"/>
          <w:sz w:val="20"/>
        </w:rPr>
        <w:t>and</w:t>
      </w:r>
      <w:r>
        <w:rPr>
          <w:spacing w:val="7"/>
          <w:w w:val="120"/>
          <w:sz w:val="20"/>
        </w:rPr>
        <w:t> </w:t>
      </w:r>
      <w:r>
        <w:rPr>
          <w:w w:val="120"/>
          <w:sz w:val="20"/>
        </w:rPr>
        <w:t>where</w:t>
      </w:r>
      <w:r>
        <w:rPr>
          <w:spacing w:val="7"/>
          <w:w w:val="120"/>
          <w:sz w:val="20"/>
        </w:rPr>
        <w:t> </w:t>
      </w:r>
      <w:r>
        <w:rPr>
          <w:w w:val="120"/>
          <w:sz w:val="20"/>
        </w:rPr>
        <w:t>we</w:t>
      </w:r>
      <w:r>
        <w:rPr>
          <w:spacing w:val="7"/>
          <w:w w:val="120"/>
          <w:sz w:val="20"/>
        </w:rPr>
        <w:t> </w:t>
      </w:r>
      <w:r>
        <w:rPr>
          <w:w w:val="120"/>
          <w:sz w:val="20"/>
        </w:rPr>
        <w:t>have</w:t>
      </w:r>
      <w:r>
        <w:rPr>
          <w:spacing w:val="7"/>
          <w:w w:val="120"/>
          <w:sz w:val="20"/>
        </w:rPr>
        <w:t> </w:t>
      </w:r>
      <w:r>
        <w:rPr>
          <w:w w:val="120"/>
          <w:sz w:val="20"/>
        </w:rPr>
        <w:t>gained</w:t>
      </w:r>
      <w:r>
        <w:rPr>
          <w:spacing w:val="7"/>
          <w:w w:val="120"/>
          <w:sz w:val="20"/>
        </w:rPr>
        <w:t> </w:t>
      </w:r>
      <w:r>
        <w:rPr>
          <w:w w:val="120"/>
          <w:sz w:val="20"/>
        </w:rPr>
        <w:t>and</w:t>
      </w:r>
      <w:r>
        <w:rPr>
          <w:spacing w:val="7"/>
          <w:w w:val="120"/>
          <w:sz w:val="20"/>
        </w:rPr>
        <w:t> </w:t>
      </w:r>
      <w:r>
        <w:rPr>
          <w:w w:val="120"/>
          <w:sz w:val="20"/>
        </w:rPr>
        <w:t>grown.</w:t>
      </w:r>
      <w:r>
        <w:rPr>
          <w:spacing w:val="7"/>
          <w:w w:val="120"/>
          <w:sz w:val="20"/>
        </w:rPr>
        <w:t> </w:t>
      </w:r>
      <w:r>
        <w:rPr>
          <w:spacing w:val="3"/>
          <w:w w:val="120"/>
          <w:sz w:val="20"/>
        </w:rPr>
        <w:t>No-one</w:t>
      </w:r>
      <w:r>
        <w:rPr>
          <w:spacing w:val="7"/>
          <w:w w:val="120"/>
          <w:sz w:val="20"/>
        </w:rPr>
        <w:t> </w:t>
      </w:r>
      <w:r>
        <w:rPr>
          <w:w w:val="120"/>
          <w:sz w:val="20"/>
        </w:rPr>
        <w:t>spoke</w:t>
      </w:r>
      <w:r>
        <w:rPr>
          <w:spacing w:val="7"/>
          <w:w w:val="120"/>
          <w:sz w:val="20"/>
        </w:rPr>
        <w:t> </w:t>
      </w:r>
      <w:r>
        <w:rPr>
          <w:w w:val="120"/>
          <w:sz w:val="20"/>
        </w:rPr>
        <w:t>ill</w:t>
      </w:r>
      <w:r>
        <w:rPr>
          <w:spacing w:val="8"/>
          <w:w w:val="120"/>
          <w:sz w:val="20"/>
        </w:rPr>
        <w:t> </w:t>
      </w:r>
      <w:r>
        <w:rPr>
          <w:w w:val="120"/>
          <w:sz w:val="20"/>
        </w:rPr>
        <w:t>in</w:t>
      </w:r>
      <w:r>
        <w:rPr>
          <w:spacing w:val="7"/>
          <w:w w:val="120"/>
          <w:sz w:val="20"/>
        </w:rPr>
        <w:t> </w:t>
      </w:r>
      <w:r>
        <w:rPr>
          <w:w w:val="120"/>
          <w:sz w:val="20"/>
        </w:rPr>
        <w:t>Mission</w:t>
      </w:r>
      <w:r>
        <w:rPr>
          <w:spacing w:val="7"/>
          <w:w w:val="120"/>
          <w:sz w:val="20"/>
        </w:rPr>
        <w:t> </w:t>
      </w:r>
      <w:r>
        <w:rPr>
          <w:w w:val="120"/>
          <w:sz w:val="20"/>
        </w:rPr>
        <w:t>Council</w:t>
      </w:r>
    </w:p>
    <w:p>
      <w:pPr>
        <w:pStyle w:val="BodyText"/>
        <w:spacing w:line="235" w:lineRule="auto" w:before="1"/>
        <w:ind w:left="547" w:right="2112"/>
      </w:pPr>
      <w:r>
        <w:rPr>
          <w:w w:val="120"/>
        </w:rPr>
        <w:t>of Windermere’s work and its contribution to the life of the Church. There has been great appreciation of the work of successive directors in planning and running the programme, and of house staff in looking after guests. We are deeply grateful, to them and to God, and it is important to set this thanks on record in Assembly.</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044" w:firstLine="0"/>
        <w:jc w:val="left"/>
        <w:rPr>
          <w:sz w:val="20"/>
        </w:rPr>
      </w:pPr>
      <w:r>
        <w:rPr>
          <w:w w:val="120"/>
          <w:sz w:val="20"/>
        </w:rPr>
        <w:t>However, not as many of us have been using the Centre as was once hoped. Usage has tailed off over the decades, as fewer URC people and events have made their way there. Across the years there have been several attempts to increase interest and demand; sadly none has had a long-term effect on usage. We have found ourselves investing heavily in a facility that we have actually used rather</w:t>
      </w:r>
      <w:r>
        <w:rPr>
          <w:spacing w:val="19"/>
          <w:w w:val="120"/>
          <w:sz w:val="20"/>
        </w:rPr>
        <w:t> </w:t>
      </w:r>
      <w:r>
        <w:rPr>
          <w:w w:val="120"/>
          <w:sz w:val="20"/>
        </w:rPr>
        <w:t>lightly.</w:t>
      </w:r>
    </w:p>
    <w:p>
      <w:pPr>
        <w:pStyle w:val="BodyText"/>
      </w:pPr>
    </w:p>
    <w:p>
      <w:pPr>
        <w:pStyle w:val="ListParagraph"/>
        <w:numPr>
          <w:ilvl w:val="0"/>
          <w:numId w:val="3"/>
        </w:numPr>
        <w:tabs>
          <w:tab w:pos="1227" w:val="left" w:leader="none"/>
          <w:tab w:pos="1228" w:val="left" w:leader="none"/>
        </w:tabs>
        <w:spacing w:line="235" w:lineRule="auto" w:before="0" w:after="0"/>
        <w:ind w:left="547" w:right="2005" w:firstLine="0"/>
        <w:jc w:val="left"/>
        <w:rPr>
          <w:sz w:val="20"/>
        </w:rPr>
      </w:pPr>
      <w:r>
        <w:rPr>
          <w:w w:val="120"/>
          <w:sz w:val="20"/>
        </w:rPr>
        <w:t>Eventually Mission Council decided that the case for continuing to run the centre was not convincing. In this we were far from unanimous. Members from </w:t>
      </w:r>
      <w:r>
        <w:rPr>
          <w:spacing w:val="2"/>
          <w:w w:val="120"/>
          <w:sz w:val="20"/>
        </w:rPr>
        <w:t>North </w:t>
      </w:r>
      <w:r>
        <w:rPr>
          <w:w w:val="120"/>
          <w:sz w:val="20"/>
        </w:rPr>
        <w:t>Western and Mersey Synods, and a good number of other people, would have preferred a   slower process and a delayed decision. However, a very definite majority of Mission Council came, with sad conviction, to the view that a further couple of years would not add clarity or new opportunity, and that it would be right to close the</w:t>
      </w:r>
      <w:r>
        <w:rPr>
          <w:spacing w:val="1"/>
          <w:w w:val="120"/>
          <w:sz w:val="20"/>
        </w:rPr>
        <w:t> </w:t>
      </w:r>
      <w:r>
        <w:rPr>
          <w:w w:val="120"/>
          <w:sz w:val="20"/>
        </w:rPr>
        <w:t>centre.</w:t>
      </w:r>
    </w:p>
    <w:p>
      <w:pPr>
        <w:pStyle w:val="BodyText"/>
      </w:pPr>
    </w:p>
    <w:p>
      <w:pPr>
        <w:pStyle w:val="ListParagraph"/>
        <w:numPr>
          <w:ilvl w:val="0"/>
          <w:numId w:val="3"/>
        </w:numPr>
        <w:tabs>
          <w:tab w:pos="1227" w:val="left" w:leader="none"/>
          <w:tab w:pos="1228" w:val="left" w:leader="none"/>
        </w:tabs>
        <w:spacing w:line="235" w:lineRule="auto" w:before="0" w:after="0"/>
        <w:ind w:left="547" w:right="2091" w:firstLine="0"/>
        <w:jc w:val="left"/>
        <w:rPr>
          <w:sz w:val="20"/>
        </w:rPr>
      </w:pPr>
      <w:r>
        <w:rPr>
          <w:w w:val="120"/>
          <w:sz w:val="20"/>
        </w:rPr>
        <w:t>The last guests in the centre visited in late May </w:t>
      </w:r>
      <w:r>
        <w:rPr>
          <w:spacing w:val="-12"/>
          <w:w w:val="120"/>
          <w:sz w:val="20"/>
        </w:rPr>
        <w:t>2017. </w:t>
      </w:r>
      <w:r>
        <w:rPr>
          <w:w w:val="120"/>
          <w:sz w:val="20"/>
        </w:rPr>
        <w:t>A number of other groups who had booked were offered and accepted accommodation elsewhere. Throughout the months of discussion, the Church sought to deal honestly and respectfully with the staff of the house, and their work ended at a time when some, at least, could find new posts locally at the </w:t>
      </w:r>
      <w:r>
        <w:rPr>
          <w:spacing w:val="2"/>
          <w:w w:val="120"/>
          <w:sz w:val="20"/>
        </w:rPr>
        <w:t>start </w:t>
      </w:r>
      <w:r>
        <w:rPr>
          <w:w w:val="120"/>
          <w:sz w:val="20"/>
        </w:rPr>
        <w:t>of the summer season. There was a thanksgiving service on Saturday </w:t>
      </w:r>
      <w:r>
        <w:rPr>
          <w:spacing w:val="-9"/>
          <w:w w:val="120"/>
          <w:sz w:val="20"/>
        </w:rPr>
        <w:t>15 </w:t>
      </w:r>
      <w:r>
        <w:rPr>
          <w:w w:val="120"/>
          <w:sz w:val="20"/>
        </w:rPr>
        <w:t>July </w:t>
      </w:r>
      <w:r>
        <w:rPr>
          <w:spacing w:val="-9"/>
          <w:w w:val="120"/>
          <w:sz w:val="20"/>
        </w:rPr>
        <w:t>2017 </w:t>
      </w:r>
      <w:r>
        <w:rPr>
          <w:w w:val="120"/>
          <w:sz w:val="20"/>
        </w:rPr>
        <w:t>in Carver Church, next door to the</w:t>
      </w:r>
      <w:r>
        <w:rPr>
          <w:spacing w:val="53"/>
          <w:w w:val="120"/>
          <w:sz w:val="20"/>
        </w:rPr>
        <w:t> </w:t>
      </w:r>
      <w:r>
        <w:rPr>
          <w:w w:val="120"/>
          <w:sz w:val="20"/>
        </w:rPr>
        <w:t>centre.</w:t>
      </w:r>
    </w:p>
    <w:p>
      <w:pPr>
        <w:pStyle w:val="BodyText"/>
      </w:pPr>
    </w:p>
    <w:p>
      <w:pPr>
        <w:pStyle w:val="ListParagraph"/>
        <w:numPr>
          <w:ilvl w:val="0"/>
          <w:numId w:val="3"/>
        </w:numPr>
        <w:tabs>
          <w:tab w:pos="1227" w:val="left" w:leader="none"/>
          <w:tab w:pos="1228" w:val="left" w:leader="none"/>
        </w:tabs>
        <w:spacing w:line="235" w:lineRule="auto" w:before="0" w:after="0"/>
        <w:ind w:left="547" w:right="1986" w:firstLine="0"/>
        <w:jc w:val="left"/>
        <w:rPr>
          <w:sz w:val="20"/>
        </w:rPr>
      </w:pPr>
      <w:r>
        <w:rPr>
          <w:w w:val="120"/>
          <w:sz w:val="20"/>
        </w:rPr>
        <w:t>The building then passed out of the care of the education and learning  committee</w:t>
      </w:r>
      <w:r>
        <w:rPr>
          <w:spacing w:val="-4"/>
          <w:w w:val="120"/>
          <w:sz w:val="20"/>
        </w:rPr>
        <w:t> </w:t>
      </w:r>
      <w:r>
        <w:rPr>
          <w:w w:val="120"/>
          <w:sz w:val="20"/>
        </w:rPr>
        <w:t>into</w:t>
      </w:r>
      <w:r>
        <w:rPr>
          <w:spacing w:val="-3"/>
          <w:w w:val="120"/>
          <w:sz w:val="20"/>
        </w:rPr>
        <w:t> </w:t>
      </w:r>
      <w:r>
        <w:rPr>
          <w:w w:val="120"/>
          <w:sz w:val="20"/>
        </w:rPr>
        <w:t>that</w:t>
      </w:r>
      <w:r>
        <w:rPr>
          <w:spacing w:val="-3"/>
          <w:w w:val="120"/>
          <w:sz w:val="20"/>
        </w:rPr>
        <w:t> </w:t>
      </w:r>
      <w:r>
        <w:rPr>
          <w:w w:val="120"/>
          <w:sz w:val="20"/>
        </w:rPr>
        <w:t>of</w:t>
      </w:r>
      <w:r>
        <w:rPr>
          <w:spacing w:val="-3"/>
          <w:w w:val="120"/>
          <w:sz w:val="20"/>
        </w:rPr>
        <w:t> </w:t>
      </w:r>
      <w:r>
        <w:rPr>
          <w:w w:val="120"/>
          <w:sz w:val="20"/>
        </w:rPr>
        <w:t>the</w:t>
      </w:r>
      <w:r>
        <w:rPr>
          <w:spacing w:val="-3"/>
          <w:w w:val="120"/>
          <w:sz w:val="20"/>
        </w:rPr>
        <w:t> </w:t>
      </w:r>
      <w:r>
        <w:rPr>
          <w:w w:val="120"/>
          <w:sz w:val="20"/>
        </w:rPr>
        <w:t>URC</w:t>
      </w:r>
      <w:r>
        <w:rPr>
          <w:spacing w:val="-3"/>
          <w:w w:val="120"/>
          <w:sz w:val="20"/>
        </w:rPr>
        <w:t> </w:t>
      </w:r>
      <w:r>
        <w:rPr>
          <w:w w:val="120"/>
          <w:sz w:val="20"/>
        </w:rPr>
        <w:t>Trust.</w:t>
      </w:r>
      <w:r>
        <w:rPr>
          <w:spacing w:val="-3"/>
          <w:w w:val="120"/>
          <w:sz w:val="20"/>
        </w:rPr>
        <w:t> </w:t>
      </w:r>
      <w:r>
        <w:rPr>
          <w:w w:val="120"/>
          <w:sz w:val="20"/>
        </w:rPr>
        <w:t>The</w:t>
      </w:r>
      <w:r>
        <w:rPr>
          <w:spacing w:val="-4"/>
          <w:w w:val="120"/>
          <w:sz w:val="20"/>
        </w:rPr>
        <w:t> </w:t>
      </w:r>
      <w:r>
        <w:rPr>
          <w:w w:val="120"/>
          <w:sz w:val="20"/>
        </w:rPr>
        <w:t>Trust</w:t>
      </w:r>
      <w:r>
        <w:rPr>
          <w:spacing w:val="-3"/>
          <w:w w:val="120"/>
          <w:sz w:val="20"/>
        </w:rPr>
        <w:t> </w:t>
      </w:r>
      <w:r>
        <w:rPr>
          <w:w w:val="120"/>
          <w:sz w:val="20"/>
        </w:rPr>
        <w:t>has</w:t>
      </w:r>
      <w:r>
        <w:rPr>
          <w:spacing w:val="-3"/>
          <w:w w:val="120"/>
          <w:sz w:val="20"/>
        </w:rPr>
        <w:t> </w:t>
      </w:r>
      <w:r>
        <w:rPr>
          <w:w w:val="120"/>
          <w:sz w:val="20"/>
        </w:rPr>
        <w:t>since</w:t>
      </w:r>
      <w:r>
        <w:rPr>
          <w:spacing w:val="-3"/>
          <w:w w:val="120"/>
          <w:sz w:val="20"/>
        </w:rPr>
        <w:t> </w:t>
      </w:r>
      <w:r>
        <w:rPr>
          <w:w w:val="120"/>
          <w:sz w:val="20"/>
        </w:rPr>
        <w:t>taken</w:t>
      </w:r>
      <w:r>
        <w:rPr>
          <w:spacing w:val="-3"/>
          <w:w w:val="120"/>
          <w:sz w:val="20"/>
        </w:rPr>
        <w:t> </w:t>
      </w:r>
      <w:r>
        <w:rPr>
          <w:w w:val="120"/>
          <w:sz w:val="20"/>
        </w:rPr>
        <w:t>steps</w:t>
      </w:r>
      <w:r>
        <w:rPr>
          <w:spacing w:val="-3"/>
          <w:w w:val="120"/>
          <w:sz w:val="20"/>
        </w:rPr>
        <w:t> </w:t>
      </w:r>
      <w:r>
        <w:rPr>
          <w:w w:val="120"/>
          <w:sz w:val="20"/>
        </w:rPr>
        <w:t>towards</w:t>
      </w:r>
      <w:r>
        <w:rPr>
          <w:spacing w:val="-3"/>
          <w:w w:val="120"/>
          <w:sz w:val="20"/>
        </w:rPr>
        <w:t> </w:t>
      </w:r>
      <w:r>
        <w:rPr>
          <w:w w:val="120"/>
          <w:sz w:val="20"/>
        </w:rPr>
        <w:t>the</w:t>
      </w:r>
      <w:r>
        <w:rPr>
          <w:spacing w:val="-3"/>
          <w:w w:val="120"/>
          <w:sz w:val="20"/>
        </w:rPr>
        <w:t> </w:t>
      </w:r>
      <w:r>
        <w:rPr>
          <w:w w:val="120"/>
          <w:sz w:val="20"/>
        </w:rPr>
        <w:t>sale</w:t>
      </w:r>
      <w:r>
        <w:rPr>
          <w:spacing w:val="-4"/>
          <w:w w:val="120"/>
          <w:sz w:val="20"/>
        </w:rPr>
        <w:t> </w:t>
      </w:r>
      <w:r>
        <w:rPr>
          <w:w w:val="120"/>
          <w:sz w:val="20"/>
        </w:rPr>
        <w:t>of the building, and at time of writing is in close discussion with a potential</w:t>
      </w:r>
      <w:r>
        <w:rPr>
          <w:spacing w:val="49"/>
          <w:w w:val="120"/>
          <w:sz w:val="20"/>
        </w:rPr>
        <w:t> </w:t>
      </w:r>
      <w:r>
        <w:rPr>
          <w:w w:val="120"/>
          <w:sz w:val="20"/>
        </w:rPr>
        <w:t>purchaser.</w:t>
      </w:r>
    </w:p>
    <w:p>
      <w:pPr>
        <w:pStyle w:val="BodyText"/>
        <w:spacing w:before="11"/>
        <w:rPr>
          <w:sz w:val="19"/>
        </w:rPr>
      </w:pPr>
    </w:p>
    <w:p>
      <w:pPr>
        <w:pStyle w:val="ListParagraph"/>
        <w:numPr>
          <w:ilvl w:val="0"/>
          <w:numId w:val="3"/>
        </w:numPr>
        <w:tabs>
          <w:tab w:pos="1227" w:val="left" w:leader="none"/>
          <w:tab w:pos="1228" w:val="left" w:leader="none"/>
        </w:tabs>
        <w:spacing w:line="235" w:lineRule="auto" w:before="0" w:after="0"/>
        <w:ind w:left="547" w:right="2713" w:firstLine="0"/>
        <w:jc w:val="left"/>
        <w:rPr>
          <w:sz w:val="20"/>
        </w:rPr>
      </w:pPr>
      <w:r>
        <w:rPr>
          <w:w w:val="120"/>
          <w:sz w:val="20"/>
        </w:rPr>
        <w:t>The work of the centre in launching iChurch as a platform for local church websites has been handed on to the </w:t>
      </w:r>
      <w:r>
        <w:rPr>
          <w:spacing w:val="-3"/>
          <w:w w:val="120"/>
          <w:sz w:val="20"/>
        </w:rPr>
        <w:t>URC’s </w:t>
      </w:r>
      <w:r>
        <w:rPr>
          <w:w w:val="120"/>
          <w:sz w:val="20"/>
        </w:rPr>
        <w:t>communications</w:t>
      </w:r>
      <w:r>
        <w:rPr>
          <w:spacing w:val="29"/>
          <w:w w:val="120"/>
          <w:sz w:val="20"/>
        </w:rPr>
        <w:t> </w:t>
      </w:r>
      <w:r>
        <w:rPr>
          <w:w w:val="120"/>
          <w:sz w:val="20"/>
        </w:rPr>
        <w:t>committee.</w:t>
      </w:r>
    </w:p>
    <w:p>
      <w:pPr>
        <w:pStyle w:val="BodyText"/>
        <w:spacing w:before="9"/>
        <w:rPr>
          <w:sz w:val="19"/>
        </w:rPr>
      </w:pPr>
    </w:p>
    <w:p>
      <w:pPr>
        <w:pStyle w:val="ListParagraph"/>
        <w:numPr>
          <w:ilvl w:val="0"/>
          <w:numId w:val="3"/>
        </w:numPr>
        <w:tabs>
          <w:tab w:pos="1227" w:val="left" w:leader="none"/>
          <w:tab w:pos="1228" w:val="left" w:leader="none"/>
        </w:tabs>
        <w:spacing w:line="235" w:lineRule="auto" w:before="0" w:after="0"/>
        <w:ind w:left="547" w:right="2188" w:firstLine="0"/>
        <w:jc w:val="left"/>
        <w:rPr>
          <w:sz w:val="20"/>
        </w:rPr>
      </w:pPr>
      <w:r>
        <w:rPr>
          <w:w w:val="120"/>
          <w:sz w:val="20"/>
        </w:rPr>
        <w:t>Resources that come from sale of the building will be guarded and used by the education and learning committee as a lay training fund, so that the </w:t>
      </w:r>
      <w:r>
        <w:rPr>
          <w:spacing w:val="-3"/>
          <w:w w:val="120"/>
          <w:sz w:val="20"/>
        </w:rPr>
        <w:t>centre’s </w:t>
      </w:r>
      <w:r>
        <w:rPr>
          <w:w w:val="120"/>
          <w:sz w:val="20"/>
        </w:rPr>
        <w:t>role as a place of learning and welcome for all the </w:t>
      </w:r>
      <w:r>
        <w:rPr>
          <w:spacing w:val="-3"/>
          <w:w w:val="120"/>
          <w:sz w:val="20"/>
        </w:rPr>
        <w:t>Church’s </w:t>
      </w:r>
      <w:r>
        <w:rPr>
          <w:w w:val="120"/>
          <w:sz w:val="20"/>
        </w:rPr>
        <w:t>people may be handed on in new opportunities.</w:t>
      </w:r>
      <w:r>
        <w:rPr>
          <w:spacing w:val="5"/>
          <w:w w:val="120"/>
          <w:sz w:val="20"/>
        </w:rPr>
        <w:t> </w:t>
      </w:r>
      <w:r>
        <w:rPr>
          <w:w w:val="120"/>
          <w:sz w:val="20"/>
        </w:rPr>
        <w:t>This</w:t>
      </w:r>
      <w:r>
        <w:rPr>
          <w:spacing w:val="6"/>
          <w:w w:val="120"/>
          <w:sz w:val="20"/>
        </w:rPr>
        <w:t> </w:t>
      </w:r>
      <w:r>
        <w:rPr>
          <w:w w:val="120"/>
          <w:sz w:val="20"/>
        </w:rPr>
        <w:t>will</w:t>
      </w:r>
      <w:r>
        <w:rPr>
          <w:spacing w:val="5"/>
          <w:w w:val="120"/>
          <w:sz w:val="20"/>
        </w:rPr>
        <w:t> </w:t>
      </w:r>
      <w:r>
        <w:rPr>
          <w:w w:val="120"/>
          <w:sz w:val="20"/>
        </w:rPr>
        <w:t>express</w:t>
      </w:r>
      <w:r>
        <w:rPr>
          <w:spacing w:val="6"/>
          <w:w w:val="120"/>
          <w:sz w:val="20"/>
        </w:rPr>
        <w:t> </w:t>
      </w:r>
      <w:r>
        <w:rPr>
          <w:w w:val="120"/>
          <w:sz w:val="20"/>
        </w:rPr>
        <w:t>our</w:t>
      </w:r>
      <w:r>
        <w:rPr>
          <w:spacing w:val="5"/>
          <w:w w:val="120"/>
          <w:sz w:val="20"/>
        </w:rPr>
        <w:t> </w:t>
      </w:r>
      <w:r>
        <w:rPr>
          <w:w w:val="120"/>
          <w:sz w:val="20"/>
        </w:rPr>
        <w:t>deep</w:t>
      </w:r>
      <w:r>
        <w:rPr>
          <w:spacing w:val="6"/>
          <w:w w:val="120"/>
          <w:sz w:val="20"/>
        </w:rPr>
        <w:t> </w:t>
      </w:r>
      <w:r>
        <w:rPr>
          <w:w w:val="120"/>
          <w:sz w:val="20"/>
        </w:rPr>
        <w:t>gratitude,</w:t>
      </w:r>
      <w:r>
        <w:rPr>
          <w:spacing w:val="6"/>
          <w:w w:val="120"/>
          <w:sz w:val="20"/>
        </w:rPr>
        <w:t> </w:t>
      </w:r>
      <w:r>
        <w:rPr>
          <w:w w:val="120"/>
          <w:sz w:val="20"/>
        </w:rPr>
        <w:t>for</w:t>
      </w:r>
      <w:r>
        <w:rPr>
          <w:spacing w:val="5"/>
          <w:w w:val="120"/>
          <w:sz w:val="20"/>
        </w:rPr>
        <w:t> </w:t>
      </w:r>
      <w:r>
        <w:rPr>
          <w:w w:val="120"/>
          <w:sz w:val="20"/>
        </w:rPr>
        <w:t>all</w:t>
      </w:r>
      <w:r>
        <w:rPr>
          <w:spacing w:val="6"/>
          <w:w w:val="120"/>
          <w:sz w:val="20"/>
        </w:rPr>
        <w:t> </w:t>
      </w:r>
      <w:r>
        <w:rPr>
          <w:w w:val="120"/>
          <w:sz w:val="20"/>
        </w:rPr>
        <w:t>that</w:t>
      </w:r>
      <w:r>
        <w:rPr>
          <w:spacing w:val="5"/>
          <w:w w:val="120"/>
          <w:sz w:val="20"/>
        </w:rPr>
        <w:t> </w:t>
      </w:r>
      <w:r>
        <w:rPr>
          <w:w w:val="120"/>
          <w:sz w:val="20"/>
        </w:rPr>
        <w:t>Windermere</w:t>
      </w:r>
      <w:r>
        <w:rPr>
          <w:spacing w:val="6"/>
          <w:w w:val="120"/>
          <w:sz w:val="20"/>
        </w:rPr>
        <w:t> </w:t>
      </w:r>
      <w:r>
        <w:rPr>
          <w:w w:val="120"/>
          <w:sz w:val="20"/>
        </w:rPr>
        <w:t>has</w:t>
      </w:r>
      <w:r>
        <w:rPr>
          <w:spacing w:val="6"/>
          <w:w w:val="120"/>
          <w:sz w:val="20"/>
        </w:rPr>
        <w:t> </w:t>
      </w:r>
      <w:r>
        <w:rPr>
          <w:w w:val="120"/>
          <w:sz w:val="20"/>
        </w:rPr>
        <w:t>given.</w:t>
      </w:r>
    </w:p>
    <w:p>
      <w:pPr>
        <w:spacing w:after="0" w:line="235" w:lineRule="auto"/>
        <w:jc w:val="left"/>
        <w:rPr>
          <w:sz w:val="20"/>
        </w:rPr>
        <w:sectPr>
          <w:headerReference w:type="even" r:id="rId73"/>
          <w:footerReference w:type="even" r:id="rId74"/>
          <w:footerReference w:type="default" r:id="rId75"/>
          <w:pgSz w:w="11910" w:h="16840"/>
          <w:pgMar w:header="0" w:footer="647" w:top="0" w:bottom="840" w:left="700" w:right="0"/>
          <w:pgNumType w:start="10"/>
        </w:sectPr>
      </w:pPr>
    </w:p>
    <w:p>
      <w:pPr>
        <w:pStyle w:val="BodyText"/>
      </w:pPr>
      <w:r>
        <w:rPr/>
        <w:drawing>
          <wp:anchor distT="0" distB="0" distL="0" distR="0" allowOverlap="1" layoutInCell="1" locked="0" behindDoc="0" simplePos="0" relativeHeight="251704320">
            <wp:simplePos x="0" y="0"/>
            <wp:positionH relativeFrom="page">
              <wp:posOffset>6974928</wp:posOffset>
            </wp:positionH>
            <wp:positionV relativeFrom="page">
              <wp:posOffset>0</wp:posOffset>
            </wp:positionV>
            <wp:extent cx="585076" cy="10692003"/>
            <wp:effectExtent l="0" t="0" r="0" b="0"/>
            <wp:wrapNone/>
            <wp:docPr id="17" name="image50.png"/>
            <wp:cNvGraphicFramePr>
              <a:graphicFrameLocks noChangeAspect="1"/>
            </wp:cNvGraphicFramePr>
            <a:graphic>
              <a:graphicData uri="http://schemas.openxmlformats.org/drawingml/2006/picture">
                <pic:pic>
                  <pic:nvPicPr>
                    <pic:cNvPr id="18"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165.65pt;mso-position-horizontal-relative:page;mso-position-vertical-relative:paragraph;z-index:251705344" type="#_x0000_t202" filled="false" stroked="false">
            <v:textbox inset="0,0,0,0" style="layout-flow:vertical">
              <w:txbxContent>
                <w:p>
                  <w:pPr>
                    <w:spacing w:before="29"/>
                    <w:ind w:left="20" w:right="0" w:firstLine="0"/>
                    <w:jc w:val="left"/>
                    <w:rPr>
                      <w:sz w:val="39"/>
                    </w:rPr>
                  </w:pPr>
                  <w:r>
                    <w:rPr>
                      <w:color w:val="FFFFFF"/>
                      <w:w w:val="125"/>
                      <w:sz w:val="39"/>
                    </w:rPr>
                    <w:t>Mission Council</w:t>
                  </w:r>
                </w:p>
              </w:txbxContent>
            </v:textbox>
            <w10:wrap type="none"/>
          </v:shape>
        </w:pict>
      </w:r>
      <w:r>
        <w:rPr>
          <w:color w:val="7EAABF"/>
          <w:w w:val="120"/>
        </w:rPr>
        <w:t>Mission Council</w:t>
      </w:r>
    </w:p>
    <w:p>
      <w:pPr>
        <w:pStyle w:val="ListParagraph"/>
        <w:numPr>
          <w:ilvl w:val="0"/>
          <w:numId w:val="3"/>
        </w:numPr>
        <w:tabs>
          <w:tab w:pos="1936" w:val="left" w:leader="none"/>
          <w:tab w:pos="1937" w:val="left" w:leader="none"/>
        </w:tabs>
        <w:spacing w:line="235" w:lineRule="auto" w:before="222" w:after="0"/>
        <w:ind w:left="1255" w:right="1407" w:firstLine="0"/>
        <w:jc w:val="left"/>
        <w:rPr>
          <w:sz w:val="20"/>
        </w:rPr>
      </w:pPr>
      <w:r>
        <w:rPr>
          <w:w w:val="120"/>
          <w:sz w:val="20"/>
        </w:rPr>
        <w:t>Finally, thanks are due to the Revd Mitchell Bunting, who acted as part-time Director during the period when the </w:t>
      </w:r>
      <w:r>
        <w:rPr>
          <w:spacing w:val="-3"/>
          <w:w w:val="120"/>
          <w:sz w:val="20"/>
        </w:rPr>
        <w:t>Centre’s </w:t>
      </w:r>
      <w:r>
        <w:rPr>
          <w:w w:val="120"/>
          <w:sz w:val="20"/>
        </w:rPr>
        <w:t>future was uncertain and in the months  of winding up the work. He served with grace, wisdom and attention to detail, and we are grateful too to the Synod of Scotland for releasing him to this</w:t>
      </w:r>
      <w:r>
        <w:rPr>
          <w:spacing w:val="22"/>
          <w:w w:val="120"/>
          <w:sz w:val="20"/>
        </w:rPr>
        <w:t> </w:t>
      </w:r>
      <w:r>
        <w:rPr>
          <w:w w:val="120"/>
          <w:sz w:val="20"/>
        </w:rPr>
        <w:t>duty.</w:t>
      </w:r>
    </w:p>
    <w:p>
      <w:pPr>
        <w:pStyle w:val="BodyText"/>
        <w:spacing w:before="3"/>
        <w:rPr>
          <w:sz w:val="22"/>
        </w:rPr>
      </w:pPr>
    </w:p>
    <w:p>
      <w:pPr>
        <w:pStyle w:val="Heading4"/>
        <w:ind w:left="1255" w:firstLine="0"/>
      </w:pPr>
      <w:r>
        <w:rPr>
          <w:w w:val="110"/>
        </w:rPr>
        <w:t>Moderators and chaplains</w:t>
      </w:r>
    </w:p>
    <w:p>
      <w:pPr>
        <w:pStyle w:val="ListParagraph"/>
        <w:numPr>
          <w:ilvl w:val="0"/>
          <w:numId w:val="3"/>
        </w:numPr>
        <w:tabs>
          <w:tab w:pos="1936" w:val="left" w:leader="none"/>
          <w:tab w:pos="1937" w:val="left" w:leader="none"/>
        </w:tabs>
        <w:spacing w:line="235" w:lineRule="auto" w:before="69" w:after="0"/>
        <w:ind w:left="1255" w:right="1275" w:firstLine="0"/>
        <w:jc w:val="left"/>
        <w:rPr>
          <w:sz w:val="20"/>
        </w:rPr>
      </w:pPr>
      <w:r>
        <w:rPr>
          <w:w w:val="120"/>
          <w:sz w:val="20"/>
        </w:rPr>
        <w:t>Throughout these two years Mission Council has been wisely and carefully led    by the Moderators of General Assembly, Kevin Watson and Alan </w:t>
      </w:r>
      <w:r>
        <w:rPr>
          <w:spacing w:val="-3"/>
          <w:w w:val="120"/>
          <w:sz w:val="20"/>
        </w:rPr>
        <w:t>Yates, </w:t>
      </w:r>
      <w:r>
        <w:rPr>
          <w:w w:val="120"/>
          <w:sz w:val="20"/>
        </w:rPr>
        <w:t>with pastoral and worship support from their chaplains, Gwen Collins and Mark Robinson. All four have contributed</w:t>
      </w:r>
      <w:r>
        <w:rPr>
          <w:spacing w:val="5"/>
          <w:w w:val="120"/>
          <w:sz w:val="20"/>
        </w:rPr>
        <w:t> </w:t>
      </w:r>
      <w:r>
        <w:rPr>
          <w:w w:val="120"/>
          <w:sz w:val="20"/>
        </w:rPr>
        <w:t>consistently</w:t>
      </w:r>
      <w:r>
        <w:rPr>
          <w:spacing w:val="6"/>
          <w:w w:val="120"/>
          <w:sz w:val="20"/>
        </w:rPr>
        <w:t> </w:t>
      </w:r>
      <w:r>
        <w:rPr>
          <w:w w:val="120"/>
          <w:sz w:val="20"/>
        </w:rPr>
        <w:t>and</w:t>
      </w:r>
      <w:r>
        <w:rPr>
          <w:spacing w:val="6"/>
          <w:w w:val="120"/>
          <w:sz w:val="20"/>
        </w:rPr>
        <w:t> </w:t>
      </w:r>
      <w:r>
        <w:rPr>
          <w:w w:val="120"/>
          <w:sz w:val="20"/>
        </w:rPr>
        <w:t>very</w:t>
      </w:r>
      <w:r>
        <w:rPr>
          <w:spacing w:val="5"/>
          <w:w w:val="120"/>
          <w:sz w:val="20"/>
        </w:rPr>
        <w:t> </w:t>
      </w:r>
      <w:r>
        <w:rPr>
          <w:w w:val="120"/>
          <w:sz w:val="20"/>
        </w:rPr>
        <w:t>creditably</w:t>
      </w:r>
      <w:r>
        <w:rPr>
          <w:spacing w:val="6"/>
          <w:w w:val="120"/>
          <w:sz w:val="20"/>
        </w:rPr>
        <w:t> </w:t>
      </w:r>
      <w:r>
        <w:rPr>
          <w:w w:val="120"/>
          <w:sz w:val="20"/>
        </w:rPr>
        <w:t>to</w:t>
      </w:r>
      <w:r>
        <w:rPr>
          <w:spacing w:val="6"/>
          <w:w w:val="120"/>
          <w:sz w:val="20"/>
        </w:rPr>
        <w:t> </w:t>
      </w:r>
      <w:r>
        <w:rPr>
          <w:w w:val="120"/>
          <w:sz w:val="20"/>
        </w:rPr>
        <w:t>the</w:t>
      </w:r>
      <w:r>
        <w:rPr>
          <w:spacing w:val="5"/>
          <w:w w:val="120"/>
          <w:sz w:val="20"/>
        </w:rPr>
        <w:t> </w:t>
      </w:r>
      <w:r>
        <w:rPr>
          <w:w w:val="120"/>
          <w:sz w:val="20"/>
        </w:rPr>
        <w:t>fellowship</w:t>
      </w:r>
      <w:r>
        <w:rPr>
          <w:spacing w:val="6"/>
          <w:w w:val="120"/>
          <w:sz w:val="20"/>
        </w:rPr>
        <w:t> </w:t>
      </w:r>
      <w:r>
        <w:rPr>
          <w:w w:val="120"/>
          <w:sz w:val="20"/>
        </w:rPr>
        <w:t>and</w:t>
      </w:r>
      <w:r>
        <w:rPr>
          <w:spacing w:val="6"/>
          <w:w w:val="120"/>
          <w:sz w:val="20"/>
        </w:rPr>
        <w:t> </w:t>
      </w:r>
      <w:r>
        <w:rPr>
          <w:w w:val="120"/>
          <w:sz w:val="20"/>
        </w:rPr>
        <w:t>work</w:t>
      </w:r>
      <w:r>
        <w:rPr>
          <w:spacing w:val="6"/>
          <w:w w:val="120"/>
          <w:sz w:val="20"/>
        </w:rPr>
        <w:t> </w:t>
      </w:r>
      <w:r>
        <w:rPr>
          <w:w w:val="120"/>
          <w:sz w:val="20"/>
        </w:rPr>
        <w:t>of</w:t>
      </w:r>
      <w:r>
        <w:rPr>
          <w:spacing w:val="5"/>
          <w:w w:val="120"/>
          <w:sz w:val="20"/>
        </w:rPr>
        <w:t> </w:t>
      </w:r>
      <w:r>
        <w:rPr>
          <w:w w:val="120"/>
          <w:sz w:val="20"/>
        </w:rPr>
        <w:t>the</w:t>
      </w:r>
      <w:r>
        <w:rPr>
          <w:spacing w:val="6"/>
          <w:w w:val="120"/>
          <w:sz w:val="20"/>
        </w:rPr>
        <w:t> </w:t>
      </w:r>
      <w:r>
        <w:rPr>
          <w:w w:val="120"/>
          <w:sz w:val="20"/>
        </w:rPr>
        <w:t>Council.</w:t>
      </w:r>
    </w:p>
    <w:p>
      <w:pPr>
        <w:spacing w:after="0" w:line="235" w:lineRule="auto"/>
        <w:jc w:val="left"/>
        <w:rPr>
          <w:sz w:val="20"/>
        </w:rPr>
        <w:sectPr>
          <w:headerReference w:type="default" r:id="rId76"/>
          <w:pgSz w:w="11910" w:h="16840"/>
          <w:pgMar w:header="0" w:footer="647" w:top="0" w:bottom="840" w:left="700" w:right="0"/>
        </w:sectPr>
      </w:pPr>
    </w:p>
    <w:p>
      <w:pPr>
        <w:pStyle w:val="BodyText"/>
      </w:pPr>
      <w:r>
        <w:rPr/>
        <w:pict>
          <v:rect style="position:absolute;margin-left:46.777pt;margin-top:.000015pt;width:548.498pt;height:841.89pt;mso-position-horizontal-relative:page;mso-position-vertical-relative:page;z-index:-267577344" filled="true" fillcolor="#fef4df" stroked="false">
            <v:fill type="solid"/>
            <w10:wrap type="none"/>
          </v:rect>
        </w:pict>
      </w:r>
      <w:r>
        <w:rPr/>
        <w:drawing>
          <wp:anchor distT="0" distB="0" distL="0" distR="0" allowOverlap="1" layoutInCell="1" locked="0" behindDoc="1" simplePos="0" relativeHeight="235740160">
            <wp:simplePos x="0" y="0"/>
            <wp:positionH relativeFrom="page">
              <wp:posOffset>0</wp:posOffset>
            </wp:positionH>
            <wp:positionV relativeFrom="page">
              <wp:posOffset>0</wp:posOffset>
            </wp:positionV>
            <wp:extent cx="594067" cy="10692003"/>
            <wp:effectExtent l="0" t="0" r="0" b="0"/>
            <wp:wrapNone/>
            <wp:docPr id="19" name="image51.png"/>
            <wp:cNvGraphicFramePr>
              <a:graphicFrameLocks noChangeAspect="1"/>
            </wp:cNvGraphicFramePr>
            <a:graphic>
              <a:graphicData uri="http://schemas.openxmlformats.org/drawingml/2006/picture">
                <pic:pic>
                  <pic:nvPicPr>
                    <pic:cNvPr id="20"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465.65pt;mso-position-horizontal-relative:page;mso-position-vertical-relative:page;z-index:-26757529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7"/>
                      <w:w w:val="120"/>
                      <w:sz w:val="39"/>
                    </w:rPr>
                    <w:t>one </w:t>
                  </w:r>
                  <w:r>
                    <w:rPr>
                      <w:color w:val="FFFFFF"/>
                      <w:w w:val="120"/>
                      <w:sz w:val="39"/>
                    </w:rPr>
                    <w:t>– </w:t>
                  </w:r>
                  <w:r>
                    <w:rPr>
                      <w:rFonts w:ascii="Stone Sans II ITC Std Lt" w:hAnsi="Stone Sans II ITC Std Lt"/>
                      <w:b w:val="0"/>
                      <w:spacing w:val="9"/>
                      <w:w w:val="120"/>
                      <w:sz w:val="39"/>
                    </w:rPr>
                    <w:t>Ethical </w:t>
                  </w:r>
                  <w:r>
                    <w:rPr>
                      <w:rFonts w:ascii="Stone Sans II ITC Std Lt" w:hAnsi="Stone Sans II ITC Std Lt"/>
                      <w:b w:val="0"/>
                      <w:spacing w:val="8"/>
                      <w:w w:val="120"/>
                      <w:sz w:val="39"/>
                    </w:rPr>
                    <w:t>Investment</w:t>
                  </w:r>
                  <w:r>
                    <w:rPr>
                      <w:rFonts w:ascii="Stone Sans II ITC Std Lt" w:hAnsi="Stone Sans II ITC Std Lt"/>
                      <w:b w:val="0"/>
                      <w:spacing w:val="-83"/>
                      <w:w w:val="120"/>
                      <w:sz w:val="39"/>
                    </w:rPr>
                    <w:t> </w:t>
                  </w:r>
                  <w:r>
                    <w:rPr>
                      <w:rFonts w:ascii="Stone Sans II ITC Std Lt" w:hAnsi="Stone Sans II ITC Std Lt"/>
                      <w:b w:val="0"/>
                      <w:spacing w:val="11"/>
                      <w:w w:val="120"/>
                      <w:sz w:val="39"/>
                    </w:rPr>
                    <w:t>Guidelines</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ight="2429"/>
        <w:rPr>
          <w:b/>
        </w:rPr>
      </w:pPr>
      <w:bookmarkStart w:name="_bookmark2" w:id="3"/>
      <w:bookmarkEnd w:id="3"/>
      <w:r>
        <w:rPr>
          <w:b w:val="0"/>
        </w:rPr>
      </w:r>
      <w:r>
        <w:rPr>
          <w:b/>
          <w:color w:val="F1B400"/>
          <w:spacing w:val="-9"/>
          <w:w w:val="110"/>
        </w:rPr>
        <w:t>Mission </w:t>
      </w:r>
      <w:r>
        <w:rPr>
          <w:b/>
          <w:color w:val="F1B400"/>
          <w:spacing w:val="-10"/>
          <w:w w:val="110"/>
        </w:rPr>
        <w:t>Council </w:t>
      </w:r>
      <w:r>
        <w:rPr>
          <w:b/>
          <w:color w:val="F1B400"/>
          <w:spacing w:val="-9"/>
          <w:w w:val="110"/>
        </w:rPr>
        <w:t>appendix </w:t>
      </w:r>
      <w:r>
        <w:rPr>
          <w:b/>
          <w:color w:val="F1B400"/>
          <w:spacing w:val="-11"/>
          <w:w w:val="110"/>
        </w:rPr>
        <w:t>one </w:t>
      </w:r>
      <w:r>
        <w:rPr>
          <w:b/>
          <w:spacing w:val="-8"/>
          <w:w w:val="110"/>
        </w:rPr>
        <w:t>Summary </w:t>
      </w:r>
      <w:r>
        <w:rPr>
          <w:b/>
          <w:spacing w:val="-5"/>
          <w:w w:val="110"/>
        </w:rPr>
        <w:t>of URC </w:t>
      </w:r>
      <w:r>
        <w:rPr>
          <w:b/>
          <w:spacing w:val="-10"/>
          <w:w w:val="110"/>
        </w:rPr>
        <w:t>Ethical </w:t>
      </w:r>
      <w:r>
        <w:rPr>
          <w:b/>
          <w:spacing w:val="-11"/>
          <w:w w:val="110"/>
        </w:rPr>
        <w:t>Investment </w:t>
      </w:r>
      <w:r>
        <w:rPr>
          <w:b/>
          <w:spacing w:val="-10"/>
          <w:w w:val="110"/>
        </w:rPr>
        <w:t>Guidelines</w:t>
      </w:r>
    </w:p>
    <w:p>
      <w:pPr>
        <w:spacing w:before="354"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before="108"/>
              <w:ind w:left="79"/>
              <w:rPr>
                <w:sz w:val="20"/>
              </w:rPr>
            </w:pPr>
            <w:r>
              <w:rPr>
                <w:w w:val="120"/>
                <w:sz w:val="20"/>
              </w:rPr>
              <w:t>John Proctor: </w:t>
            </w:r>
            <w:hyperlink r:id="rId58">
              <w:r>
                <w:rPr>
                  <w:color w:val="006AB3"/>
                  <w:w w:val="120"/>
                  <w:sz w:val="20"/>
                </w:rPr>
                <w:t>john.proctor@urc.org.uk</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8"/>
              <w:ind w:left="79"/>
              <w:rPr>
                <w:sz w:val="20"/>
              </w:rPr>
            </w:pPr>
            <w:r>
              <w:rPr>
                <w:w w:val="125"/>
                <w:sz w:val="20"/>
              </w:rPr>
              <w:t>None.</w:t>
            </w:r>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spacing w:before="95"/>
              <w:ind w:left="79"/>
              <w:rPr>
                <w:rFonts w:ascii="Stone Sans II ITC Std Bk"/>
                <w:b/>
                <w:sz w:val="20"/>
              </w:rPr>
            </w:pPr>
            <w:r>
              <w:rPr>
                <w:rFonts w:ascii="Stone Sans II ITC Std Bk"/>
                <w:b/>
                <w:w w:val="110"/>
                <w:sz w:val="20"/>
              </w:rPr>
              <w:t>None.</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40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before="108"/>
              <w:ind w:left="79"/>
              <w:rPr>
                <w:sz w:val="20"/>
              </w:rPr>
            </w:pPr>
            <w:r>
              <w:rPr>
                <w:w w:val="125"/>
                <w:sz w:val="20"/>
              </w:rPr>
              <w:t>Amending one figure in the Church's guidelines.</w:t>
            </w:r>
          </w:p>
        </w:tc>
      </w:tr>
      <w:tr>
        <w:trPr>
          <w:trHeight w:val="88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ight="235"/>
              <w:rPr>
                <w:sz w:val="20"/>
              </w:rPr>
            </w:pPr>
            <w:r>
              <w:rPr>
                <w:w w:val="120"/>
                <w:sz w:val="20"/>
              </w:rPr>
              <w:t>Companies involved in usury are to be avoided if more than 10% of their turnover relates to this activity. Previously we had this figure at 25%.</w:t>
            </w:r>
          </w:p>
        </w:tc>
      </w:tr>
      <w:tr>
        <w:trPr>
          <w:trHeight w:val="64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ight="235"/>
              <w:rPr>
                <w:sz w:val="20"/>
              </w:rPr>
            </w:pPr>
            <w:r>
              <w:rPr>
                <w:w w:val="120"/>
                <w:sz w:val="20"/>
              </w:rPr>
              <w:t>The guidelines were last reviewed by Mission Council in November 2015.</w:t>
            </w:r>
          </w:p>
        </w:tc>
      </w:tr>
      <w:tr>
        <w:trPr>
          <w:trHeight w:val="64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35" w:lineRule="auto" w:before="111"/>
              <w:ind w:left="79"/>
              <w:rPr>
                <w:sz w:val="20"/>
              </w:rPr>
            </w:pPr>
            <w:r>
              <w:rPr>
                <w:w w:val="120"/>
                <w:sz w:val="20"/>
              </w:rPr>
              <w:t>Finance committee, URC Trust, URC Ministers' Pension Fund board.</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before="108"/>
              <w:ind w:left="136"/>
              <w:rPr>
                <w:sz w:val="20"/>
              </w:rPr>
            </w:pPr>
            <w:r>
              <w:rPr>
                <w:w w:val="120"/>
                <w:sz w:val="20"/>
              </w:rPr>
              <w:t>Not significant.</w:t>
            </w:r>
          </w:p>
        </w:tc>
      </w:tr>
      <w:tr>
        <w:trPr>
          <w:trHeight w:val="64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Pr>
                <w:sz w:val="20"/>
              </w:rPr>
            </w:pPr>
            <w:r>
              <w:rPr>
                <w:w w:val="120"/>
                <w:sz w:val="20"/>
              </w:rPr>
              <w:t>This brings URC policy into line with that of our principal ecumenical partners.</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7"/>
        <w:rPr>
          <w:rFonts w:ascii="Stone Sans II ITC Std Bk"/>
          <w:b/>
          <w:sz w:val="35"/>
        </w:rPr>
      </w:pPr>
    </w:p>
    <w:p>
      <w:pPr>
        <w:pStyle w:val="ListParagraph"/>
        <w:numPr>
          <w:ilvl w:val="0"/>
          <w:numId w:val="4"/>
        </w:numPr>
        <w:tabs>
          <w:tab w:pos="992" w:val="left" w:leader="none"/>
        </w:tabs>
        <w:spacing w:line="240" w:lineRule="auto" w:before="0" w:after="0"/>
        <w:ind w:left="991" w:right="0" w:hanging="445"/>
        <w:jc w:val="left"/>
        <w:rPr>
          <w:sz w:val="23"/>
        </w:rPr>
      </w:pP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w:t>
      </w:r>
      <w:r>
        <w:rPr>
          <w:color w:val="7EAABF"/>
          <w:spacing w:val="33"/>
          <w:w w:val="110"/>
          <w:sz w:val="23"/>
        </w:rPr>
        <w:t> </w:t>
      </w:r>
      <w:r>
        <w:rPr>
          <w:color w:val="7EAABF"/>
          <w:w w:val="110"/>
          <w:sz w:val="23"/>
        </w:rPr>
        <w:t>2018</w:t>
      </w:r>
    </w:p>
    <w:p>
      <w:pPr>
        <w:spacing w:after="0" w:line="240" w:lineRule="auto"/>
        <w:jc w:val="left"/>
        <w:rPr>
          <w:sz w:val="23"/>
        </w:rPr>
        <w:sectPr>
          <w:headerReference w:type="even" r:id="rId77"/>
          <w:footerReference w:type="even" r:id="rId78"/>
          <w:pgSz w:w="11910" w:h="16840"/>
          <w:pgMar w:header="0" w:footer="0" w:top="0" w:bottom="0" w:left="700" w:right="0"/>
        </w:sectPr>
      </w:pPr>
    </w:p>
    <w:p>
      <w:pPr>
        <w:pStyle w:val="BodyText"/>
      </w:pPr>
    </w:p>
    <w:p>
      <w:pPr>
        <w:pStyle w:val="BodyText"/>
        <w:spacing w:before="5"/>
        <w:rPr>
          <w:sz w:val="21"/>
        </w:rPr>
      </w:pPr>
    </w:p>
    <w:p>
      <w:pPr>
        <w:spacing w:after="0"/>
        <w:rPr>
          <w:sz w:val="21"/>
        </w:rPr>
        <w:sectPr>
          <w:headerReference w:type="default" r:id="rId80"/>
          <w:footerReference w:type="default" r:id="rId81"/>
          <w:pgSz w:w="11910" w:h="16840"/>
          <w:pgMar w:header="0" w:footer="647" w:top="0" w:bottom="840" w:left="700" w:right="0"/>
          <w:pgNumType w:start="13"/>
        </w:sectPr>
      </w:pPr>
    </w:p>
    <w:p>
      <w:pPr>
        <w:pStyle w:val="BodyText"/>
        <w:spacing w:before="7"/>
        <w:rPr>
          <w:sz w:val="57"/>
        </w:rPr>
      </w:pPr>
    </w:p>
    <w:p>
      <w:pPr>
        <w:spacing w:before="0"/>
        <w:ind w:left="3683" w:right="0" w:firstLine="0"/>
        <w:jc w:val="left"/>
        <w:rPr>
          <w:rFonts w:ascii="Stone Sans II ITC Std Bk"/>
          <w:b/>
          <w:sz w:val="50"/>
        </w:rPr>
      </w:pPr>
      <w:r>
        <w:rPr>
          <w:rFonts w:ascii="Stone Sans II ITC Std Bk"/>
          <w:b/>
          <w:color w:val="0090D4"/>
          <w:spacing w:val="7"/>
          <w:w w:val="110"/>
          <w:sz w:val="50"/>
        </w:rPr>
        <w:t>Appendix</w:t>
      </w:r>
      <w:r>
        <w:rPr>
          <w:rFonts w:ascii="Stone Sans II ITC Std Bk"/>
          <w:b/>
          <w:color w:val="0090D4"/>
          <w:spacing w:val="84"/>
          <w:w w:val="110"/>
          <w:sz w:val="50"/>
        </w:rPr>
        <w:t> </w:t>
      </w:r>
      <w:r>
        <w:rPr>
          <w:rFonts w:ascii="Stone Sans II ITC Std Bk"/>
          <w:b/>
          <w:color w:val="0090D4"/>
          <w:spacing w:val="2"/>
          <w:w w:val="110"/>
          <w:sz w:val="50"/>
        </w:rPr>
        <w:t>one</w:t>
      </w:r>
    </w:p>
    <w:p>
      <w:pPr>
        <w:spacing w:before="108"/>
        <w:ind w:left="373" w:right="0" w:firstLine="0"/>
        <w:jc w:val="left"/>
        <w:rPr>
          <w:sz w:val="26"/>
        </w:rPr>
      </w:pPr>
      <w:r>
        <w:rPr/>
        <w:br w:type="column"/>
      </w:r>
      <w:r>
        <w:rPr>
          <w:color w:val="7EAABF"/>
          <w:w w:val="120"/>
          <w:sz w:val="26"/>
        </w:rPr>
        <w:t>Mission Council</w:t>
      </w:r>
    </w:p>
    <w:p>
      <w:pPr>
        <w:spacing w:after="0"/>
        <w:jc w:val="left"/>
        <w:rPr>
          <w:sz w:val="26"/>
        </w:rPr>
        <w:sectPr>
          <w:type w:val="continuous"/>
          <w:pgSz w:w="11910" w:h="16840"/>
          <w:pgMar w:top="1580" w:bottom="280" w:left="700" w:right="0"/>
          <w:cols w:num="2" w:equalWidth="0">
            <w:col w:w="7568" w:space="40"/>
            <w:col w:w="3602"/>
          </w:cols>
        </w:sectPr>
      </w:pPr>
    </w:p>
    <w:p>
      <w:pPr>
        <w:spacing w:line="213" w:lineRule="auto" w:before="140"/>
        <w:ind w:left="2574" w:right="0" w:hanging="256"/>
        <w:jc w:val="left"/>
        <w:rPr>
          <w:rFonts w:ascii="Stone Sans II ITC Std X Bd"/>
          <w:b/>
          <w:sz w:val="50"/>
        </w:rPr>
      </w:pPr>
      <w:r>
        <w:rPr/>
        <w:drawing>
          <wp:anchor distT="0" distB="0" distL="0" distR="0" allowOverlap="1" layoutInCell="1" locked="0" behindDoc="0" simplePos="0" relativeHeight="251709440">
            <wp:simplePos x="0" y="0"/>
            <wp:positionH relativeFrom="page">
              <wp:posOffset>6974928</wp:posOffset>
            </wp:positionH>
            <wp:positionV relativeFrom="page">
              <wp:posOffset>0</wp:posOffset>
            </wp:positionV>
            <wp:extent cx="585063" cy="10692003"/>
            <wp:effectExtent l="0" t="0" r="0" b="0"/>
            <wp:wrapNone/>
            <wp:docPr id="21" name="image24.png"/>
            <wp:cNvGraphicFramePr>
              <a:graphicFrameLocks noChangeAspect="1"/>
            </wp:cNvGraphicFramePr>
            <a:graphic>
              <a:graphicData uri="http://schemas.openxmlformats.org/drawingml/2006/picture">
                <pic:pic>
                  <pic:nvPicPr>
                    <pic:cNvPr id="22" name="image24.png"/>
                    <pic:cNvPicPr/>
                  </pic:nvPicPr>
                  <pic:blipFill>
                    <a:blip r:embed="rId31" cstate="print"/>
                    <a:stretch>
                      <a:fillRect/>
                    </a:stretch>
                  </pic:blipFill>
                  <pic:spPr>
                    <a:xfrm>
                      <a:off x="0" y="0"/>
                      <a:ext cx="585063" cy="10692003"/>
                    </a:xfrm>
                    <a:prstGeom prst="rect">
                      <a:avLst/>
                    </a:prstGeom>
                  </pic:spPr>
                </pic:pic>
              </a:graphicData>
            </a:graphic>
          </wp:anchor>
        </w:drawing>
      </w:r>
      <w:r>
        <w:rPr/>
        <w:pict>
          <v:shape style="position:absolute;margin-left:554.141174pt;margin-top:-46.22057pt;width:26pt;height:465.7pt;mso-position-horizontal-relative:page;mso-position-vertical-relative:paragraph;z-index:25171046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7"/>
                      <w:w w:val="120"/>
                      <w:sz w:val="39"/>
                    </w:rPr>
                    <w:t>one </w:t>
                  </w:r>
                  <w:r>
                    <w:rPr>
                      <w:color w:val="FFFFFF"/>
                      <w:w w:val="120"/>
                      <w:sz w:val="39"/>
                    </w:rPr>
                    <w:t>– </w:t>
                  </w:r>
                  <w:r>
                    <w:rPr>
                      <w:rFonts w:ascii="Stone Sans II ITC Std Lt" w:hAnsi="Stone Sans II ITC Std Lt"/>
                      <w:b w:val="0"/>
                      <w:spacing w:val="9"/>
                      <w:w w:val="120"/>
                      <w:sz w:val="39"/>
                    </w:rPr>
                    <w:t>Ethical </w:t>
                  </w:r>
                  <w:r>
                    <w:rPr>
                      <w:rFonts w:ascii="Stone Sans II ITC Std Lt" w:hAnsi="Stone Sans II ITC Std Lt"/>
                      <w:b w:val="0"/>
                      <w:spacing w:val="8"/>
                      <w:w w:val="120"/>
                      <w:sz w:val="39"/>
                    </w:rPr>
                    <w:t>Investment</w:t>
                  </w:r>
                  <w:r>
                    <w:rPr>
                      <w:rFonts w:ascii="Stone Sans II ITC Std Lt" w:hAnsi="Stone Sans II ITC Std Lt"/>
                      <w:b w:val="0"/>
                      <w:spacing w:val="-82"/>
                      <w:w w:val="120"/>
                      <w:sz w:val="39"/>
                    </w:rPr>
                    <w:t> </w:t>
                  </w:r>
                  <w:r>
                    <w:rPr>
                      <w:rFonts w:ascii="Stone Sans II ITC Std Lt" w:hAnsi="Stone Sans II ITC Std Lt"/>
                      <w:b w:val="0"/>
                      <w:spacing w:val="11"/>
                      <w:w w:val="120"/>
                      <w:sz w:val="39"/>
                    </w:rPr>
                    <w:t>Guidelines</w:t>
                  </w:r>
                </w:p>
              </w:txbxContent>
            </v:textbox>
            <w10:wrap type="none"/>
          </v:shape>
        </w:pict>
      </w:r>
      <w:r>
        <w:rPr>
          <w:rFonts w:ascii="Stone Sans II ITC Std X Bd"/>
          <w:b/>
          <w:w w:val="110"/>
          <w:sz w:val="50"/>
        </w:rPr>
        <w:t>Summary of URC Ethical Investment Guidelines</w:t>
      </w:r>
    </w:p>
    <w:p>
      <w:pPr>
        <w:pStyle w:val="ListParagraph"/>
        <w:numPr>
          <w:ilvl w:val="1"/>
          <w:numId w:val="4"/>
        </w:numPr>
        <w:tabs>
          <w:tab w:pos="1964" w:val="left" w:leader="none"/>
          <w:tab w:pos="1965" w:val="left" w:leader="none"/>
        </w:tabs>
        <w:spacing w:line="235" w:lineRule="auto" w:before="382" w:after="0"/>
        <w:ind w:left="1284" w:right="1874" w:firstLine="0"/>
        <w:jc w:val="left"/>
        <w:rPr>
          <w:sz w:val="20"/>
        </w:rPr>
      </w:pPr>
      <w:r>
        <w:rPr>
          <w:w w:val="120"/>
          <w:sz w:val="20"/>
        </w:rPr>
        <w:t>General Assembly recommends that trustees and all those with investment responsibilities connected with the United Reformed Church should avoid any investment</w:t>
      </w:r>
      <w:r>
        <w:rPr>
          <w:spacing w:val="1"/>
          <w:w w:val="120"/>
          <w:sz w:val="20"/>
        </w:rPr>
        <w:t> </w:t>
      </w:r>
      <w:r>
        <w:rPr>
          <w:w w:val="120"/>
          <w:sz w:val="20"/>
        </w:rPr>
        <w:t>in:</w:t>
      </w:r>
    </w:p>
    <w:p>
      <w:pPr>
        <w:pStyle w:val="ListParagraph"/>
        <w:numPr>
          <w:ilvl w:val="0"/>
          <w:numId w:val="5"/>
        </w:numPr>
        <w:tabs>
          <w:tab w:pos="1964" w:val="left" w:leader="none"/>
          <w:tab w:pos="1965" w:val="left" w:leader="none"/>
        </w:tabs>
        <w:spacing w:line="240" w:lineRule="exact" w:before="0" w:after="0"/>
        <w:ind w:left="1964" w:right="0" w:hanging="681"/>
        <w:jc w:val="left"/>
        <w:rPr>
          <w:sz w:val="20"/>
        </w:rPr>
      </w:pPr>
      <w:r>
        <w:rPr>
          <w:w w:val="120"/>
          <w:sz w:val="20"/>
        </w:rPr>
        <w:t>companies directly engaged in the manufacture or supply of</w:t>
      </w:r>
      <w:r>
        <w:rPr>
          <w:spacing w:val="29"/>
          <w:w w:val="120"/>
          <w:sz w:val="20"/>
        </w:rPr>
        <w:t> </w:t>
      </w:r>
      <w:r>
        <w:rPr>
          <w:w w:val="120"/>
          <w:sz w:val="20"/>
        </w:rPr>
        <w:t>weapons;</w:t>
      </w:r>
    </w:p>
    <w:p>
      <w:pPr>
        <w:pStyle w:val="ListParagraph"/>
        <w:numPr>
          <w:ilvl w:val="0"/>
          <w:numId w:val="5"/>
        </w:numPr>
        <w:tabs>
          <w:tab w:pos="1964" w:val="left" w:leader="none"/>
          <w:tab w:pos="1965" w:val="left" w:leader="none"/>
        </w:tabs>
        <w:spacing w:line="235" w:lineRule="auto" w:before="1" w:after="0"/>
        <w:ind w:left="1964" w:right="1599" w:hanging="681"/>
        <w:jc w:val="left"/>
        <w:rPr>
          <w:sz w:val="20"/>
        </w:rPr>
      </w:pPr>
      <w:r>
        <w:rPr>
          <w:w w:val="120"/>
          <w:sz w:val="20"/>
        </w:rPr>
        <w:t>companies a significant </w:t>
      </w:r>
      <w:r>
        <w:rPr>
          <w:spacing w:val="2"/>
          <w:w w:val="120"/>
          <w:sz w:val="20"/>
        </w:rPr>
        <w:t>part </w:t>
      </w:r>
      <w:r>
        <w:rPr>
          <w:w w:val="120"/>
          <w:sz w:val="20"/>
        </w:rPr>
        <w:t>of whose business is in the manufacture or supply of: alcoholic drinks, or tobacco products, or military equipment </w:t>
      </w:r>
      <w:r>
        <w:rPr>
          <w:spacing w:val="-3"/>
          <w:w w:val="120"/>
          <w:sz w:val="20"/>
        </w:rPr>
        <w:t>(other </w:t>
      </w:r>
      <w:r>
        <w:rPr>
          <w:w w:val="120"/>
          <w:sz w:val="20"/>
        </w:rPr>
        <w:t>than </w:t>
      </w:r>
      <w:r>
        <w:rPr>
          <w:spacing w:val="-3"/>
          <w:w w:val="120"/>
          <w:sz w:val="20"/>
        </w:rPr>
        <w:t>weapons); </w:t>
      </w:r>
      <w:r>
        <w:rPr>
          <w:w w:val="120"/>
          <w:sz w:val="20"/>
        </w:rPr>
        <w:t>or the provision of gambling facilities; or the</w:t>
      </w:r>
      <w:r>
        <w:rPr>
          <w:spacing w:val="4"/>
          <w:w w:val="120"/>
          <w:sz w:val="20"/>
        </w:rPr>
        <w:t> </w:t>
      </w:r>
      <w:r>
        <w:rPr>
          <w:w w:val="120"/>
          <w:sz w:val="20"/>
        </w:rPr>
        <w:t>publication</w:t>
      </w:r>
    </w:p>
    <w:p>
      <w:pPr>
        <w:pStyle w:val="BodyText"/>
        <w:spacing w:line="235" w:lineRule="auto" w:before="2"/>
        <w:ind w:left="1964" w:right="1283"/>
      </w:pPr>
      <w:r>
        <w:rPr>
          <w:w w:val="120"/>
        </w:rPr>
        <w:t>or distribution of pornography; or in the extraction of thermal coal or the production of oil from oil sands;</w:t>
      </w:r>
    </w:p>
    <w:p>
      <w:pPr>
        <w:pStyle w:val="ListParagraph"/>
        <w:numPr>
          <w:ilvl w:val="0"/>
          <w:numId w:val="5"/>
        </w:numPr>
        <w:tabs>
          <w:tab w:pos="1964" w:val="left" w:leader="none"/>
          <w:tab w:pos="1965" w:val="left" w:leader="none"/>
        </w:tabs>
        <w:spacing w:line="235" w:lineRule="auto" w:before="2" w:after="0"/>
        <w:ind w:left="1964" w:right="1592" w:hanging="681"/>
        <w:jc w:val="left"/>
        <w:rPr>
          <w:sz w:val="20"/>
        </w:rPr>
      </w:pPr>
      <w:r>
        <w:rPr>
          <w:w w:val="120"/>
          <w:sz w:val="20"/>
        </w:rPr>
        <w:t>companies who benefit by offering credit at usurious rates of interest to those who do not have access to funds through normal lending</w:t>
      </w:r>
      <w:r>
        <w:rPr>
          <w:spacing w:val="39"/>
          <w:w w:val="120"/>
          <w:sz w:val="20"/>
        </w:rPr>
        <w:t> </w:t>
      </w:r>
      <w:r>
        <w:rPr>
          <w:w w:val="120"/>
          <w:sz w:val="20"/>
        </w:rPr>
        <w:t>channels.</w:t>
      </w:r>
    </w:p>
    <w:p>
      <w:pPr>
        <w:pStyle w:val="BodyText"/>
        <w:spacing w:before="9"/>
        <w:rPr>
          <w:sz w:val="19"/>
        </w:rPr>
      </w:pPr>
    </w:p>
    <w:p>
      <w:pPr>
        <w:pStyle w:val="ListParagraph"/>
        <w:numPr>
          <w:ilvl w:val="1"/>
          <w:numId w:val="4"/>
        </w:numPr>
        <w:tabs>
          <w:tab w:pos="1964" w:val="left" w:leader="none"/>
          <w:tab w:pos="1965" w:val="left" w:leader="none"/>
        </w:tabs>
        <w:spacing w:line="235" w:lineRule="auto" w:before="0" w:after="0"/>
        <w:ind w:left="1284" w:right="1589" w:firstLine="0"/>
        <w:jc w:val="left"/>
        <w:rPr>
          <w:sz w:val="20"/>
        </w:rPr>
      </w:pPr>
      <w:r>
        <w:rPr>
          <w:w w:val="120"/>
          <w:sz w:val="20"/>
        </w:rPr>
        <w:t>General Assembly is of the view that in the definition of the activities outlined in </w:t>
      </w:r>
      <w:r>
        <w:rPr>
          <w:spacing w:val="-8"/>
          <w:w w:val="120"/>
          <w:sz w:val="20"/>
        </w:rPr>
        <w:t>b) </w:t>
      </w:r>
      <w:r>
        <w:rPr>
          <w:w w:val="120"/>
          <w:sz w:val="20"/>
        </w:rPr>
        <w:t>above, ‘significant’ means that the share of turnover derived from the activity concerned is more than </w:t>
      </w:r>
      <w:r>
        <w:rPr>
          <w:spacing w:val="-3"/>
          <w:w w:val="120"/>
          <w:sz w:val="20"/>
        </w:rPr>
        <w:t>10% </w:t>
      </w:r>
      <w:r>
        <w:rPr>
          <w:w w:val="120"/>
          <w:sz w:val="20"/>
        </w:rPr>
        <w:t>of the company’s total turnover; for </w:t>
      </w:r>
      <w:r>
        <w:rPr>
          <w:spacing w:val="-7"/>
          <w:w w:val="120"/>
          <w:sz w:val="20"/>
        </w:rPr>
        <w:t>c) </w:t>
      </w:r>
      <w:r>
        <w:rPr>
          <w:w w:val="120"/>
          <w:sz w:val="20"/>
        </w:rPr>
        <w:t>above the equivalent threshold is also</w:t>
      </w:r>
      <w:r>
        <w:rPr>
          <w:spacing w:val="8"/>
          <w:w w:val="120"/>
          <w:sz w:val="20"/>
        </w:rPr>
        <w:t> </w:t>
      </w:r>
      <w:r>
        <w:rPr>
          <w:w w:val="120"/>
          <w:sz w:val="20"/>
        </w:rPr>
        <w:t>10%.</w:t>
      </w:r>
    </w:p>
    <w:p>
      <w:pPr>
        <w:pStyle w:val="BodyText"/>
        <w:spacing w:before="11"/>
        <w:rPr>
          <w:sz w:val="19"/>
        </w:rPr>
      </w:pPr>
    </w:p>
    <w:p>
      <w:pPr>
        <w:pStyle w:val="ListParagraph"/>
        <w:numPr>
          <w:ilvl w:val="0"/>
          <w:numId w:val="6"/>
        </w:numPr>
        <w:tabs>
          <w:tab w:pos="1964" w:val="left" w:leader="none"/>
          <w:tab w:pos="1965" w:val="left" w:leader="none"/>
        </w:tabs>
        <w:spacing w:line="235" w:lineRule="auto" w:before="0" w:after="0"/>
        <w:ind w:left="1284" w:right="1534" w:firstLine="0"/>
        <w:jc w:val="left"/>
        <w:rPr>
          <w:sz w:val="20"/>
        </w:rPr>
      </w:pPr>
      <w:r>
        <w:rPr>
          <w:w w:val="120"/>
          <w:sz w:val="20"/>
        </w:rPr>
        <w:t>In addition to the exclusions listed above, the </w:t>
      </w:r>
      <w:r>
        <w:rPr>
          <w:spacing w:val="-3"/>
          <w:w w:val="120"/>
          <w:sz w:val="20"/>
        </w:rPr>
        <w:t>URC’s </w:t>
      </w:r>
      <w:r>
        <w:rPr>
          <w:w w:val="120"/>
          <w:sz w:val="20"/>
        </w:rPr>
        <w:t>investment bodies should reserve the right to avoid investment in companies whose operations are deemed</w:t>
      </w:r>
      <w:r>
        <w:rPr>
          <w:spacing w:val="38"/>
          <w:w w:val="120"/>
          <w:sz w:val="20"/>
        </w:rPr>
        <w:t> </w:t>
      </w:r>
      <w:r>
        <w:rPr>
          <w:spacing w:val="-3"/>
          <w:w w:val="120"/>
          <w:sz w:val="20"/>
        </w:rPr>
        <w:t>to:</w:t>
      </w:r>
    </w:p>
    <w:p>
      <w:pPr>
        <w:pStyle w:val="ListParagraph"/>
        <w:numPr>
          <w:ilvl w:val="0"/>
          <w:numId w:val="7"/>
        </w:numPr>
        <w:tabs>
          <w:tab w:pos="1964" w:val="left" w:leader="none"/>
          <w:tab w:pos="1965" w:val="left" w:leader="none"/>
        </w:tabs>
        <w:spacing w:line="235" w:lineRule="auto" w:before="0" w:after="0"/>
        <w:ind w:left="1964" w:right="1698" w:hanging="681"/>
        <w:jc w:val="left"/>
        <w:rPr>
          <w:sz w:val="20"/>
        </w:rPr>
      </w:pPr>
      <w:r>
        <w:rPr>
          <w:w w:val="120"/>
          <w:sz w:val="20"/>
        </w:rPr>
        <w:t>contribute directly to human rights violations or support the maintenance of oppressive regimes who are guilty of gross human rights</w:t>
      </w:r>
      <w:r>
        <w:rPr>
          <w:spacing w:val="37"/>
          <w:w w:val="120"/>
          <w:sz w:val="20"/>
        </w:rPr>
        <w:t> </w:t>
      </w:r>
      <w:r>
        <w:rPr>
          <w:w w:val="120"/>
          <w:sz w:val="20"/>
        </w:rPr>
        <w:t>violations;</w:t>
      </w:r>
    </w:p>
    <w:p>
      <w:pPr>
        <w:pStyle w:val="ListParagraph"/>
        <w:numPr>
          <w:ilvl w:val="0"/>
          <w:numId w:val="7"/>
        </w:numPr>
        <w:tabs>
          <w:tab w:pos="1964" w:val="left" w:leader="none"/>
          <w:tab w:pos="1965" w:val="left" w:leader="none"/>
        </w:tabs>
        <w:spacing w:line="234" w:lineRule="exact" w:before="0" w:after="0"/>
        <w:ind w:left="1964" w:right="0" w:hanging="681"/>
        <w:jc w:val="left"/>
        <w:rPr>
          <w:sz w:val="20"/>
        </w:rPr>
      </w:pPr>
      <w:r>
        <w:rPr>
          <w:w w:val="120"/>
          <w:sz w:val="20"/>
        </w:rPr>
        <w:t>contribute to a systematic, harmful impact on the social or natural</w:t>
      </w:r>
      <w:r>
        <w:rPr>
          <w:spacing w:val="14"/>
          <w:w w:val="120"/>
          <w:sz w:val="20"/>
        </w:rPr>
        <w:t> </w:t>
      </w:r>
      <w:r>
        <w:rPr>
          <w:w w:val="120"/>
          <w:sz w:val="20"/>
        </w:rPr>
        <w:t>environment;</w:t>
      </w:r>
    </w:p>
    <w:p>
      <w:pPr>
        <w:pStyle w:val="ListParagraph"/>
        <w:numPr>
          <w:ilvl w:val="0"/>
          <w:numId w:val="7"/>
        </w:numPr>
        <w:tabs>
          <w:tab w:pos="1964" w:val="left" w:leader="none"/>
          <w:tab w:pos="1965" w:val="left" w:leader="none"/>
        </w:tabs>
        <w:spacing w:line="240" w:lineRule="exact" w:before="0" w:after="0"/>
        <w:ind w:left="1964" w:right="0" w:hanging="681"/>
        <w:jc w:val="left"/>
        <w:rPr>
          <w:sz w:val="20"/>
        </w:rPr>
      </w:pPr>
      <w:r>
        <w:rPr>
          <w:w w:val="120"/>
          <w:sz w:val="20"/>
        </w:rPr>
        <w:t>harm the society in which they operate more than they benefit</w:t>
      </w:r>
      <w:r>
        <w:rPr>
          <w:spacing w:val="21"/>
          <w:w w:val="120"/>
          <w:sz w:val="20"/>
        </w:rPr>
        <w:t> </w:t>
      </w:r>
      <w:r>
        <w:rPr>
          <w:w w:val="120"/>
          <w:sz w:val="20"/>
        </w:rPr>
        <w:t>it;</w:t>
      </w:r>
    </w:p>
    <w:p>
      <w:pPr>
        <w:pStyle w:val="ListParagraph"/>
        <w:numPr>
          <w:ilvl w:val="0"/>
          <w:numId w:val="7"/>
        </w:numPr>
        <w:tabs>
          <w:tab w:pos="1964" w:val="left" w:leader="none"/>
          <w:tab w:pos="1965" w:val="left" w:leader="none"/>
        </w:tabs>
        <w:spacing w:line="247" w:lineRule="exact" w:before="0" w:after="0"/>
        <w:ind w:left="1964" w:right="0" w:hanging="681"/>
        <w:jc w:val="left"/>
        <w:rPr>
          <w:sz w:val="20"/>
        </w:rPr>
      </w:pPr>
      <w:r>
        <w:rPr>
          <w:w w:val="120"/>
          <w:sz w:val="20"/>
        </w:rPr>
        <w:t>promote</w:t>
      </w:r>
      <w:r>
        <w:rPr>
          <w:spacing w:val="1"/>
          <w:w w:val="120"/>
          <w:sz w:val="20"/>
        </w:rPr>
        <w:t> </w:t>
      </w:r>
      <w:r>
        <w:rPr>
          <w:w w:val="120"/>
          <w:sz w:val="20"/>
        </w:rPr>
        <w:t>injustice.</w:t>
      </w:r>
    </w:p>
    <w:p>
      <w:pPr>
        <w:pStyle w:val="BodyText"/>
        <w:spacing w:before="11"/>
        <w:rPr>
          <w:sz w:val="18"/>
        </w:rPr>
      </w:pPr>
    </w:p>
    <w:p>
      <w:pPr>
        <w:pStyle w:val="ListParagraph"/>
        <w:numPr>
          <w:ilvl w:val="0"/>
          <w:numId w:val="6"/>
        </w:numPr>
        <w:tabs>
          <w:tab w:pos="1964" w:val="left" w:leader="none"/>
          <w:tab w:pos="1965" w:val="left" w:leader="none"/>
        </w:tabs>
        <w:spacing w:line="235" w:lineRule="auto" w:before="0" w:after="0"/>
        <w:ind w:left="1284" w:right="1298" w:firstLine="0"/>
        <w:jc w:val="left"/>
        <w:rPr>
          <w:sz w:val="20"/>
        </w:rPr>
      </w:pPr>
      <w:r>
        <w:rPr>
          <w:w w:val="120"/>
          <w:sz w:val="20"/>
        </w:rPr>
        <w:t>Further, it is expected that governance standards of our advisers, our fund managers, their agents, and the companies in which we invest, both directly and indirectly, should meet internationally accepted norms. By focusing on these standards, investors will favour companies which will be seeking to develop their businesses sustainably in the long-term interests of their shareholders and other</w:t>
      </w:r>
      <w:r>
        <w:rPr>
          <w:spacing w:val="8"/>
          <w:w w:val="120"/>
          <w:sz w:val="20"/>
        </w:rPr>
        <w:t> </w:t>
      </w:r>
      <w:r>
        <w:rPr>
          <w:w w:val="120"/>
          <w:sz w:val="20"/>
        </w:rPr>
        <w:t>stakeholders.</w:t>
      </w:r>
    </w:p>
    <w:p>
      <w:pPr>
        <w:pStyle w:val="BodyText"/>
        <w:spacing w:before="11"/>
        <w:rPr>
          <w:sz w:val="19"/>
        </w:rPr>
      </w:pPr>
    </w:p>
    <w:p>
      <w:pPr>
        <w:pStyle w:val="ListParagraph"/>
        <w:numPr>
          <w:ilvl w:val="0"/>
          <w:numId w:val="6"/>
        </w:numPr>
        <w:tabs>
          <w:tab w:pos="1964" w:val="left" w:leader="none"/>
          <w:tab w:pos="1965" w:val="left" w:leader="none"/>
        </w:tabs>
        <w:spacing w:line="235" w:lineRule="auto" w:before="1" w:after="0"/>
        <w:ind w:left="1284" w:right="1639" w:firstLine="0"/>
        <w:jc w:val="both"/>
        <w:rPr>
          <w:sz w:val="20"/>
        </w:rPr>
      </w:pPr>
      <w:r>
        <w:rPr>
          <w:w w:val="120"/>
          <w:sz w:val="20"/>
        </w:rPr>
        <w:t>Nestle clarification: for investment purposes all companies should be treated in accordance with this ethical investment policy. There is no further requirement to exclude holdings in this</w:t>
      </w:r>
      <w:r>
        <w:rPr>
          <w:spacing w:val="10"/>
          <w:w w:val="120"/>
          <w:sz w:val="20"/>
        </w:rPr>
        <w:t> </w:t>
      </w:r>
      <w:r>
        <w:rPr>
          <w:spacing w:val="-3"/>
          <w:w w:val="120"/>
          <w:sz w:val="20"/>
        </w:rPr>
        <w:t>company.</w:t>
      </w:r>
    </w:p>
    <w:p>
      <w:pPr>
        <w:pStyle w:val="BodyText"/>
        <w:spacing w:before="10"/>
        <w:rPr>
          <w:sz w:val="19"/>
        </w:rPr>
      </w:pPr>
    </w:p>
    <w:p>
      <w:pPr>
        <w:pStyle w:val="ListParagraph"/>
        <w:numPr>
          <w:ilvl w:val="0"/>
          <w:numId w:val="6"/>
        </w:numPr>
        <w:tabs>
          <w:tab w:pos="1964" w:val="left" w:leader="none"/>
          <w:tab w:pos="1965" w:val="left" w:leader="none"/>
        </w:tabs>
        <w:spacing w:line="235" w:lineRule="auto" w:before="0" w:after="0"/>
        <w:ind w:left="1284" w:right="1291" w:firstLine="0"/>
        <w:jc w:val="left"/>
        <w:rPr>
          <w:sz w:val="20"/>
        </w:rPr>
      </w:pPr>
      <w:r>
        <w:rPr>
          <w:w w:val="120"/>
          <w:sz w:val="20"/>
        </w:rPr>
        <w:t>General Assembly recognises that this policy cannot be binding upon those with responsibility for specific investment decisions but when these bodies seek advice on investment matters they should apply due diligence to ensure that the integrity and reputation of the United Reformed Church is, as far as is practical,</w:t>
      </w:r>
      <w:r>
        <w:rPr>
          <w:spacing w:val="24"/>
          <w:w w:val="120"/>
          <w:sz w:val="20"/>
        </w:rPr>
        <w:t> </w:t>
      </w:r>
      <w:r>
        <w:rPr>
          <w:w w:val="120"/>
          <w:sz w:val="20"/>
        </w:rPr>
        <w:t>protected.</w:t>
      </w:r>
    </w:p>
    <w:p>
      <w:pPr>
        <w:pStyle w:val="BodyText"/>
        <w:spacing w:before="3"/>
        <w:rPr>
          <w:sz w:val="11"/>
        </w:rPr>
      </w:pPr>
    </w:p>
    <w:p>
      <w:pPr>
        <w:spacing w:before="102"/>
        <w:ind w:left="0" w:right="1245" w:firstLine="0"/>
        <w:jc w:val="right"/>
        <w:rPr>
          <w:i/>
          <w:sz w:val="20"/>
        </w:rPr>
      </w:pPr>
      <w:r>
        <w:rPr>
          <w:i/>
          <w:w w:val="115"/>
          <w:sz w:val="20"/>
        </w:rPr>
        <w:t>May 2017</w:t>
      </w:r>
    </w:p>
    <w:p>
      <w:pPr>
        <w:spacing w:after="0"/>
        <w:jc w:val="right"/>
        <w:rPr>
          <w:sz w:val="20"/>
        </w:rPr>
        <w:sectPr>
          <w:type w:val="continuous"/>
          <w:pgSz w:w="11910" w:h="16840"/>
          <w:pgMar w:top="1580" w:bottom="280" w:left="700" w:right="0"/>
        </w:sectPr>
      </w:pPr>
    </w:p>
    <w:p>
      <w:pPr>
        <w:pStyle w:val="BodyText"/>
        <w:rPr>
          <w:i/>
        </w:rPr>
      </w:pPr>
      <w:r>
        <w:rPr/>
        <w:pict>
          <v:rect style="position:absolute;margin-left:46.777pt;margin-top:.000015pt;width:548.498pt;height:841.89pt;mso-position-horizontal-relative:page;mso-position-vertical-relative:page;z-index:-267572224" filled="true" fillcolor="#fef4df" stroked="false">
            <v:fill type="solid"/>
            <w10:wrap type="none"/>
          </v:rect>
        </w:pict>
      </w:r>
      <w:r>
        <w:rPr/>
        <w:drawing>
          <wp:anchor distT="0" distB="0" distL="0" distR="0" allowOverlap="1" layoutInCell="1" locked="0" behindDoc="1" simplePos="0" relativeHeight="235745280">
            <wp:simplePos x="0" y="0"/>
            <wp:positionH relativeFrom="page">
              <wp:posOffset>0</wp:posOffset>
            </wp:positionH>
            <wp:positionV relativeFrom="page">
              <wp:posOffset>0</wp:posOffset>
            </wp:positionV>
            <wp:extent cx="594067" cy="10692003"/>
            <wp:effectExtent l="0" t="0" r="0" b="0"/>
            <wp:wrapNone/>
            <wp:docPr id="23" name="image51.png"/>
            <wp:cNvGraphicFramePr>
              <a:graphicFrameLocks noChangeAspect="1"/>
            </wp:cNvGraphicFramePr>
            <a:graphic>
              <a:graphicData uri="http://schemas.openxmlformats.org/drawingml/2006/picture">
                <pic:pic>
                  <pic:nvPicPr>
                    <pic:cNvPr id="24"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299.25pt;mso-position-horizontal-relative:page;mso-position-vertical-relative:page;z-index:-26757017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5"/>
                      <w:sz w:val="39"/>
                    </w:rPr>
                    <w:t>Appendix</w:t>
                  </w:r>
                  <w:r>
                    <w:rPr>
                      <w:color w:val="FFFFFF"/>
                      <w:spacing w:val="-45"/>
                      <w:w w:val="125"/>
                      <w:sz w:val="39"/>
                    </w:rPr>
                    <w:t> </w:t>
                  </w:r>
                  <w:r>
                    <w:rPr>
                      <w:color w:val="FFFFFF"/>
                      <w:spacing w:val="5"/>
                      <w:w w:val="125"/>
                      <w:sz w:val="39"/>
                    </w:rPr>
                    <w:t>two</w:t>
                  </w:r>
                  <w:r>
                    <w:rPr>
                      <w:color w:val="FFFFFF"/>
                      <w:spacing w:val="-45"/>
                      <w:w w:val="125"/>
                      <w:sz w:val="39"/>
                    </w:rPr>
                    <w:t> </w:t>
                  </w:r>
                  <w:r>
                    <w:rPr>
                      <w:color w:val="FFFFFF"/>
                      <w:w w:val="125"/>
                      <w:sz w:val="39"/>
                    </w:rPr>
                    <w:t>–</w:t>
                  </w:r>
                  <w:r>
                    <w:rPr>
                      <w:color w:val="FFFFFF"/>
                      <w:spacing w:val="-45"/>
                      <w:w w:val="125"/>
                      <w:sz w:val="39"/>
                    </w:rPr>
                    <w:t> </w:t>
                  </w:r>
                  <w:r>
                    <w:rPr>
                      <w:rFonts w:ascii="Stone Sans II ITC Std Lt" w:hAnsi="Stone Sans II ITC Std Lt"/>
                      <w:b w:val="0"/>
                      <w:spacing w:val="11"/>
                      <w:w w:val="125"/>
                      <w:sz w:val="39"/>
                    </w:rPr>
                    <w:t>Nominations</w:t>
                  </w:r>
                </w:p>
              </w:txbxContent>
            </v:textbox>
            <w10:wrap type="none"/>
          </v:shape>
        </w:pict>
      </w:r>
    </w:p>
    <w:p>
      <w:pPr>
        <w:pStyle w:val="BodyText"/>
        <w:rPr>
          <w:i/>
        </w:rPr>
      </w:pPr>
    </w:p>
    <w:p>
      <w:pPr>
        <w:pStyle w:val="BodyText"/>
        <w:rPr>
          <w:i/>
        </w:rPr>
      </w:pPr>
    </w:p>
    <w:p>
      <w:pPr>
        <w:pStyle w:val="BodyText"/>
        <w:spacing w:before="5"/>
        <w:rPr>
          <w:i/>
          <w:sz w:val="28"/>
        </w:rPr>
      </w:pPr>
    </w:p>
    <w:p>
      <w:pPr>
        <w:pStyle w:val="Heading2"/>
        <w:spacing w:line="213" w:lineRule="auto"/>
        <w:ind w:left="547" w:right="2429"/>
        <w:rPr>
          <w:b/>
        </w:rPr>
      </w:pPr>
      <w:bookmarkStart w:name="_bookmark3" w:id="4"/>
      <w:bookmarkEnd w:id="4"/>
      <w:r>
        <w:rPr>
          <w:b w:val="0"/>
        </w:rPr>
      </w:r>
      <w:r>
        <w:rPr>
          <w:b/>
          <w:color w:val="F1B400"/>
          <w:w w:val="110"/>
        </w:rPr>
        <w:t>Mission Council appendix two </w:t>
      </w:r>
      <w:r>
        <w:rPr>
          <w:b/>
          <w:w w:val="110"/>
        </w:rPr>
        <w:t>Nominations</w:t>
      </w:r>
    </w:p>
    <w:p>
      <w:pPr>
        <w:spacing w:before="356"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before="108"/>
              <w:ind w:left="79"/>
              <w:rPr>
                <w:sz w:val="20"/>
              </w:rPr>
            </w:pPr>
            <w:r>
              <w:rPr>
                <w:w w:val="120"/>
                <w:sz w:val="20"/>
              </w:rPr>
              <w:t>John Proctor: </w:t>
            </w:r>
            <w:hyperlink r:id="rId58">
              <w:r>
                <w:rPr>
                  <w:color w:val="006AB3"/>
                  <w:w w:val="120"/>
                  <w:sz w:val="20"/>
                </w:rPr>
                <w:t>john.proctor@urc.org.uk</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8"/>
              <w:ind w:left="79"/>
              <w:rPr>
                <w:sz w:val="20"/>
              </w:rPr>
            </w:pPr>
            <w:r>
              <w:rPr>
                <w:w w:val="120"/>
                <w:sz w:val="20"/>
              </w:rPr>
              <w:t>Decision.</w:t>
            </w:r>
          </w:p>
        </w:tc>
      </w:tr>
      <w:tr>
        <w:trPr>
          <w:trHeight w:val="28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numPr>
                <w:ilvl w:val="0"/>
                <w:numId w:val="8"/>
              </w:numPr>
              <w:tabs>
                <w:tab w:pos="799" w:val="left" w:leader="none"/>
                <w:tab w:pos="800" w:val="left" w:leader="none"/>
              </w:tabs>
              <w:spacing w:line="213" w:lineRule="auto" w:before="117" w:after="0"/>
              <w:ind w:left="79" w:right="348" w:firstLine="0"/>
              <w:jc w:val="left"/>
              <w:rPr>
                <w:rFonts w:ascii="Stone Sans II ITC Std Bk"/>
                <w:b/>
                <w:sz w:val="20"/>
              </w:rPr>
            </w:pPr>
            <w:r>
              <w:rPr>
                <w:rFonts w:ascii="Stone Sans II ITC Std Bk"/>
                <w:b/>
                <w:w w:val="110"/>
                <w:sz w:val="20"/>
              </w:rPr>
              <w:t>General Assembly extends the appointment of the Revd Michael Hopkins as its Clerk to the end of the 2024 meeting of General</w:t>
            </w:r>
            <w:r>
              <w:rPr>
                <w:rFonts w:ascii="Stone Sans II ITC Std Bk"/>
                <w:b/>
                <w:spacing w:val="-1"/>
                <w:w w:val="110"/>
                <w:sz w:val="20"/>
              </w:rPr>
              <w:t> </w:t>
            </w:r>
            <w:r>
              <w:rPr>
                <w:rFonts w:ascii="Stone Sans II ITC Std Bk"/>
                <w:b/>
                <w:w w:val="110"/>
                <w:sz w:val="20"/>
              </w:rPr>
              <w:t>Assembly.</w:t>
            </w:r>
          </w:p>
          <w:p>
            <w:pPr>
              <w:pStyle w:val="TableParagraph"/>
              <w:spacing w:before="8"/>
              <w:rPr>
                <w:rFonts w:ascii="Stone Sans II ITC Std Bk"/>
                <w:b/>
                <w:sz w:val="17"/>
              </w:rPr>
            </w:pPr>
          </w:p>
          <w:p>
            <w:pPr>
              <w:pStyle w:val="TableParagraph"/>
              <w:numPr>
                <w:ilvl w:val="0"/>
                <w:numId w:val="8"/>
              </w:numPr>
              <w:tabs>
                <w:tab w:pos="800" w:val="left" w:leader="none"/>
              </w:tabs>
              <w:spacing w:line="213" w:lineRule="auto" w:before="0" w:after="0"/>
              <w:ind w:left="79" w:right="328" w:firstLine="0"/>
              <w:jc w:val="both"/>
              <w:rPr>
                <w:rFonts w:ascii="Stone Sans II ITC Std Bk"/>
                <w:b/>
                <w:sz w:val="20"/>
              </w:rPr>
            </w:pPr>
            <w:r>
              <w:rPr>
                <w:rFonts w:ascii="Stone Sans II ITC Std Bk"/>
                <w:b/>
                <w:w w:val="110"/>
                <w:sz w:val="20"/>
              </w:rPr>
              <w:t>General Assembly extends the appointment of the Revd Simon Walkling as Moderator of the National Synod of Wales to </w:t>
            </w:r>
            <w:r>
              <w:rPr>
                <w:rFonts w:ascii="Stone Sans II ITC Std Bk"/>
                <w:b/>
                <w:spacing w:val="-7"/>
                <w:w w:val="110"/>
                <w:sz w:val="20"/>
              </w:rPr>
              <w:t>31 </w:t>
            </w:r>
            <w:r>
              <w:rPr>
                <w:rFonts w:ascii="Stone Sans II ITC Std Bk"/>
                <w:b/>
                <w:w w:val="110"/>
                <w:sz w:val="20"/>
              </w:rPr>
              <w:t>August</w:t>
            </w:r>
            <w:r>
              <w:rPr>
                <w:rFonts w:ascii="Stone Sans II ITC Std Bk"/>
                <w:b/>
                <w:spacing w:val="4"/>
                <w:w w:val="110"/>
                <w:sz w:val="20"/>
              </w:rPr>
              <w:t> </w:t>
            </w:r>
            <w:r>
              <w:rPr>
                <w:rFonts w:ascii="Stone Sans II ITC Std Bk"/>
                <w:b/>
                <w:w w:val="110"/>
                <w:sz w:val="20"/>
              </w:rPr>
              <w:t>2024.</w:t>
            </w:r>
          </w:p>
          <w:p>
            <w:pPr>
              <w:pStyle w:val="TableParagraph"/>
              <w:spacing w:before="8"/>
              <w:rPr>
                <w:rFonts w:ascii="Stone Sans II ITC Std Bk"/>
                <w:b/>
                <w:sz w:val="17"/>
              </w:rPr>
            </w:pPr>
          </w:p>
          <w:p>
            <w:pPr>
              <w:pStyle w:val="TableParagraph"/>
              <w:numPr>
                <w:ilvl w:val="0"/>
                <w:numId w:val="8"/>
              </w:numPr>
              <w:tabs>
                <w:tab w:pos="799" w:val="left" w:leader="none"/>
                <w:tab w:pos="801" w:val="left" w:leader="none"/>
              </w:tabs>
              <w:spacing w:line="213" w:lineRule="auto" w:before="1" w:after="0"/>
              <w:ind w:left="79" w:right="518" w:firstLine="0"/>
              <w:jc w:val="left"/>
              <w:rPr>
                <w:rFonts w:ascii="Stone Sans II ITC Std Bk"/>
                <w:b/>
                <w:sz w:val="20"/>
              </w:rPr>
            </w:pPr>
            <w:r>
              <w:rPr>
                <w:rFonts w:ascii="Stone Sans II ITC Std Bk"/>
                <w:b/>
                <w:w w:val="110"/>
                <w:sz w:val="20"/>
              </w:rPr>
              <w:t>General Assembly extends the appointment of the Revd Paul Whittle as Moderator of Eastern Synod to </w:t>
            </w:r>
            <w:r>
              <w:rPr>
                <w:rFonts w:ascii="Stone Sans II ITC Std Bk"/>
                <w:b/>
                <w:spacing w:val="-7"/>
                <w:w w:val="110"/>
                <w:sz w:val="20"/>
              </w:rPr>
              <w:t>31 </w:t>
            </w:r>
            <w:r>
              <w:rPr>
                <w:rFonts w:ascii="Stone Sans II ITC Std Bk"/>
                <w:b/>
                <w:w w:val="110"/>
                <w:sz w:val="20"/>
              </w:rPr>
              <w:t>August</w:t>
            </w:r>
            <w:r>
              <w:rPr>
                <w:rFonts w:ascii="Stone Sans II ITC Std Bk"/>
                <w:b/>
                <w:spacing w:val="6"/>
                <w:w w:val="110"/>
                <w:sz w:val="20"/>
              </w:rPr>
              <w:t> </w:t>
            </w:r>
            <w:r>
              <w:rPr>
                <w:rFonts w:ascii="Stone Sans II ITC Std Bk"/>
                <w:b/>
                <w:spacing w:val="-3"/>
                <w:w w:val="110"/>
                <w:sz w:val="20"/>
              </w:rPr>
              <w:t>2023.</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40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before="108"/>
              <w:ind w:left="79"/>
              <w:rPr>
                <w:sz w:val="20"/>
              </w:rPr>
            </w:pPr>
            <w:r>
              <w:rPr>
                <w:w w:val="120"/>
                <w:sz w:val="20"/>
              </w:rPr>
              <w:t>To recommend three extensions of tenure to Mission Council.</w:t>
            </w:r>
          </w:p>
        </w:tc>
      </w:tr>
      <w:tr>
        <w:trPr>
          <w:trHeight w:val="64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Pr>
                <w:sz w:val="20"/>
              </w:rPr>
            </w:pPr>
            <w:r>
              <w:rPr>
                <w:w w:val="120"/>
                <w:sz w:val="20"/>
              </w:rPr>
              <w:t>Due process has been followed, and the names are commended with conviction.</w:t>
            </w:r>
          </w:p>
        </w:tc>
      </w:tr>
      <w:tr>
        <w:trPr>
          <w:trHeight w:val="64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ight="778"/>
              <w:rPr>
                <w:sz w:val="20"/>
              </w:rPr>
            </w:pPr>
            <w:r>
              <w:rPr>
                <w:w w:val="120"/>
                <w:sz w:val="20"/>
              </w:rPr>
              <w:t>The current rubric for a moderator’s review of tenure was agreed by Mission Council in November 2014.</w:t>
            </w:r>
          </w:p>
        </w:tc>
      </w:tr>
      <w:tr>
        <w:trPr>
          <w:trHeight w:val="64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35" w:lineRule="auto" w:before="111"/>
              <w:ind w:left="79"/>
              <w:rPr>
                <w:sz w:val="20"/>
              </w:rPr>
            </w:pPr>
            <w:r>
              <w:rPr>
                <w:w w:val="120"/>
                <w:sz w:val="20"/>
              </w:rPr>
              <w:t>The three review groups themselves consulted widely, and then reported through nominations committee to Mission Council.</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before="108"/>
              <w:ind w:left="79"/>
              <w:rPr>
                <w:sz w:val="20"/>
              </w:rPr>
            </w:pPr>
            <w:r>
              <w:rPr>
                <w:w w:val="125"/>
                <w:sz w:val="20"/>
              </w:rPr>
              <w:t>None.</w:t>
            </w:r>
          </w:p>
        </w:tc>
      </w:tr>
      <w:tr>
        <w:trPr>
          <w:trHeight w:val="64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Pr>
                <w:sz w:val="20"/>
              </w:rPr>
            </w:pPr>
            <w:r>
              <w:rPr>
                <w:w w:val="120"/>
                <w:sz w:val="20"/>
              </w:rPr>
              <w:t>Each of these posts has an important ecumenical dimension, which is carried creditably and effectively by the post holder.</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2"/>
        <w:rPr>
          <w:rFonts w:ascii="Stone Sans II ITC Std Bk"/>
          <w:b/>
          <w:sz w:val="24"/>
        </w:rPr>
      </w:pPr>
    </w:p>
    <w:p>
      <w:pPr>
        <w:spacing w:before="0"/>
        <w:ind w:left="547" w:right="0" w:firstLine="0"/>
        <w:jc w:val="left"/>
        <w:rPr>
          <w:sz w:val="23"/>
        </w:rPr>
      </w:pPr>
      <w:r>
        <w:rPr>
          <w:rFonts w:ascii="Stone Sans II ITC Std X Bd" w:hAnsi="Stone Sans II ITC Std X Bd"/>
          <w:b/>
          <w:w w:val="110"/>
          <w:sz w:val="24"/>
        </w:rPr>
        <w:t>14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82"/>
          <w:footerReference w:type="even" r:id="rId83"/>
          <w:pgSz w:w="11910" w:h="16840"/>
          <w:pgMar w:header="0" w:footer="0" w:top="0" w:bottom="0" w:left="700" w:right="0"/>
        </w:sectPr>
      </w:pPr>
    </w:p>
    <w:p>
      <w:pPr>
        <w:pStyle w:val="BodyText"/>
      </w:pPr>
      <w:r>
        <w:rPr/>
        <w:drawing>
          <wp:anchor distT="0" distB="0" distL="0" distR="0" allowOverlap="1" layoutInCell="1" locked="0" behindDoc="0" simplePos="0" relativeHeight="251714560">
            <wp:simplePos x="0" y="0"/>
            <wp:positionH relativeFrom="page">
              <wp:posOffset>6974928</wp:posOffset>
            </wp:positionH>
            <wp:positionV relativeFrom="page">
              <wp:posOffset>0</wp:posOffset>
            </wp:positionV>
            <wp:extent cx="585063" cy="10692003"/>
            <wp:effectExtent l="0" t="0" r="0" b="0"/>
            <wp:wrapNone/>
            <wp:docPr id="25" name="image24.png"/>
            <wp:cNvGraphicFramePr>
              <a:graphicFrameLocks noChangeAspect="1"/>
            </wp:cNvGraphicFramePr>
            <a:graphic>
              <a:graphicData uri="http://schemas.openxmlformats.org/drawingml/2006/picture">
                <pic:pic>
                  <pic:nvPicPr>
                    <pic:cNvPr id="26"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141174pt;margin-top:22.693945pt;width:26pt;height:299.25pt;mso-position-horizontal-relative:page;mso-position-vertical-relative:paragraph;z-index:25171558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5"/>
                      <w:sz w:val="39"/>
                    </w:rPr>
                    <w:t>Appendix</w:t>
                  </w:r>
                  <w:r>
                    <w:rPr>
                      <w:color w:val="FFFFFF"/>
                      <w:spacing w:val="-45"/>
                      <w:w w:val="125"/>
                      <w:sz w:val="39"/>
                    </w:rPr>
                    <w:t> </w:t>
                  </w:r>
                  <w:r>
                    <w:rPr>
                      <w:color w:val="FFFFFF"/>
                      <w:spacing w:val="5"/>
                      <w:w w:val="125"/>
                      <w:sz w:val="39"/>
                    </w:rPr>
                    <w:t>two</w:t>
                  </w:r>
                  <w:r>
                    <w:rPr>
                      <w:color w:val="FFFFFF"/>
                      <w:spacing w:val="-45"/>
                      <w:w w:val="125"/>
                      <w:sz w:val="39"/>
                    </w:rPr>
                    <w:t> </w:t>
                  </w:r>
                  <w:r>
                    <w:rPr>
                      <w:color w:val="FFFFFF"/>
                      <w:w w:val="125"/>
                      <w:sz w:val="39"/>
                    </w:rPr>
                    <w:t>–</w:t>
                  </w:r>
                  <w:r>
                    <w:rPr>
                      <w:color w:val="FFFFFF"/>
                      <w:spacing w:val="-45"/>
                      <w:w w:val="125"/>
                      <w:sz w:val="39"/>
                    </w:rPr>
                    <w:t> </w:t>
                  </w:r>
                  <w:r>
                    <w:rPr>
                      <w:rFonts w:ascii="Stone Sans II ITC Std Lt" w:hAnsi="Stone Sans II ITC Std Lt"/>
                      <w:b w:val="0"/>
                      <w:spacing w:val="11"/>
                      <w:w w:val="125"/>
                      <w:sz w:val="39"/>
                    </w:rPr>
                    <w:t>Nominations</w:t>
                  </w:r>
                </w:p>
              </w:txbxContent>
            </v:textbox>
            <w10:wrap type="none"/>
          </v:shape>
        </w:pict>
      </w:r>
      <w:r>
        <w:rPr>
          <w:color w:val="7EAABF"/>
          <w:w w:val="120"/>
          <w:sz w:val="26"/>
        </w:rPr>
        <w:t>Mission Council</w:t>
      </w:r>
    </w:p>
    <w:p>
      <w:pPr>
        <w:spacing w:before="246"/>
        <w:ind w:left="1287" w:right="1251" w:firstLine="0"/>
        <w:jc w:val="center"/>
        <w:rPr>
          <w:rFonts w:ascii="Stone Sans II ITC Std Bk"/>
          <w:b/>
          <w:sz w:val="50"/>
        </w:rPr>
      </w:pPr>
      <w:r>
        <w:rPr>
          <w:rFonts w:ascii="Stone Sans II ITC Std Bk"/>
          <w:b/>
          <w:color w:val="0090D4"/>
          <w:w w:val="110"/>
          <w:sz w:val="50"/>
        </w:rPr>
        <w:t>Appendix two</w:t>
      </w:r>
    </w:p>
    <w:p>
      <w:pPr>
        <w:spacing w:before="84"/>
        <w:ind w:left="1287" w:right="1250" w:firstLine="0"/>
        <w:jc w:val="center"/>
        <w:rPr>
          <w:rFonts w:ascii="Stone Sans II ITC Std X Bd"/>
          <w:b/>
          <w:sz w:val="50"/>
        </w:rPr>
      </w:pPr>
      <w:r>
        <w:rPr>
          <w:rFonts w:ascii="Stone Sans II ITC Std X Bd"/>
          <w:b/>
          <w:w w:val="110"/>
          <w:sz w:val="50"/>
        </w:rPr>
        <w:t>Nominations</w:t>
      </w:r>
    </w:p>
    <w:p>
      <w:pPr>
        <w:pStyle w:val="BodyText"/>
        <w:spacing w:before="4"/>
        <w:rPr>
          <w:rFonts w:ascii="Stone Sans II ITC Std X Bd"/>
          <w:b/>
          <w:sz w:val="19"/>
        </w:rPr>
      </w:pPr>
    </w:p>
    <w:p>
      <w:pPr>
        <w:pStyle w:val="ListParagraph"/>
        <w:numPr>
          <w:ilvl w:val="0"/>
          <w:numId w:val="9"/>
        </w:numPr>
        <w:tabs>
          <w:tab w:pos="1964" w:val="left" w:leader="none"/>
          <w:tab w:pos="1965" w:val="left" w:leader="none"/>
        </w:tabs>
        <w:spacing w:line="235" w:lineRule="auto" w:before="104" w:after="0"/>
        <w:ind w:left="1284" w:right="1464" w:firstLine="0"/>
        <w:jc w:val="left"/>
        <w:rPr>
          <w:sz w:val="20"/>
        </w:rPr>
      </w:pPr>
      <w:r>
        <w:rPr>
          <w:w w:val="120"/>
          <w:sz w:val="20"/>
        </w:rPr>
        <w:t>The March </w:t>
      </w:r>
      <w:r>
        <w:rPr>
          <w:spacing w:val="-6"/>
          <w:w w:val="120"/>
          <w:sz w:val="20"/>
        </w:rPr>
        <w:t>2018 </w:t>
      </w:r>
      <w:r>
        <w:rPr>
          <w:w w:val="120"/>
          <w:sz w:val="20"/>
        </w:rPr>
        <w:t>meeting of Mission Council agreed to commend three extensions of tenure to General Assembly. In each case due process was followed, including extensive consultation with those who depend on the post-holder’s service. Each of the review groups made its recommendation with</w:t>
      </w:r>
      <w:r>
        <w:rPr>
          <w:spacing w:val="31"/>
          <w:w w:val="120"/>
          <w:sz w:val="20"/>
        </w:rPr>
        <w:t> </w:t>
      </w:r>
      <w:r>
        <w:rPr>
          <w:w w:val="120"/>
          <w:sz w:val="20"/>
        </w:rPr>
        <w:t>conviction.</w:t>
      </w:r>
    </w:p>
    <w:p>
      <w:pPr>
        <w:pStyle w:val="BodyText"/>
        <w:spacing w:before="11"/>
        <w:rPr>
          <w:sz w:val="19"/>
        </w:rPr>
      </w:pPr>
    </w:p>
    <w:p>
      <w:pPr>
        <w:pStyle w:val="ListParagraph"/>
        <w:numPr>
          <w:ilvl w:val="0"/>
          <w:numId w:val="9"/>
        </w:numPr>
        <w:tabs>
          <w:tab w:pos="1964" w:val="left" w:leader="none"/>
          <w:tab w:pos="1965" w:val="left" w:leader="none"/>
        </w:tabs>
        <w:spacing w:line="235" w:lineRule="auto" w:before="0" w:after="0"/>
        <w:ind w:left="1284" w:right="1668" w:firstLine="0"/>
        <w:jc w:val="left"/>
        <w:rPr>
          <w:sz w:val="20"/>
        </w:rPr>
      </w:pPr>
      <w:r>
        <w:rPr>
          <w:w w:val="120"/>
          <w:sz w:val="20"/>
        </w:rPr>
        <w:t>General Assembly in </w:t>
      </w:r>
      <w:r>
        <w:rPr>
          <w:spacing w:val="-7"/>
          <w:w w:val="120"/>
          <w:sz w:val="20"/>
        </w:rPr>
        <w:t>2014 </w:t>
      </w:r>
      <w:r>
        <w:rPr>
          <w:w w:val="120"/>
          <w:sz w:val="20"/>
        </w:rPr>
        <w:t>appointed the Revd Michael Hopkins as Clerk to Assembly, from November </w:t>
      </w:r>
      <w:r>
        <w:rPr>
          <w:spacing w:val="-7"/>
          <w:w w:val="120"/>
          <w:sz w:val="20"/>
        </w:rPr>
        <w:t>2014 </w:t>
      </w:r>
      <w:r>
        <w:rPr>
          <w:w w:val="120"/>
          <w:sz w:val="20"/>
        </w:rPr>
        <w:t>until the end of the 2020 Assembly. Thus that 2020 Assembly would be too late to take a proper decision about the Clerk’s tenure, and it is therefore important that this be considered in </w:t>
      </w:r>
      <w:r>
        <w:rPr>
          <w:spacing w:val="-5"/>
          <w:w w:val="120"/>
          <w:sz w:val="20"/>
        </w:rPr>
        <w:t>2018. </w:t>
      </w:r>
      <w:r>
        <w:rPr>
          <w:w w:val="120"/>
          <w:sz w:val="20"/>
        </w:rPr>
        <w:t>A review group was set up, convened by Mr John Ellis, and this group recommended that Michael be invited</w:t>
      </w:r>
      <w:r>
        <w:rPr>
          <w:spacing w:val="6"/>
          <w:w w:val="120"/>
          <w:sz w:val="20"/>
        </w:rPr>
        <w:t> </w:t>
      </w:r>
      <w:r>
        <w:rPr>
          <w:w w:val="120"/>
          <w:sz w:val="20"/>
        </w:rPr>
        <w:t>to</w:t>
      </w:r>
    </w:p>
    <w:p>
      <w:pPr>
        <w:pStyle w:val="BodyText"/>
        <w:spacing w:line="235" w:lineRule="auto" w:before="3"/>
        <w:ind w:left="1284" w:right="1283"/>
      </w:pPr>
      <w:r>
        <w:rPr>
          <w:w w:val="120"/>
        </w:rPr>
        <w:t>continue as Clerk until the end of the 2024 Assembly. Our Rules of Procedure limit the Clerk’s service to six years plus four, so Michael would stop at that point.</w:t>
      </w:r>
    </w:p>
    <w:p>
      <w:pPr>
        <w:pStyle w:val="BodyText"/>
        <w:spacing w:before="10"/>
        <w:rPr>
          <w:sz w:val="19"/>
        </w:rPr>
      </w:pPr>
    </w:p>
    <w:p>
      <w:pPr>
        <w:pStyle w:val="ListParagraph"/>
        <w:numPr>
          <w:ilvl w:val="1"/>
          <w:numId w:val="10"/>
        </w:numPr>
        <w:tabs>
          <w:tab w:pos="1964" w:val="left" w:leader="none"/>
          <w:tab w:pos="1965" w:val="left" w:leader="none"/>
        </w:tabs>
        <w:spacing w:line="235" w:lineRule="auto" w:before="0" w:after="0"/>
        <w:ind w:left="1284" w:right="1275" w:firstLine="0"/>
        <w:jc w:val="left"/>
        <w:rPr>
          <w:sz w:val="20"/>
        </w:rPr>
      </w:pPr>
      <w:r>
        <w:rPr>
          <w:w w:val="120"/>
          <w:sz w:val="20"/>
        </w:rPr>
        <w:t>The Revd Simon Walkling became Moderator of the National Synod of Wales in September </w:t>
      </w:r>
      <w:r>
        <w:rPr>
          <w:spacing w:val="-6"/>
          <w:w w:val="120"/>
          <w:sz w:val="20"/>
        </w:rPr>
        <w:t>2012.  </w:t>
      </w:r>
      <w:r>
        <w:rPr>
          <w:w w:val="120"/>
          <w:sz w:val="20"/>
        </w:rPr>
        <w:t>After some five years he declared himself willing for the Church to  test his call to continue in post beyond the initial seven-year term. The necessary review process was therefore set in train in the sixth year of the</w:t>
      </w:r>
      <w:r>
        <w:rPr>
          <w:spacing w:val="8"/>
          <w:w w:val="120"/>
          <w:sz w:val="20"/>
        </w:rPr>
        <w:t> </w:t>
      </w:r>
      <w:r>
        <w:rPr>
          <w:w w:val="120"/>
          <w:sz w:val="20"/>
        </w:rPr>
        <w:t>seven.</w:t>
      </w:r>
    </w:p>
    <w:p>
      <w:pPr>
        <w:pStyle w:val="BodyText"/>
        <w:spacing w:before="11"/>
        <w:rPr>
          <w:sz w:val="19"/>
        </w:rPr>
      </w:pPr>
    </w:p>
    <w:p>
      <w:pPr>
        <w:pStyle w:val="ListParagraph"/>
        <w:numPr>
          <w:ilvl w:val="1"/>
          <w:numId w:val="10"/>
        </w:numPr>
        <w:tabs>
          <w:tab w:pos="1964" w:val="left" w:leader="none"/>
          <w:tab w:pos="1965" w:val="left" w:leader="none"/>
        </w:tabs>
        <w:spacing w:line="235" w:lineRule="auto" w:before="0" w:after="0"/>
        <w:ind w:left="1284" w:right="1244" w:firstLine="0"/>
        <w:jc w:val="left"/>
        <w:rPr>
          <w:sz w:val="20"/>
        </w:rPr>
      </w:pPr>
      <w:r>
        <w:rPr>
          <w:w w:val="120"/>
          <w:sz w:val="20"/>
        </w:rPr>
        <w:t>The Assembly review group, convened by the Revd Mike Shrubsole (Wessex), heard from the synod review panel and from the Moderator himself, and recommended that Mr </w:t>
      </w:r>
      <w:r>
        <w:rPr>
          <w:spacing w:val="-3"/>
          <w:w w:val="120"/>
          <w:sz w:val="20"/>
        </w:rPr>
        <w:t>Walkling’s </w:t>
      </w:r>
      <w:r>
        <w:rPr>
          <w:w w:val="120"/>
          <w:sz w:val="20"/>
        </w:rPr>
        <w:t>tenure be extended for a further five years beyond the initial seven, thus continuing to August</w:t>
      </w:r>
      <w:r>
        <w:rPr>
          <w:spacing w:val="10"/>
          <w:w w:val="120"/>
          <w:sz w:val="20"/>
        </w:rPr>
        <w:t> </w:t>
      </w:r>
      <w:r>
        <w:rPr>
          <w:spacing w:val="-5"/>
          <w:w w:val="120"/>
          <w:sz w:val="20"/>
        </w:rPr>
        <w:t>2024.</w:t>
      </w:r>
    </w:p>
    <w:p>
      <w:pPr>
        <w:pStyle w:val="BodyText"/>
        <w:spacing w:before="11"/>
        <w:rPr>
          <w:sz w:val="19"/>
        </w:rPr>
      </w:pPr>
    </w:p>
    <w:p>
      <w:pPr>
        <w:pStyle w:val="ListParagraph"/>
        <w:numPr>
          <w:ilvl w:val="1"/>
          <w:numId w:val="11"/>
        </w:numPr>
        <w:tabs>
          <w:tab w:pos="1964" w:val="left" w:leader="none"/>
          <w:tab w:pos="1965" w:val="left" w:leader="none"/>
        </w:tabs>
        <w:spacing w:line="235" w:lineRule="auto" w:before="0" w:after="0"/>
        <w:ind w:left="1284" w:right="1562" w:firstLine="0"/>
        <w:jc w:val="left"/>
        <w:rPr>
          <w:sz w:val="20"/>
        </w:rPr>
      </w:pPr>
      <w:r>
        <w:rPr>
          <w:w w:val="120"/>
          <w:sz w:val="20"/>
        </w:rPr>
        <w:t>The Revd Paul Whittle became Moderator of Eastern Synod in July 2008 for an initial seven-year term, and a review in </w:t>
      </w:r>
      <w:r>
        <w:rPr>
          <w:spacing w:val="-7"/>
          <w:w w:val="120"/>
          <w:sz w:val="20"/>
        </w:rPr>
        <w:t>2014 </w:t>
      </w:r>
      <w:r>
        <w:rPr>
          <w:w w:val="120"/>
          <w:sz w:val="20"/>
        </w:rPr>
        <w:t>extended his tenure to</w:t>
      </w:r>
      <w:r>
        <w:rPr>
          <w:spacing w:val="33"/>
          <w:w w:val="120"/>
          <w:sz w:val="20"/>
        </w:rPr>
        <w:t> </w:t>
      </w:r>
      <w:r>
        <w:rPr>
          <w:w w:val="120"/>
          <w:sz w:val="20"/>
        </w:rPr>
        <w:t>August</w:t>
      </w:r>
    </w:p>
    <w:p>
      <w:pPr>
        <w:pStyle w:val="BodyText"/>
        <w:spacing w:line="235" w:lineRule="auto" w:before="2"/>
        <w:ind w:left="1284" w:right="1527"/>
      </w:pPr>
      <w:r>
        <w:rPr>
          <w:w w:val="120"/>
        </w:rPr>
        <w:t>2020 </w:t>
      </w:r>
      <w:r>
        <w:rPr>
          <w:spacing w:val="-3"/>
          <w:w w:val="120"/>
        </w:rPr>
        <w:t>(which </w:t>
      </w:r>
      <w:r>
        <w:rPr>
          <w:w w:val="120"/>
        </w:rPr>
        <w:t>was at one time his expected retirement </w:t>
      </w:r>
      <w:r>
        <w:rPr>
          <w:spacing w:val="-4"/>
          <w:w w:val="120"/>
        </w:rPr>
        <w:t>age). </w:t>
      </w:r>
      <w:r>
        <w:rPr>
          <w:w w:val="120"/>
        </w:rPr>
        <w:t>However, the change in the </w:t>
      </w:r>
      <w:r>
        <w:rPr>
          <w:spacing w:val="-3"/>
          <w:w w:val="120"/>
        </w:rPr>
        <w:t>URC’s </w:t>
      </w:r>
      <w:r>
        <w:rPr>
          <w:w w:val="120"/>
        </w:rPr>
        <w:t>ministerial retirement rules, and the availability of three further years of ministerial service, led Mr Whittle to ask the Church to test his call to continue in post until August</w:t>
      </w:r>
      <w:r>
        <w:rPr>
          <w:spacing w:val="4"/>
          <w:w w:val="120"/>
        </w:rPr>
        <w:t> </w:t>
      </w:r>
      <w:r>
        <w:rPr>
          <w:spacing w:val="-3"/>
          <w:w w:val="120"/>
        </w:rPr>
        <w:t>2023.</w:t>
      </w:r>
    </w:p>
    <w:p>
      <w:pPr>
        <w:pStyle w:val="BodyText"/>
        <w:spacing w:before="10"/>
        <w:rPr>
          <w:sz w:val="19"/>
        </w:rPr>
      </w:pPr>
    </w:p>
    <w:p>
      <w:pPr>
        <w:pStyle w:val="ListParagraph"/>
        <w:numPr>
          <w:ilvl w:val="1"/>
          <w:numId w:val="11"/>
        </w:numPr>
        <w:tabs>
          <w:tab w:pos="1964" w:val="left" w:leader="none"/>
          <w:tab w:pos="1965" w:val="left" w:leader="none"/>
        </w:tabs>
        <w:spacing w:line="235" w:lineRule="auto" w:before="1" w:after="0"/>
        <w:ind w:left="1284" w:right="1442" w:firstLine="0"/>
        <w:jc w:val="left"/>
        <w:rPr>
          <w:sz w:val="20"/>
        </w:rPr>
      </w:pPr>
      <w:r>
        <w:rPr>
          <w:w w:val="120"/>
          <w:sz w:val="20"/>
        </w:rPr>
        <w:t>Although it has recently been unusual for a synod moderator to serve for more than twelve years, this is not irregular. Our Rules of Procedure do not prevent it. It  was however necessary to follow full and careful process, if the call was to be properly tested, and this was</w:t>
      </w:r>
      <w:r>
        <w:rPr>
          <w:spacing w:val="7"/>
          <w:w w:val="120"/>
          <w:sz w:val="20"/>
        </w:rPr>
        <w:t> </w:t>
      </w:r>
      <w:r>
        <w:rPr>
          <w:w w:val="120"/>
          <w:sz w:val="20"/>
        </w:rPr>
        <w:t>done.</w:t>
      </w:r>
    </w:p>
    <w:p>
      <w:pPr>
        <w:pStyle w:val="BodyText"/>
        <w:spacing w:before="10"/>
        <w:rPr>
          <w:sz w:val="19"/>
        </w:rPr>
      </w:pPr>
    </w:p>
    <w:p>
      <w:pPr>
        <w:pStyle w:val="ListParagraph"/>
        <w:numPr>
          <w:ilvl w:val="1"/>
          <w:numId w:val="11"/>
        </w:numPr>
        <w:tabs>
          <w:tab w:pos="1964" w:val="left" w:leader="none"/>
          <w:tab w:pos="1965" w:val="left" w:leader="none"/>
        </w:tabs>
        <w:spacing w:line="235" w:lineRule="auto" w:before="1" w:after="0"/>
        <w:ind w:left="1284" w:right="1254" w:firstLine="0"/>
        <w:jc w:val="left"/>
        <w:rPr>
          <w:sz w:val="20"/>
        </w:rPr>
      </w:pPr>
      <w:r>
        <w:rPr>
          <w:w w:val="120"/>
          <w:sz w:val="20"/>
        </w:rPr>
        <w:t>The Assembly review group, convened by the Revd Bill </w:t>
      </w:r>
      <w:r>
        <w:rPr>
          <w:spacing w:val="-3"/>
          <w:w w:val="120"/>
          <w:sz w:val="20"/>
        </w:rPr>
        <w:t>Young </w:t>
      </w:r>
      <w:r>
        <w:rPr>
          <w:w w:val="120"/>
          <w:sz w:val="20"/>
        </w:rPr>
        <w:t>(West </w:t>
      </w:r>
      <w:r>
        <w:rPr>
          <w:spacing w:val="-3"/>
          <w:w w:val="120"/>
          <w:sz w:val="20"/>
        </w:rPr>
        <w:t>Midlands), </w:t>
      </w:r>
      <w:r>
        <w:rPr>
          <w:w w:val="120"/>
          <w:sz w:val="20"/>
        </w:rPr>
        <w:t>heard from the synod review Panel and from the Moderator himself, and recommended that Mr Whittle’s tenure be extended until August </w:t>
      </w:r>
      <w:r>
        <w:rPr>
          <w:spacing w:val="-3"/>
          <w:w w:val="120"/>
          <w:sz w:val="20"/>
        </w:rPr>
        <w:t>2023, </w:t>
      </w:r>
      <w:r>
        <w:rPr>
          <w:w w:val="120"/>
          <w:sz w:val="20"/>
        </w:rPr>
        <w:t>when he will</w:t>
      </w:r>
      <w:r>
        <w:rPr>
          <w:spacing w:val="30"/>
          <w:w w:val="120"/>
          <w:sz w:val="20"/>
        </w:rPr>
        <w:t> </w:t>
      </w:r>
      <w:r>
        <w:rPr>
          <w:w w:val="120"/>
          <w:sz w:val="20"/>
        </w:rPr>
        <w:t>retire.</w:t>
      </w:r>
    </w:p>
    <w:p>
      <w:pPr>
        <w:spacing w:after="0" w:line="235" w:lineRule="auto"/>
        <w:jc w:val="left"/>
        <w:rPr>
          <w:sz w:val="20"/>
        </w:rPr>
        <w:sectPr>
          <w:headerReference w:type="default" r:id="rId84"/>
          <w:footerReference w:type="default" r:id="rId85"/>
          <w:pgSz w:w="11910" w:h="16840"/>
          <w:pgMar w:header="0" w:footer="647" w:top="0" w:bottom="840" w:left="700" w:right="0"/>
          <w:pgNumType w:start="15"/>
        </w:sectPr>
      </w:pPr>
    </w:p>
    <w:p>
      <w:pPr>
        <w:pStyle w:val="BodyText"/>
      </w:pPr>
      <w:r>
        <w:rPr/>
        <w:pict>
          <v:rect style="position:absolute;margin-left:46.777pt;margin-top:.000015pt;width:548.498pt;height:841.89pt;mso-position-horizontal-relative:page;mso-position-vertical-relative:page;z-index:-267567104" filled="true" fillcolor="#fef4df" stroked="false">
            <v:fill type="solid"/>
            <w10:wrap type="none"/>
          </v:rect>
        </w:pict>
      </w:r>
      <w:r>
        <w:rPr/>
        <w:drawing>
          <wp:anchor distT="0" distB="0" distL="0" distR="0" allowOverlap="1" layoutInCell="1" locked="0" behindDoc="1" simplePos="0" relativeHeight="235750400">
            <wp:simplePos x="0" y="0"/>
            <wp:positionH relativeFrom="page">
              <wp:posOffset>0</wp:posOffset>
            </wp:positionH>
            <wp:positionV relativeFrom="page">
              <wp:posOffset>0</wp:posOffset>
            </wp:positionV>
            <wp:extent cx="594067" cy="10692003"/>
            <wp:effectExtent l="0" t="0" r="0" b="0"/>
            <wp:wrapNone/>
            <wp:docPr id="27" name="image51.png"/>
            <wp:cNvGraphicFramePr>
              <a:graphicFrameLocks noChangeAspect="1"/>
            </wp:cNvGraphicFramePr>
            <a:graphic>
              <a:graphicData uri="http://schemas.openxmlformats.org/drawingml/2006/picture">
                <pic:pic>
                  <pic:nvPicPr>
                    <pic:cNvPr id="28"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513.6pt;mso-position-horizontal-relative:page;mso-position-vertical-relative:page;z-index:-26756505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three – </w:t>
                  </w:r>
                  <w:r>
                    <w:rPr>
                      <w:rFonts w:ascii="Stone Sans II ITC Std Lt" w:hAnsi="Stone Sans II ITC Std Lt"/>
                      <w:b w:val="0"/>
                      <w:w w:val="120"/>
                      <w:sz w:val="39"/>
                    </w:rPr>
                    <w:t>Election of Assembly Moderators</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ight="1584"/>
        <w:rPr>
          <w:b/>
        </w:rPr>
      </w:pPr>
      <w:bookmarkStart w:name="_bookmark4" w:id="5"/>
      <w:bookmarkEnd w:id="5"/>
      <w:r>
        <w:rPr>
          <w:b w:val="0"/>
        </w:rPr>
      </w:r>
      <w:r>
        <w:rPr>
          <w:b/>
          <w:color w:val="F1B400"/>
          <w:spacing w:val="-9"/>
          <w:w w:val="110"/>
        </w:rPr>
        <w:t>Mission </w:t>
      </w:r>
      <w:r>
        <w:rPr>
          <w:b/>
          <w:color w:val="F1B400"/>
          <w:spacing w:val="-10"/>
          <w:w w:val="110"/>
        </w:rPr>
        <w:t>Council </w:t>
      </w:r>
      <w:r>
        <w:rPr>
          <w:b/>
          <w:color w:val="F1B400"/>
          <w:spacing w:val="-9"/>
          <w:w w:val="110"/>
        </w:rPr>
        <w:t>appendix </w:t>
      </w:r>
      <w:r>
        <w:rPr>
          <w:b/>
          <w:color w:val="F1B400"/>
          <w:spacing w:val="-10"/>
          <w:w w:val="110"/>
        </w:rPr>
        <w:t>three </w:t>
      </w:r>
      <w:r>
        <w:rPr>
          <w:b/>
          <w:spacing w:val="-6"/>
          <w:w w:val="110"/>
        </w:rPr>
        <w:t>The </w:t>
      </w:r>
      <w:r>
        <w:rPr>
          <w:b/>
          <w:spacing w:val="-8"/>
          <w:w w:val="110"/>
        </w:rPr>
        <w:t>election </w:t>
      </w:r>
      <w:r>
        <w:rPr>
          <w:b/>
          <w:spacing w:val="-5"/>
          <w:w w:val="110"/>
        </w:rPr>
        <w:t>of </w:t>
      </w:r>
      <w:r>
        <w:rPr>
          <w:b/>
          <w:spacing w:val="-10"/>
          <w:w w:val="110"/>
        </w:rPr>
        <w:t>Assembly Moderators</w:t>
      </w:r>
    </w:p>
    <w:p>
      <w:pPr>
        <w:spacing w:before="354"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General Secretary: </w:t>
            </w:r>
            <w:hyperlink r:id="rId58">
              <w:r>
                <w:rPr>
                  <w:color w:val="006AB3"/>
                  <w:w w:val="120"/>
                  <w:sz w:val="20"/>
                </w:rPr>
                <w:t>john.proctor@urc.org.uk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Decision.</w:t>
            </w:r>
          </w:p>
        </w:tc>
      </w:tr>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tabs>
                <w:tab w:pos="760" w:val="left" w:leader="none"/>
              </w:tabs>
              <w:spacing w:line="213" w:lineRule="auto" w:before="117"/>
              <w:ind w:left="80" w:right="395"/>
              <w:rPr>
                <w:rFonts w:ascii="Stone Sans II ITC Std Bk"/>
                <w:b/>
                <w:sz w:val="20"/>
              </w:rPr>
            </w:pPr>
            <w:r>
              <w:rPr>
                <w:rFonts w:ascii="Stone Sans II ITC Std Bk"/>
                <w:b/>
                <w:w w:val="110"/>
                <w:sz w:val="20"/>
              </w:rPr>
              <w:t>4.</w:t>
              <w:tab/>
              <w:t>General Assembly adopts the changes proposed to section 3 of the Rules of Procedure, with </w:t>
            </w:r>
            <w:r>
              <w:rPr>
                <w:rFonts w:ascii="Stone Sans II ITC Std Bk"/>
                <w:b/>
                <w:spacing w:val="2"/>
                <w:w w:val="110"/>
                <w:sz w:val="20"/>
              </w:rPr>
              <w:t>effect </w:t>
            </w:r>
            <w:r>
              <w:rPr>
                <w:rFonts w:ascii="Stone Sans II ITC Std Bk"/>
                <w:b/>
                <w:w w:val="110"/>
                <w:sz w:val="20"/>
              </w:rPr>
              <w:t>from the end of the </w:t>
            </w:r>
            <w:r>
              <w:rPr>
                <w:rFonts w:ascii="Stone Sans II ITC Std Bk"/>
                <w:b/>
                <w:spacing w:val="-5"/>
                <w:w w:val="110"/>
                <w:sz w:val="20"/>
              </w:rPr>
              <w:t>2018 </w:t>
            </w:r>
            <w:r>
              <w:rPr>
                <w:rFonts w:ascii="Stone Sans II ITC Std Bk"/>
                <w:b/>
                <w:w w:val="110"/>
                <w:sz w:val="20"/>
              </w:rPr>
              <w:t>meeting of</w:t>
            </w:r>
            <w:r>
              <w:rPr>
                <w:rFonts w:ascii="Stone Sans II ITC Std Bk"/>
                <w:b/>
                <w:spacing w:val="3"/>
                <w:w w:val="110"/>
                <w:sz w:val="20"/>
              </w:rPr>
              <w:t> </w:t>
            </w:r>
            <w:r>
              <w:rPr>
                <w:rFonts w:ascii="Stone Sans II ITC Std Bk"/>
                <w:b/>
                <w:w w:val="110"/>
                <w:sz w:val="20"/>
              </w:rPr>
              <w:t>Assembly.</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18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numPr>
                <w:ilvl w:val="0"/>
                <w:numId w:val="12"/>
              </w:numPr>
              <w:tabs>
                <w:tab w:pos="262" w:val="left" w:leader="none"/>
              </w:tabs>
              <w:spacing w:line="235" w:lineRule="auto" w:before="101" w:after="0"/>
              <w:ind w:left="261" w:right="388" w:hanging="182"/>
              <w:jc w:val="left"/>
              <w:rPr>
                <w:sz w:val="20"/>
              </w:rPr>
            </w:pPr>
            <w:r>
              <w:rPr>
                <w:spacing w:val="-7"/>
                <w:w w:val="120"/>
                <w:sz w:val="20"/>
              </w:rPr>
              <w:t>To </w:t>
            </w:r>
            <w:r>
              <w:rPr>
                <w:w w:val="120"/>
                <w:sz w:val="20"/>
              </w:rPr>
              <w:t>bring clarity to the current process for the election of the Moderators of General</w:t>
            </w:r>
            <w:r>
              <w:rPr>
                <w:spacing w:val="4"/>
                <w:w w:val="120"/>
                <w:sz w:val="20"/>
              </w:rPr>
              <w:t> </w:t>
            </w:r>
            <w:r>
              <w:rPr>
                <w:w w:val="120"/>
                <w:sz w:val="20"/>
              </w:rPr>
              <w:t>Assembly.</w:t>
            </w:r>
          </w:p>
          <w:p>
            <w:pPr>
              <w:pStyle w:val="TableParagraph"/>
              <w:numPr>
                <w:ilvl w:val="0"/>
                <w:numId w:val="12"/>
              </w:numPr>
              <w:tabs>
                <w:tab w:pos="262" w:val="left" w:leader="none"/>
              </w:tabs>
              <w:spacing w:line="234" w:lineRule="exact" w:before="0" w:after="0"/>
              <w:ind w:left="261" w:right="0" w:hanging="182"/>
              <w:jc w:val="left"/>
              <w:rPr>
                <w:sz w:val="20"/>
              </w:rPr>
            </w:pPr>
            <w:r>
              <w:rPr>
                <w:spacing w:val="-7"/>
                <w:w w:val="120"/>
                <w:sz w:val="20"/>
              </w:rPr>
              <w:t>To </w:t>
            </w:r>
            <w:r>
              <w:rPr>
                <w:w w:val="120"/>
                <w:sz w:val="20"/>
              </w:rPr>
              <w:t>provide greater fairness amongst all nominees for the</w:t>
            </w:r>
            <w:r>
              <w:rPr>
                <w:spacing w:val="24"/>
                <w:w w:val="120"/>
                <w:sz w:val="20"/>
              </w:rPr>
              <w:t> </w:t>
            </w:r>
            <w:r>
              <w:rPr>
                <w:w w:val="120"/>
                <w:sz w:val="20"/>
              </w:rPr>
              <w:t>role.</w:t>
            </w:r>
          </w:p>
          <w:p>
            <w:pPr>
              <w:pStyle w:val="TableParagraph"/>
              <w:numPr>
                <w:ilvl w:val="0"/>
                <w:numId w:val="12"/>
              </w:numPr>
              <w:tabs>
                <w:tab w:pos="262" w:val="left" w:leader="none"/>
              </w:tabs>
              <w:spacing w:line="235" w:lineRule="auto" w:before="0" w:after="0"/>
              <w:ind w:left="261" w:right="127" w:hanging="182"/>
              <w:jc w:val="left"/>
              <w:rPr>
                <w:sz w:val="20"/>
              </w:rPr>
            </w:pPr>
            <w:r>
              <w:rPr>
                <w:spacing w:val="-7"/>
                <w:w w:val="120"/>
                <w:sz w:val="20"/>
              </w:rPr>
              <w:t>To </w:t>
            </w:r>
            <w:r>
              <w:rPr>
                <w:w w:val="120"/>
                <w:sz w:val="20"/>
              </w:rPr>
              <w:t>learn from the procedure for electing the Moderator of </w:t>
            </w:r>
            <w:r>
              <w:rPr>
                <w:spacing w:val="-3"/>
                <w:w w:val="120"/>
                <w:sz w:val="20"/>
              </w:rPr>
              <w:t>Youth </w:t>
            </w:r>
            <w:r>
              <w:rPr>
                <w:w w:val="120"/>
                <w:sz w:val="20"/>
              </w:rPr>
              <w:t>Assembly, as this has been proven to be fair and useful in determining, with prayer and guidance from the Holy Spirit, the most suitable</w:t>
            </w:r>
            <w:r>
              <w:rPr>
                <w:spacing w:val="4"/>
                <w:w w:val="120"/>
                <w:sz w:val="20"/>
              </w:rPr>
              <w:t> </w:t>
            </w:r>
            <w:r>
              <w:rPr>
                <w:w w:val="120"/>
                <w:sz w:val="20"/>
              </w:rPr>
              <w:t>Moderator.</w:t>
            </w:r>
          </w:p>
        </w:tc>
      </w:tr>
      <w:tr>
        <w:trPr>
          <w:trHeight w:val="256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numPr>
                <w:ilvl w:val="0"/>
                <w:numId w:val="13"/>
              </w:numPr>
              <w:tabs>
                <w:tab w:pos="262" w:val="left" w:leader="none"/>
              </w:tabs>
              <w:spacing w:line="253" w:lineRule="exact" w:before="97" w:after="0"/>
              <w:ind w:left="261" w:right="0" w:hanging="182"/>
              <w:jc w:val="left"/>
              <w:rPr>
                <w:sz w:val="20"/>
              </w:rPr>
            </w:pPr>
            <w:r>
              <w:rPr>
                <w:w w:val="120"/>
                <w:sz w:val="20"/>
              </w:rPr>
              <w:t>The current procedure is</w:t>
            </w:r>
            <w:r>
              <w:rPr>
                <w:spacing w:val="8"/>
                <w:w w:val="120"/>
                <w:sz w:val="20"/>
              </w:rPr>
              <w:t> </w:t>
            </w:r>
            <w:r>
              <w:rPr>
                <w:w w:val="120"/>
                <w:sz w:val="20"/>
              </w:rPr>
              <w:t>flawed:</w:t>
            </w:r>
          </w:p>
          <w:p>
            <w:pPr>
              <w:pStyle w:val="TableParagraph"/>
              <w:spacing w:line="235" w:lineRule="auto" w:before="2"/>
              <w:ind w:left="261" w:right="148"/>
              <w:rPr>
                <w:sz w:val="20"/>
              </w:rPr>
            </w:pPr>
            <w:r>
              <w:rPr>
                <w:w w:val="120"/>
                <w:sz w:val="20"/>
              </w:rPr>
              <w:t>it shows bias towards nominees who are incumbent members of Assembly;</w:t>
            </w:r>
          </w:p>
          <w:p>
            <w:pPr>
              <w:pStyle w:val="TableParagraph"/>
              <w:spacing w:line="235" w:lineRule="auto" w:before="1"/>
              <w:ind w:left="261"/>
              <w:rPr>
                <w:sz w:val="20"/>
              </w:rPr>
            </w:pPr>
            <w:r>
              <w:rPr>
                <w:w w:val="120"/>
                <w:sz w:val="20"/>
              </w:rPr>
              <w:t>it does little to help voting members of Assembly discern who may be best suited for the role.</w:t>
            </w:r>
          </w:p>
          <w:p>
            <w:pPr>
              <w:pStyle w:val="TableParagraph"/>
              <w:numPr>
                <w:ilvl w:val="0"/>
                <w:numId w:val="13"/>
              </w:numPr>
              <w:tabs>
                <w:tab w:pos="261" w:val="left" w:leader="none"/>
              </w:tabs>
              <w:spacing w:line="235" w:lineRule="auto" w:before="0" w:after="0"/>
              <w:ind w:left="261" w:right="187" w:hanging="182"/>
              <w:jc w:val="left"/>
              <w:rPr>
                <w:sz w:val="20"/>
              </w:rPr>
            </w:pPr>
            <w:r>
              <w:rPr>
                <w:w w:val="120"/>
                <w:sz w:val="20"/>
              </w:rPr>
              <w:t>All nominees will be invited, and expected, to attend the Assembly at which they are to be voted on, will read their biography </w:t>
            </w:r>
            <w:r>
              <w:rPr>
                <w:spacing w:val="-6"/>
                <w:w w:val="120"/>
                <w:sz w:val="20"/>
              </w:rPr>
              <w:t>(or </w:t>
            </w:r>
            <w:r>
              <w:rPr>
                <w:w w:val="120"/>
                <w:sz w:val="20"/>
              </w:rPr>
              <w:t>have it read) to Assembly, and will be asked a question by the Moderator in the chair and given opportunity to</w:t>
            </w:r>
            <w:r>
              <w:rPr>
                <w:spacing w:val="2"/>
                <w:w w:val="120"/>
                <w:sz w:val="20"/>
              </w:rPr>
              <w:t> </w:t>
            </w:r>
            <w:r>
              <w:rPr>
                <w:w w:val="120"/>
                <w:sz w:val="20"/>
              </w:rPr>
              <w:t>respond.</w:t>
            </w:r>
          </w:p>
        </w:tc>
      </w:tr>
      <w:tr>
        <w:trPr>
          <w:trHeight w:val="646" w:hRule="atLeast"/>
        </w:trPr>
        <w:tc>
          <w:tcPr>
            <w:tcW w:w="2660" w:type="dxa"/>
            <w:shd w:val="clear" w:color="auto" w:fill="FFFFFF"/>
          </w:tcPr>
          <w:p>
            <w:pPr>
              <w:pStyle w:val="TableParagraph"/>
              <w:spacing w:line="213" w:lineRule="auto" w:before="117"/>
              <w:ind w:left="79" w:right="702"/>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79"/>
              <w:rPr>
                <w:sz w:val="20"/>
              </w:rPr>
            </w:pPr>
            <w:r>
              <w:rPr>
                <w:w w:val="120"/>
                <w:sz w:val="20"/>
              </w:rPr>
              <w:t>Rules of Procedure, Youth Assembly Standing Orders, Mission Council November 2017 Paper Y1 and March 2018, Paper Y1.</w:t>
            </w:r>
          </w:p>
        </w:tc>
      </w:tr>
      <w:tr>
        <w:trPr>
          <w:trHeight w:val="646" w:hRule="atLeast"/>
        </w:trPr>
        <w:tc>
          <w:tcPr>
            <w:tcW w:w="2660" w:type="dxa"/>
            <w:shd w:val="clear" w:color="auto" w:fill="FFFFFF"/>
          </w:tcPr>
          <w:p>
            <w:pPr>
              <w:pStyle w:val="TableParagraph"/>
              <w:spacing w:line="213" w:lineRule="auto" w:before="117"/>
              <w:ind w:left="80" w:right="576" w:hanging="1"/>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ight="752"/>
              <w:rPr>
                <w:sz w:val="20"/>
              </w:rPr>
            </w:pPr>
            <w:r>
              <w:rPr>
                <w:w w:val="120"/>
                <w:sz w:val="20"/>
              </w:rPr>
              <w:t>Assembly Clerk, General Secretary, children’s and youth work committee, URC Youth Executive, Mission Council.</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None.</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ight="148"/>
              <w:rPr>
                <w:sz w:val="20"/>
              </w:rPr>
            </w:pPr>
            <w:r>
              <w:rPr>
                <w:w w:val="120"/>
                <w:sz w:val="20"/>
              </w:rPr>
              <w:t>Invariably any change to our Rules of Procedure brings us closer to some ecumenical partners and further away from others.</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3"/>
        <w:rPr>
          <w:rFonts w:ascii="Stone Sans II ITC Std Bk"/>
          <w:b/>
          <w:sz w:val="29"/>
        </w:rPr>
      </w:pPr>
    </w:p>
    <w:p>
      <w:pPr>
        <w:spacing w:before="0"/>
        <w:ind w:left="547" w:right="0" w:firstLine="0"/>
        <w:jc w:val="left"/>
        <w:rPr>
          <w:sz w:val="23"/>
        </w:rPr>
      </w:pPr>
      <w:r>
        <w:rPr>
          <w:rFonts w:ascii="Stone Sans II ITC Std X Bd" w:hAnsi="Stone Sans II ITC Std X Bd"/>
          <w:b/>
          <w:w w:val="110"/>
          <w:sz w:val="24"/>
        </w:rPr>
        <w:t>16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86"/>
          <w:footerReference w:type="even" r:id="rId87"/>
          <w:pgSz w:w="11910" w:h="16840"/>
          <w:pgMar w:header="0" w:footer="0" w:top="0" w:bottom="0" w:left="700" w:right="0"/>
        </w:sectPr>
      </w:pPr>
    </w:p>
    <w:p>
      <w:pPr>
        <w:pStyle w:val="BodyText"/>
      </w:pPr>
    </w:p>
    <w:p>
      <w:pPr>
        <w:pStyle w:val="BodyText"/>
        <w:spacing w:before="5"/>
        <w:rPr>
          <w:sz w:val="21"/>
        </w:rPr>
      </w:pPr>
    </w:p>
    <w:p>
      <w:pPr>
        <w:spacing w:after="0"/>
        <w:rPr>
          <w:sz w:val="21"/>
        </w:rPr>
        <w:sectPr>
          <w:headerReference w:type="default" r:id="rId88"/>
          <w:footerReference w:type="default" r:id="rId89"/>
          <w:pgSz w:w="11910" w:h="16840"/>
          <w:pgMar w:header="0" w:footer="647" w:top="0" w:bottom="840" w:left="700" w:right="0"/>
          <w:pgNumType w:start="17"/>
        </w:sectPr>
      </w:pPr>
    </w:p>
    <w:p>
      <w:pPr>
        <w:pStyle w:val="BodyText"/>
        <w:rPr>
          <w:sz w:val="55"/>
        </w:rPr>
      </w:pPr>
    </w:p>
    <w:p>
      <w:pPr>
        <w:spacing w:before="0"/>
        <w:ind w:left="3456" w:right="0" w:firstLine="0"/>
        <w:jc w:val="left"/>
        <w:rPr>
          <w:rFonts w:ascii="Stone Sans II ITC Std Bk"/>
          <w:b/>
          <w:sz w:val="50"/>
        </w:rPr>
      </w:pPr>
      <w:r>
        <w:rPr>
          <w:rFonts w:ascii="Stone Sans II ITC Std Bk"/>
          <w:b/>
          <w:color w:val="0090D4"/>
          <w:spacing w:val="7"/>
          <w:w w:val="110"/>
          <w:sz w:val="50"/>
        </w:rPr>
        <w:t>Appendix</w:t>
      </w:r>
      <w:r>
        <w:rPr>
          <w:rFonts w:ascii="Stone Sans II ITC Std Bk"/>
          <w:b/>
          <w:color w:val="0090D4"/>
          <w:spacing w:val="98"/>
          <w:w w:val="110"/>
          <w:sz w:val="50"/>
        </w:rPr>
        <w:t> </w:t>
      </w:r>
      <w:r>
        <w:rPr>
          <w:rFonts w:ascii="Stone Sans II ITC Std Bk"/>
          <w:b/>
          <w:color w:val="0090D4"/>
          <w:w w:val="110"/>
          <w:sz w:val="50"/>
        </w:rPr>
        <w:t>three</w:t>
      </w:r>
    </w:p>
    <w:p>
      <w:pPr>
        <w:spacing w:before="108"/>
        <w:ind w:left="155" w:right="0" w:firstLine="0"/>
        <w:jc w:val="left"/>
        <w:rPr>
          <w:sz w:val="26"/>
        </w:rPr>
      </w:pPr>
      <w:r>
        <w:rPr/>
        <w:br w:type="column"/>
      </w:r>
      <w:r>
        <w:rPr>
          <w:color w:val="7EAABF"/>
          <w:w w:val="120"/>
          <w:sz w:val="26"/>
        </w:rPr>
        <w:t>Mission Council</w:t>
      </w:r>
    </w:p>
    <w:p>
      <w:pPr>
        <w:spacing w:after="0"/>
        <w:jc w:val="left"/>
        <w:rPr>
          <w:sz w:val="26"/>
        </w:rPr>
        <w:sectPr>
          <w:type w:val="continuous"/>
          <w:pgSz w:w="11910" w:h="16840"/>
          <w:pgMar w:top="1580" w:bottom="280" w:left="700" w:right="0"/>
          <w:cols w:num="2" w:equalWidth="0">
            <w:col w:w="7786" w:space="40"/>
            <w:col w:w="3384"/>
          </w:cols>
        </w:sectPr>
      </w:pPr>
    </w:p>
    <w:p>
      <w:pPr>
        <w:spacing w:line="213" w:lineRule="auto" w:before="140"/>
        <w:ind w:left="4036" w:right="2143" w:hanging="1797"/>
        <w:jc w:val="left"/>
        <w:rPr>
          <w:rFonts w:ascii="Stone Sans II ITC Std X Bd"/>
          <w:b/>
          <w:sz w:val="50"/>
        </w:rPr>
      </w:pPr>
      <w:r>
        <w:rPr/>
        <w:drawing>
          <wp:anchor distT="0" distB="0" distL="0" distR="0" allowOverlap="1" layoutInCell="1" locked="0" behindDoc="0" simplePos="0" relativeHeight="251719680">
            <wp:simplePos x="0" y="0"/>
            <wp:positionH relativeFrom="page">
              <wp:posOffset>6974928</wp:posOffset>
            </wp:positionH>
            <wp:positionV relativeFrom="page">
              <wp:posOffset>0</wp:posOffset>
            </wp:positionV>
            <wp:extent cx="585076" cy="10692003"/>
            <wp:effectExtent l="0" t="0" r="0" b="0"/>
            <wp:wrapNone/>
            <wp:docPr id="29" name="image50.png"/>
            <wp:cNvGraphicFramePr>
              <a:graphicFrameLocks noChangeAspect="1"/>
            </wp:cNvGraphicFramePr>
            <a:graphic>
              <a:graphicData uri="http://schemas.openxmlformats.org/drawingml/2006/picture">
                <pic:pic>
                  <pic:nvPicPr>
                    <pic:cNvPr id="30" name="image50.png"/>
                    <pic:cNvPicPr/>
                  </pic:nvPicPr>
                  <pic:blipFill>
                    <a:blip r:embed="rId64" cstate="print"/>
                    <a:stretch>
                      <a:fillRect/>
                    </a:stretch>
                  </pic:blipFill>
                  <pic:spPr>
                    <a:xfrm>
                      <a:off x="0" y="0"/>
                      <a:ext cx="585076" cy="10692003"/>
                    </a:xfrm>
                    <a:prstGeom prst="rect">
                      <a:avLst/>
                    </a:prstGeom>
                  </pic:spPr>
                </pic:pic>
              </a:graphicData>
            </a:graphic>
          </wp:anchor>
        </w:drawing>
      </w:r>
      <w:r>
        <w:rPr/>
        <w:pict>
          <v:shape style="position:absolute;margin-left:554.141174pt;margin-top:-44.640919pt;width:26pt;height:513.6pt;mso-position-horizontal-relative:page;mso-position-vertical-relative:paragraph;z-index:25172070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three – </w:t>
                  </w:r>
                  <w:r>
                    <w:rPr>
                      <w:rFonts w:ascii="Stone Sans II ITC Std Lt" w:hAnsi="Stone Sans II ITC Std Lt"/>
                      <w:b w:val="0"/>
                      <w:w w:val="120"/>
                      <w:sz w:val="39"/>
                    </w:rPr>
                    <w:t>Election of Assembly Moderators</w:t>
                  </w:r>
                </w:p>
              </w:txbxContent>
            </v:textbox>
            <w10:wrap type="none"/>
          </v:shape>
        </w:pict>
      </w:r>
      <w:r>
        <w:rPr>
          <w:rFonts w:ascii="Stone Sans II ITC Std X Bd"/>
          <w:b/>
          <w:w w:val="110"/>
          <w:sz w:val="50"/>
        </w:rPr>
        <w:t>The election of Assembly Moderators</w:t>
      </w:r>
    </w:p>
    <w:p>
      <w:pPr>
        <w:pStyle w:val="ListParagraph"/>
        <w:numPr>
          <w:ilvl w:val="0"/>
          <w:numId w:val="14"/>
        </w:numPr>
        <w:tabs>
          <w:tab w:pos="1964" w:val="left" w:leader="none"/>
          <w:tab w:pos="1965" w:val="left" w:leader="none"/>
        </w:tabs>
        <w:spacing w:line="235" w:lineRule="auto" w:before="381" w:after="0"/>
        <w:ind w:left="1284" w:right="1276" w:firstLine="0"/>
        <w:jc w:val="left"/>
        <w:rPr>
          <w:sz w:val="20"/>
        </w:rPr>
      </w:pPr>
      <w:r>
        <w:rPr>
          <w:w w:val="120"/>
          <w:sz w:val="20"/>
        </w:rPr>
        <w:t>URC </w:t>
      </w:r>
      <w:r>
        <w:rPr>
          <w:spacing w:val="-3"/>
          <w:w w:val="120"/>
          <w:sz w:val="20"/>
        </w:rPr>
        <w:t>Youth </w:t>
      </w:r>
      <w:r>
        <w:rPr>
          <w:w w:val="120"/>
          <w:sz w:val="20"/>
        </w:rPr>
        <w:t>Executive advised Mission Council that the current procedure for electing Moderators of General Assembly is flawed, and asked that this be changed, to make more provision for the informed discernment of the Church under the guidance   of the Holy Spirit. Mission Council accepted the case for change and now advocates this to</w:t>
      </w:r>
      <w:r>
        <w:rPr>
          <w:spacing w:val="1"/>
          <w:w w:val="120"/>
          <w:sz w:val="20"/>
        </w:rPr>
        <w:t> </w:t>
      </w:r>
      <w:r>
        <w:rPr>
          <w:w w:val="120"/>
          <w:sz w:val="20"/>
        </w:rPr>
        <w:t>Assembly.</w:t>
      </w:r>
    </w:p>
    <w:p>
      <w:pPr>
        <w:pStyle w:val="BodyText"/>
      </w:pPr>
    </w:p>
    <w:p>
      <w:pPr>
        <w:pStyle w:val="ListParagraph"/>
        <w:numPr>
          <w:ilvl w:val="0"/>
          <w:numId w:val="14"/>
        </w:numPr>
        <w:tabs>
          <w:tab w:pos="1964" w:val="left" w:leader="none"/>
          <w:tab w:pos="1965" w:val="left" w:leader="none"/>
        </w:tabs>
        <w:spacing w:line="235" w:lineRule="auto" w:before="0" w:after="0"/>
        <w:ind w:left="1284" w:right="1271" w:firstLine="0"/>
        <w:jc w:val="left"/>
        <w:rPr>
          <w:sz w:val="20"/>
        </w:rPr>
      </w:pPr>
      <w:r>
        <w:rPr>
          <w:w w:val="120"/>
          <w:sz w:val="20"/>
        </w:rPr>
        <w:t>The procedure at URC </w:t>
      </w:r>
      <w:r>
        <w:rPr>
          <w:spacing w:val="-3"/>
          <w:w w:val="120"/>
          <w:sz w:val="20"/>
        </w:rPr>
        <w:t>Youth </w:t>
      </w:r>
      <w:r>
        <w:rPr>
          <w:w w:val="120"/>
          <w:sz w:val="20"/>
        </w:rPr>
        <w:t>Assembly for the election of the Moderator gives those standing an opportunity to read out their ‘pen portrait’ and answer a question posed to them by the current Moderator. This question is not aimed to encourage the candidate to produce a manifesto of what they intend to do, but rather to ascertain what skills they possess and how they feel called to the role of Moderator. This question is normally written by the Moderator-Elect </w:t>
      </w:r>
      <w:r>
        <w:rPr>
          <w:spacing w:val="-3"/>
          <w:w w:val="120"/>
          <w:sz w:val="20"/>
        </w:rPr>
        <w:t>(who </w:t>
      </w:r>
      <w:r>
        <w:rPr>
          <w:w w:val="120"/>
          <w:sz w:val="20"/>
        </w:rPr>
        <w:t>is inducted at the end of </w:t>
      </w:r>
      <w:r>
        <w:rPr>
          <w:spacing w:val="-3"/>
          <w:w w:val="120"/>
          <w:sz w:val="20"/>
        </w:rPr>
        <w:t>Youth </w:t>
      </w:r>
      <w:r>
        <w:rPr>
          <w:w w:val="120"/>
          <w:sz w:val="20"/>
        </w:rPr>
        <w:t>Assembly). In the case of General Assembly, it would be put by the serving and chairing Moderator; it would therefore be for the Moderator to arrange for the drafting of the question </w:t>
      </w:r>
      <w:r>
        <w:rPr>
          <w:spacing w:val="-6"/>
          <w:w w:val="120"/>
          <w:sz w:val="20"/>
        </w:rPr>
        <w:t>(or </w:t>
      </w:r>
      <w:r>
        <w:rPr>
          <w:w w:val="120"/>
          <w:sz w:val="20"/>
        </w:rPr>
        <w:t>to </w:t>
      </w:r>
      <w:r>
        <w:rPr>
          <w:spacing w:val="2"/>
          <w:w w:val="120"/>
          <w:sz w:val="20"/>
        </w:rPr>
        <w:t>draft </w:t>
      </w:r>
      <w:r>
        <w:rPr>
          <w:w w:val="120"/>
          <w:sz w:val="20"/>
        </w:rPr>
        <w:t>it personally) and to be satisfied as to its</w:t>
      </w:r>
      <w:r>
        <w:rPr>
          <w:spacing w:val="23"/>
          <w:w w:val="120"/>
          <w:sz w:val="20"/>
        </w:rPr>
        <w:t> </w:t>
      </w:r>
      <w:r>
        <w:rPr>
          <w:w w:val="120"/>
          <w:sz w:val="20"/>
        </w:rPr>
        <w:t>suitability.</w:t>
      </w:r>
    </w:p>
    <w:p>
      <w:pPr>
        <w:pStyle w:val="BodyText"/>
        <w:spacing w:before="2"/>
      </w:pPr>
    </w:p>
    <w:p>
      <w:pPr>
        <w:pStyle w:val="ListParagraph"/>
        <w:numPr>
          <w:ilvl w:val="0"/>
          <w:numId w:val="14"/>
        </w:numPr>
        <w:tabs>
          <w:tab w:pos="1964" w:val="left" w:leader="none"/>
          <w:tab w:pos="1965" w:val="left" w:leader="none"/>
        </w:tabs>
        <w:spacing w:line="235" w:lineRule="auto" w:before="0" w:after="0"/>
        <w:ind w:left="1284" w:right="2225" w:firstLine="0"/>
        <w:jc w:val="left"/>
        <w:rPr>
          <w:sz w:val="20"/>
        </w:rPr>
      </w:pPr>
      <w:r>
        <w:rPr>
          <w:w w:val="120"/>
          <w:sz w:val="20"/>
        </w:rPr>
        <w:t>Ensuring the candidates are invited to General Assembly gives an equal opportunity for</w:t>
      </w:r>
      <w:r>
        <w:rPr>
          <w:spacing w:val="4"/>
          <w:w w:val="120"/>
          <w:sz w:val="20"/>
        </w:rPr>
        <w:t> </w:t>
      </w:r>
      <w:r>
        <w:rPr>
          <w:w w:val="120"/>
          <w:sz w:val="20"/>
        </w:rPr>
        <w:t>them.</w:t>
      </w:r>
    </w:p>
    <w:p>
      <w:pPr>
        <w:pStyle w:val="BodyText"/>
        <w:spacing w:before="10"/>
        <w:rPr>
          <w:sz w:val="19"/>
        </w:rPr>
      </w:pPr>
    </w:p>
    <w:p>
      <w:pPr>
        <w:pStyle w:val="ListParagraph"/>
        <w:numPr>
          <w:ilvl w:val="0"/>
          <w:numId w:val="14"/>
        </w:numPr>
        <w:tabs>
          <w:tab w:pos="1964" w:val="left" w:leader="none"/>
          <w:tab w:pos="1965" w:val="left" w:leader="none"/>
        </w:tabs>
        <w:spacing w:line="235" w:lineRule="auto" w:before="0" w:after="0"/>
        <w:ind w:left="1284" w:right="1861" w:firstLine="0"/>
        <w:jc w:val="left"/>
        <w:rPr>
          <w:sz w:val="20"/>
        </w:rPr>
      </w:pPr>
      <w:r>
        <w:rPr>
          <w:w w:val="120"/>
          <w:sz w:val="20"/>
        </w:rPr>
        <w:t>These concerns would be reflected by changing the relevant section of the </w:t>
      </w:r>
      <w:r>
        <w:rPr>
          <w:spacing w:val="-3"/>
          <w:w w:val="120"/>
          <w:sz w:val="20"/>
        </w:rPr>
        <w:t>Church’s </w:t>
      </w:r>
      <w:r>
        <w:rPr>
          <w:w w:val="120"/>
          <w:sz w:val="20"/>
        </w:rPr>
        <w:t>Rules of Procedure, as</w:t>
      </w:r>
      <w:r>
        <w:rPr>
          <w:spacing w:val="12"/>
          <w:w w:val="120"/>
          <w:sz w:val="20"/>
        </w:rPr>
        <w:t> </w:t>
      </w:r>
      <w:r>
        <w:rPr>
          <w:w w:val="120"/>
          <w:sz w:val="20"/>
        </w:rPr>
        <w:t>follows.</w:t>
      </w:r>
    </w:p>
    <w:p>
      <w:pPr>
        <w:pStyle w:val="BodyText"/>
        <w:spacing w:before="2"/>
        <w:rPr>
          <w:sz w:val="22"/>
        </w:rPr>
      </w:pPr>
    </w:p>
    <w:p>
      <w:pPr>
        <w:spacing w:before="0"/>
        <w:ind w:left="1284" w:right="0" w:firstLine="0"/>
        <w:jc w:val="left"/>
        <w:rPr>
          <w:rFonts w:ascii="Stone Sans II ITC Std Bk"/>
          <w:b/>
          <w:sz w:val="29"/>
        </w:rPr>
      </w:pPr>
      <w:r>
        <w:rPr>
          <w:rFonts w:ascii="Stone Sans II ITC Std Bk"/>
          <w:b/>
          <w:w w:val="110"/>
          <w:sz w:val="29"/>
        </w:rPr>
        <w:t>Proposed wording for part 3 of the Rules of Procedure</w:t>
      </w:r>
    </w:p>
    <w:p>
      <w:pPr>
        <w:pStyle w:val="ListParagraph"/>
        <w:numPr>
          <w:ilvl w:val="0"/>
          <w:numId w:val="15"/>
        </w:numPr>
        <w:tabs>
          <w:tab w:pos="1964" w:val="left" w:leader="none"/>
          <w:tab w:pos="1965" w:val="left" w:leader="none"/>
        </w:tabs>
        <w:spacing w:line="240" w:lineRule="auto" w:before="98" w:after="0"/>
        <w:ind w:left="1964" w:right="0" w:hanging="681"/>
        <w:jc w:val="left"/>
        <w:rPr>
          <w:rFonts w:ascii="Stone Sans II ITC Std Bk"/>
          <w:b/>
          <w:sz w:val="29"/>
        </w:rPr>
      </w:pPr>
      <w:r>
        <w:rPr>
          <w:rFonts w:ascii="Stone Sans II ITC Std Bk"/>
          <w:b/>
          <w:spacing w:val="4"/>
          <w:w w:val="110"/>
          <w:sz w:val="29"/>
        </w:rPr>
        <w:t>Moderators </w:t>
      </w:r>
      <w:r>
        <w:rPr>
          <w:rFonts w:ascii="Stone Sans II ITC Std Bk"/>
          <w:b/>
          <w:w w:val="110"/>
          <w:sz w:val="29"/>
        </w:rPr>
        <w:t>of </w:t>
      </w:r>
      <w:r>
        <w:rPr>
          <w:rFonts w:ascii="Stone Sans II ITC Std Bk"/>
          <w:b/>
          <w:spacing w:val="2"/>
          <w:w w:val="110"/>
          <w:sz w:val="29"/>
        </w:rPr>
        <w:t>the </w:t>
      </w:r>
      <w:r>
        <w:rPr>
          <w:rFonts w:ascii="Stone Sans II ITC Std Bk"/>
          <w:b/>
          <w:spacing w:val="4"/>
          <w:w w:val="110"/>
          <w:sz w:val="29"/>
        </w:rPr>
        <w:t>General</w:t>
      </w:r>
      <w:r>
        <w:rPr>
          <w:rFonts w:ascii="Stone Sans II ITC Std Bk"/>
          <w:b/>
          <w:spacing w:val="46"/>
          <w:w w:val="110"/>
          <w:sz w:val="29"/>
        </w:rPr>
        <w:t> </w:t>
      </w:r>
      <w:r>
        <w:rPr>
          <w:rFonts w:ascii="Stone Sans II ITC Std Bk"/>
          <w:b/>
          <w:spacing w:val="4"/>
          <w:w w:val="110"/>
          <w:sz w:val="29"/>
        </w:rPr>
        <w:t>Assembly</w:t>
      </w:r>
    </w:p>
    <w:p>
      <w:pPr>
        <w:pStyle w:val="ListParagraph"/>
        <w:numPr>
          <w:ilvl w:val="1"/>
          <w:numId w:val="15"/>
        </w:numPr>
        <w:tabs>
          <w:tab w:pos="1964" w:val="left" w:leader="none"/>
          <w:tab w:pos="1965" w:val="left" w:leader="none"/>
        </w:tabs>
        <w:spacing w:line="235" w:lineRule="auto" w:before="69" w:after="0"/>
        <w:ind w:left="1284" w:right="1252" w:firstLine="0"/>
        <w:jc w:val="left"/>
        <w:rPr>
          <w:sz w:val="20"/>
        </w:rPr>
      </w:pPr>
      <w:r>
        <w:rPr>
          <w:w w:val="120"/>
          <w:sz w:val="20"/>
        </w:rPr>
        <w:t>The Moderators of the General Assembly shall be elected by ballot in accordance with these rules. Each moderator shall serve for two years commencing at the Assembly following the meeting at which the </w:t>
      </w:r>
      <w:r>
        <w:rPr>
          <w:spacing w:val="2"/>
          <w:w w:val="120"/>
          <w:sz w:val="20"/>
        </w:rPr>
        <w:t>report </w:t>
      </w:r>
      <w:r>
        <w:rPr>
          <w:w w:val="120"/>
          <w:sz w:val="20"/>
        </w:rPr>
        <w:t>of the election is received in accordance with Rule </w:t>
      </w:r>
      <w:r>
        <w:rPr>
          <w:spacing w:val="-11"/>
          <w:w w:val="120"/>
          <w:sz w:val="20"/>
        </w:rPr>
        <w:t>3.</w:t>
      </w:r>
      <w:r>
        <w:rPr>
          <w:strike/>
          <w:spacing w:val="-11"/>
          <w:w w:val="120"/>
          <w:sz w:val="20"/>
        </w:rPr>
        <w:t>10</w:t>
      </w:r>
      <w:r>
        <w:rPr>
          <w:strike w:val="0"/>
          <w:color w:val="E2001A"/>
          <w:spacing w:val="-11"/>
          <w:w w:val="120"/>
          <w:sz w:val="20"/>
        </w:rPr>
        <w:t>11</w:t>
      </w:r>
      <w:r>
        <w:rPr>
          <w:strike w:val="0"/>
          <w:spacing w:val="-11"/>
          <w:w w:val="120"/>
          <w:sz w:val="20"/>
        </w:rPr>
        <w:t>. </w:t>
      </w:r>
      <w:r>
        <w:rPr>
          <w:strike w:val="0"/>
          <w:w w:val="120"/>
          <w:sz w:val="20"/>
        </w:rPr>
        <w:t>The period of office shall be deemed to begin with the induction of each moderator and shall continue until that moderator’s successor is inducted into</w:t>
      </w:r>
      <w:r>
        <w:rPr>
          <w:strike w:val="0"/>
          <w:spacing w:val="5"/>
          <w:w w:val="120"/>
          <w:sz w:val="20"/>
        </w:rPr>
        <w:t> </w:t>
      </w:r>
      <w:r>
        <w:rPr>
          <w:strike w:val="0"/>
          <w:w w:val="120"/>
          <w:sz w:val="20"/>
        </w:rPr>
        <w:t>office.</w:t>
      </w:r>
    </w:p>
    <w:p>
      <w:pPr>
        <w:pStyle w:val="BodyText"/>
        <w:spacing w:line="235" w:lineRule="auto" w:before="4"/>
        <w:ind w:left="1284" w:right="1417"/>
      </w:pPr>
      <w:r>
        <w:rPr>
          <w:w w:val="120"/>
        </w:rPr>
        <w:t>A moderator will continue as immediate-past moderator until their successor ceases to be moderator and therefore replaces them as immediate-past moderator.</w:t>
      </w:r>
    </w:p>
    <w:p>
      <w:pPr>
        <w:pStyle w:val="BodyText"/>
        <w:spacing w:before="9"/>
        <w:rPr>
          <w:sz w:val="19"/>
        </w:rPr>
      </w:pPr>
    </w:p>
    <w:p>
      <w:pPr>
        <w:pStyle w:val="ListParagraph"/>
        <w:numPr>
          <w:ilvl w:val="1"/>
          <w:numId w:val="15"/>
        </w:numPr>
        <w:tabs>
          <w:tab w:pos="1965" w:val="left" w:leader="none"/>
        </w:tabs>
        <w:spacing w:line="235" w:lineRule="auto" w:before="0" w:after="0"/>
        <w:ind w:left="1284" w:right="1528" w:firstLine="0"/>
        <w:jc w:val="both"/>
        <w:rPr>
          <w:sz w:val="20"/>
        </w:rPr>
      </w:pPr>
      <w:r>
        <w:rPr>
          <w:w w:val="120"/>
          <w:sz w:val="20"/>
        </w:rPr>
        <w:t>The Moderators of the General Assembly shall be two in number, a minister or a Church Related Community Worker and an elder. The elder may be serving or non- serving but in all cases the names of those persons nominated to serve as</w:t>
      </w:r>
      <w:r>
        <w:rPr>
          <w:spacing w:val="3"/>
          <w:w w:val="120"/>
          <w:sz w:val="20"/>
        </w:rPr>
        <w:t> </w:t>
      </w:r>
      <w:r>
        <w:rPr>
          <w:w w:val="120"/>
          <w:sz w:val="20"/>
        </w:rPr>
        <w:t>Moderator</w:t>
      </w:r>
    </w:p>
    <w:p>
      <w:pPr>
        <w:pStyle w:val="BodyText"/>
        <w:spacing w:line="235" w:lineRule="auto" w:before="2"/>
        <w:ind w:left="1284" w:right="1257"/>
        <w:jc w:val="both"/>
      </w:pPr>
      <w:r>
        <w:rPr>
          <w:w w:val="120"/>
        </w:rPr>
        <w:t>must be included on the membership roll of a local church for that person to be eligible for nomination.</w:t>
      </w:r>
    </w:p>
    <w:p>
      <w:pPr>
        <w:pStyle w:val="BodyText"/>
        <w:spacing w:before="10"/>
        <w:rPr>
          <w:sz w:val="19"/>
        </w:rPr>
      </w:pPr>
    </w:p>
    <w:p>
      <w:pPr>
        <w:pStyle w:val="ListParagraph"/>
        <w:numPr>
          <w:ilvl w:val="1"/>
          <w:numId w:val="15"/>
        </w:numPr>
        <w:tabs>
          <w:tab w:pos="1964" w:val="left" w:leader="none"/>
          <w:tab w:pos="1965" w:val="left" w:leader="none"/>
        </w:tabs>
        <w:spacing w:line="235" w:lineRule="auto" w:before="0" w:after="0"/>
        <w:ind w:left="1284" w:right="1465" w:firstLine="0"/>
        <w:jc w:val="left"/>
        <w:rPr>
          <w:sz w:val="20"/>
        </w:rPr>
      </w:pPr>
      <w:r>
        <w:rPr>
          <w:w w:val="120"/>
          <w:sz w:val="20"/>
        </w:rPr>
        <w:t>A nomination for election as Moderator of the General Assembly shall be made by a synod, the consent of the nominee not being required. The nomination shall be  in writing under the hand of the clerk of the synod and received by the General Secretary not later than the </w:t>
      </w:r>
      <w:r>
        <w:rPr>
          <w:spacing w:val="-7"/>
          <w:w w:val="120"/>
          <w:sz w:val="20"/>
        </w:rPr>
        <w:t>31 </w:t>
      </w:r>
      <w:r>
        <w:rPr>
          <w:w w:val="120"/>
          <w:sz w:val="20"/>
        </w:rPr>
        <w:t>March immediately preceding the annual meeting of the</w:t>
      </w:r>
      <w:r>
        <w:rPr>
          <w:spacing w:val="1"/>
          <w:w w:val="120"/>
          <w:sz w:val="20"/>
        </w:rPr>
        <w:t> </w:t>
      </w:r>
      <w:r>
        <w:rPr>
          <w:w w:val="120"/>
          <w:sz w:val="20"/>
        </w:rPr>
        <w:t>Assembly.</w:t>
      </w:r>
    </w:p>
    <w:p>
      <w:pPr>
        <w:pStyle w:val="BodyText"/>
        <w:spacing w:before="12"/>
        <w:rPr>
          <w:sz w:val="19"/>
        </w:rPr>
      </w:pPr>
    </w:p>
    <w:p>
      <w:pPr>
        <w:pStyle w:val="ListParagraph"/>
        <w:numPr>
          <w:ilvl w:val="1"/>
          <w:numId w:val="15"/>
        </w:numPr>
        <w:tabs>
          <w:tab w:pos="1964" w:val="left" w:leader="none"/>
          <w:tab w:pos="1965" w:val="left" w:leader="none"/>
        </w:tabs>
        <w:spacing w:line="235" w:lineRule="auto" w:before="0" w:after="0"/>
        <w:ind w:left="1284" w:right="1376" w:firstLine="0"/>
        <w:jc w:val="left"/>
        <w:rPr>
          <w:sz w:val="20"/>
        </w:rPr>
      </w:pPr>
      <w:r>
        <w:rPr>
          <w:w w:val="120"/>
          <w:sz w:val="20"/>
        </w:rPr>
        <w:t>The General Secretary shall forthwith send to each person nominated a list of the nominations. Any nominee </w:t>
      </w:r>
      <w:r>
        <w:rPr>
          <w:spacing w:val="-4"/>
          <w:w w:val="120"/>
          <w:sz w:val="20"/>
        </w:rPr>
        <w:t>may, </w:t>
      </w:r>
      <w:r>
        <w:rPr>
          <w:w w:val="120"/>
          <w:sz w:val="20"/>
        </w:rPr>
        <w:t>within ten days of the receipt of this list, withdraw from nomination by notice in writing to the General</w:t>
      </w:r>
      <w:r>
        <w:rPr>
          <w:spacing w:val="22"/>
          <w:w w:val="120"/>
          <w:sz w:val="20"/>
        </w:rPr>
        <w:t> </w:t>
      </w:r>
      <w:r>
        <w:rPr>
          <w:w w:val="120"/>
          <w:sz w:val="20"/>
        </w:rPr>
        <w:t>Secretary.</w:t>
      </w:r>
    </w:p>
    <w:p>
      <w:pPr>
        <w:spacing w:after="0" w:line="235" w:lineRule="auto"/>
        <w:jc w:val="left"/>
        <w:rPr>
          <w:sz w:val="20"/>
        </w:rPr>
        <w:sectPr>
          <w:type w:val="continuous"/>
          <w:pgSz w:w="11910" w:h="16840"/>
          <w:pgMar w:top="1580" w:bottom="280" w:left="700" w:right="0"/>
        </w:sectPr>
      </w:pPr>
    </w:p>
    <w:p>
      <w:pPr>
        <w:pStyle w:val="BodyText"/>
      </w:pPr>
      <w:r>
        <w:rPr/>
        <w:drawing>
          <wp:anchor distT="0" distB="0" distL="0" distR="0" allowOverlap="1" layoutInCell="1" locked="0" behindDoc="1" simplePos="0" relativeHeight="235754496">
            <wp:simplePos x="0" y="0"/>
            <wp:positionH relativeFrom="page">
              <wp:posOffset>0</wp:posOffset>
            </wp:positionH>
            <wp:positionV relativeFrom="page">
              <wp:posOffset>0</wp:posOffset>
            </wp:positionV>
            <wp:extent cx="594067" cy="10692003"/>
            <wp:effectExtent l="0" t="0" r="0" b="0"/>
            <wp:wrapNone/>
            <wp:docPr id="31" name="image49.png"/>
            <wp:cNvGraphicFramePr>
              <a:graphicFrameLocks noChangeAspect="1"/>
            </wp:cNvGraphicFramePr>
            <a:graphic>
              <a:graphicData uri="http://schemas.openxmlformats.org/drawingml/2006/picture">
                <pic:pic>
                  <pic:nvPicPr>
                    <pic:cNvPr id="3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513.6pt;mso-position-horizontal-relative:page;mso-position-vertical-relative:page;z-index:-26756096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three – </w:t>
                  </w:r>
                  <w:r>
                    <w:rPr>
                      <w:rFonts w:ascii="Stone Sans II ITC Std Lt" w:hAnsi="Stone Sans II ITC Std Lt"/>
                      <w:b w:val="0"/>
                      <w:w w:val="120"/>
                      <w:sz w:val="39"/>
                    </w:rPr>
                    <w:t>Election of Assembly Moderators</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15"/>
        </w:numPr>
        <w:tabs>
          <w:tab w:pos="1227" w:val="left" w:leader="none"/>
          <w:tab w:pos="1228" w:val="left" w:leader="none"/>
        </w:tabs>
        <w:spacing w:line="235" w:lineRule="auto" w:before="222" w:after="0"/>
        <w:ind w:left="547" w:right="2059" w:firstLine="0"/>
        <w:jc w:val="left"/>
        <w:rPr>
          <w:sz w:val="20"/>
        </w:rPr>
      </w:pPr>
      <w:r>
        <w:rPr>
          <w:w w:val="120"/>
          <w:sz w:val="20"/>
        </w:rPr>
        <w:t>If after </w:t>
      </w:r>
      <w:r>
        <w:rPr>
          <w:spacing w:val="-7"/>
          <w:w w:val="120"/>
          <w:sz w:val="20"/>
        </w:rPr>
        <w:t>31 </w:t>
      </w:r>
      <w:r>
        <w:rPr>
          <w:w w:val="120"/>
          <w:sz w:val="20"/>
        </w:rPr>
        <w:t>March or after the period for withdrawal there shall be no nominations, in either or both categories, the General Secretary shall forthwith notify the clerks of the synods and invite them to request nominations from the executive committees or equivalent of their synods. Such nominations, accompanied in each case by a note of the consent of the person nominated</w:t>
      </w:r>
      <w:r>
        <w:rPr>
          <w:color w:val="E2001A"/>
          <w:w w:val="120"/>
          <w:sz w:val="20"/>
        </w:rPr>
        <w:t>,</w:t>
      </w:r>
      <w:r>
        <w:rPr>
          <w:w w:val="120"/>
          <w:sz w:val="20"/>
        </w:rPr>
        <w:t> </w:t>
      </w:r>
      <w:r>
        <w:rPr>
          <w:strike/>
          <w:w w:val="120"/>
          <w:sz w:val="20"/>
        </w:rPr>
        <w:t>and</w:t>
      </w:r>
      <w:r>
        <w:rPr>
          <w:strike w:val="0"/>
          <w:w w:val="120"/>
          <w:sz w:val="20"/>
        </w:rPr>
        <w:t> a brief biography, </w:t>
      </w:r>
      <w:r>
        <w:rPr>
          <w:strike w:val="0"/>
          <w:color w:val="E2001A"/>
          <w:w w:val="120"/>
          <w:sz w:val="20"/>
        </w:rPr>
        <w:t>and brief indications of the reason for nomination by the synod</w:t>
      </w:r>
      <w:r>
        <w:rPr>
          <w:strike w:val="0"/>
          <w:w w:val="120"/>
          <w:sz w:val="20"/>
        </w:rPr>
        <w:t>, must be in the hands of the General Secretary by </w:t>
      </w:r>
      <w:r>
        <w:rPr>
          <w:strike w:val="0"/>
          <w:spacing w:val="-9"/>
          <w:w w:val="120"/>
          <w:sz w:val="20"/>
        </w:rPr>
        <w:t>15 </w:t>
      </w:r>
      <w:r>
        <w:rPr>
          <w:strike w:val="0"/>
          <w:spacing w:val="-4"/>
          <w:w w:val="120"/>
          <w:sz w:val="20"/>
        </w:rPr>
        <w:t>May. </w:t>
      </w:r>
      <w:r>
        <w:rPr>
          <w:strike w:val="0"/>
          <w:color w:val="E2001A"/>
          <w:w w:val="120"/>
          <w:sz w:val="20"/>
        </w:rPr>
        <w:t>Those who have accepted nomination shall be invited to attend the Assembly if they are not already doing</w:t>
      </w:r>
      <w:r>
        <w:rPr>
          <w:strike w:val="0"/>
          <w:color w:val="E2001A"/>
          <w:spacing w:val="18"/>
          <w:w w:val="120"/>
          <w:sz w:val="20"/>
        </w:rPr>
        <w:t> </w:t>
      </w:r>
      <w:r>
        <w:rPr>
          <w:strike w:val="0"/>
          <w:color w:val="E2001A"/>
          <w:w w:val="120"/>
          <w:sz w:val="20"/>
        </w:rPr>
        <w:t>so.</w:t>
      </w:r>
    </w:p>
    <w:p>
      <w:pPr>
        <w:pStyle w:val="BodyText"/>
        <w:spacing w:before="1"/>
      </w:pPr>
    </w:p>
    <w:p>
      <w:pPr>
        <w:pStyle w:val="ListParagraph"/>
        <w:numPr>
          <w:ilvl w:val="1"/>
          <w:numId w:val="15"/>
        </w:numPr>
        <w:tabs>
          <w:tab w:pos="1227" w:val="left" w:leader="none"/>
          <w:tab w:pos="1228" w:val="left" w:leader="none"/>
        </w:tabs>
        <w:spacing w:line="235" w:lineRule="auto" w:before="0" w:after="0"/>
        <w:ind w:left="547" w:right="1983" w:firstLine="0"/>
        <w:jc w:val="left"/>
        <w:rPr>
          <w:sz w:val="20"/>
        </w:rPr>
      </w:pPr>
      <w:r>
        <w:rPr>
          <w:w w:val="120"/>
          <w:sz w:val="20"/>
        </w:rPr>
        <w:t>In either category if after the period for withdrawal there is only one nomination, this nomination shall be placed before the Assembly and voted upon by secret</w:t>
      </w:r>
      <w:r>
        <w:rPr>
          <w:spacing w:val="3"/>
          <w:w w:val="120"/>
          <w:sz w:val="20"/>
        </w:rPr>
        <w:t> </w:t>
      </w:r>
      <w:r>
        <w:rPr>
          <w:w w:val="120"/>
          <w:sz w:val="20"/>
        </w:rPr>
        <w:t>ballot.</w:t>
      </w:r>
    </w:p>
    <w:p>
      <w:pPr>
        <w:pStyle w:val="BodyText"/>
        <w:spacing w:before="10"/>
        <w:rPr>
          <w:sz w:val="19"/>
        </w:rPr>
      </w:pPr>
    </w:p>
    <w:p>
      <w:pPr>
        <w:pStyle w:val="ListParagraph"/>
        <w:numPr>
          <w:ilvl w:val="1"/>
          <w:numId w:val="15"/>
        </w:numPr>
        <w:tabs>
          <w:tab w:pos="1227" w:val="left" w:leader="none"/>
          <w:tab w:pos="1228" w:val="left" w:leader="none"/>
        </w:tabs>
        <w:spacing w:line="235" w:lineRule="auto" w:before="0" w:after="0"/>
        <w:ind w:left="547" w:right="2317" w:firstLine="0"/>
        <w:jc w:val="left"/>
        <w:rPr>
          <w:sz w:val="20"/>
        </w:rPr>
      </w:pPr>
      <w:r>
        <w:rPr>
          <w:w w:val="115"/>
          <w:sz w:val="20"/>
        </w:rPr>
        <w:t>If the number of those who have been nominated in either category and have  not withdrawn is or exceeds two, the election shall be by a secret ballot according          to</w:t>
      </w:r>
      <w:r>
        <w:rPr>
          <w:spacing w:val="27"/>
          <w:w w:val="115"/>
          <w:sz w:val="20"/>
        </w:rPr>
        <w:t> </w:t>
      </w:r>
      <w:r>
        <w:rPr>
          <w:w w:val="115"/>
          <w:sz w:val="20"/>
        </w:rPr>
        <w:t>the</w:t>
      </w:r>
      <w:r>
        <w:rPr>
          <w:spacing w:val="27"/>
          <w:w w:val="115"/>
          <w:sz w:val="20"/>
        </w:rPr>
        <w:t> </w:t>
      </w:r>
      <w:r>
        <w:rPr>
          <w:w w:val="115"/>
          <w:sz w:val="20"/>
        </w:rPr>
        <w:t>principle</w:t>
      </w:r>
      <w:r>
        <w:rPr>
          <w:spacing w:val="27"/>
          <w:w w:val="115"/>
          <w:sz w:val="20"/>
        </w:rPr>
        <w:t> </w:t>
      </w:r>
      <w:r>
        <w:rPr>
          <w:w w:val="115"/>
          <w:sz w:val="20"/>
        </w:rPr>
        <w:t>of</w:t>
      </w:r>
      <w:r>
        <w:rPr>
          <w:spacing w:val="28"/>
          <w:w w:val="115"/>
          <w:sz w:val="20"/>
        </w:rPr>
        <w:t> </w:t>
      </w:r>
      <w:r>
        <w:rPr>
          <w:w w:val="115"/>
          <w:sz w:val="20"/>
        </w:rPr>
        <w:t>the</w:t>
      </w:r>
      <w:r>
        <w:rPr>
          <w:spacing w:val="27"/>
          <w:w w:val="115"/>
          <w:sz w:val="20"/>
        </w:rPr>
        <w:t> </w:t>
      </w:r>
      <w:r>
        <w:rPr>
          <w:w w:val="115"/>
          <w:sz w:val="20"/>
        </w:rPr>
        <w:t>single</w:t>
      </w:r>
      <w:r>
        <w:rPr>
          <w:spacing w:val="27"/>
          <w:w w:val="115"/>
          <w:sz w:val="20"/>
        </w:rPr>
        <w:t> </w:t>
      </w:r>
      <w:r>
        <w:rPr>
          <w:w w:val="115"/>
          <w:sz w:val="20"/>
        </w:rPr>
        <w:t>transferable</w:t>
      </w:r>
      <w:r>
        <w:rPr>
          <w:spacing w:val="27"/>
          <w:w w:val="115"/>
          <w:sz w:val="20"/>
        </w:rPr>
        <w:t> </w:t>
      </w:r>
      <w:r>
        <w:rPr>
          <w:w w:val="115"/>
          <w:sz w:val="20"/>
        </w:rPr>
        <w:t>vote.</w:t>
      </w:r>
      <w:r>
        <w:rPr>
          <w:spacing w:val="28"/>
          <w:w w:val="115"/>
          <w:sz w:val="20"/>
        </w:rPr>
        <w:t> </w:t>
      </w:r>
      <w:r>
        <w:rPr>
          <w:w w:val="115"/>
          <w:sz w:val="20"/>
        </w:rPr>
        <w:t>All</w:t>
      </w:r>
      <w:r>
        <w:rPr>
          <w:spacing w:val="27"/>
          <w:w w:val="115"/>
          <w:sz w:val="20"/>
        </w:rPr>
        <w:t> </w:t>
      </w:r>
      <w:r>
        <w:rPr>
          <w:w w:val="115"/>
          <w:sz w:val="20"/>
        </w:rPr>
        <w:t>members</w:t>
      </w:r>
      <w:r>
        <w:rPr>
          <w:spacing w:val="27"/>
          <w:w w:val="115"/>
          <w:sz w:val="20"/>
        </w:rPr>
        <w:t> </w:t>
      </w:r>
      <w:r>
        <w:rPr>
          <w:w w:val="115"/>
          <w:sz w:val="20"/>
        </w:rPr>
        <w:t>of</w:t>
      </w:r>
      <w:r>
        <w:rPr>
          <w:spacing w:val="28"/>
          <w:w w:val="115"/>
          <w:sz w:val="20"/>
        </w:rPr>
        <w:t> </w:t>
      </w:r>
      <w:r>
        <w:rPr>
          <w:w w:val="115"/>
          <w:sz w:val="20"/>
        </w:rPr>
        <w:t>the</w:t>
      </w:r>
      <w:r>
        <w:rPr>
          <w:spacing w:val="27"/>
          <w:w w:val="115"/>
          <w:sz w:val="20"/>
        </w:rPr>
        <w:t> </w:t>
      </w:r>
      <w:r>
        <w:rPr>
          <w:w w:val="115"/>
          <w:sz w:val="20"/>
        </w:rPr>
        <w:t>Assembly</w:t>
      </w:r>
      <w:r>
        <w:rPr>
          <w:spacing w:val="27"/>
          <w:w w:val="115"/>
          <w:sz w:val="20"/>
        </w:rPr>
        <w:t> </w:t>
      </w:r>
      <w:r>
        <w:rPr>
          <w:w w:val="115"/>
          <w:sz w:val="20"/>
        </w:rPr>
        <w:t>shall</w:t>
      </w:r>
      <w:r>
        <w:rPr>
          <w:spacing w:val="27"/>
          <w:w w:val="115"/>
          <w:sz w:val="20"/>
        </w:rPr>
        <w:t> </w:t>
      </w:r>
      <w:r>
        <w:rPr>
          <w:w w:val="115"/>
          <w:sz w:val="20"/>
        </w:rPr>
        <w:t>be</w:t>
      </w:r>
    </w:p>
    <w:p>
      <w:pPr>
        <w:pStyle w:val="BodyText"/>
        <w:spacing w:line="235" w:lineRule="auto" w:before="2"/>
        <w:ind w:left="547" w:right="2112"/>
      </w:pPr>
      <w:r>
        <w:rPr>
          <w:w w:val="120"/>
        </w:rPr>
        <w:t>entitled to vote. They shall vote by indicating their preference by figures </w:t>
      </w:r>
      <w:r>
        <w:rPr>
          <w:spacing w:val="-7"/>
          <w:w w:val="120"/>
        </w:rPr>
        <w:t>1, </w:t>
      </w:r>
      <w:r>
        <w:rPr>
          <w:w w:val="120"/>
        </w:rPr>
        <w:t>2, 3 and so forth, but no voting paper shall be invalidated by the absence of alternative</w:t>
      </w:r>
      <w:r>
        <w:rPr>
          <w:spacing w:val="46"/>
          <w:w w:val="120"/>
        </w:rPr>
        <w:t> </w:t>
      </w:r>
      <w:r>
        <w:rPr>
          <w:w w:val="120"/>
        </w:rPr>
        <w:t>choices.</w:t>
      </w:r>
    </w:p>
    <w:p>
      <w:pPr>
        <w:pStyle w:val="BodyText"/>
        <w:spacing w:line="235" w:lineRule="auto" w:before="1"/>
        <w:ind w:left="547" w:right="2069"/>
      </w:pPr>
      <w:r>
        <w:rPr>
          <w:w w:val="120"/>
        </w:rPr>
        <w:t>If the tellers find that no name has an absolute majority of first choices, the second choices of those who gave as their first choice the name securing the smallest number of such choices shall be added to the first choices for other names. If necessary this process shall continue until one of the name has an absolute majority of votes cast. If the process continues until only two names remain, the person who then has the larger number of votes shall be</w:t>
      </w:r>
      <w:r>
        <w:rPr>
          <w:spacing w:val="10"/>
          <w:w w:val="120"/>
        </w:rPr>
        <w:t> </w:t>
      </w:r>
      <w:r>
        <w:rPr>
          <w:w w:val="120"/>
        </w:rPr>
        <w:t>elected.</w:t>
      </w:r>
    </w:p>
    <w:p>
      <w:pPr>
        <w:pStyle w:val="BodyText"/>
        <w:spacing w:before="1"/>
      </w:pPr>
    </w:p>
    <w:p>
      <w:pPr>
        <w:pStyle w:val="ListParagraph"/>
        <w:numPr>
          <w:ilvl w:val="1"/>
          <w:numId w:val="15"/>
        </w:numPr>
        <w:tabs>
          <w:tab w:pos="1227" w:val="left" w:leader="none"/>
          <w:tab w:pos="1228" w:val="left" w:leader="none"/>
        </w:tabs>
        <w:spacing w:line="235" w:lineRule="auto" w:before="0" w:after="0"/>
        <w:ind w:left="547" w:right="1997" w:hanging="1"/>
        <w:jc w:val="left"/>
        <w:rPr>
          <w:color w:val="E2001A"/>
          <w:sz w:val="20"/>
        </w:rPr>
      </w:pPr>
      <w:r>
        <w:rPr>
          <w:color w:val="E2001A"/>
          <w:w w:val="120"/>
          <w:sz w:val="20"/>
        </w:rPr>
        <w:t>At</w:t>
      </w:r>
      <w:r>
        <w:rPr>
          <w:color w:val="E2001A"/>
          <w:spacing w:val="-4"/>
          <w:w w:val="120"/>
          <w:sz w:val="20"/>
        </w:rPr>
        <w:t> </w:t>
      </w:r>
      <w:r>
        <w:rPr>
          <w:color w:val="E2001A"/>
          <w:w w:val="120"/>
          <w:sz w:val="20"/>
        </w:rPr>
        <w:t>a</w:t>
      </w:r>
      <w:r>
        <w:rPr>
          <w:color w:val="E2001A"/>
          <w:spacing w:val="-3"/>
          <w:w w:val="120"/>
          <w:sz w:val="20"/>
        </w:rPr>
        <w:t> </w:t>
      </w:r>
      <w:r>
        <w:rPr>
          <w:color w:val="E2001A"/>
          <w:w w:val="120"/>
          <w:sz w:val="20"/>
        </w:rPr>
        <w:t>point</w:t>
      </w:r>
      <w:r>
        <w:rPr>
          <w:color w:val="E2001A"/>
          <w:spacing w:val="-3"/>
          <w:w w:val="120"/>
          <w:sz w:val="20"/>
        </w:rPr>
        <w:t> </w:t>
      </w:r>
      <w:r>
        <w:rPr>
          <w:color w:val="E2001A"/>
          <w:w w:val="120"/>
          <w:sz w:val="20"/>
        </w:rPr>
        <w:t>in</w:t>
      </w:r>
      <w:r>
        <w:rPr>
          <w:color w:val="E2001A"/>
          <w:spacing w:val="-4"/>
          <w:w w:val="120"/>
          <w:sz w:val="20"/>
        </w:rPr>
        <w:t> </w:t>
      </w:r>
      <w:r>
        <w:rPr>
          <w:color w:val="E2001A"/>
          <w:w w:val="120"/>
          <w:sz w:val="20"/>
        </w:rPr>
        <w:t>the</w:t>
      </w:r>
      <w:r>
        <w:rPr>
          <w:color w:val="E2001A"/>
          <w:spacing w:val="-3"/>
          <w:w w:val="120"/>
          <w:sz w:val="20"/>
        </w:rPr>
        <w:t> </w:t>
      </w:r>
      <w:r>
        <w:rPr>
          <w:color w:val="E2001A"/>
          <w:w w:val="120"/>
          <w:sz w:val="20"/>
        </w:rPr>
        <w:t>Assembly</w:t>
      </w:r>
      <w:r>
        <w:rPr>
          <w:color w:val="E2001A"/>
          <w:spacing w:val="-3"/>
          <w:w w:val="120"/>
          <w:sz w:val="20"/>
        </w:rPr>
        <w:t> </w:t>
      </w:r>
      <w:r>
        <w:rPr>
          <w:color w:val="E2001A"/>
          <w:w w:val="120"/>
          <w:sz w:val="20"/>
        </w:rPr>
        <w:t>prior</w:t>
      </w:r>
      <w:r>
        <w:rPr>
          <w:color w:val="E2001A"/>
          <w:spacing w:val="-4"/>
          <w:w w:val="120"/>
          <w:sz w:val="20"/>
        </w:rPr>
        <w:t> </w:t>
      </w:r>
      <w:r>
        <w:rPr>
          <w:color w:val="E2001A"/>
          <w:w w:val="120"/>
          <w:sz w:val="20"/>
        </w:rPr>
        <w:t>to</w:t>
      </w:r>
      <w:r>
        <w:rPr>
          <w:color w:val="E2001A"/>
          <w:spacing w:val="-3"/>
          <w:w w:val="120"/>
          <w:sz w:val="20"/>
        </w:rPr>
        <w:t> </w:t>
      </w:r>
      <w:r>
        <w:rPr>
          <w:color w:val="E2001A"/>
          <w:w w:val="120"/>
          <w:sz w:val="20"/>
        </w:rPr>
        <w:t>the</w:t>
      </w:r>
      <w:r>
        <w:rPr>
          <w:color w:val="E2001A"/>
          <w:spacing w:val="-3"/>
          <w:w w:val="120"/>
          <w:sz w:val="20"/>
        </w:rPr>
        <w:t> </w:t>
      </w:r>
      <w:r>
        <w:rPr>
          <w:color w:val="E2001A"/>
          <w:w w:val="120"/>
          <w:sz w:val="20"/>
        </w:rPr>
        <w:t>commencement</w:t>
      </w:r>
      <w:r>
        <w:rPr>
          <w:color w:val="E2001A"/>
          <w:spacing w:val="-4"/>
          <w:w w:val="120"/>
          <w:sz w:val="20"/>
        </w:rPr>
        <w:t> </w:t>
      </w:r>
      <w:r>
        <w:rPr>
          <w:color w:val="E2001A"/>
          <w:w w:val="120"/>
          <w:sz w:val="20"/>
        </w:rPr>
        <w:t>of</w:t>
      </w:r>
      <w:r>
        <w:rPr>
          <w:color w:val="E2001A"/>
          <w:spacing w:val="-3"/>
          <w:w w:val="120"/>
          <w:sz w:val="20"/>
        </w:rPr>
        <w:t> </w:t>
      </w:r>
      <w:r>
        <w:rPr>
          <w:color w:val="E2001A"/>
          <w:w w:val="120"/>
          <w:sz w:val="20"/>
        </w:rPr>
        <w:t>the</w:t>
      </w:r>
      <w:r>
        <w:rPr>
          <w:color w:val="E2001A"/>
          <w:spacing w:val="-3"/>
          <w:w w:val="120"/>
          <w:sz w:val="20"/>
        </w:rPr>
        <w:t> </w:t>
      </w:r>
      <w:r>
        <w:rPr>
          <w:color w:val="E2001A"/>
          <w:w w:val="120"/>
          <w:sz w:val="20"/>
        </w:rPr>
        <w:t>vote,</w:t>
      </w:r>
      <w:r>
        <w:rPr>
          <w:color w:val="E2001A"/>
          <w:spacing w:val="-4"/>
          <w:w w:val="120"/>
          <w:sz w:val="20"/>
        </w:rPr>
        <w:t> </w:t>
      </w:r>
      <w:r>
        <w:rPr>
          <w:color w:val="E2001A"/>
          <w:w w:val="120"/>
          <w:sz w:val="20"/>
        </w:rPr>
        <w:t>each</w:t>
      </w:r>
      <w:r>
        <w:rPr>
          <w:color w:val="E2001A"/>
          <w:spacing w:val="-3"/>
          <w:w w:val="120"/>
          <w:sz w:val="20"/>
        </w:rPr>
        <w:t> </w:t>
      </w:r>
      <w:r>
        <w:rPr>
          <w:color w:val="E2001A"/>
          <w:w w:val="120"/>
          <w:sz w:val="20"/>
        </w:rPr>
        <w:t>nominee will be given a fair and equal opportunity to present their biography and to answer a question put to them by the Moderator </w:t>
      </w:r>
      <w:r>
        <w:rPr>
          <w:color w:val="E2001A"/>
          <w:spacing w:val="-3"/>
          <w:w w:val="120"/>
          <w:sz w:val="20"/>
        </w:rPr>
        <w:t>(who </w:t>
      </w:r>
      <w:r>
        <w:rPr>
          <w:color w:val="E2001A"/>
          <w:w w:val="120"/>
          <w:sz w:val="20"/>
        </w:rPr>
        <w:t>shall be responsible for its content and wording). The response to this question shall not exceed three minutes. No nominees shall be in the room in which Assembly is meeting during this process, save the   nominee presenting at the time. Each nominee will be asked the same</w:t>
      </w:r>
      <w:r>
        <w:rPr>
          <w:color w:val="E2001A"/>
          <w:spacing w:val="34"/>
          <w:w w:val="120"/>
          <w:sz w:val="20"/>
        </w:rPr>
        <w:t> </w:t>
      </w:r>
      <w:r>
        <w:rPr>
          <w:color w:val="E2001A"/>
          <w:w w:val="120"/>
          <w:sz w:val="20"/>
        </w:rPr>
        <w:t>question.</w:t>
      </w:r>
    </w:p>
    <w:p>
      <w:pPr>
        <w:pStyle w:val="BodyText"/>
      </w:pPr>
    </w:p>
    <w:p>
      <w:pPr>
        <w:pStyle w:val="ListParagraph"/>
        <w:numPr>
          <w:ilvl w:val="1"/>
          <w:numId w:val="15"/>
        </w:numPr>
        <w:tabs>
          <w:tab w:pos="1227" w:val="left" w:leader="none"/>
          <w:tab w:pos="1228" w:val="left" w:leader="none"/>
        </w:tabs>
        <w:spacing w:line="235" w:lineRule="auto" w:before="0" w:after="0"/>
        <w:ind w:left="547" w:right="2069" w:firstLine="0"/>
        <w:jc w:val="left"/>
        <w:rPr>
          <w:sz w:val="20"/>
        </w:rPr>
      </w:pPr>
      <w:r>
        <w:rPr>
          <w:w w:val="120"/>
          <w:sz w:val="20"/>
        </w:rPr>
        <w:t>Members of the Assembly shall vote by means of a voting paper containing the name, the usual designation and the church of membership, of each of those accepting nomination which shall be sent by the General Secretary by ordinary post to each such member before the commencement of the Ordinary Meeting of the Assembly. Brief indication of the reasons for the nomination, as supplied by the synod, </w:t>
      </w:r>
      <w:r>
        <w:rPr>
          <w:color w:val="E2001A"/>
          <w:w w:val="120"/>
          <w:sz w:val="20"/>
        </w:rPr>
        <w:t>along with the candidates’ biography, will </w:t>
      </w:r>
      <w:r>
        <w:rPr>
          <w:w w:val="120"/>
          <w:sz w:val="20"/>
        </w:rPr>
        <w:t>be circulated with the ballot paper. The General Assembly </w:t>
      </w:r>
      <w:r>
        <w:rPr>
          <w:spacing w:val="-4"/>
          <w:w w:val="120"/>
          <w:sz w:val="20"/>
        </w:rPr>
        <w:t>may, </w:t>
      </w:r>
      <w:r>
        <w:rPr>
          <w:w w:val="120"/>
          <w:sz w:val="20"/>
        </w:rPr>
        <w:t>in any case, authorise further means of informing the members about those accepting</w:t>
      </w:r>
      <w:r>
        <w:rPr>
          <w:spacing w:val="2"/>
          <w:w w:val="120"/>
          <w:sz w:val="20"/>
        </w:rPr>
        <w:t> </w:t>
      </w:r>
      <w:r>
        <w:rPr>
          <w:w w:val="120"/>
          <w:sz w:val="20"/>
        </w:rPr>
        <w:t>nomination.</w:t>
      </w:r>
    </w:p>
    <w:p>
      <w:pPr>
        <w:pStyle w:val="BodyText"/>
        <w:spacing w:before="1"/>
      </w:pPr>
    </w:p>
    <w:p>
      <w:pPr>
        <w:pStyle w:val="ListParagraph"/>
        <w:numPr>
          <w:ilvl w:val="1"/>
          <w:numId w:val="15"/>
        </w:numPr>
        <w:tabs>
          <w:tab w:pos="1227" w:val="left" w:leader="none"/>
          <w:tab w:pos="1228" w:val="left" w:leader="none"/>
        </w:tabs>
        <w:spacing w:line="235" w:lineRule="auto" w:before="1" w:after="0"/>
        <w:ind w:left="547" w:right="1988" w:firstLine="0"/>
        <w:jc w:val="left"/>
        <w:rPr>
          <w:sz w:val="20"/>
        </w:rPr>
      </w:pPr>
      <w:r>
        <w:rPr>
          <w:spacing w:val="-3"/>
          <w:w w:val="120"/>
          <w:sz w:val="20"/>
        </w:rPr>
        <w:t>Normally,</w:t>
      </w:r>
      <w:r>
        <w:rPr>
          <w:spacing w:val="-9"/>
          <w:w w:val="120"/>
          <w:sz w:val="20"/>
        </w:rPr>
        <w:t> </w:t>
      </w:r>
      <w:r>
        <w:rPr>
          <w:w w:val="120"/>
          <w:sz w:val="20"/>
        </w:rPr>
        <w:t>the</w:t>
      </w:r>
      <w:r>
        <w:rPr>
          <w:spacing w:val="-8"/>
          <w:w w:val="120"/>
          <w:sz w:val="20"/>
        </w:rPr>
        <w:t> </w:t>
      </w:r>
      <w:r>
        <w:rPr>
          <w:w w:val="120"/>
          <w:sz w:val="20"/>
        </w:rPr>
        <w:t>General</w:t>
      </w:r>
      <w:r>
        <w:rPr>
          <w:spacing w:val="-9"/>
          <w:w w:val="120"/>
          <w:sz w:val="20"/>
        </w:rPr>
        <w:t> </w:t>
      </w:r>
      <w:r>
        <w:rPr>
          <w:w w:val="120"/>
          <w:sz w:val="20"/>
        </w:rPr>
        <w:t>Assembly</w:t>
      </w:r>
      <w:r>
        <w:rPr>
          <w:spacing w:val="-8"/>
          <w:w w:val="120"/>
          <w:sz w:val="20"/>
        </w:rPr>
        <w:t> </w:t>
      </w:r>
      <w:r>
        <w:rPr>
          <w:spacing w:val="-3"/>
          <w:w w:val="120"/>
          <w:sz w:val="20"/>
        </w:rPr>
        <w:t>shall</w:t>
      </w:r>
      <w:r>
        <w:rPr>
          <w:spacing w:val="-8"/>
          <w:w w:val="120"/>
          <w:sz w:val="20"/>
        </w:rPr>
        <w:t> </w:t>
      </w:r>
      <w:r>
        <w:rPr>
          <w:spacing w:val="-4"/>
          <w:w w:val="120"/>
          <w:sz w:val="20"/>
        </w:rPr>
        <w:t>vote</w:t>
      </w:r>
      <w:r>
        <w:rPr>
          <w:spacing w:val="-9"/>
          <w:w w:val="120"/>
          <w:sz w:val="20"/>
        </w:rPr>
        <w:t> </w:t>
      </w:r>
      <w:r>
        <w:rPr>
          <w:spacing w:val="-3"/>
          <w:w w:val="120"/>
          <w:sz w:val="20"/>
        </w:rPr>
        <w:t>to</w:t>
      </w:r>
      <w:r>
        <w:rPr>
          <w:spacing w:val="-8"/>
          <w:w w:val="120"/>
          <w:sz w:val="20"/>
        </w:rPr>
        <w:t> </w:t>
      </w:r>
      <w:r>
        <w:rPr>
          <w:w w:val="120"/>
          <w:sz w:val="20"/>
        </w:rPr>
        <w:t>elect</w:t>
      </w:r>
      <w:r>
        <w:rPr>
          <w:spacing w:val="-8"/>
          <w:w w:val="120"/>
          <w:sz w:val="20"/>
        </w:rPr>
        <w:t> </w:t>
      </w:r>
      <w:r>
        <w:rPr>
          <w:w w:val="120"/>
          <w:sz w:val="20"/>
        </w:rPr>
        <w:t>the</w:t>
      </w:r>
      <w:r>
        <w:rPr>
          <w:spacing w:val="-9"/>
          <w:w w:val="120"/>
          <w:sz w:val="20"/>
        </w:rPr>
        <w:t> </w:t>
      </w:r>
      <w:r>
        <w:rPr>
          <w:w w:val="120"/>
          <w:sz w:val="20"/>
        </w:rPr>
        <w:t>Moderators</w:t>
      </w:r>
      <w:r>
        <w:rPr>
          <w:spacing w:val="-8"/>
          <w:w w:val="120"/>
          <w:sz w:val="20"/>
        </w:rPr>
        <w:t> </w:t>
      </w:r>
      <w:r>
        <w:rPr>
          <w:w w:val="120"/>
          <w:sz w:val="20"/>
        </w:rPr>
        <w:t>of</w:t>
      </w:r>
      <w:r>
        <w:rPr>
          <w:spacing w:val="-8"/>
          <w:w w:val="120"/>
          <w:sz w:val="20"/>
        </w:rPr>
        <w:t> </w:t>
      </w:r>
      <w:r>
        <w:rPr>
          <w:w w:val="120"/>
          <w:sz w:val="20"/>
        </w:rPr>
        <w:t>the</w:t>
      </w:r>
      <w:r>
        <w:rPr>
          <w:spacing w:val="-9"/>
          <w:w w:val="120"/>
          <w:sz w:val="20"/>
        </w:rPr>
        <w:t> </w:t>
      </w:r>
      <w:r>
        <w:rPr>
          <w:w w:val="120"/>
          <w:sz w:val="20"/>
        </w:rPr>
        <w:t>Assembly by secret </w:t>
      </w:r>
      <w:r>
        <w:rPr>
          <w:spacing w:val="-3"/>
          <w:w w:val="120"/>
          <w:sz w:val="20"/>
        </w:rPr>
        <w:t>ballot </w:t>
      </w:r>
      <w:r>
        <w:rPr>
          <w:w w:val="120"/>
          <w:sz w:val="20"/>
        </w:rPr>
        <w:t>as an </w:t>
      </w:r>
      <w:r>
        <w:rPr>
          <w:spacing w:val="-3"/>
          <w:w w:val="120"/>
          <w:sz w:val="20"/>
        </w:rPr>
        <w:t>item </w:t>
      </w:r>
      <w:r>
        <w:rPr>
          <w:w w:val="120"/>
          <w:sz w:val="20"/>
        </w:rPr>
        <w:t>of </w:t>
      </w:r>
      <w:r>
        <w:rPr>
          <w:spacing w:val="-3"/>
          <w:w w:val="120"/>
          <w:sz w:val="20"/>
        </w:rPr>
        <w:t>business following </w:t>
      </w:r>
      <w:r>
        <w:rPr>
          <w:w w:val="120"/>
          <w:sz w:val="20"/>
        </w:rPr>
        <w:t>prayer during the meeting of the </w:t>
      </w:r>
      <w:r>
        <w:rPr>
          <w:spacing w:val="-3"/>
          <w:w w:val="120"/>
          <w:sz w:val="20"/>
        </w:rPr>
        <w:t>Assembly. </w:t>
      </w:r>
      <w:r>
        <w:rPr>
          <w:w w:val="120"/>
          <w:sz w:val="20"/>
        </w:rPr>
        <w:t>The </w:t>
      </w:r>
      <w:r>
        <w:rPr>
          <w:spacing w:val="-3"/>
          <w:w w:val="120"/>
          <w:sz w:val="20"/>
        </w:rPr>
        <w:t>ballot boxes shall </w:t>
      </w:r>
      <w:r>
        <w:rPr>
          <w:w w:val="120"/>
          <w:sz w:val="20"/>
        </w:rPr>
        <w:t>be delivered </w:t>
      </w:r>
      <w:r>
        <w:rPr>
          <w:spacing w:val="-3"/>
          <w:w w:val="120"/>
          <w:sz w:val="20"/>
        </w:rPr>
        <w:t>to </w:t>
      </w:r>
      <w:r>
        <w:rPr>
          <w:w w:val="120"/>
          <w:sz w:val="20"/>
        </w:rPr>
        <w:t>the tellers by whom alone they </w:t>
      </w:r>
      <w:r>
        <w:rPr>
          <w:spacing w:val="-3"/>
          <w:w w:val="120"/>
          <w:sz w:val="20"/>
        </w:rPr>
        <w:t>shall </w:t>
      </w:r>
      <w:r>
        <w:rPr>
          <w:w w:val="120"/>
          <w:sz w:val="20"/>
        </w:rPr>
        <w:t>be opened.</w:t>
      </w:r>
      <w:r>
        <w:rPr>
          <w:spacing w:val="-5"/>
          <w:w w:val="120"/>
          <w:sz w:val="20"/>
        </w:rPr>
        <w:t> </w:t>
      </w:r>
      <w:r>
        <w:rPr>
          <w:w w:val="120"/>
          <w:sz w:val="20"/>
        </w:rPr>
        <w:t>They</w:t>
      </w:r>
      <w:r>
        <w:rPr>
          <w:spacing w:val="-5"/>
          <w:w w:val="120"/>
          <w:sz w:val="20"/>
        </w:rPr>
        <w:t> </w:t>
      </w:r>
      <w:r>
        <w:rPr>
          <w:spacing w:val="-3"/>
          <w:w w:val="120"/>
          <w:sz w:val="20"/>
        </w:rPr>
        <w:t>shall</w:t>
      </w:r>
      <w:r>
        <w:rPr>
          <w:spacing w:val="-5"/>
          <w:w w:val="120"/>
          <w:sz w:val="20"/>
        </w:rPr>
        <w:t> </w:t>
      </w:r>
      <w:r>
        <w:rPr>
          <w:w w:val="120"/>
          <w:sz w:val="20"/>
        </w:rPr>
        <w:t>report</w:t>
      </w:r>
      <w:r>
        <w:rPr>
          <w:spacing w:val="-5"/>
          <w:w w:val="120"/>
          <w:sz w:val="20"/>
        </w:rPr>
        <w:t> </w:t>
      </w:r>
      <w:r>
        <w:rPr>
          <w:w w:val="120"/>
          <w:sz w:val="20"/>
        </w:rPr>
        <w:t>the</w:t>
      </w:r>
      <w:r>
        <w:rPr>
          <w:spacing w:val="-4"/>
          <w:w w:val="120"/>
          <w:sz w:val="20"/>
        </w:rPr>
        <w:t> </w:t>
      </w:r>
      <w:r>
        <w:rPr>
          <w:spacing w:val="-3"/>
          <w:w w:val="120"/>
          <w:sz w:val="20"/>
        </w:rPr>
        <w:t>result</w:t>
      </w:r>
      <w:r>
        <w:rPr>
          <w:spacing w:val="-5"/>
          <w:w w:val="120"/>
          <w:sz w:val="20"/>
        </w:rPr>
        <w:t> </w:t>
      </w:r>
      <w:r>
        <w:rPr>
          <w:w w:val="120"/>
          <w:sz w:val="20"/>
        </w:rPr>
        <w:t>of</w:t>
      </w:r>
      <w:r>
        <w:rPr>
          <w:spacing w:val="-5"/>
          <w:w w:val="120"/>
          <w:sz w:val="20"/>
        </w:rPr>
        <w:t> </w:t>
      </w:r>
      <w:r>
        <w:rPr>
          <w:w w:val="120"/>
          <w:sz w:val="20"/>
        </w:rPr>
        <w:t>the</w:t>
      </w:r>
      <w:r>
        <w:rPr>
          <w:spacing w:val="-5"/>
          <w:w w:val="120"/>
          <w:sz w:val="20"/>
        </w:rPr>
        <w:t> </w:t>
      </w:r>
      <w:r>
        <w:rPr>
          <w:spacing w:val="-3"/>
          <w:w w:val="120"/>
          <w:sz w:val="20"/>
        </w:rPr>
        <w:t>ballot</w:t>
      </w:r>
      <w:r>
        <w:rPr>
          <w:spacing w:val="-5"/>
          <w:w w:val="120"/>
          <w:sz w:val="20"/>
        </w:rPr>
        <w:t> </w:t>
      </w:r>
      <w:r>
        <w:rPr>
          <w:spacing w:val="-3"/>
          <w:w w:val="120"/>
          <w:sz w:val="20"/>
        </w:rPr>
        <w:t>to</w:t>
      </w:r>
      <w:r>
        <w:rPr>
          <w:spacing w:val="-4"/>
          <w:w w:val="120"/>
          <w:sz w:val="20"/>
        </w:rPr>
        <w:t> </w:t>
      </w:r>
      <w:r>
        <w:rPr>
          <w:w w:val="120"/>
          <w:sz w:val="20"/>
        </w:rPr>
        <w:t>the</w:t>
      </w:r>
      <w:r>
        <w:rPr>
          <w:spacing w:val="-5"/>
          <w:w w:val="120"/>
          <w:sz w:val="20"/>
        </w:rPr>
        <w:t> </w:t>
      </w:r>
      <w:r>
        <w:rPr>
          <w:w w:val="120"/>
          <w:sz w:val="20"/>
        </w:rPr>
        <w:t>Assembly</w:t>
      </w:r>
      <w:r>
        <w:rPr>
          <w:spacing w:val="-5"/>
          <w:w w:val="120"/>
          <w:sz w:val="20"/>
        </w:rPr>
        <w:t> </w:t>
      </w:r>
      <w:r>
        <w:rPr>
          <w:w w:val="120"/>
          <w:sz w:val="20"/>
        </w:rPr>
        <w:t>at</w:t>
      </w:r>
      <w:r>
        <w:rPr>
          <w:spacing w:val="-5"/>
          <w:w w:val="120"/>
          <w:sz w:val="20"/>
        </w:rPr>
        <w:t> </w:t>
      </w:r>
      <w:r>
        <w:rPr>
          <w:w w:val="120"/>
          <w:sz w:val="20"/>
        </w:rPr>
        <w:t>a</w:t>
      </w:r>
      <w:r>
        <w:rPr>
          <w:spacing w:val="-4"/>
          <w:w w:val="120"/>
          <w:sz w:val="20"/>
        </w:rPr>
        <w:t> </w:t>
      </w:r>
      <w:r>
        <w:rPr>
          <w:spacing w:val="-3"/>
          <w:w w:val="120"/>
          <w:sz w:val="20"/>
        </w:rPr>
        <w:t>later</w:t>
      </w:r>
      <w:r>
        <w:rPr>
          <w:spacing w:val="-5"/>
          <w:w w:val="120"/>
          <w:sz w:val="20"/>
        </w:rPr>
        <w:t> </w:t>
      </w:r>
      <w:r>
        <w:rPr>
          <w:w w:val="120"/>
          <w:sz w:val="20"/>
        </w:rPr>
        <w:t>session.</w:t>
      </w:r>
    </w:p>
    <w:p>
      <w:pPr>
        <w:pStyle w:val="BodyText"/>
        <w:spacing w:before="10"/>
        <w:rPr>
          <w:sz w:val="19"/>
        </w:rPr>
      </w:pPr>
    </w:p>
    <w:p>
      <w:pPr>
        <w:pStyle w:val="ListParagraph"/>
        <w:numPr>
          <w:ilvl w:val="1"/>
          <w:numId w:val="15"/>
        </w:numPr>
        <w:tabs>
          <w:tab w:pos="1227" w:val="left" w:leader="none"/>
          <w:tab w:pos="1228" w:val="left" w:leader="none"/>
        </w:tabs>
        <w:spacing w:line="235" w:lineRule="auto" w:before="1" w:after="0"/>
        <w:ind w:left="547" w:right="2385" w:firstLine="0"/>
        <w:jc w:val="left"/>
        <w:rPr>
          <w:sz w:val="20"/>
        </w:rPr>
      </w:pPr>
      <w:r>
        <w:rPr>
          <w:spacing w:val="3"/>
          <w:w w:val="120"/>
          <w:sz w:val="20"/>
        </w:rPr>
        <w:t>As </w:t>
      </w:r>
      <w:r>
        <w:rPr>
          <w:w w:val="120"/>
          <w:sz w:val="20"/>
        </w:rPr>
        <w:t>soon as the voting papers have been examined and the result of the poll ascertained, the voting papers shall be closed up under the seal of the tellers or any two of them, and shall be retained by the General Secretary for one month after the election, and shall then be</w:t>
      </w:r>
      <w:r>
        <w:rPr>
          <w:spacing w:val="11"/>
          <w:w w:val="120"/>
          <w:sz w:val="20"/>
        </w:rPr>
        <w:t> </w:t>
      </w:r>
      <w:r>
        <w:rPr>
          <w:w w:val="120"/>
          <w:sz w:val="20"/>
        </w:rPr>
        <w:t>destroyed.</w:t>
      </w:r>
    </w:p>
    <w:p>
      <w:pPr>
        <w:pStyle w:val="BodyText"/>
        <w:spacing w:before="10"/>
        <w:rPr>
          <w:sz w:val="19"/>
        </w:rPr>
      </w:pPr>
    </w:p>
    <w:p>
      <w:pPr>
        <w:pStyle w:val="ListParagraph"/>
        <w:numPr>
          <w:ilvl w:val="1"/>
          <w:numId w:val="15"/>
        </w:numPr>
        <w:tabs>
          <w:tab w:pos="1227" w:val="left" w:leader="none"/>
          <w:tab w:pos="1228" w:val="left" w:leader="none"/>
        </w:tabs>
        <w:spacing w:line="235" w:lineRule="auto" w:before="0" w:after="0"/>
        <w:ind w:left="547" w:right="2233" w:firstLine="0"/>
        <w:jc w:val="left"/>
        <w:rPr>
          <w:sz w:val="20"/>
        </w:rPr>
      </w:pPr>
      <w:r>
        <w:rPr>
          <w:w w:val="120"/>
          <w:sz w:val="20"/>
        </w:rPr>
        <w:t>At each Ordinary Meeting the Assembly shall appoint, upon the nomination of the nominations committee, three tellers to be responsible for the ballot for that </w:t>
      </w:r>
      <w:r>
        <w:rPr>
          <w:spacing w:val="-4"/>
          <w:w w:val="120"/>
          <w:sz w:val="20"/>
        </w:rPr>
        <w:t>year. </w:t>
      </w:r>
      <w:r>
        <w:rPr>
          <w:w w:val="120"/>
          <w:sz w:val="20"/>
        </w:rPr>
        <w:t>The counting of the votes cast shall take place in secret under their supervision and control and they</w:t>
      </w:r>
      <w:r>
        <w:rPr>
          <w:spacing w:val="5"/>
          <w:w w:val="120"/>
          <w:sz w:val="20"/>
        </w:rPr>
        <w:t> </w:t>
      </w:r>
      <w:r>
        <w:rPr>
          <w:w w:val="120"/>
          <w:sz w:val="20"/>
        </w:rPr>
        <w:t>shall:</w:t>
      </w:r>
    </w:p>
    <w:p>
      <w:pPr>
        <w:pStyle w:val="ListParagraph"/>
        <w:numPr>
          <w:ilvl w:val="2"/>
          <w:numId w:val="15"/>
        </w:numPr>
        <w:tabs>
          <w:tab w:pos="1228" w:val="left" w:leader="none"/>
        </w:tabs>
        <w:spacing w:line="235" w:lineRule="auto" w:before="4" w:after="0"/>
        <w:ind w:left="1227" w:right="2722" w:hanging="681"/>
        <w:jc w:val="left"/>
        <w:rPr>
          <w:sz w:val="20"/>
        </w:rPr>
      </w:pPr>
      <w:r>
        <w:rPr>
          <w:w w:val="120"/>
          <w:sz w:val="20"/>
        </w:rPr>
        <w:t>inform the General Secretary of the names of the persons elected and the General Secretary shall thereupon individually inform those nominated whether or not they have been</w:t>
      </w:r>
      <w:r>
        <w:rPr>
          <w:spacing w:val="12"/>
          <w:w w:val="120"/>
          <w:sz w:val="20"/>
        </w:rPr>
        <w:t> </w:t>
      </w:r>
      <w:r>
        <w:rPr>
          <w:w w:val="120"/>
          <w:sz w:val="20"/>
        </w:rPr>
        <w:t>elected.</w:t>
      </w:r>
    </w:p>
    <w:p>
      <w:pPr>
        <w:pStyle w:val="ListParagraph"/>
        <w:numPr>
          <w:ilvl w:val="2"/>
          <w:numId w:val="15"/>
        </w:numPr>
        <w:tabs>
          <w:tab w:pos="1202" w:val="left" w:leader="none"/>
        </w:tabs>
        <w:spacing w:line="235" w:lineRule="auto" w:before="2" w:after="0"/>
        <w:ind w:left="1227" w:right="2866" w:hanging="681"/>
        <w:jc w:val="left"/>
        <w:rPr>
          <w:sz w:val="20"/>
        </w:rPr>
      </w:pPr>
      <w:r>
        <w:rPr>
          <w:spacing w:val="2"/>
          <w:w w:val="120"/>
          <w:sz w:val="20"/>
        </w:rPr>
        <w:t>report </w:t>
      </w:r>
      <w:r>
        <w:rPr>
          <w:w w:val="120"/>
          <w:sz w:val="20"/>
        </w:rPr>
        <w:t>to the Assembly the names of the persons elected, the number of papers received and the number of papers which were</w:t>
      </w:r>
      <w:r>
        <w:rPr>
          <w:spacing w:val="32"/>
          <w:w w:val="120"/>
          <w:sz w:val="20"/>
        </w:rPr>
        <w:t> </w:t>
      </w:r>
      <w:r>
        <w:rPr>
          <w:w w:val="120"/>
          <w:sz w:val="20"/>
        </w:rPr>
        <w:t>invalid.</w:t>
      </w:r>
    </w:p>
    <w:p>
      <w:pPr>
        <w:pStyle w:val="BodyText"/>
      </w:pPr>
    </w:p>
    <w:p>
      <w:pPr>
        <w:pStyle w:val="BodyText"/>
        <w:rPr>
          <w:sz w:val="26"/>
        </w:rPr>
      </w:pPr>
    </w:p>
    <w:p>
      <w:pPr>
        <w:pStyle w:val="Heading7"/>
        <w:spacing w:before="97"/>
        <w:ind w:left="547"/>
      </w:pPr>
      <w:r>
        <w:rPr>
          <w:rFonts w:ascii="Stone Sans II ITC Std X Bd" w:hAnsi="Stone Sans II ITC Std X Bd"/>
          <w:b/>
          <w:w w:val="110"/>
          <w:sz w:val="24"/>
        </w:rPr>
        <w:t>18 </w:t>
      </w:r>
      <w:r>
        <w:rPr>
          <w:rFonts w:ascii="Symbol" w:hAnsi="Symbol"/>
          <w:color w:val="7EAABF"/>
          <w:w w:val="110"/>
        </w:rPr>
        <w:t></w:t>
      </w:r>
      <w:r>
        <w:rPr>
          <w:rFonts w:ascii="Times New Roman" w:hAnsi="Times New Roman"/>
          <w:color w:val="7EAABF"/>
          <w:w w:val="110"/>
        </w:rPr>
        <w:t> </w:t>
      </w:r>
      <w:r>
        <w:rPr>
          <w:color w:val="7EAABF"/>
          <w:w w:val="110"/>
        </w:rPr>
        <w:t>United Reformed Church </w:t>
      </w:r>
      <w:r>
        <w:rPr>
          <w:rFonts w:ascii="Symbol" w:hAnsi="Symbol"/>
          <w:b/>
          <w:color w:val="7EAABF"/>
          <w:w w:val="110"/>
        </w:rPr>
        <w:t></w:t>
      </w:r>
      <w:r>
        <w:rPr>
          <w:rFonts w:ascii="Times New Roman" w:hAnsi="Times New Roman"/>
          <w:b/>
          <w:color w:val="7EAABF"/>
          <w:w w:val="110"/>
        </w:rPr>
        <w:t> </w:t>
      </w:r>
      <w:r>
        <w:rPr>
          <w:color w:val="7EAABF"/>
          <w:w w:val="110"/>
        </w:rPr>
        <w:t>General Assembly 2018</w:t>
      </w:r>
    </w:p>
    <w:p>
      <w:pPr>
        <w:spacing w:after="0"/>
        <w:sectPr>
          <w:headerReference w:type="even" r:id="rId90"/>
          <w:footerReference w:type="even" r:id="rId91"/>
          <w:pgSz w:w="11910" w:h="16840"/>
          <w:pgMar w:header="0" w:footer="0" w:top="0" w:bottom="0" w:left="700" w:right="0"/>
        </w:sectPr>
      </w:pPr>
    </w:p>
    <w:p>
      <w:pPr>
        <w:pStyle w:val="BodyText"/>
      </w:pPr>
      <w:r>
        <w:rPr/>
        <w:drawing>
          <wp:anchor distT="0" distB="0" distL="0" distR="0" allowOverlap="1" layoutInCell="1" locked="0" behindDoc="0" simplePos="0" relativeHeight="251723776">
            <wp:simplePos x="0" y="0"/>
            <wp:positionH relativeFrom="page">
              <wp:posOffset>6974928</wp:posOffset>
            </wp:positionH>
            <wp:positionV relativeFrom="page">
              <wp:posOffset>0</wp:posOffset>
            </wp:positionV>
            <wp:extent cx="585076" cy="10692003"/>
            <wp:effectExtent l="0" t="0" r="0" b="0"/>
            <wp:wrapNone/>
            <wp:docPr id="33" name="image50.png"/>
            <wp:cNvGraphicFramePr>
              <a:graphicFrameLocks noChangeAspect="1"/>
            </wp:cNvGraphicFramePr>
            <a:graphic>
              <a:graphicData uri="http://schemas.openxmlformats.org/drawingml/2006/picture">
                <pic:pic>
                  <pic:nvPicPr>
                    <pic:cNvPr id="3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141174pt;margin-top:22.693945pt;width:26pt;height:513.6pt;mso-position-horizontal-relative:page;mso-position-vertical-relative:paragraph;z-index:25172480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three – </w:t>
                  </w:r>
                  <w:r>
                    <w:rPr>
                      <w:rFonts w:ascii="Stone Sans II ITC Std Lt" w:hAnsi="Stone Sans II ITC Std Lt"/>
                      <w:b w:val="0"/>
                      <w:w w:val="120"/>
                      <w:sz w:val="39"/>
                    </w:rPr>
                    <w:t>Election of Assembly Moderators</w:t>
                  </w:r>
                </w:p>
              </w:txbxContent>
            </v:textbox>
            <w10:wrap type="none"/>
          </v:shape>
        </w:pict>
      </w:r>
      <w:r>
        <w:rPr>
          <w:color w:val="7EAABF"/>
          <w:w w:val="120"/>
          <w:sz w:val="26"/>
        </w:rPr>
        <w:t>Mission Council</w:t>
      </w:r>
    </w:p>
    <w:p>
      <w:pPr>
        <w:pStyle w:val="ListParagraph"/>
        <w:numPr>
          <w:ilvl w:val="1"/>
          <w:numId w:val="15"/>
        </w:numPr>
        <w:tabs>
          <w:tab w:pos="1964" w:val="left" w:leader="none"/>
          <w:tab w:pos="1965" w:val="left" w:leader="none"/>
        </w:tabs>
        <w:spacing w:line="235" w:lineRule="auto" w:before="222" w:after="0"/>
        <w:ind w:left="1284" w:right="1686" w:firstLine="0"/>
        <w:jc w:val="left"/>
        <w:rPr>
          <w:sz w:val="20"/>
        </w:rPr>
      </w:pPr>
      <w:r>
        <w:rPr>
          <w:w w:val="120"/>
          <w:sz w:val="20"/>
        </w:rPr>
        <w:t>If any of the tellers appointed by the Assembly shall become incapable of acting, the Moderator shall fill any such vacancy or vacancies and </w:t>
      </w:r>
      <w:r>
        <w:rPr>
          <w:spacing w:val="2"/>
          <w:w w:val="120"/>
          <w:sz w:val="20"/>
        </w:rPr>
        <w:t>report </w:t>
      </w:r>
      <w:r>
        <w:rPr>
          <w:w w:val="120"/>
          <w:sz w:val="20"/>
        </w:rPr>
        <w:t>that action to the</w:t>
      </w:r>
      <w:r>
        <w:rPr>
          <w:spacing w:val="3"/>
          <w:w w:val="120"/>
          <w:sz w:val="20"/>
        </w:rPr>
        <w:t> </w:t>
      </w:r>
      <w:r>
        <w:rPr>
          <w:w w:val="120"/>
          <w:sz w:val="20"/>
        </w:rPr>
        <w:t>Assembly.</w:t>
      </w:r>
    </w:p>
    <w:p>
      <w:pPr>
        <w:pStyle w:val="BodyText"/>
        <w:spacing w:before="10"/>
        <w:rPr>
          <w:sz w:val="19"/>
        </w:rPr>
      </w:pPr>
    </w:p>
    <w:p>
      <w:pPr>
        <w:pStyle w:val="ListParagraph"/>
        <w:numPr>
          <w:ilvl w:val="1"/>
          <w:numId w:val="15"/>
        </w:numPr>
        <w:tabs>
          <w:tab w:pos="1964" w:val="left" w:leader="none"/>
          <w:tab w:pos="1965" w:val="left" w:leader="none"/>
        </w:tabs>
        <w:spacing w:line="235" w:lineRule="auto" w:before="0" w:after="0"/>
        <w:ind w:left="1284" w:right="1578" w:firstLine="0"/>
        <w:jc w:val="left"/>
        <w:rPr>
          <w:sz w:val="20"/>
        </w:rPr>
      </w:pPr>
      <w:r>
        <w:rPr>
          <w:w w:val="120"/>
          <w:sz w:val="20"/>
        </w:rPr>
        <w:t>Upon receipt of the </w:t>
      </w:r>
      <w:r>
        <w:rPr>
          <w:spacing w:val="2"/>
          <w:w w:val="120"/>
          <w:sz w:val="20"/>
        </w:rPr>
        <w:t>report </w:t>
      </w:r>
      <w:r>
        <w:rPr>
          <w:w w:val="120"/>
          <w:sz w:val="20"/>
        </w:rPr>
        <w:t>of the tellers by the Assembly the persons elected shall thereupon become the duly elected Moderators for the two years commencing at the next Ordinary Meeting of the</w:t>
      </w:r>
      <w:r>
        <w:rPr>
          <w:spacing w:val="15"/>
          <w:w w:val="120"/>
          <w:sz w:val="20"/>
        </w:rPr>
        <w:t> </w:t>
      </w:r>
      <w:r>
        <w:rPr>
          <w:w w:val="120"/>
          <w:sz w:val="20"/>
        </w:rPr>
        <w:t>Assembly.</w:t>
      </w:r>
    </w:p>
    <w:p>
      <w:pPr>
        <w:pStyle w:val="BodyText"/>
        <w:spacing w:before="10"/>
        <w:rPr>
          <w:sz w:val="19"/>
        </w:rPr>
      </w:pPr>
    </w:p>
    <w:p>
      <w:pPr>
        <w:pStyle w:val="ListParagraph"/>
        <w:numPr>
          <w:ilvl w:val="1"/>
          <w:numId w:val="15"/>
        </w:numPr>
        <w:tabs>
          <w:tab w:pos="1964" w:val="left" w:leader="none"/>
          <w:tab w:pos="1965" w:val="left" w:leader="none"/>
        </w:tabs>
        <w:spacing w:line="235" w:lineRule="auto" w:before="0" w:after="0"/>
        <w:ind w:left="1284" w:right="1653" w:firstLine="0"/>
        <w:jc w:val="left"/>
        <w:rPr>
          <w:sz w:val="20"/>
        </w:rPr>
      </w:pPr>
      <w:r>
        <w:rPr>
          <w:w w:val="120"/>
          <w:sz w:val="20"/>
        </w:rPr>
        <w:t>Where the previous General Assembly at its ordinary meeting has failed to elect, or in the event of either or both of the persons elected to serve as moderator becoming unable to serve more than </w:t>
      </w:r>
      <w:r>
        <w:rPr>
          <w:spacing w:val="-6"/>
          <w:w w:val="120"/>
          <w:sz w:val="20"/>
        </w:rPr>
        <w:t>120 </w:t>
      </w:r>
      <w:r>
        <w:rPr>
          <w:w w:val="120"/>
          <w:sz w:val="20"/>
        </w:rPr>
        <w:t>days before the first day of the meeting of the General Assembly at which they were to have been inducted, then the</w:t>
      </w:r>
      <w:r>
        <w:rPr>
          <w:spacing w:val="7"/>
          <w:w w:val="120"/>
          <w:sz w:val="20"/>
        </w:rPr>
        <w:t> </w:t>
      </w:r>
      <w:r>
        <w:rPr>
          <w:w w:val="120"/>
          <w:sz w:val="20"/>
        </w:rPr>
        <w:t>General</w:t>
      </w:r>
    </w:p>
    <w:p>
      <w:pPr>
        <w:pStyle w:val="BodyText"/>
        <w:spacing w:line="241" w:lineRule="exact"/>
        <w:ind w:left="1284"/>
      </w:pPr>
      <w:r>
        <w:rPr>
          <w:w w:val="120"/>
        </w:rPr>
        <w:t>Secretary shall seek nominations from synods in the manner prescribed in clauses 3.3 to</w:t>
      </w:r>
    </w:p>
    <w:p>
      <w:pPr>
        <w:pStyle w:val="BodyText"/>
        <w:spacing w:line="235" w:lineRule="auto" w:before="2"/>
        <w:ind w:left="1284" w:right="1283"/>
      </w:pPr>
      <w:r>
        <w:rPr>
          <w:w w:val="120"/>
        </w:rPr>
        <w:t>3.5 for persons available to serve as moderator for the coming Assembly. On receipt of those names, the General Secretary will inform all those whose names appeared on the roll of the previous Assembly of the nominations and send them a ballot paper. Those ballot papers shall be returned by post within five working days of receipt. Thereafter, the General Secretary shall deliver these ballot papers unopened to the tellers for the election of the Moderator who shall open and count the votes cast and report the result of this election to the General Secretary in the same form as would have been reported to the General Assembly had this election been held during the Assembly.</w:t>
      </w:r>
    </w:p>
    <w:p>
      <w:pPr>
        <w:pStyle w:val="BodyText"/>
        <w:spacing w:before="1"/>
      </w:pPr>
    </w:p>
    <w:p>
      <w:pPr>
        <w:pStyle w:val="BodyText"/>
        <w:tabs>
          <w:tab w:pos="1964" w:val="left" w:leader="none"/>
        </w:tabs>
        <w:spacing w:line="235" w:lineRule="auto"/>
        <w:ind w:left="1284" w:right="1584"/>
      </w:pPr>
      <w:r>
        <w:rPr>
          <w:spacing w:val="-10"/>
          <w:w w:val="120"/>
        </w:rPr>
        <w:t>3.16</w:t>
        <w:tab/>
      </w:r>
      <w:r>
        <w:rPr>
          <w:w w:val="120"/>
        </w:rPr>
        <w:t>If a moderator is unable to take office fewer than </w:t>
      </w:r>
      <w:r>
        <w:rPr>
          <w:spacing w:val="-6"/>
          <w:w w:val="120"/>
        </w:rPr>
        <w:t>120 </w:t>
      </w:r>
      <w:r>
        <w:rPr>
          <w:w w:val="120"/>
        </w:rPr>
        <w:t>days and more than 60 days before the first day of the meeting of the General Assembly at which they were to have been inducted, then the Moderator currently in office shall continue in</w:t>
      </w:r>
      <w:r>
        <w:rPr>
          <w:spacing w:val="12"/>
          <w:w w:val="120"/>
        </w:rPr>
        <w:t> </w:t>
      </w:r>
      <w:r>
        <w:rPr>
          <w:w w:val="120"/>
        </w:rPr>
        <w:t>office</w:t>
      </w:r>
    </w:p>
    <w:p>
      <w:pPr>
        <w:pStyle w:val="BodyText"/>
        <w:spacing w:line="235" w:lineRule="auto" w:before="3"/>
        <w:ind w:left="1284" w:right="1352"/>
      </w:pPr>
      <w:r>
        <w:rPr>
          <w:w w:val="120"/>
        </w:rPr>
        <w:t>until a successor is inducted. The General Secretary shall seek nominations from synods in the manner prescribed in clauses </w:t>
      </w:r>
      <w:r>
        <w:rPr>
          <w:spacing w:val="-3"/>
          <w:w w:val="120"/>
        </w:rPr>
        <w:t>3.3 </w:t>
      </w:r>
      <w:r>
        <w:rPr>
          <w:w w:val="120"/>
        </w:rPr>
        <w:t>to 3.5, and an election shall be held at the General Assembly in the manner prescribed in clauses </w:t>
      </w:r>
      <w:r>
        <w:rPr>
          <w:spacing w:val="-4"/>
          <w:w w:val="120"/>
        </w:rPr>
        <w:t>3.7 </w:t>
      </w:r>
      <w:r>
        <w:rPr>
          <w:w w:val="120"/>
        </w:rPr>
        <w:t>and </w:t>
      </w:r>
      <w:r>
        <w:rPr>
          <w:spacing w:val="-7"/>
          <w:w w:val="120"/>
        </w:rPr>
        <w:t>3.9, </w:t>
      </w:r>
      <w:r>
        <w:rPr>
          <w:w w:val="120"/>
        </w:rPr>
        <w:t>and the Moderator so elected shall be inducted during that meeting of</w:t>
      </w:r>
      <w:r>
        <w:rPr>
          <w:spacing w:val="28"/>
          <w:w w:val="120"/>
        </w:rPr>
        <w:t> </w:t>
      </w:r>
      <w:r>
        <w:rPr>
          <w:w w:val="120"/>
        </w:rPr>
        <w:t>Assembly.</w:t>
      </w:r>
    </w:p>
    <w:p>
      <w:pPr>
        <w:pStyle w:val="BodyText"/>
        <w:spacing w:before="10"/>
        <w:rPr>
          <w:sz w:val="19"/>
        </w:rPr>
      </w:pPr>
    </w:p>
    <w:p>
      <w:pPr>
        <w:pStyle w:val="ListParagraph"/>
        <w:numPr>
          <w:ilvl w:val="1"/>
          <w:numId w:val="16"/>
        </w:numPr>
        <w:tabs>
          <w:tab w:pos="1964" w:val="left" w:leader="none"/>
          <w:tab w:pos="1965" w:val="left" w:leader="none"/>
        </w:tabs>
        <w:spacing w:line="235" w:lineRule="auto" w:before="0" w:after="0"/>
        <w:ind w:left="1284" w:right="1738" w:firstLine="0"/>
        <w:jc w:val="left"/>
        <w:rPr>
          <w:sz w:val="20"/>
        </w:rPr>
      </w:pPr>
      <w:r>
        <w:rPr>
          <w:w w:val="120"/>
          <w:sz w:val="20"/>
        </w:rPr>
        <w:t>If</w:t>
      </w:r>
      <w:r>
        <w:rPr>
          <w:spacing w:val="-4"/>
          <w:w w:val="120"/>
          <w:sz w:val="20"/>
        </w:rPr>
        <w:t> </w:t>
      </w:r>
      <w:r>
        <w:rPr>
          <w:w w:val="120"/>
          <w:sz w:val="20"/>
        </w:rPr>
        <w:t>a</w:t>
      </w:r>
      <w:r>
        <w:rPr>
          <w:spacing w:val="-3"/>
          <w:w w:val="120"/>
          <w:sz w:val="20"/>
        </w:rPr>
        <w:t> </w:t>
      </w:r>
      <w:r>
        <w:rPr>
          <w:w w:val="120"/>
          <w:sz w:val="20"/>
        </w:rPr>
        <w:t>moderator</w:t>
      </w:r>
      <w:r>
        <w:rPr>
          <w:spacing w:val="-3"/>
          <w:w w:val="120"/>
          <w:sz w:val="20"/>
        </w:rPr>
        <w:t> </w:t>
      </w:r>
      <w:r>
        <w:rPr>
          <w:w w:val="120"/>
          <w:sz w:val="20"/>
        </w:rPr>
        <w:t>is</w:t>
      </w:r>
      <w:r>
        <w:rPr>
          <w:spacing w:val="-3"/>
          <w:w w:val="120"/>
          <w:sz w:val="20"/>
        </w:rPr>
        <w:t> </w:t>
      </w:r>
      <w:r>
        <w:rPr>
          <w:w w:val="120"/>
          <w:sz w:val="20"/>
        </w:rPr>
        <w:t>unable</w:t>
      </w:r>
      <w:r>
        <w:rPr>
          <w:spacing w:val="-3"/>
          <w:w w:val="120"/>
          <w:sz w:val="20"/>
        </w:rPr>
        <w:t> </w:t>
      </w:r>
      <w:r>
        <w:rPr>
          <w:w w:val="120"/>
          <w:sz w:val="20"/>
        </w:rPr>
        <w:t>to</w:t>
      </w:r>
      <w:r>
        <w:rPr>
          <w:spacing w:val="-3"/>
          <w:w w:val="120"/>
          <w:sz w:val="20"/>
        </w:rPr>
        <w:t> </w:t>
      </w:r>
      <w:r>
        <w:rPr>
          <w:w w:val="120"/>
          <w:sz w:val="20"/>
        </w:rPr>
        <w:t>take</w:t>
      </w:r>
      <w:r>
        <w:rPr>
          <w:spacing w:val="-3"/>
          <w:w w:val="120"/>
          <w:sz w:val="20"/>
        </w:rPr>
        <w:t> </w:t>
      </w:r>
      <w:r>
        <w:rPr>
          <w:w w:val="120"/>
          <w:sz w:val="20"/>
        </w:rPr>
        <w:t>office</w:t>
      </w:r>
      <w:r>
        <w:rPr>
          <w:spacing w:val="-4"/>
          <w:w w:val="120"/>
          <w:sz w:val="20"/>
        </w:rPr>
        <w:t> </w:t>
      </w:r>
      <w:r>
        <w:rPr>
          <w:w w:val="120"/>
          <w:sz w:val="20"/>
        </w:rPr>
        <w:t>fewer</w:t>
      </w:r>
      <w:r>
        <w:rPr>
          <w:spacing w:val="-3"/>
          <w:w w:val="120"/>
          <w:sz w:val="20"/>
        </w:rPr>
        <w:t> </w:t>
      </w:r>
      <w:r>
        <w:rPr>
          <w:w w:val="120"/>
          <w:sz w:val="20"/>
        </w:rPr>
        <w:t>than</w:t>
      </w:r>
      <w:r>
        <w:rPr>
          <w:spacing w:val="-3"/>
          <w:w w:val="120"/>
          <w:sz w:val="20"/>
        </w:rPr>
        <w:t> </w:t>
      </w:r>
      <w:r>
        <w:rPr>
          <w:w w:val="120"/>
          <w:sz w:val="20"/>
        </w:rPr>
        <w:t>60</w:t>
      </w:r>
      <w:r>
        <w:rPr>
          <w:spacing w:val="-3"/>
          <w:w w:val="120"/>
          <w:sz w:val="20"/>
        </w:rPr>
        <w:t> </w:t>
      </w:r>
      <w:r>
        <w:rPr>
          <w:w w:val="120"/>
          <w:sz w:val="20"/>
        </w:rPr>
        <w:t>days</w:t>
      </w:r>
      <w:r>
        <w:rPr>
          <w:spacing w:val="-3"/>
          <w:w w:val="120"/>
          <w:sz w:val="20"/>
        </w:rPr>
        <w:t> </w:t>
      </w:r>
      <w:r>
        <w:rPr>
          <w:w w:val="120"/>
          <w:sz w:val="20"/>
        </w:rPr>
        <w:t>before</w:t>
      </w:r>
      <w:r>
        <w:rPr>
          <w:spacing w:val="-3"/>
          <w:w w:val="120"/>
          <w:sz w:val="20"/>
        </w:rPr>
        <w:t> </w:t>
      </w:r>
      <w:r>
        <w:rPr>
          <w:w w:val="120"/>
          <w:sz w:val="20"/>
        </w:rPr>
        <w:t>the</w:t>
      </w:r>
      <w:r>
        <w:rPr>
          <w:spacing w:val="-3"/>
          <w:w w:val="120"/>
          <w:sz w:val="20"/>
        </w:rPr>
        <w:t> </w:t>
      </w:r>
      <w:r>
        <w:rPr>
          <w:w w:val="120"/>
          <w:sz w:val="20"/>
        </w:rPr>
        <w:t>first</w:t>
      </w:r>
      <w:r>
        <w:rPr>
          <w:spacing w:val="-4"/>
          <w:w w:val="120"/>
          <w:sz w:val="20"/>
        </w:rPr>
        <w:t> </w:t>
      </w:r>
      <w:r>
        <w:rPr>
          <w:w w:val="120"/>
          <w:sz w:val="20"/>
        </w:rPr>
        <w:t>day of the meeting of the General Assembly, or resigns from office after induction, or</w:t>
      </w:r>
      <w:r>
        <w:rPr>
          <w:spacing w:val="18"/>
          <w:w w:val="120"/>
          <w:sz w:val="20"/>
        </w:rPr>
        <w:t> </w:t>
      </w:r>
      <w:r>
        <w:rPr>
          <w:w w:val="120"/>
          <w:sz w:val="20"/>
        </w:rPr>
        <w:t>is</w:t>
      </w:r>
    </w:p>
    <w:p>
      <w:pPr>
        <w:pStyle w:val="BodyText"/>
        <w:spacing w:line="235" w:lineRule="auto" w:before="2"/>
        <w:ind w:left="1284" w:right="1336"/>
      </w:pPr>
      <w:r>
        <w:rPr>
          <w:w w:val="120"/>
        </w:rPr>
        <w:t>removed from office after induction, then the General Secretary shall forthwith initiate  a postal ballot as described in clause </w:t>
      </w:r>
      <w:r>
        <w:rPr>
          <w:spacing w:val="-9"/>
          <w:w w:val="120"/>
        </w:rPr>
        <w:t>3.1</w:t>
      </w:r>
      <w:r>
        <w:rPr>
          <w:color w:val="E2001A"/>
          <w:spacing w:val="-9"/>
          <w:w w:val="120"/>
        </w:rPr>
        <w:t>5</w:t>
      </w:r>
      <w:r>
        <w:rPr>
          <w:spacing w:val="-9"/>
          <w:w w:val="120"/>
        </w:rPr>
        <w:t>,  </w:t>
      </w:r>
      <w:r>
        <w:rPr>
          <w:w w:val="120"/>
        </w:rPr>
        <w:t>and the person so elected shall be inducted  at the next meeting of the Mission Council, save that if this clause comes into effect less than nine months before the planned meeting of General Assembly, then the remaining Moderator shall serve alone until the next meeting of General</w:t>
      </w:r>
      <w:r>
        <w:rPr>
          <w:spacing w:val="18"/>
          <w:w w:val="120"/>
        </w:rPr>
        <w:t> </w:t>
      </w:r>
      <w:r>
        <w:rPr>
          <w:w w:val="120"/>
        </w:rPr>
        <w:t>Assembly.</w:t>
      </w:r>
    </w:p>
    <w:p>
      <w:pPr>
        <w:pStyle w:val="BodyText"/>
        <w:spacing w:before="11"/>
        <w:rPr>
          <w:sz w:val="19"/>
        </w:rPr>
      </w:pPr>
    </w:p>
    <w:p>
      <w:pPr>
        <w:pStyle w:val="ListParagraph"/>
        <w:numPr>
          <w:ilvl w:val="1"/>
          <w:numId w:val="16"/>
        </w:numPr>
        <w:tabs>
          <w:tab w:pos="1964" w:val="left" w:leader="none"/>
          <w:tab w:pos="1965" w:val="left" w:leader="none"/>
        </w:tabs>
        <w:spacing w:line="235" w:lineRule="auto" w:before="1" w:after="0"/>
        <w:ind w:left="1284" w:right="1349" w:firstLine="0"/>
        <w:jc w:val="left"/>
        <w:rPr>
          <w:sz w:val="20"/>
        </w:rPr>
      </w:pPr>
      <w:r>
        <w:rPr>
          <w:w w:val="120"/>
          <w:sz w:val="20"/>
        </w:rPr>
        <w:t>During the temporary absence of a moderator, the other Moderator may serve alone. In the event of a conflict of interest with the business under discussion, the most recent former Moderator without such conflict of interest, who is present and willing  to</w:t>
      </w:r>
      <w:r>
        <w:rPr>
          <w:spacing w:val="-4"/>
          <w:w w:val="120"/>
          <w:sz w:val="20"/>
        </w:rPr>
        <w:t> </w:t>
      </w:r>
      <w:r>
        <w:rPr>
          <w:w w:val="120"/>
          <w:sz w:val="20"/>
        </w:rPr>
        <w:t>serve,</w:t>
      </w:r>
      <w:r>
        <w:rPr>
          <w:spacing w:val="-4"/>
          <w:w w:val="120"/>
          <w:sz w:val="20"/>
        </w:rPr>
        <w:t> </w:t>
      </w:r>
      <w:r>
        <w:rPr>
          <w:w w:val="120"/>
          <w:sz w:val="20"/>
        </w:rPr>
        <w:t>shall</w:t>
      </w:r>
      <w:r>
        <w:rPr>
          <w:spacing w:val="-4"/>
          <w:w w:val="120"/>
          <w:sz w:val="20"/>
        </w:rPr>
        <w:t> </w:t>
      </w:r>
      <w:r>
        <w:rPr>
          <w:w w:val="120"/>
          <w:sz w:val="20"/>
        </w:rPr>
        <w:t>serve.</w:t>
      </w:r>
      <w:r>
        <w:rPr>
          <w:spacing w:val="-4"/>
          <w:w w:val="120"/>
          <w:sz w:val="20"/>
        </w:rPr>
        <w:t> </w:t>
      </w:r>
      <w:r>
        <w:rPr>
          <w:w w:val="120"/>
          <w:sz w:val="20"/>
        </w:rPr>
        <w:t>If</w:t>
      </w:r>
      <w:r>
        <w:rPr>
          <w:spacing w:val="-4"/>
          <w:w w:val="120"/>
          <w:sz w:val="20"/>
        </w:rPr>
        <w:t> </w:t>
      </w:r>
      <w:r>
        <w:rPr>
          <w:w w:val="120"/>
          <w:sz w:val="20"/>
        </w:rPr>
        <w:t>neither</w:t>
      </w:r>
      <w:r>
        <w:rPr>
          <w:spacing w:val="-4"/>
          <w:w w:val="120"/>
          <w:sz w:val="20"/>
        </w:rPr>
        <w:t> </w:t>
      </w:r>
      <w:r>
        <w:rPr>
          <w:w w:val="120"/>
          <w:sz w:val="20"/>
        </w:rPr>
        <w:t>Moderator</w:t>
      </w:r>
      <w:r>
        <w:rPr>
          <w:spacing w:val="-4"/>
          <w:w w:val="120"/>
          <w:sz w:val="20"/>
        </w:rPr>
        <w:t> </w:t>
      </w:r>
      <w:r>
        <w:rPr>
          <w:w w:val="120"/>
          <w:sz w:val="20"/>
        </w:rPr>
        <w:t>is</w:t>
      </w:r>
      <w:r>
        <w:rPr>
          <w:spacing w:val="-3"/>
          <w:w w:val="120"/>
          <w:sz w:val="20"/>
        </w:rPr>
        <w:t> </w:t>
      </w:r>
      <w:r>
        <w:rPr>
          <w:w w:val="120"/>
          <w:sz w:val="20"/>
        </w:rPr>
        <w:t>present,</w:t>
      </w:r>
      <w:r>
        <w:rPr>
          <w:spacing w:val="-4"/>
          <w:w w:val="120"/>
          <w:sz w:val="20"/>
        </w:rPr>
        <w:t> </w:t>
      </w:r>
      <w:r>
        <w:rPr>
          <w:w w:val="120"/>
          <w:sz w:val="20"/>
        </w:rPr>
        <w:t>the</w:t>
      </w:r>
      <w:r>
        <w:rPr>
          <w:spacing w:val="-4"/>
          <w:w w:val="120"/>
          <w:sz w:val="20"/>
        </w:rPr>
        <w:t> </w:t>
      </w:r>
      <w:r>
        <w:rPr>
          <w:w w:val="120"/>
          <w:sz w:val="20"/>
        </w:rPr>
        <w:t>most</w:t>
      </w:r>
      <w:r>
        <w:rPr>
          <w:spacing w:val="-4"/>
          <w:w w:val="120"/>
          <w:sz w:val="20"/>
        </w:rPr>
        <w:t> </w:t>
      </w:r>
      <w:r>
        <w:rPr>
          <w:w w:val="120"/>
          <w:sz w:val="20"/>
        </w:rPr>
        <w:t>recent</w:t>
      </w:r>
      <w:r>
        <w:rPr>
          <w:spacing w:val="-4"/>
          <w:w w:val="120"/>
          <w:sz w:val="20"/>
        </w:rPr>
        <w:t> </w:t>
      </w:r>
      <w:r>
        <w:rPr>
          <w:w w:val="120"/>
          <w:sz w:val="20"/>
        </w:rPr>
        <w:t>former</w:t>
      </w:r>
      <w:r>
        <w:rPr>
          <w:spacing w:val="-4"/>
          <w:w w:val="120"/>
          <w:sz w:val="20"/>
        </w:rPr>
        <w:t> </w:t>
      </w:r>
      <w:r>
        <w:rPr>
          <w:w w:val="120"/>
          <w:sz w:val="20"/>
        </w:rPr>
        <w:t>Moderator present and willing to serve shall</w:t>
      </w:r>
      <w:r>
        <w:rPr>
          <w:spacing w:val="12"/>
          <w:w w:val="120"/>
          <w:sz w:val="20"/>
        </w:rPr>
        <w:t> </w:t>
      </w:r>
      <w:r>
        <w:rPr>
          <w:w w:val="120"/>
          <w:sz w:val="20"/>
        </w:rPr>
        <w:t>serve.</w:t>
      </w:r>
    </w:p>
    <w:p>
      <w:pPr>
        <w:spacing w:after="0" w:line="235" w:lineRule="auto"/>
        <w:jc w:val="left"/>
        <w:rPr>
          <w:sz w:val="20"/>
        </w:rPr>
        <w:sectPr>
          <w:headerReference w:type="default" r:id="rId92"/>
          <w:footerReference w:type="default" r:id="rId93"/>
          <w:pgSz w:w="11910" w:h="16840"/>
          <w:pgMar w:header="0" w:footer="647" w:top="0" w:bottom="840" w:left="700" w:right="0"/>
          <w:pgNumType w:start="19"/>
        </w:sectPr>
      </w:pPr>
    </w:p>
    <w:p>
      <w:pPr>
        <w:pStyle w:val="BodyText"/>
      </w:pPr>
      <w:r>
        <w:rPr/>
        <w:pict>
          <v:rect style="position:absolute;margin-left:46.777pt;margin-top:.000015pt;width:548.498pt;height:841.89pt;mso-position-horizontal-relative:page;mso-position-vertical-relative:page;z-index:-267557888" filled="true" fillcolor="#fef4df" stroked="false">
            <v:fill type="solid"/>
            <w10:wrap type="none"/>
          </v:rect>
        </w:pict>
      </w:r>
      <w:r>
        <w:rPr/>
        <w:drawing>
          <wp:anchor distT="0" distB="0" distL="0" distR="0" allowOverlap="1" layoutInCell="1" locked="0" behindDoc="1" simplePos="0" relativeHeight="235759616">
            <wp:simplePos x="0" y="0"/>
            <wp:positionH relativeFrom="page">
              <wp:posOffset>0</wp:posOffset>
            </wp:positionH>
            <wp:positionV relativeFrom="page">
              <wp:posOffset>0</wp:posOffset>
            </wp:positionV>
            <wp:extent cx="594067" cy="10692003"/>
            <wp:effectExtent l="0" t="0" r="0" b="0"/>
            <wp:wrapNone/>
            <wp:docPr id="35" name="image51.png"/>
            <wp:cNvGraphicFramePr>
              <a:graphicFrameLocks noChangeAspect="1"/>
            </wp:cNvGraphicFramePr>
            <a:graphic>
              <a:graphicData uri="http://schemas.openxmlformats.org/drawingml/2006/picture">
                <pic:pic>
                  <pic:nvPicPr>
                    <pic:cNvPr id="36"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48.9pt;mso-position-horizontal-relative:page;mso-position-vertical-relative:page;z-index:-26755584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four – </w:t>
                  </w:r>
                  <w:r>
                    <w:rPr>
                      <w:rFonts w:ascii="Stone Sans II ITC Std Lt" w:hAnsi="Stone Sans II ITC Std Lt"/>
                      <w:b w:val="0"/>
                      <w:w w:val="120"/>
                      <w:sz w:val="39"/>
                    </w:rPr>
                    <w:t>The role of elders</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ight="2269"/>
        <w:rPr>
          <w:b/>
        </w:rPr>
      </w:pPr>
      <w:bookmarkStart w:name="_bookmark5" w:id="6"/>
      <w:bookmarkEnd w:id="6"/>
      <w:r>
        <w:rPr>
          <w:b w:val="0"/>
        </w:rPr>
      </w:r>
      <w:r>
        <w:rPr>
          <w:b/>
          <w:color w:val="F1B400"/>
          <w:spacing w:val="-9"/>
          <w:w w:val="110"/>
        </w:rPr>
        <w:t>Mission </w:t>
      </w:r>
      <w:r>
        <w:rPr>
          <w:b/>
          <w:color w:val="F1B400"/>
          <w:spacing w:val="-10"/>
          <w:w w:val="110"/>
        </w:rPr>
        <w:t>Council </w:t>
      </w:r>
      <w:r>
        <w:rPr>
          <w:b/>
          <w:color w:val="F1B400"/>
          <w:spacing w:val="-9"/>
          <w:w w:val="110"/>
        </w:rPr>
        <w:t>appendix four </w:t>
      </w:r>
      <w:r>
        <w:rPr>
          <w:b/>
          <w:spacing w:val="-6"/>
          <w:w w:val="110"/>
        </w:rPr>
        <w:t>The </w:t>
      </w:r>
      <w:r>
        <w:rPr>
          <w:b/>
          <w:spacing w:val="-9"/>
          <w:w w:val="110"/>
        </w:rPr>
        <w:t>role </w:t>
      </w:r>
      <w:r>
        <w:rPr>
          <w:b/>
          <w:spacing w:val="-5"/>
          <w:w w:val="110"/>
        </w:rPr>
        <w:t>of </w:t>
      </w:r>
      <w:r>
        <w:rPr>
          <w:b/>
          <w:spacing w:val="-8"/>
          <w:w w:val="110"/>
        </w:rPr>
        <w:t>elders </w:t>
      </w:r>
      <w:r>
        <w:rPr>
          <w:b/>
          <w:spacing w:val="-6"/>
          <w:w w:val="110"/>
        </w:rPr>
        <w:t>in </w:t>
      </w:r>
      <w:r>
        <w:rPr>
          <w:b/>
          <w:spacing w:val="-8"/>
          <w:w w:val="110"/>
        </w:rPr>
        <w:t>the </w:t>
      </w:r>
      <w:r>
        <w:rPr>
          <w:b/>
          <w:spacing w:val="-10"/>
          <w:w w:val="110"/>
        </w:rPr>
        <w:t>United </w:t>
      </w:r>
      <w:r>
        <w:rPr>
          <w:b/>
          <w:spacing w:val="-8"/>
          <w:w w:val="110"/>
        </w:rPr>
        <w:t>Reformed </w:t>
      </w:r>
      <w:r>
        <w:rPr>
          <w:b/>
          <w:spacing w:val="-10"/>
          <w:w w:val="110"/>
        </w:rPr>
        <w:t>Church</w:t>
      </w:r>
    </w:p>
    <w:p>
      <w:pPr>
        <w:spacing w:before="354"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325"/>
        <w:gridCol w:w="7371"/>
      </w:tblGrid>
      <w:tr>
        <w:trPr>
          <w:trHeight w:val="646" w:hRule="atLeast"/>
        </w:trPr>
        <w:tc>
          <w:tcPr>
            <w:tcW w:w="2325" w:type="dxa"/>
            <w:shd w:val="clear" w:color="auto" w:fill="FFFFFF"/>
          </w:tcPr>
          <w:p>
            <w:pPr>
              <w:pStyle w:val="TableParagraph"/>
              <w:spacing w:line="213" w:lineRule="auto" w:before="117"/>
              <w:ind w:left="80" w:right="260"/>
              <w:rPr>
                <w:rFonts w:ascii="Stone Sans II ITC Std Bk"/>
                <w:b/>
                <w:sz w:val="20"/>
              </w:rPr>
            </w:pPr>
            <w:r>
              <w:rPr>
                <w:rFonts w:ascii="Stone Sans II ITC Std Bk"/>
                <w:b/>
                <w:w w:val="110"/>
                <w:sz w:val="20"/>
              </w:rPr>
              <w:t>Contact name and email address</w:t>
            </w:r>
          </w:p>
        </w:tc>
        <w:tc>
          <w:tcPr>
            <w:tcW w:w="7371" w:type="dxa"/>
            <w:shd w:val="clear" w:color="auto" w:fill="FFFFFF"/>
          </w:tcPr>
          <w:p>
            <w:pPr>
              <w:pStyle w:val="TableParagraph"/>
              <w:spacing w:line="235" w:lineRule="auto" w:before="111"/>
              <w:ind w:left="79" w:right="2199"/>
              <w:rPr>
                <w:sz w:val="20"/>
              </w:rPr>
            </w:pPr>
            <w:r>
              <w:rPr>
                <w:w w:val="120"/>
                <w:sz w:val="20"/>
              </w:rPr>
              <w:t>The Revd John Proctor: </w:t>
            </w:r>
            <w:hyperlink r:id="rId58">
              <w:r>
                <w:rPr>
                  <w:color w:val="006AB3"/>
                  <w:w w:val="120"/>
                  <w:sz w:val="20"/>
                </w:rPr>
                <w:t>john.proctor@urc.org.uk</w:t>
              </w:r>
            </w:hyperlink>
            <w:r>
              <w:rPr>
                <w:color w:val="006AB3"/>
                <w:w w:val="120"/>
                <w:sz w:val="20"/>
              </w:rPr>
              <w:t> </w:t>
            </w:r>
            <w:r>
              <w:rPr>
                <w:w w:val="120"/>
                <w:sz w:val="20"/>
              </w:rPr>
              <w:t>The Revd Prof David Thompson: </w:t>
            </w:r>
            <w:hyperlink r:id="rId96">
              <w:r>
                <w:rPr>
                  <w:color w:val="006AB3"/>
                  <w:w w:val="120"/>
                  <w:sz w:val="20"/>
                </w:rPr>
                <w:t>dmt3@cam.ac.uk</w:t>
              </w:r>
            </w:hyperlink>
          </w:p>
        </w:tc>
      </w:tr>
      <w:tr>
        <w:trPr>
          <w:trHeight w:val="406" w:hRule="atLeast"/>
        </w:trPr>
        <w:tc>
          <w:tcPr>
            <w:tcW w:w="2325"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7371" w:type="dxa"/>
            <w:shd w:val="clear" w:color="auto" w:fill="FFFFFF"/>
          </w:tcPr>
          <w:p>
            <w:pPr>
              <w:pStyle w:val="TableParagraph"/>
              <w:spacing w:before="107"/>
              <w:ind w:left="79"/>
              <w:rPr>
                <w:sz w:val="20"/>
              </w:rPr>
            </w:pPr>
            <w:r>
              <w:rPr>
                <w:w w:val="120"/>
                <w:sz w:val="20"/>
              </w:rPr>
              <w:t>Decision.</w:t>
            </w:r>
          </w:p>
        </w:tc>
      </w:tr>
      <w:tr>
        <w:trPr>
          <w:trHeight w:val="2326" w:hRule="atLeast"/>
        </w:trPr>
        <w:tc>
          <w:tcPr>
            <w:tcW w:w="2325"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7371" w:type="dxa"/>
            <w:shd w:val="clear" w:color="auto" w:fill="FFFFFF"/>
          </w:tcPr>
          <w:p>
            <w:pPr>
              <w:pStyle w:val="TableParagraph"/>
              <w:tabs>
                <w:tab w:pos="760" w:val="left" w:leader="none"/>
              </w:tabs>
              <w:spacing w:line="213" w:lineRule="auto" w:before="117"/>
              <w:ind w:left="79" w:right="734"/>
              <w:rPr>
                <w:rFonts w:ascii="Stone Sans II ITC Std Bk"/>
                <w:b/>
                <w:sz w:val="20"/>
              </w:rPr>
            </w:pPr>
            <w:r>
              <w:rPr>
                <w:rFonts w:ascii="Stone Sans II ITC Std Bk"/>
                <w:b/>
                <w:w w:val="110"/>
                <w:sz w:val="20"/>
              </w:rPr>
              <w:t>5.</w:t>
              <w:tab/>
              <w:t>General Assembly resolves to add a further question to Schedule B </w:t>
            </w:r>
            <w:r>
              <w:rPr>
                <w:rFonts w:ascii="Stone Sans II ITC Std Bk"/>
                <w:b/>
                <w:spacing w:val="-5"/>
                <w:w w:val="110"/>
                <w:sz w:val="20"/>
              </w:rPr>
              <w:t>[of </w:t>
            </w:r>
            <w:r>
              <w:rPr>
                <w:rFonts w:ascii="Stone Sans II ITC Std Bk"/>
                <w:b/>
                <w:w w:val="110"/>
                <w:sz w:val="20"/>
              </w:rPr>
              <w:t>the Basis of Union] for elders as</w:t>
            </w:r>
            <w:r>
              <w:rPr>
                <w:rFonts w:ascii="Stone Sans II ITC Std Bk"/>
                <w:b/>
                <w:spacing w:val="5"/>
                <w:w w:val="110"/>
                <w:sz w:val="20"/>
              </w:rPr>
              <w:t> </w:t>
            </w:r>
            <w:r>
              <w:rPr>
                <w:rFonts w:ascii="Stone Sans II ITC Std Bk"/>
                <w:b/>
                <w:w w:val="110"/>
                <w:sz w:val="20"/>
              </w:rPr>
              <w:t>follows:</w:t>
            </w:r>
          </w:p>
          <w:p>
            <w:pPr>
              <w:pStyle w:val="TableParagraph"/>
              <w:tabs>
                <w:tab w:pos="760" w:val="left" w:leader="none"/>
              </w:tabs>
              <w:spacing w:line="213" w:lineRule="auto"/>
              <w:ind w:left="760" w:right="287" w:hanging="681"/>
              <w:rPr>
                <w:rFonts w:ascii="Stone Sans II ITC Std Bk"/>
                <w:b/>
                <w:sz w:val="20"/>
              </w:rPr>
            </w:pPr>
            <w:r>
              <w:rPr>
                <w:rFonts w:ascii="Stone Sans II ITC Std Bk"/>
                <w:b/>
                <w:w w:val="110"/>
                <w:sz w:val="20"/>
              </w:rPr>
              <w:t>Q:</w:t>
              <w:tab/>
              <w:t>Do you promise as an elder of the United Reformed Church to seek its well-being, unity and peace, to cherish love towards all other churches and to endeavour always so far as you are able to build up the one, holy, catholic and apostolic</w:t>
            </w:r>
            <w:r>
              <w:rPr>
                <w:rFonts w:ascii="Stone Sans II ITC Std Bk"/>
                <w:b/>
                <w:spacing w:val="-1"/>
                <w:w w:val="110"/>
                <w:sz w:val="20"/>
              </w:rPr>
              <w:t> </w:t>
            </w:r>
            <w:r>
              <w:rPr>
                <w:rFonts w:ascii="Stone Sans II ITC Std Bk"/>
                <w:b/>
                <w:w w:val="110"/>
                <w:sz w:val="20"/>
              </w:rPr>
              <w:t>Church?</w:t>
            </w:r>
          </w:p>
          <w:p>
            <w:pPr>
              <w:pStyle w:val="TableParagraph"/>
              <w:tabs>
                <w:tab w:pos="760" w:val="left" w:leader="none"/>
              </w:tabs>
              <w:spacing w:line="213" w:lineRule="auto"/>
              <w:ind w:left="760" w:right="398" w:hanging="681"/>
              <w:rPr>
                <w:rFonts w:ascii="Stone Sans II ITC Std Bk"/>
                <w:b/>
                <w:sz w:val="20"/>
              </w:rPr>
            </w:pPr>
            <w:r>
              <w:rPr>
                <w:rFonts w:ascii="Stone Sans II ITC Std Bk"/>
                <w:b/>
                <w:w w:val="110"/>
                <w:sz w:val="20"/>
              </w:rPr>
              <w:t>A:</w:t>
              <w:tab/>
              <w:t>By the grace of God I do, and all these things I profess and promise in the power of the Holy</w:t>
            </w:r>
            <w:r>
              <w:rPr>
                <w:rFonts w:ascii="Stone Sans II ITC Std Bk"/>
                <w:b/>
                <w:spacing w:val="-1"/>
                <w:w w:val="110"/>
                <w:sz w:val="20"/>
              </w:rPr>
              <w:t> </w:t>
            </w:r>
            <w:r>
              <w:rPr>
                <w:rFonts w:ascii="Stone Sans II ITC Std Bk"/>
                <w:b/>
                <w:w w:val="110"/>
                <w:sz w:val="20"/>
              </w:rPr>
              <w:t>Spirit.</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263"/>
        <w:gridCol w:w="7433"/>
      </w:tblGrid>
      <w:tr>
        <w:trPr>
          <w:trHeight w:val="886" w:hRule="atLeast"/>
        </w:trPr>
        <w:tc>
          <w:tcPr>
            <w:tcW w:w="2263"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7433" w:type="dxa"/>
            <w:shd w:val="clear" w:color="auto" w:fill="FFFFFF"/>
          </w:tcPr>
          <w:p>
            <w:pPr>
              <w:pStyle w:val="TableParagraph"/>
              <w:spacing w:line="235" w:lineRule="auto" w:before="111"/>
              <w:ind w:left="79" w:right="787"/>
              <w:rPr>
                <w:sz w:val="20"/>
              </w:rPr>
            </w:pPr>
            <w:r>
              <w:rPr>
                <w:w w:val="120"/>
                <w:sz w:val="20"/>
              </w:rPr>
              <w:t>Addition of a further promise to the affirmations made by elders at ordination and induction, concerned explicitly with the work that elders do.</w:t>
            </w:r>
          </w:p>
        </w:tc>
      </w:tr>
      <w:tr>
        <w:trPr>
          <w:trHeight w:val="406" w:hRule="atLeast"/>
        </w:trPr>
        <w:tc>
          <w:tcPr>
            <w:tcW w:w="2263"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7433" w:type="dxa"/>
            <w:shd w:val="clear" w:color="auto" w:fill="FFFFFF"/>
          </w:tcPr>
          <w:p>
            <w:pPr>
              <w:pStyle w:val="TableParagraph"/>
              <w:spacing w:before="107"/>
              <w:ind w:left="80"/>
              <w:rPr>
                <w:sz w:val="20"/>
              </w:rPr>
            </w:pPr>
            <w:r>
              <w:rPr>
                <w:w w:val="120"/>
                <w:sz w:val="20"/>
              </w:rPr>
              <w:t>As per above resolution.</w:t>
            </w:r>
          </w:p>
        </w:tc>
      </w:tr>
      <w:tr>
        <w:trPr>
          <w:trHeight w:val="646" w:hRule="atLeast"/>
        </w:trPr>
        <w:tc>
          <w:tcPr>
            <w:tcW w:w="2263" w:type="dxa"/>
            <w:shd w:val="clear" w:color="auto" w:fill="FFFFFF"/>
          </w:tcPr>
          <w:p>
            <w:pPr>
              <w:pStyle w:val="TableParagraph"/>
              <w:spacing w:line="213" w:lineRule="auto" w:before="117"/>
              <w:ind w:left="80" w:right="968"/>
              <w:rPr>
                <w:rFonts w:ascii="Stone Sans II ITC Std Bk"/>
                <w:b/>
                <w:sz w:val="20"/>
              </w:rPr>
            </w:pPr>
            <w:r>
              <w:rPr>
                <w:rFonts w:ascii="Stone Sans II ITC Std Bk"/>
                <w:b/>
                <w:w w:val="110"/>
                <w:sz w:val="20"/>
              </w:rPr>
              <w:t>Previous documents</w:t>
            </w:r>
          </w:p>
        </w:tc>
        <w:tc>
          <w:tcPr>
            <w:tcW w:w="7433" w:type="dxa"/>
            <w:shd w:val="clear" w:color="auto" w:fill="FFFFFF"/>
          </w:tcPr>
          <w:p>
            <w:pPr>
              <w:pStyle w:val="TableParagraph"/>
              <w:spacing w:before="107"/>
              <w:ind w:left="80"/>
              <w:rPr>
                <w:sz w:val="20"/>
              </w:rPr>
            </w:pPr>
            <w:r>
              <w:rPr>
                <w:w w:val="120"/>
                <w:sz w:val="20"/>
              </w:rPr>
              <w:t>Nothing recent that is of special relevance.</w:t>
            </w:r>
          </w:p>
        </w:tc>
      </w:tr>
      <w:tr>
        <w:trPr>
          <w:trHeight w:val="646" w:hRule="atLeast"/>
        </w:trPr>
        <w:tc>
          <w:tcPr>
            <w:tcW w:w="2263" w:type="dxa"/>
            <w:shd w:val="clear" w:color="auto" w:fill="FFFFFF"/>
          </w:tcPr>
          <w:p>
            <w:pPr>
              <w:pStyle w:val="TableParagraph"/>
              <w:spacing w:line="213" w:lineRule="auto" w:before="117"/>
              <w:ind w:left="80" w:right="179"/>
              <w:rPr>
                <w:rFonts w:ascii="Stone Sans II ITC Std Bk"/>
                <w:b/>
                <w:sz w:val="20"/>
              </w:rPr>
            </w:pPr>
            <w:r>
              <w:rPr>
                <w:rFonts w:ascii="Stone Sans II ITC Std Bk"/>
                <w:b/>
                <w:w w:val="110"/>
                <w:sz w:val="20"/>
              </w:rPr>
              <w:t>Consultation has taken place with...</w:t>
            </w:r>
          </w:p>
        </w:tc>
        <w:tc>
          <w:tcPr>
            <w:tcW w:w="7433" w:type="dxa"/>
            <w:shd w:val="clear" w:color="auto" w:fill="FFFFFF"/>
          </w:tcPr>
          <w:p>
            <w:pPr>
              <w:pStyle w:val="TableParagraph"/>
              <w:spacing w:before="108"/>
              <w:ind w:left="79"/>
              <w:rPr>
                <w:sz w:val="20"/>
              </w:rPr>
            </w:pPr>
            <w:r>
              <w:rPr>
                <w:w w:val="120"/>
                <w:sz w:val="20"/>
              </w:rPr>
              <w:t>Initially within the Law and Polity Advisory Group, then in Mission Council.</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263"/>
        <w:gridCol w:w="7433"/>
      </w:tblGrid>
      <w:tr>
        <w:trPr>
          <w:trHeight w:val="406" w:hRule="atLeast"/>
        </w:trPr>
        <w:tc>
          <w:tcPr>
            <w:tcW w:w="2263"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7433" w:type="dxa"/>
            <w:shd w:val="clear" w:color="auto" w:fill="FFFFFF"/>
          </w:tcPr>
          <w:p>
            <w:pPr>
              <w:pStyle w:val="TableParagraph"/>
              <w:spacing w:before="108"/>
              <w:ind w:left="79"/>
              <w:rPr>
                <w:sz w:val="20"/>
              </w:rPr>
            </w:pPr>
            <w:r>
              <w:rPr>
                <w:w w:val="125"/>
                <w:sz w:val="20"/>
              </w:rPr>
              <w:t>None.</w:t>
            </w:r>
          </w:p>
        </w:tc>
      </w:tr>
      <w:tr>
        <w:trPr>
          <w:trHeight w:val="646" w:hRule="atLeast"/>
        </w:trPr>
        <w:tc>
          <w:tcPr>
            <w:tcW w:w="2263"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7433" w:type="dxa"/>
            <w:shd w:val="clear" w:color="auto" w:fill="FFFFFF"/>
          </w:tcPr>
          <w:p>
            <w:pPr>
              <w:pStyle w:val="TableParagraph"/>
              <w:spacing w:line="235" w:lineRule="auto" w:before="111"/>
              <w:ind w:left="79" w:right="17"/>
              <w:rPr>
                <w:sz w:val="20"/>
              </w:rPr>
            </w:pPr>
            <w:r>
              <w:rPr>
                <w:w w:val="120"/>
                <w:sz w:val="20"/>
              </w:rPr>
              <w:t>This affirmation makes clearer our high view of the role of elders, which can be a topic of ecumenical interest, enquiry and even challenge.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7"/>
        <w:rPr>
          <w:rFonts w:ascii="Stone Sans II ITC Std Bk"/>
          <w:b/>
          <w:sz w:val="23"/>
        </w:rPr>
      </w:pPr>
    </w:p>
    <w:p>
      <w:pPr>
        <w:spacing w:before="0"/>
        <w:ind w:left="547" w:right="0" w:firstLine="0"/>
        <w:jc w:val="left"/>
        <w:rPr>
          <w:sz w:val="23"/>
        </w:rPr>
      </w:pPr>
      <w:r>
        <w:rPr>
          <w:rFonts w:ascii="Stone Sans II ITC Std X Bd" w:hAnsi="Stone Sans II ITC Std X Bd"/>
          <w:b/>
          <w:w w:val="110"/>
          <w:sz w:val="24"/>
        </w:rPr>
        <w:t>20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94"/>
          <w:footerReference w:type="even" r:id="rId95"/>
          <w:pgSz w:w="11910" w:h="16840"/>
          <w:pgMar w:header="0" w:footer="0" w:top="0" w:bottom="0" w:left="700" w:right="0"/>
        </w:sectPr>
      </w:pPr>
    </w:p>
    <w:p>
      <w:pPr>
        <w:pStyle w:val="BodyText"/>
      </w:pPr>
      <w:r>
        <w:rPr/>
        <w:drawing>
          <wp:anchor distT="0" distB="0" distL="0" distR="0" allowOverlap="1" layoutInCell="1" locked="0" behindDoc="0" simplePos="0" relativeHeight="251728896">
            <wp:simplePos x="0" y="0"/>
            <wp:positionH relativeFrom="page">
              <wp:posOffset>6974928</wp:posOffset>
            </wp:positionH>
            <wp:positionV relativeFrom="page">
              <wp:posOffset>0</wp:posOffset>
            </wp:positionV>
            <wp:extent cx="585063" cy="10692003"/>
            <wp:effectExtent l="0" t="0" r="0" b="0"/>
            <wp:wrapNone/>
            <wp:docPr id="37" name="image24.png"/>
            <wp:cNvGraphicFramePr>
              <a:graphicFrameLocks noChangeAspect="1"/>
            </wp:cNvGraphicFramePr>
            <a:graphic>
              <a:graphicData uri="http://schemas.openxmlformats.org/drawingml/2006/picture">
                <pic:pic>
                  <pic:nvPicPr>
                    <pic:cNvPr id="38"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rPr>
          <w:sz w:val="29"/>
        </w:rPr>
      </w:pPr>
    </w:p>
    <w:p>
      <w:pPr>
        <w:spacing w:before="90"/>
        <w:ind w:left="1287" w:right="1245" w:firstLine="0"/>
        <w:jc w:val="center"/>
        <w:rPr>
          <w:rFonts w:ascii="Stone Sans II ITC Std Bk"/>
          <w:b/>
          <w:sz w:val="50"/>
        </w:rPr>
      </w:pPr>
      <w:r>
        <w:rPr/>
        <w:pict>
          <v:shape style="position:absolute;margin-left:554.141174pt;margin-top:-6.348083pt;width:26pt;height:348.9pt;mso-position-horizontal-relative:page;mso-position-vertical-relative:paragraph;z-index:25172992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four – </w:t>
                  </w:r>
                  <w:r>
                    <w:rPr>
                      <w:rFonts w:ascii="Stone Sans II ITC Std Lt" w:hAnsi="Stone Sans II ITC Std Lt"/>
                      <w:b w:val="0"/>
                      <w:w w:val="120"/>
                      <w:sz w:val="39"/>
                    </w:rPr>
                    <w:t>The role of elders</w:t>
                  </w:r>
                </w:p>
              </w:txbxContent>
            </v:textbox>
            <w10:wrap type="none"/>
          </v:shape>
        </w:pict>
      </w:r>
      <w:r>
        <w:rPr>
          <w:rFonts w:ascii="Stone Sans II ITC Std Bk"/>
          <w:b/>
          <w:color w:val="0090D4"/>
          <w:w w:val="110"/>
          <w:sz w:val="50"/>
        </w:rPr>
        <w:t>Appendix four</w:t>
      </w:r>
    </w:p>
    <w:p>
      <w:pPr>
        <w:spacing w:line="213" w:lineRule="auto" w:before="140"/>
        <w:ind w:left="2210" w:right="2171" w:hanging="1"/>
        <w:jc w:val="center"/>
        <w:rPr>
          <w:rFonts w:ascii="Stone Sans II ITC Std X Bd"/>
          <w:b/>
          <w:sz w:val="50"/>
        </w:rPr>
      </w:pPr>
      <w:r>
        <w:rPr>
          <w:rFonts w:ascii="Stone Sans II ITC Std X Bd"/>
          <w:b/>
          <w:spacing w:val="-6"/>
          <w:w w:val="110"/>
          <w:sz w:val="50"/>
        </w:rPr>
        <w:t>The </w:t>
      </w:r>
      <w:r>
        <w:rPr>
          <w:rFonts w:ascii="Stone Sans II ITC Std X Bd"/>
          <w:b/>
          <w:spacing w:val="-9"/>
          <w:w w:val="110"/>
          <w:sz w:val="50"/>
        </w:rPr>
        <w:t>role </w:t>
      </w:r>
      <w:r>
        <w:rPr>
          <w:rFonts w:ascii="Stone Sans II ITC Std X Bd"/>
          <w:b/>
          <w:spacing w:val="-5"/>
          <w:w w:val="110"/>
          <w:sz w:val="50"/>
        </w:rPr>
        <w:t>of </w:t>
      </w:r>
      <w:r>
        <w:rPr>
          <w:rFonts w:ascii="Stone Sans II ITC Std X Bd"/>
          <w:b/>
          <w:spacing w:val="-8"/>
          <w:w w:val="110"/>
          <w:sz w:val="50"/>
        </w:rPr>
        <w:t>elders </w:t>
      </w:r>
      <w:r>
        <w:rPr>
          <w:rFonts w:ascii="Stone Sans II ITC Std X Bd"/>
          <w:b/>
          <w:spacing w:val="-6"/>
          <w:w w:val="110"/>
          <w:sz w:val="50"/>
        </w:rPr>
        <w:t>in </w:t>
      </w:r>
      <w:r>
        <w:rPr>
          <w:rFonts w:ascii="Stone Sans II ITC Std X Bd"/>
          <w:b/>
          <w:spacing w:val="-8"/>
          <w:w w:val="110"/>
          <w:sz w:val="50"/>
        </w:rPr>
        <w:t>the </w:t>
      </w:r>
      <w:r>
        <w:rPr>
          <w:rFonts w:ascii="Stone Sans II ITC Std X Bd"/>
          <w:b/>
          <w:spacing w:val="-9"/>
          <w:w w:val="110"/>
          <w:sz w:val="50"/>
        </w:rPr>
        <w:t>United </w:t>
      </w:r>
      <w:r>
        <w:rPr>
          <w:rFonts w:ascii="Stone Sans II ITC Std X Bd"/>
          <w:b/>
          <w:spacing w:val="-8"/>
          <w:w w:val="110"/>
          <w:sz w:val="50"/>
        </w:rPr>
        <w:t>Reformed </w:t>
      </w:r>
      <w:r>
        <w:rPr>
          <w:rFonts w:ascii="Stone Sans II ITC Std X Bd"/>
          <w:b/>
          <w:spacing w:val="-10"/>
          <w:w w:val="110"/>
          <w:sz w:val="50"/>
        </w:rPr>
        <w:t>Church</w:t>
      </w:r>
    </w:p>
    <w:p>
      <w:pPr>
        <w:pStyle w:val="ListParagraph"/>
        <w:numPr>
          <w:ilvl w:val="0"/>
          <w:numId w:val="17"/>
        </w:numPr>
        <w:tabs>
          <w:tab w:pos="1964" w:val="left" w:leader="none"/>
          <w:tab w:pos="1965" w:val="left" w:leader="none"/>
        </w:tabs>
        <w:spacing w:line="235" w:lineRule="auto" w:before="382" w:after="0"/>
        <w:ind w:left="1284" w:right="1380" w:firstLine="0"/>
        <w:jc w:val="left"/>
        <w:rPr>
          <w:sz w:val="20"/>
        </w:rPr>
      </w:pPr>
      <w:r>
        <w:rPr>
          <w:w w:val="120"/>
          <w:sz w:val="20"/>
        </w:rPr>
        <w:t>Mission Council has become increasingly aware in recent years of the vital role played in our local congregations by the elders of our Church. </w:t>
      </w:r>
      <w:r>
        <w:rPr>
          <w:spacing w:val="3"/>
          <w:w w:val="120"/>
          <w:sz w:val="20"/>
        </w:rPr>
        <w:t>As </w:t>
      </w:r>
      <w:r>
        <w:rPr>
          <w:w w:val="120"/>
          <w:sz w:val="20"/>
        </w:rPr>
        <w:t>church memberships have become smaller, and multi-church pastorates have become increasingly the rule, much that might have been handled in congregations in former times by the minister has passed to elders, particularly the church secretary or</w:t>
      </w:r>
      <w:r>
        <w:rPr>
          <w:spacing w:val="10"/>
          <w:w w:val="120"/>
          <w:sz w:val="20"/>
        </w:rPr>
        <w:t> </w:t>
      </w:r>
      <w:r>
        <w:rPr>
          <w:w w:val="120"/>
          <w:sz w:val="20"/>
        </w:rPr>
        <w:t>treasurer.</w:t>
      </w:r>
    </w:p>
    <w:p>
      <w:pPr>
        <w:pStyle w:val="BodyText"/>
        <w:spacing w:before="11"/>
        <w:rPr>
          <w:sz w:val="19"/>
        </w:rPr>
      </w:pPr>
    </w:p>
    <w:p>
      <w:pPr>
        <w:pStyle w:val="ListParagraph"/>
        <w:numPr>
          <w:ilvl w:val="0"/>
          <w:numId w:val="17"/>
        </w:numPr>
        <w:tabs>
          <w:tab w:pos="1964" w:val="left" w:leader="none"/>
          <w:tab w:pos="1965" w:val="left" w:leader="none"/>
        </w:tabs>
        <w:spacing w:line="235" w:lineRule="auto" w:before="0" w:after="0"/>
        <w:ind w:left="1284" w:right="1615" w:firstLine="0"/>
        <w:jc w:val="left"/>
        <w:rPr>
          <w:sz w:val="20"/>
        </w:rPr>
      </w:pPr>
      <w:r>
        <w:rPr>
          <w:w w:val="120"/>
          <w:sz w:val="20"/>
        </w:rPr>
        <w:t>The Basis of Union recognises the eldership as a ministry within the Church in section </w:t>
      </w:r>
      <w:r>
        <w:rPr>
          <w:spacing w:val="-3"/>
          <w:w w:val="120"/>
          <w:sz w:val="20"/>
        </w:rPr>
        <w:t>23, </w:t>
      </w:r>
      <w:r>
        <w:rPr>
          <w:w w:val="120"/>
          <w:sz w:val="20"/>
        </w:rPr>
        <w:t>and specifies their role in two</w:t>
      </w:r>
      <w:r>
        <w:rPr>
          <w:spacing w:val="19"/>
          <w:w w:val="120"/>
          <w:sz w:val="20"/>
        </w:rPr>
        <w:t> </w:t>
      </w:r>
      <w:r>
        <w:rPr>
          <w:w w:val="120"/>
          <w:sz w:val="20"/>
        </w:rPr>
        <w:t>sentences:</w:t>
      </w:r>
    </w:p>
    <w:p>
      <w:pPr>
        <w:pStyle w:val="BodyText"/>
        <w:spacing w:before="4"/>
      </w:pPr>
    </w:p>
    <w:p>
      <w:pPr>
        <w:pStyle w:val="Heading8"/>
        <w:spacing w:line="213" w:lineRule="auto"/>
        <w:ind w:left="1964" w:right="1283" w:firstLine="0"/>
      </w:pPr>
      <w:r>
        <w:rPr>
          <w:w w:val="110"/>
        </w:rPr>
        <w:t>‘[Elders] share with Ministers of the Word and Sacraments in the pastoral oversight and leadership of the local churches, taking counsel together in the elders’ meeting and having severally groups of members particularly entrusted to their pastoral care. They shall be associated with ministers in all the councils of the church.’</w:t>
      </w:r>
    </w:p>
    <w:p>
      <w:pPr>
        <w:pStyle w:val="BodyText"/>
        <w:spacing w:before="1"/>
        <w:rPr>
          <w:rFonts w:ascii="Stone Sans II ITC Std Bk"/>
          <w:b/>
          <w:sz w:val="17"/>
        </w:rPr>
      </w:pPr>
    </w:p>
    <w:p>
      <w:pPr>
        <w:pStyle w:val="ListParagraph"/>
        <w:numPr>
          <w:ilvl w:val="1"/>
          <w:numId w:val="18"/>
        </w:numPr>
        <w:tabs>
          <w:tab w:pos="1964" w:val="left" w:leader="none"/>
          <w:tab w:pos="1965" w:val="left" w:leader="none"/>
        </w:tabs>
        <w:spacing w:line="235" w:lineRule="auto" w:before="0" w:after="0"/>
        <w:ind w:left="1284" w:right="1823" w:firstLine="0"/>
        <w:jc w:val="left"/>
        <w:rPr>
          <w:sz w:val="20"/>
        </w:rPr>
      </w:pPr>
      <w:r>
        <w:rPr>
          <w:spacing w:val="-5"/>
          <w:w w:val="120"/>
          <w:sz w:val="20"/>
        </w:rPr>
        <w:t>Yet </w:t>
      </w:r>
      <w:r>
        <w:rPr>
          <w:w w:val="120"/>
          <w:sz w:val="20"/>
        </w:rPr>
        <w:t>if one turns to Schedule B, the affirmations made by elders are primarily doctrinal and only the fourth concerns the eldership as</w:t>
      </w:r>
      <w:r>
        <w:rPr>
          <w:spacing w:val="23"/>
          <w:w w:val="120"/>
          <w:sz w:val="20"/>
        </w:rPr>
        <w:t> </w:t>
      </w:r>
      <w:r>
        <w:rPr>
          <w:w w:val="120"/>
          <w:sz w:val="20"/>
        </w:rPr>
        <w:t>such:</w:t>
      </w:r>
    </w:p>
    <w:p>
      <w:pPr>
        <w:pStyle w:val="BodyText"/>
        <w:spacing w:before="3"/>
      </w:pPr>
    </w:p>
    <w:p>
      <w:pPr>
        <w:pStyle w:val="Heading8"/>
        <w:spacing w:line="213" w:lineRule="auto"/>
        <w:ind w:left="1964" w:right="1283" w:firstLine="0"/>
      </w:pPr>
      <w:r>
        <w:rPr>
          <w:w w:val="110"/>
        </w:rPr>
        <w:t>‘Do you accept the office of elder in the United Reformed Church in this congregation and do you promise to perform its duties faithfully?’</w:t>
      </w:r>
    </w:p>
    <w:p>
      <w:pPr>
        <w:pStyle w:val="BodyText"/>
        <w:spacing w:before="3"/>
        <w:rPr>
          <w:rFonts w:ascii="Stone Sans II ITC Std Bk"/>
          <w:b/>
          <w:sz w:val="17"/>
        </w:rPr>
      </w:pPr>
    </w:p>
    <w:p>
      <w:pPr>
        <w:pStyle w:val="ListParagraph"/>
        <w:numPr>
          <w:ilvl w:val="1"/>
          <w:numId w:val="18"/>
        </w:numPr>
        <w:tabs>
          <w:tab w:pos="1964" w:val="left" w:leader="none"/>
          <w:tab w:pos="1965" w:val="left" w:leader="none"/>
        </w:tabs>
        <w:spacing w:line="235" w:lineRule="auto" w:before="0" w:after="0"/>
        <w:ind w:left="1284" w:right="1249" w:firstLine="0"/>
        <w:jc w:val="left"/>
        <w:rPr>
          <w:sz w:val="20"/>
        </w:rPr>
      </w:pPr>
      <w:r>
        <w:rPr>
          <w:spacing w:val="-7"/>
          <w:w w:val="120"/>
          <w:sz w:val="20"/>
        </w:rPr>
        <w:t>To </w:t>
      </w:r>
      <w:r>
        <w:rPr>
          <w:w w:val="120"/>
          <w:sz w:val="20"/>
        </w:rPr>
        <w:t>discover these duties, one has to turn to ‘The Structure’, paragraph 2.2, which concerns the duties of the elders’ meeting, rather than elders individually.</w:t>
      </w:r>
      <w:r>
        <w:rPr>
          <w:spacing w:val="35"/>
          <w:w w:val="120"/>
          <w:sz w:val="20"/>
        </w:rPr>
        <w:t> </w:t>
      </w:r>
      <w:r>
        <w:rPr>
          <w:w w:val="120"/>
          <w:sz w:val="20"/>
        </w:rPr>
        <w:t>Assembly</w:t>
      </w:r>
    </w:p>
    <w:p>
      <w:pPr>
        <w:pStyle w:val="BodyText"/>
        <w:spacing w:line="235" w:lineRule="auto" w:before="1"/>
        <w:ind w:left="1284" w:right="1283"/>
      </w:pPr>
      <w:r>
        <w:rPr>
          <w:w w:val="120"/>
        </w:rPr>
        <w:t>did agree guidelines on conduct and behaviour for elders in 2010 (resolution 12) but awareness of these seems to have been patchy.</w:t>
      </w:r>
    </w:p>
    <w:p>
      <w:pPr>
        <w:pStyle w:val="BodyText"/>
        <w:spacing w:before="10"/>
        <w:rPr>
          <w:sz w:val="19"/>
        </w:rPr>
      </w:pPr>
    </w:p>
    <w:p>
      <w:pPr>
        <w:pStyle w:val="ListParagraph"/>
        <w:numPr>
          <w:ilvl w:val="1"/>
          <w:numId w:val="18"/>
        </w:numPr>
        <w:tabs>
          <w:tab w:pos="1964" w:val="left" w:leader="none"/>
          <w:tab w:pos="1965" w:val="left" w:leader="none"/>
        </w:tabs>
        <w:spacing w:line="235" w:lineRule="auto" w:before="0" w:after="0"/>
        <w:ind w:left="1284" w:right="1614" w:firstLine="0"/>
        <w:jc w:val="left"/>
        <w:rPr>
          <w:sz w:val="20"/>
        </w:rPr>
      </w:pPr>
      <w:r>
        <w:rPr>
          <w:w w:val="120"/>
          <w:sz w:val="20"/>
        </w:rPr>
        <w:t>In particular, the representative role of elders in the wider church, specifically mentioned in the Basis of Union, is not reflected in Schedule</w:t>
      </w:r>
      <w:r>
        <w:rPr>
          <w:spacing w:val="24"/>
          <w:w w:val="120"/>
          <w:sz w:val="20"/>
        </w:rPr>
        <w:t> </w:t>
      </w:r>
      <w:r>
        <w:rPr>
          <w:w w:val="120"/>
          <w:sz w:val="20"/>
        </w:rPr>
        <w:t>B.</w:t>
      </w:r>
    </w:p>
    <w:p>
      <w:pPr>
        <w:pStyle w:val="BodyText"/>
        <w:spacing w:before="9"/>
        <w:rPr>
          <w:sz w:val="19"/>
        </w:rPr>
      </w:pPr>
    </w:p>
    <w:p>
      <w:pPr>
        <w:pStyle w:val="ListParagraph"/>
        <w:numPr>
          <w:ilvl w:val="0"/>
          <w:numId w:val="19"/>
        </w:numPr>
        <w:tabs>
          <w:tab w:pos="1964" w:val="left" w:leader="none"/>
          <w:tab w:pos="1965" w:val="left" w:leader="none"/>
        </w:tabs>
        <w:spacing w:line="235" w:lineRule="auto" w:before="0" w:after="0"/>
        <w:ind w:left="1284" w:right="1290" w:firstLine="0"/>
        <w:jc w:val="left"/>
        <w:rPr>
          <w:sz w:val="20"/>
        </w:rPr>
      </w:pPr>
      <w:r>
        <w:rPr>
          <w:w w:val="120"/>
          <w:sz w:val="20"/>
        </w:rPr>
        <w:t>The law and polity advisory group has discussed this matter often and recently recommended to Mission Council that a further question be added to Schedule B. This  is based on question 8 in Schedule C (for </w:t>
      </w:r>
      <w:r>
        <w:rPr>
          <w:spacing w:val="-3"/>
          <w:w w:val="120"/>
          <w:sz w:val="20"/>
        </w:rPr>
        <w:t>ministers); </w:t>
      </w:r>
      <w:r>
        <w:rPr>
          <w:w w:val="120"/>
          <w:sz w:val="20"/>
        </w:rPr>
        <w:t>it concerns first, the well-being, unity and peace of the whole United Reformed Church, secondly, love towards all other churches, and finally, building up the one, </w:t>
      </w:r>
      <w:r>
        <w:rPr>
          <w:spacing w:val="-3"/>
          <w:w w:val="120"/>
          <w:sz w:val="20"/>
        </w:rPr>
        <w:t>holy, </w:t>
      </w:r>
      <w:r>
        <w:rPr>
          <w:w w:val="120"/>
          <w:sz w:val="20"/>
        </w:rPr>
        <w:t>catholic and apostolic Church – whilst recognising that for elders this is a corporate</w:t>
      </w:r>
      <w:r>
        <w:rPr>
          <w:spacing w:val="15"/>
          <w:w w:val="120"/>
          <w:sz w:val="20"/>
        </w:rPr>
        <w:t> </w:t>
      </w:r>
      <w:r>
        <w:rPr>
          <w:w w:val="120"/>
          <w:sz w:val="20"/>
        </w:rPr>
        <w:t>responsibility.</w:t>
      </w:r>
    </w:p>
    <w:p>
      <w:pPr>
        <w:pStyle w:val="BodyText"/>
      </w:pPr>
    </w:p>
    <w:p>
      <w:pPr>
        <w:pStyle w:val="ListParagraph"/>
        <w:numPr>
          <w:ilvl w:val="0"/>
          <w:numId w:val="19"/>
        </w:numPr>
        <w:tabs>
          <w:tab w:pos="1964" w:val="left" w:leader="none"/>
          <w:tab w:pos="1965" w:val="left" w:leader="none"/>
        </w:tabs>
        <w:spacing w:line="235" w:lineRule="auto" w:before="0" w:after="0"/>
        <w:ind w:left="1284" w:right="1640" w:firstLine="0"/>
        <w:jc w:val="left"/>
        <w:rPr>
          <w:sz w:val="20"/>
        </w:rPr>
      </w:pPr>
      <w:r>
        <w:rPr>
          <w:w w:val="120"/>
          <w:sz w:val="20"/>
        </w:rPr>
        <w:t>One elder in Mission Council welcomed such a question as giving a broader sense of the responsibility of elders within the Church, and it is in that spirit that this resolution is proposed. Mission Council therefore commends it to the</w:t>
      </w:r>
      <w:r>
        <w:rPr>
          <w:spacing w:val="28"/>
          <w:w w:val="120"/>
          <w:sz w:val="20"/>
        </w:rPr>
        <w:t> </w:t>
      </w:r>
      <w:r>
        <w:rPr>
          <w:w w:val="120"/>
          <w:sz w:val="20"/>
        </w:rPr>
        <w:t>Assembly.</w:t>
      </w:r>
    </w:p>
    <w:p>
      <w:pPr>
        <w:pStyle w:val="BodyText"/>
        <w:spacing w:before="10"/>
        <w:rPr>
          <w:sz w:val="19"/>
        </w:rPr>
      </w:pPr>
    </w:p>
    <w:p>
      <w:pPr>
        <w:pStyle w:val="ListParagraph"/>
        <w:numPr>
          <w:ilvl w:val="0"/>
          <w:numId w:val="19"/>
        </w:numPr>
        <w:tabs>
          <w:tab w:pos="1964" w:val="left" w:leader="none"/>
          <w:tab w:pos="1965" w:val="left" w:leader="none"/>
        </w:tabs>
        <w:spacing w:line="235" w:lineRule="auto" w:before="1" w:after="0"/>
        <w:ind w:left="1284" w:right="1352" w:firstLine="0"/>
        <w:jc w:val="left"/>
        <w:rPr>
          <w:sz w:val="20"/>
        </w:rPr>
      </w:pPr>
      <w:r>
        <w:rPr>
          <w:w w:val="120"/>
          <w:sz w:val="20"/>
        </w:rPr>
        <w:t>Since such an addition would involve a change in the Basis of Union, it would need to be referred to synods, and since it affects all local churches, probably to all congregations as well. If the resolution is agreed, the General Secretary will outline the relevant procedure and seek Assembly’s approval for using</w:t>
      </w:r>
      <w:r>
        <w:rPr>
          <w:spacing w:val="17"/>
          <w:w w:val="120"/>
          <w:sz w:val="20"/>
        </w:rPr>
        <w:t> </w:t>
      </w:r>
      <w:r>
        <w:rPr>
          <w:w w:val="120"/>
          <w:sz w:val="20"/>
        </w:rPr>
        <w:t>it.</w:t>
      </w:r>
    </w:p>
    <w:p>
      <w:pPr>
        <w:spacing w:after="0" w:line="235" w:lineRule="auto"/>
        <w:jc w:val="left"/>
        <w:rPr>
          <w:sz w:val="20"/>
        </w:rPr>
        <w:sectPr>
          <w:headerReference w:type="default" r:id="rId97"/>
          <w:footerReference w:type="default" r:id="rId98"/>
          <w:pgSz w:w="11910" w:h="16840"/>
          <w:pgMar w:header="0" w:footer="647" w:top="0" w:bottom="840" w:left="700" w:right="0"/>
          <w:pgNumType w:start="21"/>
        </w:sectPr>
      </w:pPr>
    </w:p>
    <w:p>
      <w:pPr>
        <w:pStyle w:val="BodyText"/>
      </w:pPr>
      <w:r>
        <w:rPr/>
        <w:pict>
          <v:rect style="position:absolute;margin-left:46.777pt;margin-top:.000015pt;width:548.498pt;height:841.89pt;mso-position-horizontal-relative:page;mso-position-vertical-relative:page;z-index:-267552768" filled="true" fillcolor="#fef4df" stroked="false">
            <v:fill type="solid"/>
            <w10:wrap type="none"/>
          </v:rect>
        </w:pict>
      </w:r>
      <w:r>
        <w:rPr/>
        <w:drawing>
          <wp:anchor distT="0" distB="0" distL="0" distR="0" allowOverlap="1" layoutInCell="1" locked="0" behindDoc="1" simplePos="0" relativeHeight="235764736">
            <wp:simplePos x="0" y="0"/>
            <wp:positionH relativeFrom="page">
              <wp:posOffset>0</wp:posOffset>
            </wp:positionH>
            <wp:positionV relativeFrom="page">
              <wp:posOffset>0</wp:posOffset>
            </wp:positionV>
            <wp:extent cx="594067" cy="10692003"/>
            <wp:effectExtent l="0" t="0" r="0" b="0"/>
            <wp:wrapNone/>
            <wp:docPr id="39" name="image51.png"/>
            <wp:cNvGraphicFramePr>
              <a:graphicFrameLocks noChangeAspect="1"/>
            </wp:cNvGraphicFramePr>
            <a:graphic>
              <a:graphicData uri="http://schemas.openxmlformats.org/drawingml/2006/picture">
                <pic:pic>
                  <pic:nvPicPr>
                    <pic:cNvPr id="40"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5072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ight="2486"/>
        <w:rPr>
          <w:b/>
        </w:rPr>
      </w:pPr>
      <w:bookmarkStart w:name="_bookmark6" w:id="7"/>
      <w:bookmarkEnd w:id="7"/>
      <w:r>
        <w:rPr>
          <w:b w:val="0"/>
        </w:rPr>
      </w:r>
      <w:r>
        <w:rPr>
          <w:b/>
          <w:color w:val="F1B400"/>
          <w:w w:val="110"/>
        </w:rPr>
        <w:t>Mission Council appendix five </w:t>
      </w:r>
      <w:r>
        <w:rPr>
          <w:b/>
          <w:w w:val="110"/>
        </w:rPr>
        <w:t>Report from the 20-40 task group</w:t>
      </w:r>
    </w:p>
    <w:p>
      <w:pPr>
        <w:spacing w:before="354"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before="108"/>
              <w:ind w:left="79"/>
              <w:rPr>
                <w:sz w:val="20"/>
              </w:rPr>
            </w:pPr>
            <w:r>
              <w:rPr>
                <w:w w:val="120"/>
                <w:sz w:val="20"/>
              </w:rPr>
              <w:t>Victoria Paulding: </w:t>
            </w:r>
            <w:hyperlink r:id="rId101">
              <w:r>
                <w:rPr>
                  <w:color w:val="006AB3"/>
                  <w:w w:val="120"/>
                  <w:sz w:val="20"/>
                </w:rPr>
                <w:t>victoria.paulding@ntlworld.com</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8"/>
              <w:ind w:left="79"/>
              <w:rPr>
                <w:sz w:val="20"/>
              </w:rPr>
            </w:pPr>
            <w:r>
              <w:rPr>
                <w:w w:val="120"/>
                <w:sz w:val="20"/>
              </w:rPr>
              <w:t>Reflection and response, over the years, across the Church.</w:t>
            </w:r>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spacing w:before="95"/>
              <w:ind w:left="79"/>
              <w:rPr>
                <w:rFonts w:ascii="Stone Sans II ITC Std Bk"/>
                <w:b/>
                <w:sz w:val="20"/>
              </w:rPr>
            </w:pPr>
            <w:r>
              <w:rPr>
                <w:rFonts w:ascii="Stone Sans II ITC Std Bk"/>
                <w:b/>
                <w:w w:val="110"/>
                <w:sz w:val="20"/>
              </w:rPr>
              <w:t>No specific resolutions; a variety of serious insights.</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64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line="235" w:lineRule="auto" w:before="111"/>
              <w:ind w:left="79" w:right="531"/>
              <w:rPr>
                <w:sz w:val="20"/>
              </w:rPr>
            </w:pPr>
            <w:r>
              <w:rPr>
                <w:spacing w:val="-7"/>
                <w:w w:val="125"/>
                <w:sz w:val="20"/>
              </w:rPr>
              <w:t>To</w:t>
            </w:r>
            <w:r>
              <w:rPr>
                <w:spacing w:val="-15"/>
                <w:w w:val="125"/>
                <w:sz w:val="20"/>
              </w:rPr>
              <w:t> </w:t>
            </w:r>
            <w:r>
              <w:rPr>
                <w:w w:val="125"/>
                <w:sz w:val="20"/>
              </w:rPr>
              <w:t>consider</w:t>
            </w:r>
            <w:r>
              <w:rPr>
                <w:spacing w:val="-14"/>
                <w:w w:val="125"/>
                <w:sz w:val="20"/>
              </w:rPr>
              <w:t> </w:t>
            </w:r>
            <w:r>
              <w:rPr>
                <w:w w:val="125"/>
                <w:sz w:val="20"/>
              </w:rPr>
              <w:t>how</w:t>
            </w:r>
            <w:r>
              <w:rPr>
                <w:spacing w:val="-15"/>
                <w:w w:val="125"/>
                <w:sz w:val="20"/>
              </w:rPr>
              <w:t> </w:t>
            </w:r>
            <w:r>
              <w:rPr>
                <w:w w:val="125"/>
                <w:sz w:val="20"/>
              </w:rPr>
              <w:t>the</w:t>
            </w:r>
            <w:r>
              <w:rPr>
                <w:spacing w:val="-14"/>
                <w:w w:val="125"/>
                <w:sz w:val="20"/>
              </w:rPr>
              <w:t> </w:t>
            </w:r>
            <w:r>
              <w:rPr>
                <w:w w:val="125"/>
                <w:sz w:val="20"/>
              </w:rPr>
              <w:t>Church</w:t>
            </w:r>
            <w:r>
              <w:rPr>
                <w:spacing w:val="-15"/>
                <w:w w:val="125"/>
                <w:sz w:val="20"/>
              </w:rPr>
              <w:t> </w:t>
            </w:r>
            <w:r>
              <w:rPr>
                <w:w w:val="125"/>
                <w:sz w:val="20"/>
              </w:rPr>
              <w:t>might</w:t>
            </w:r>
            <w:r>
              <w:rPr>
                <w:spacing w:val="-14"/>
                <w:w w:val="125"/>
                <w:sz w:val="20"/>
              </w:rPr>
              <w:t> </w:t>
            </w:r>
            <w:r>
              <w:rPr>
                <w:w w:val="125"/>
                <w:sz w:val="20"/>
              </w:rPr>
              <w:t>improve</w:t>
            </w:r>
            <w:r>
              <w:rPr>
                <w:spacing w:val="-15"/>
                <w:w w:val="125"/>
                <w:sz w:val="20"/>
              </w:rPr>
              <w:t> </w:t>
            </w:r>
            <w:r>
              <w:rPr>
                <w:w w:val="125"/>
                <w:sz w:val="20"/>
              </w:rPr>
              <w:t>its</w:t>
            </w:r>
            <w:r>
              <w:rPr>
                <w:spacing w:val="-14"/>
                <w:w w:val="125"/>
                <w:sz w:val="20"/>
              </w:rPr>
              <w:t> </w:t>
            </w:r>
            <w:r>
              <w:rPr>
                <w:w w:val="125"/>
                <w:sz w:val="20"/>
              </w:rPr>
              <w:t>engagement with people aged</w:t>
            </w:r>
            <w:r>
              <w:rPr>
                <w:spacing w:val="-2"/>
                <w:w w:val="125"/>
                <w:sz w:val="20"/>
              </w:rPr>
              <w:t> </w:t>
            </w:r>
            <w:r>
              <w:rPr>
                <w:spacing w:val="2"/>
                <w:w w:val="125"/>
                <w:sz w:val="20"/>
              </w:rPr>
              <w:t>20-40.</w:t>
            </w:r>
          </w:p>
        </w:tc>
      </w:tr>
      <w:tr>
        <w:trPr>
          <w:trHeight w:val="160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ight="327"/>
              <w:rPr>
                <w:sz w:val="20"/>
              </w:rPr>
            </w:pPr>
            <w:r>
              <w:rPr>
                <w:w w:val="120"/>
                <w:sz w:val="20"/>
              </w:rPr>
              <w:t>Church at best is relational, and it can only flourish by relating deeply to the variety of people within and around it. Church  at best is flexible, and patterns of church life that have worked in the past may not serve the future. People aged </w:t>
            </w:r>
            <w:r>
              <w:rPr>
                <w:spacing w:val="3"/>
                <w:w w:val="120"/>
                <w:sz w:val="20"/>
              </w:rPr>
              <w:t>20-40</w:t>
            </w:r>
            <w:r>
              <w:rPr>
                <w:spacing w:val="36"/>
                <w:w w:val="120"/>
                <w:sz w:val="20"/>
              </w:rPr>
              <w:t> </w:t>
            </w:r>
            <w:r>
              <w:rPr>
                <w:w w:val="120"/>
                <w:sz w:val="20"/>
              </w:rPr>
              <w:t>have</w:t>
            </w:r>
          </w:p>
          <w:p>
            <w:pPr>
              <w:pStyle w:val="TableParagraph"/>
              <w:spacing w:line="235" w:lineRule="auto" w:before="3"/>
              <w:ind w:left="79"/>
              <w:rPr>
                <w:sz w:val="20"/>
              </w:rPr>
            </w:pPr>
            <w:r>
              <w:rPr>
                <w:w w:val="120"/>
                <w:sz w:val="20"/>
              </w:rPr>
              <w:t>much to give, but may not fit easily into grooves of expectation and service that others have already prepared.</w:t>
            </w:r>
          </w:p>
        </w:tc>
      </w:tr>
      <w:tr>
        <w:trPr>
          <w:trHeight w:val="88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Pr>
                <w:sz w:val="20"/>
              </w:rPr>
            </w:pPr>
            <w:r>
              <w:rPr>
                <w:w w:val="120"/>
                <w:sz w:val="20"/>
              </w:rPr>
              <w:t>The resolution of Assembly 2012 that asked for the task group to be set up. Reports of the Task Group to Mission Council in 2016 and 2017.</w:t>
            </w:r>
          </w:p>
        </w:tc>
      </w:tr>
      <w:tr>
        <w:trPr>
          <w:trHeight w:val="64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35" w:lineRule="auto" w:before="111"/>
              <w:ind w:left="79"/>
              <w:rPr>
                <w:sz w:val="20"/>
              </w:rPr>
            </w:pPr>
            <w:r>
              <w:rPr>
                <w:w w:val="120"/>
                <w:sz w:val="20"/>
              </w:rPr>
              <w:t>Very widely, within the URC and with other Churches. The report gives details.</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before="108"/>
              <w:ind w:left="79"/>
              <w:rPr>
                <w:sz w:val="20"/>
              </w:rPr>
            </w:pPr>
            <w:r>
              <w:rPr>
                <w:w w:val="125"/>
                <w:sz w:val="20"/>
              </w:rPr>
              <w:t>None.</w:t>
            </w:r>
          </w:p>
        </w:tc>
      </w:tr>
      <w:tr>
        <w:trPr>
          <w:trHeight w:val="88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ight="202"/>
              <w:rPr>
                <w:sz w:val="20"/>
              </w:rPr>
            </w:pPr>
            <w:r>
              <w:rPr>
                <w:w w:val="120"/>
                <w:sz w:val="20"/>
              </w:rPr>
              <w:t>This paper is a call to self-examination, openness and flexibility. If we can respond to this call, then the external impact will be great, and not only on the 20-40 age-group.</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33"/>
        </w:rPr>
      </w:pPr>
    </w:p>
    <w:p>
      <w:pPr>
        <w:spacing w:before="0"/>
        <w:ind w:left="547" w:right="0" w:firstLine="0"/>
        <w:jc w:val="left"/>
        <w:rPr>
          <w:sz w:val="23"/>
        </w:rPr>
      </w:pPr>
      <w:r>
        <w:rPr>
          <w:rFonts w:ascii="Stone Sans II ITC Std X Bd" w:hAnsi="Stone Sans II ITC Std X Bd"/>
          <w:b/>
          <w:w w:val="110"/>
          <w:sz w:val="24"/>
        </w:rPr>
        <w:t>22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99"/>
          <w:footerReference w:type="even" r:id="rId100"/>
          <w:pgSz w:w="11910" w:h="16840"/>
          <w:pgMar w:header="0" w:footer="0" w:top="0" w:bottom="0" w:left="700" w:right="0"/>
        </w:sectPr>
      </w:pPr>
    </w:p>
    <w:p>
      <w:pPr>
        <w:pStyle w:val="BodyText"/>
      </w:pPr>
    </w:p>
    <w:p>
      <w:pPr>
        <w:pStyle w:val="BodyText"/>
        <w:spacing w:before="5"/>
        <w:rPr>
          <w:sz w:val="21"/>
        </w:rPr>
      </w:pPr>
    </w:p>
    <w:p>
      <w:pPr>
        <w:spacing w:after="0"/>
        <w:rPr>
          <w:sz w:val="21"/>
        </w:rPr>
        <w:sectPr>
          <w:headerReference w:type="default" r:id="rId102"/>
          <w:footerReference w:type="default" r:id="rId103"/>
          <w:footerReference w:type="even" r:id="rId104"/>
          <w:pgSz w:w="11910" w:h="16840"/>
          <w:pgMar w:header="0" w:footer="647" w:top="0" w:bottom="840" w:left="700" w:right="0"/>
          <w:pgNumType w:start="23"/>
        </w:sectPr>
      </w:pPr>
    </w:p>
    <w:p>
      <w:pPr>
        <w:pStyle w:val="BodyText"/>
        <w:rPr>
          <w:sz w:val="55"/>
        </w:rPr>
      </w:pPr>
    </w:p>
    <w:p>
      <w:pPr>
        <w:spacing w:before="0"/>
        <w:ind w:left="3706" w:right="0" w:firstLine="0"/>
        <w:jc w:val="left"/>
        <w:rPr>
          <w:rFonts w:ascii="Stone Sans II ITC Std Bk"/>
          <w:b/>
          <w:sz w:val="50"/>
        </w:rPr>
      </w:pPr>
      <w:r>
        <w:rPr>
          <w:rFonts w:ascii="Stone Sans II ITC Std Bk"/>
          <w:b/>
          <w:color w:val="0090D4"/>
          <w:spacing w:val="7"/>
          <w:w w:val="110"/>
          <w:sz w:val="50"/>
        </w:rPr>
        <w:t>Appendix</w:t>
      </w:r>
      <w:r>
        <w:rPr>
          <w:rFonts w:ascii="Stone Sans II ITC Std Bk"/>
          <w:b/>
          <w:color w:val="0090D4"/>
          <w:spacing w:val="78"/>
          <w:w w:val="110"/>
          <w:sz w:val="50"/>
        </w:rPr>
        <w:t> </w:t>
      </w:r>
      <w:r>
        <w:rPr>
          <w:rFonts w:ascii="Stone Sans II ITC Std Bk"/>
          <w:b/>
          <w:color w:val="0090D4"/>
          <w:w w:val="110"/>
          <w:sz w:val="50"/>
        </w:rPr>
        <w:t>five</w:t>
      </w:r>
    </w:p>
    <w:p>
      <w:pPr>
        <w:spacing w:before="108"/>
        <w:ind w:left="405" w:right="0" w:firstLine="0"/>
        <w:jc w:val="left"/>
        <w:rPr>
          <w:sz w:val="26"/>
        </w:rPr>
      </w:pPr>
      <w:r>
        <w:rPr/>
        <w:br w:type="column"/>
      </w:r>
      <w:r>
        <w:rPr>
          <w:color w:val="7EAABF"/>
          <w:w w:val="120"/>
          <w:sz w:val="26"/>
        </w:rPr>
        <w:t>Mission Council</w:t>
      </w:r>
    </w:p>
    <w:p>
      <w:pPr>
        <w:spacing w:after="0"/>
        <w:jc w:val="left"/>
        <w:rPr>
          <w:sz w:val="26"/>
        </w:rPr>
        <w:sectPr>
          <w:type w:val="continuous"/>
          <w:pgSz w:w="11910" w:h="16840"/>
          <w:pgMar w:top="1580" w:bottom="280" w:left="700" w:right="0"/>
          <w:cols w:num="2" w:equalWidth="0">
            <w:col w:w="7536" w:space="40"/>
            <w:col w:w="3634"/>
          </w:cols>
        </w:sectPr>
      </w:pPr>
    </w:p>
    <w:p>
      <w:pPr>
        <w:spacing w:line="213" w:lineRule="auto" w:before="140"/>
        <w:ind w:left="4143" w:right="2429" w:hanging="1673"/>
        <w:jc w:val="left"/>
        <w:rPr>
          <w:rFonts w:ascii="Stone Sans II ITC Std X Bd"/>
          <w:b/>
          <w:sz w:val="50"/>
        </w:rPr>
      </w:pPr>
      <w:r>
        <w:rPr/>
        <w:drawing>
          <wp:anchor distT="0" distB="0" distL="0" distR="0" allowOverlap="1" layoutInCell="1" locked="0" behindDoc="0" simplePos="0" relativeHeight="251734016">
            <wp:simplePos x="0" y="0"/>
            <wp:positionH relativeFrom="page">
              <wp:posOffset>6974928</wp:posOffset>
            </wp:positionH>
            <wp:positionV relativeFrom="page">
              <wp:posOffset>0</wp:posOffset>
            </wp:positionV>
            <wp:extent cx="585063" cy="10692003"/>
            <wp:effectExtent l="0" t="0" r="0" b="0"/>
            <wp:wrapNone/>
            <wp:docPr id="41" name="image24.png"/>
            <wp:cNvGraphicFramePr>
              <a:graphicFrameLocks noChangeAspect="1"/>
            </wp:cNvGraphicFramePr>
            <a:graphic>
              <a:graphicData uri="http://schemas.openxmlformats.org/drawingml/2006/picture">
                <pic:pic>
                  <pic:nvPicPr>
                    <pic:cNvPr id="42" name="image24.png"/>
                    <pic:cNvPicPr/>
                  </pic:nvPicPr>
                  <pic:blipFill>
                    <a:blip r:embed="rId31" cstate="print"/>
                    <a:stretch>
                      <a:fillRect/>
                    </a:stretch>
                  </pic:blipFill>
                  <pic:spPr>
                    <a:xfrm>
                      <a:off x="0" y="0"/>
                      <a:ext cx="585063" cy="10692003"/>
                    </a:xfrm>
                    <a:prstGeom prst="rect">
                      <a:avLst/>
                    </a:prstGeom>
                  </pic:spPr>
                </pic:pic>
              </a:graphicData>
            </a:graphic>
          </wp:anchor>
        </w:drawing>
      </w:r>
      <w:r>
        <w:rPr/>
        <w:pict>
          <v:shape style="position:absolute;margin-left:554.141174pt;margin-top:-44.640919pt;width:26pt;height:338.85pt;mso-position-horizontal-relative:page;mso-position-vertical-relative:paragraph;z-index:25173504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r>
        <w:rPr>
          <w:rFonts w:ascii="Stone Sans II ITC Std X Bd"/>
          <w:b/>
          <w:w w:val="110"/>
          <w:sz w:val="50"/>
        </w:rPr>
        <w:t>Report from the 20-40 task group</w:t>
      </w:r>
    </w:p>
    <w:p>
      <w:pPr>
        <w:pStyle w:val="ListParagraph"/>
        <w:numPr>
          <w:ilvl w:val="0"/>
          <w:numId w:val="20"/>
        </w:numPr>
        <w:tabs>
          <w:tab w:pos="1964" w:val="left" w:leader="none"/>
          <w:tab w:pos="1965" w:val="left" w:leader="none"/>
        </w:tabs>
        <w:spacing w:line="240" w:lineRule="auto" w:before="410" w:after="0"/>
        <w:ind w:left="1964" w:right="0" w:hanging="681"/>
        <w:jc w:val="left"/>
        <w:rPr>
          <w:rFonts w:ascii="Stone Sans II ITC Std Bk"/>
          <w:b/>
          <w:sz w:val="29"/>
        </w:rPr>
      </w:pPr>
      <w:r>
        <w:rPr>
          <w:rFonts w:ascii="Stone Sans II ITC Std Bk"/>
          <w:b/>
          <w:spacing w:val="4"/>
          <w:w w:val="110"/>
          <w:sz w:val="29"/>
        </w:rPr>
        <w:t>Introduction </w:t>
      </w:r>
      <w:r>
        <w:rPr>
          <w:rFonts w:ascii="Stone Sans II ITC Std Bk"/>
          <w:b/>
          <w:spacing w:val="3"/>
          <w:w w:val="110"/>
          <w:sz w:val="29"/>
        </w:rPr>
        <w:t>and</w:t>
      </w:r>
      <w:r>
        <w:rPr>
          <w:rFonts w:ascii="Stone Sans II ITC Std Bk"/>
          <w:b/>
          <w:spacing w:val="21"/>
          <w:w w:val="110"/>
          <w:sz w:val="29"/>
        </w:rPr>
        <w:t> </w:t>
      </w:r>
      <w:r>
        <w:rPr>
          <w:rFonts w:ascii="Stone Sans II ITC Std Bk"/>
          <w:b/>
          <w:spacing w:val="4"/>
          <w:w w:val="110"/>
          <w:sz w:val="29"/>
        </w:rPr>
        <w:t>Background</w:t>
      </w:r>
    </w:p>
    <w:p>
      <w:pPr>
        <w:pStyle w:val="ListParagraph"/>
        <w:numPr>
          <w:ilvl w:val="1"/>
          <w:numId w:val="20"/>
        </w:numPr>
        <w:tabs>
          <w:tab w:pos="1964" w:val="left" w:leader="none"/>
          <w:tab w:pos="1965" w:val="left" w:leader="none"/>
        </w:tabs>
        <w:spacing w:line="235" w:lineRule="auto" w:before="69" w:after="0"/>
        <w:ind w:left="1284" w:right="1361" w:firstLine="0"/>
        <w:jc w:val="left"/>
        <w:rPr>
          <w:sz w:val="20"/>
        </w:rPr>
      </w:pPr>
      <w:r>
        <w:rPr>
          <w:w w:val="120"/>
          <w:sz w:val="20"/>
        </w:rPr>
        <w:t>In </w:t>
      </w:r>
      <w:r>
        <w:rPr>
          <w:spacing w:val="-7"/>
          <w:w w:val="120"/>
          <w:sz w:val="20"/>
        </w:rPr>
        <w:t>2012 </w:t>
      </w:r>
      <w:r>
        <w:rPr>
          <w:w w:val="120"/>
          <w:sz w:val="20"/>
        </w:rPr>
        <w:t>a resolution was passed at the URC </w:t>
      </w:r>
      <w:r>
        <w:rPr>
          <w:spacing w:val="-3"/>
          <w:w w:val="120"/>
          <w:sz w:val="20"/>
        </w:rPr>
        <w:t>Youth </w:t>
      </w:r>
      <w:r>
        <w:rPr>
          <w:w w:val="120"/>
          <w:sz w:val="20"/>
        </w:rPr>
        <w:t>Assembly requesting that General Assembly consider the </w:t>
      </w:r>
      <w:r>
        <w:rPr>
          <w:spacing w:val="-3"/>
          <w:w w:val="120"/>
          <w:sz w:val="20"/>
        </w:rPr>
        <w:t>Church’s </w:t>
      </w:r>
      <w:r>
        <w:rPr>
          <w:w w:val="120"/>
          <w:sz w:val="20"/>
        </w:rPr>
        <w:t>engagement with 20-40-year-olds. General Assembly </w:t>
      </w:r>
      <w:r>
        <w:rPr>
          <w:spacing w:val="-7"/>
          <w:w w:val="120"/>
          <w:sz w:val="20"/>
        </w:rPr>
        <w:t>2012 </w:t>
      </w:r>
      <w:r>
        <w:rPr>
          <w:w w:val="120"/>
          <w:sz w:val="20"/>
        </w:rPr>
        <w:t>subsequently passed a resolution calling Mission Council to consider how to improve the integration of 20-40-year-olds at every level of the United Reformed Church and hence a task group was formed. The group consisted of six people and brought together a range of experiences and skills from those both lay and ordained and those within and without the </w:t>
      </w:r>
      <w:r>
        <w:rPr>
          <w:spacing w:val="3"/>
          <w:w w:val="120"/>
          <w:sz w:val="20"/>
        </w:rPr>
        <w:t>20-40 </w:t>
      </w:r>
      <w:r>
        <w:rPr>
          <w:w w:val="120"/>
          <w:sz w:val="20"/>
        </w:rPr>
        <w:t>age range. The group was formed independently of other Assembly committees but has received support from the General</w:t>
      </w:r>
      <w:r>
        <w:rPr>
          <w:spacing w:val="1"/>
          <w:w w:val="120"/>
          <w:sz w:val="20"/>
        </w:rPr>
        <w:t> </w:t>
      </w:r>
      <w:r>
        <w:rPr>
          <w:w w:val="120"/>
          <w:sz w:val="20"/>
        </w:rPr>
        <w:t>Secretariat.</w:t>
      </w:r>
    </w:p>
    <w:p>
      <w:pPr>
        <w:pStyle w:val="BodyText"/>
        <w:spacing w:before="2"/>
      </w:pPr>
    </w:p>
    <w:p>
      <w:pPr>
        <w:pStyle w:val="ListParagraph"/>
        <w:numPr>
          <w:ilvl w:val="1"/>
          <w:numId w:val="20"/>
        </w:numPr>
        <w:tabs>
          <w:tab w:pos="1964" w:val="left" w:leader="none"/>
          <w:tab w:pos="1965" w:val="left" w:leader="none"/>
        </w:tabs>
        <w:spacing w:line="235" w:lineRule="auto" w:before="1" w:after="0"/>
        <w:ind w:left="1284" w:right="1394" w:firstLine="0"/>
        <w:jc w:val="left"/>
        <w:rPr>
          <w:sz w:val="20"/>
        </w:rPr>
      </w:pPr>
      <w:r>
        <w:rPr>
          <w:w w:val="120"/>
          <w:sz w:val="20"/>
        </w:rPr>
        <w:t>Since the formation of the task group in </w:t>
      </w:r>
      <w:r>
        <w:rPr>
          <w:spacing w:val="-7"/>
          <w:w w:val="120"/>
          <w:sz w:val="20"/>
        </w:rPr>
        <w:t>2014, </w:t>
      </w:r>
      <w:r>
        <w:rPr>
          <w:w w:val="120"/>
          <w:sz w:val="20"/>
        </w:rPr>
        <w:t>the group has examined research into the </w:t>
      </w:r>
      <w:r>
        <w:rPr>
          <w:spacing w:val="-3"/>
          <w:w w:val="120"/>
          <w:sz w:val="20"/>
        </w:rPr>
        <w:t>Church’s </w:t>
      </w:r>
      <w:r>
        <w:rPr>
          <w:w w:val="120"/>
          <w:sz w:val="20"/>
        </w:rPr>
        <w:t>engagement with 20-40-year-olds. This has included academic research and research from other denominations, including the Methodist</w:t>
      </w:r>
      <w:r>
        <w:rPr>
          <w:spacing w:val="36"/>
          <w:w w:val="120"/>
          <w:sz w:val="20"/>
        </w:rPr>
        <w:t> </w:t>
      </w:r>
      <w:r>
        <w:rPr>
          <w:w w:val="120"/>
          <w:sz w:val="20"/>
        </w:rPr>
        <w:t>Church</w:t>
      </w:r>
    </w:p>
    <w:p>
      <w:pPr>
        <w:pStyle w:val="BodyText"/>
        <w:spacing w:line="235" w:lineRule="auto" w:before="2"/>
        <w:ind w:left="1284" w:right="1387"/>
      </w:pPr>
      <w:r>
        <w:rPr>
          <w:w w:val="120"/>
        </w:rPr>
        <w:t>and the Church of England. The group has conducted its own research within the United Reformed Church through questionnaires to Children and </w:t>
      </w:r>
      <w:r>
        <w:rPr>
          <w:spacing w:val="-3"/>
          <w:w w:val="120"/>
        </w:rPr>
        <w:t>Youth </w:t>
      </w:r>
      <w:r>
        <w:rPr>
          <w:w w:val="120"/>
        </w:rPr>
        <w:t>Development Officers, Training and Development Officers, Mission Enablers and university chaplains; through consultations with URC committees; and through conversations with Armed Forces chaplains, the United Reformed Church </w:t>
      </w:r>
      <w:r>
        <w:rPr>
          <w:spacing w:val="-3"/>
          <w:w w:val="120"/>
        </w:rPr>
        <w:t>Youth </w:t>
      </w:r>
      <w:r>
        <w:rPr>
          <w:w w:val="120"/>
        </w:rPr>
        <w:t>Assembly and Mission</w:t>
      </w:r>
      <w:r>
        <w:rPr>
          <w:spacing w:val="4"/>
          <w:w w:val="120"/>
        </w:rPr>
        <w:t> </w:t>
      </w:r>
      <w:r>
        <w:rPr>
          <w:w w:val="120"/>
        </w:rPr>
        <w:t>Council.</w:t>
      </w:r>
    </w:p>
    <w:p>
      <w:pPr>
        <w:pStyle w:val="BodyText"/>
        <w:spacing w:line="235" w:lineRule="auto" w:before="3"/>
        <w:ind w:left="1284" w:right="1283"/>
      </w:pPr>
      <w:r>
        <w:rPr>
          <w:w w:val="120"/>
        </w:rPr>
        <w:t>Additionally, members of the task group within the 20-40 age range shared their own reflections and experiences as well as those of their peers.</w:t>
      </w:r>
    </w:p>
    <w:p>
      <w:pPr>
        <w:pStyle w:val="BodyText"/>
        <w:spacing w:before="10"/>
        <w:rPr>
          <w:sz w:val="19"/>
        </w:rPr>
      </w:pPr>
    </w:p>
    <w:p>
      <w:pPr>
        <w:pStyle w:val="ListParagraph"/>
        <w:numPr>
          <w:ilvl w:val="1"/>
          <w:numId w:val="20"/>
        </w:numPr>
        <w:tabs>
          <w:tab w:pos="1964" w:val="left" w:leader="none"/>
          <w:tab w:pos="1965" w:val="left" w:leader="none"/>
        </w:tabs>
        <w:spacing w:line="235" w:lineRule="auto" w:before="0" w:after="0"/>
        <w:ind w:left="1284" w:right="1251" w:firstLine="0"/>
        <w:jc w:val="left"/>
        <w:rPr>
          <w:sz w:val="20"/>
        </w:rPr>
      </w:pPr>
      <w:r>
        <w:rPr>
          <w:w w:val="120"/>
          <w:sz w:val="20"/>
        </w:rPr>
        <w:t>It is important to note from the outset that the group named as ‘20-40-year-olds’ in this </w:t>
      </w:r>
      <w:r>
        <w:rPr>
          <w:spacing w:val="2"/>
          <w:w w:val="120"/>
          <w:sz w:val="20"/>
        </w:rPr>
        <w:t>report </w:t>
      </w:r>
      <w:r>
        <w:rPr>
          <w:w w:val="120"/>
          <w:sz w:val="20"/>
        </w:rPr>
        <w:t>comprises a wide variety of demographic groups. These include those single and married, those with children and those without, those living with parents, those living away from home and those who are homeless. It comprises those at university, those recently graduated, those in training, those unemployed, those in new jobs and those well established in jobs. With such a wide range of demographics to consider, it is virtually impossible to establish how the Church can better engage with this group. It may be more appropriate to simply ask how the church can engage better with people; </w:t>
      </w:r>
      <w:r>
        <w:rPr>
          <w:spacing w:val="-3"/>
          <w:w w:val="120"/>
          <w:sz w:val="20"/>
        </w:rPr>
        <w:t>however, </w:t>
      </w:r>
      <w:r>
        <w:rPr>
          <w:w w:val="120"/>
          <w:sz w:val="20"/>
        </w:rPr>
        <w:t>this </w:t>
      </w:r>
      <w:r>
        <w:rPr>
          <w:spacing w:val="2"/>
          <w:w w:val="120"/>
          <w:sz w:val="20"/>
        </w:rPr>
        <w:t>report </w:t>
      </w:r>
      <w:r>
        <w:rPr>
          <w:w w:val="120"/>
          <w:sz w:val="20"/>
        </w:rPr>
        <w:t>will consider main themes and issues as they relate particularly to those aged</w:t>
      </w:r>
      <w:r>
        <w:rPr>
          <w:spacing w:val="9"/>
          <w:w w:val="120"/>
          <w:sz w:val="20"/>
        </w:rPr>
        <w:t> </w:t>
      </w:r>
      <w:r>
        <w:rPr>
          <w:spacing w:val="2"/>
          <w:w w:val="120"/>
          <w:sz w:val="20"/>
        </w:rPr>
        <w:t>20-40.</w:t>
      </w:r>
    </w:p>
    <w:p>
      <w:pPr>
        <w:pStyle w:val="BodyText"/>
        <w:spacing w:before="8"/>
        <w:rPr>
          <w:sz w:val="22"/>
        </w:rPr>
      </w:pPr>
    </w:p>
    <w:p>
      <w:pPr>
        <w:pStyle w:val="ListParagraph"/>
        <w:numPr>
          <w:ilvl w:val="0"/>
          <w:numId w:val="20"/>
        </w:numPr>
        <w:tabs>
          <w:tab w:pos="1964" w:val="left" w:leader="none"/>
          <w:tab w:pos="1965" w:val="left" w:leader="none"/>
        </w:tabs>
        <w:spacing w:line="240" w:lineRule="auto" w:before="0" w:after="0"/>
        <w:ind w:left="1964" w:right="0" w:hanging="681"/>
        <w:jc w:val="left"/>
        <w:rPr>
          <w:rFonts w:ascii="Stone Sans II ITC Std Bk"/>
          <w:b/>
          <w:sz w:val="29"/>
        </w:rPr>
      </w:pPr>
      <w:r>
        <w:rPr>
          <w:rFonts w:ascii="Stone Sans II ITC Std Bk"/>
          <w:b/>
          <w:spacing w:val="3"/>
          <w:w w:val="110"/>
          <w:sz w:val="29"/>
        </w:rPr>
        <w:t>Research from other</w:t>
      </w:r>
      <w:r>
        <w:rPr>
          <w:rFonts w:ascii="Stone Sans II ITC Std Bk"/>
          <w:b/>
          <w:spacing w:val="33"/>
          <w:w w:val="110"/>
          <w:sz w:val="29"/>
        </w:rPr>
        <w:t> </w:t>
      </w:r>
      <w:r>
        <w:rPr>
          <w:rFonts w:ascii="Stone Sans II ITC Std Bk"/>
          <w:b/>
          <w:spacing w:val="3"/>
          <w:w w:val="110"/>
          <w:sz w:val="29"/>
        </w:rPr>
        <w:t>denominations</w:t>
      </w:r>
    </w:p>
    <w:p>
      <w:pPr>
        <w:pStyle w:val="BodyText"/>
        <w:spacing w:line="235" w:lineRule="auto" w:before="69"/>
        <w:ind w:left="1284" w:right="1283"/>
      </w:pPr>
      <w:r>
        <w:rPr>
          <w:w w:val="120"/>
        </w:rPr>
        <w:t>Over recent years a host of denominations have commissioned research on the 20-40 age group. The scarcity of this age group in churches is a reality shared by all of the mainstream denominations.</w:t>
      </w:r>
    </w:p>
    <w:p>
      <w:pPr>
        <w:pStyle w:val="BodyText"/>
        <w:spacing w:before="3"/>
        <w:rPr>
          <w:sz w:val="22"/>
        </w:rPr>
      </w:pPr>
    </w:p>
    <w:p>
      <w:pPr>
        <w:pStyle w:val="Heading4"/>
        <w:numPr>
          <w:ilvl w:val="1"/>
          <w:numId w:val="20"/>
        </w:numPr>
        <w:tabs>
          <w:tab w:pos="1965" w:val="left" w:leader="none"/>
        </w:tabs>
        <w:spacing w:line="240" w:lineRule="auto" w:before="0" w:after="0"/>
        <w:ind w:left="1964" w:right="0" w:hanging="681"/>
        <w:jc w:val="left"/>
      </w:pPr>
      <w:r>
        <w:rPr>
          <w:spacing w:val="4"/>
          <w:w w:val="110"/>
        </w:rPr>
        <w:t>Methodist </w:t>
      </w:r>
      <w:r>
        <w:rPr>
          <w:spacing w:val="3"/>
          <w:w w:val="110"/>
        </w:rPr>
        <w:t>Church </w:t>
      </w:r>
      <w:r>
        <w:rPr>
          <w:w w:val="110"/>
        </w:rPr>
        <w:t>(‘Missing </w:t>
      </w:r>
      <w:r>
        <w:rPr>
          <w:spacing w:val="3"/>
          <w:w w:val="110"/>
        </w:rPr>
        <w:t>Generation’</w:t>
      </w:r>
      <w:r>
        <w:rPr>
          <w:spacing w:val="51"/>
          <w:w w:val="110"/>
        </w:rPr>
        <w:t> </w:t>
      </w:r>
      <w:r>
        <w:rPr>
          <w:spacing w:val="3"/>
          <w:w w:val="110"/>
        </w:rPr>
        <w:t>report)</w:t>
      </w:r>
    </w:p>
    <w:p>
      <w:pPr>
        <w:pStyle w:val="ListParagraph"/>
        <w:numPr>
          <w:ilvl w:val="2"/>
          <w:numId w:val="20"/>
        </w:numPr>
        <w:tabs>
          <w:tab w:pos="1964" w:val="left" w:leader="none"/>
          <w:tab w:pos="1965" w:val="left" w:leader="none"/>
        </w:tabs>
        <w:spacing w:line="235" w:lineRule="auto" w:before="69" w:after="0"/>
        <w:ind w:left="1284" w:right="1259" w:firstLine="0"/>
        <w:jc w:val="left"/>
        <w:rPr>
          <w:sz w:val="20"/>
        </w:rPr>
      </w:pPr>
      <w:r>
        <w:rPr>
          <w:w w:val="120"/>
          <w:sz w:val="20"/>
        </w:rPr>
        <w:t>In</w:t>
      </w:r>
      <w:r>
        <w:rPr>
          <w:spacing w:val="-17"/>
          <w:w w:val="120"/>
          <w:sz w:val="20"/>
        </w:rPr>
        <w:t> </w:t>
      </w:r>
      <w:r>
        <w:rPr>
          <w:spacing w:val="-10"/>
          <w:w w:val="120"/>
          <w:sz w:val="20"/>
        </w:rPr>
        <w:t>2011,</w:t>
      </w:r>
      <w:r>
        <w:rPr>
          <w:spacing w:val="-16"/>
          <w:w w:val="120"/>
          <w:sz w:val="20"/>
        </w:rPr>
        <w:t> </w:t>
      </w:r>
      <w:r>
        <w:rPr>
          <w:w w:val="120"/>
          <w:sz w:val="20"/>
        </w:rPr>
        <w:t>the</w:t>
      </w:r>
      <w:r>
        <w:rPr>
          <w:spacing w:val="-16"/>
          <w:w w:val="120"/>
          <w:sz w:val="20"/>
        </w:rPr>
        <w:t> </w:t>
      </w:r>
      <w:r>
        <w:rPr>
          <w:w w:val="120"/>
          <w:sz w:val="20"/>
        </w:rPr>
        <w:t>Methodist</w:t>
      </w:r>
      <w:r>
        <w:rPr>
          <w:spacing w:val="-16"/>
          <w:w w:val="120"/>
          <w:sz w:val="20"/>
        </w:rPr>
        <w:t> </w:t>
      </w:r>
      <w:r>
        <w:rPr>
          <w:w w:val="120"/>
          <w:sz w:val="20"/>
        </w:rPr>
        <w:t>Church</w:t>
      </w:r>
      <w:r>
        <w:rPr>
          <w:spacing w:val="-16"/>
          <w:w w:val="120"/>
          <w:sz w:val="20"/>
        </w:rPr>
        <w:t> </w:t>
      </w:r>
      <w:r>
        <w:rPr>
          <w:w w:val="120"/>
          <w:sz w:val="20"/>
        </w:rPr>
        <w:t>published</w:t>
      </w:r>
      <w:r>
        <w:rPr>
          <w:spacing w:val="-16"/>
          <w:w w:val="120"/>
          <w:sz w:val="20"/>
        </w:rPr>
        <w:t> </w:t>
      </w:r>
      <w:r>
        <w:rPr>
          <w:i/>
          <w:w w:val="120"/>
          <w:sz w:val="20"/>
        </w:rPr>
        <w:t>The</w:t>
      </w:r>
      <w:r>
        <w:rPr>
          <w:i/>
          <w:spacing w:val="-18"/>
          <w:w w:val="120"/>
          <w:sz w:val="20"/>
        </w:rPr>
        <w:t> </w:t>
      </w:r>
      <w:r>
        <w:rPr>
          <w:i/>
          <w:w w:val="120"/>
          <w:sz w:val="20"/>
        </w:rPr>
        <w:t>Missing</w:t>
      </w:r>
      <w:r>
        <w:rPr>
          <w:i/>
          <w:spacing w:val="-19"/>
          <w:w w:val="120"/>
          <w:sz w:val="20"/>
        </w:rPr>
        <w:t> </w:t>
      </w:r>
      <w:r>
        <w:rPr>
          <w:i/>
          <w:w w:val="120"/>
          <w:sz w:val="20"/>
        </w:rPr>
        <w:t>Generation</w:t>
      </w:r>
      <w:r>
        <w:rPr>
          <w:i/>
          <w:spacing w:val="-18"/>
          <w:w w:val="120"/>
          <w:sz w:val="20"/>
        </w:rPr>
        <w:t> </w:t>
      </w:r>
      <w:r>
        <w:rPr>
          <w:i/>
          <w:w w:val="120"/>
          <w:sz w:val="20"/>
        </w:rPr>
        <w:t>and</w:t>
      </w:r>
      <w:r>
        <w:rPr>
          <w:i/>
          <w:spacing w:val="-18"/>
          <w:w w:val="120"/>
          <w:sz w:val="20"/>
        </w:rPr>
        <w:t> </w:t>
      </w:r>
      <w:r>
        <w:rPr>
          <w:i/>
          <w:w w:val="120"/>
          <w:sz w:val="20"/>
        </w:rPr>
        <w:t>the</w:t>
      </w:r>
      <w:r>
        <w:rPr>
          <w:i/>
          <w:spacing w:val="-18"/>
          <w:w w:val="120"/>
          <w:sz w:val="20"/>
        </w:rPr>
        <w:t> </w:t>
      </w:r>
      <w:r>
        <w:rPr>
          <w:i/>
          <w:w w:val="120"/>
          <w:sz w:val="20"/>
        </w:rPr>
        <w:t>Methodist </w:t>
      </w:r>
      <w:r>
        <w:rPr>
          <w:i/>
          <w:w w:val="120"/>
          <w:sz w:val="20"/>
        </w:rPr>
        <w:t>Church </w:t>
      </w:r>
      <w:r>
        <w:rPr>
          <w:w w:val="120"/>
          <w:sz w:val="20"/>
        </w:rPr>
        <w:t>(L Clutterbuck and M Janowski, </w:t>
      </w:r>
      <w:r>
        <w:rPr>
          <w:spacing w:val="-9"/>
          <w:w w:val="120"/>
          <w:sz w:val="20"/>
        </w:rPr>
        <w:t>2011): </w:t>
      </w:r>
      <w:r>
        <w:rPr>
          <w:w w:val="120"/>
          <w:sz w:val="20"/>
        </w:rPr>
        <w:t>a ground-breaking </w:t>
      </w:r>
      <w:r>
        <w:rPr>
          <w:spacing w:val="2"/>
          <w:w w:val="120"/>
          <w:sz w:val="20"/>
        </w:rPr>
        <w:t>report </w:t>
      </w:r>
      <w:r>
        <w:rPr>
          <w:w w:val="120"/>
          <w:sz w:val="20"/>
        </w:rPr>
        <w:t>that delved behind the reality that all UK mainstream denominations have grappled with since the </w:t>
      </w:r>
      <w:r>
        <w:rPr>
          <w:spacing w:val="-3"/>
          <w:w w:val="120"/>
          <w:sz w:val="20"/>
        </w:rPr>
        <w:t>1960s </w:t>
      </w:r>
      <w:r>
        <w:rPr>
          <w:w w:val="120"/>
          <w:sz w:val="20"/>
        </w:rPr>
        <w:t>– that people aged </w:t>
      </w:r>
      <w:r>
        <w:rPr>
          <w:spacing w:val="3"/>
          <w:w w:val="120"/>
          <w:sz w:val="20"/>
        </w:rPr>
        <w:t>20-40 </w:t>
      </w:r>
      <w:r>
        <w:rPr>
          <w:spacing w:val="-5"/>
          <w:w w:val="120"/>
          <w:sz w:val="20"/>
        </w:rPr>
        <w:t>(and </w:t>
      </w:r>
      <w:r>
        <w:rPr>
          <w:w w:val="120"/>
          <w:sz w:val="20"/>
        </w:rPr>
        <w:t>beyond) are missing from churches. Whilst the authors point out that the research is only applicable to the Methodist Church, there  are insights that bear some level of</w:t>
      </w:r>
      <w:r>
        <w:rPr>
          <w:spacing w:val="12"/>
          <w:w w:val="120"/>
          <w:sz w:val="20"/>
        </w:rPr>
        <w:t> </w:t>
      </w:r>
      <w:r>
        <w:rPr>
          <w:w w:val="120"/>
          <w:sz w:val="20"/>
        </w:rPr>
        <w:t>generalisation.</w:t>
      </w:r>
    </w:p>
    <w:p>
      <w:pPr>
        <w:spacing w:after="0" w:line="235" w:lineRule="auto"/>
        <w:jc w:val="left"/>
        <w:rPr>
          <w:sz w:val="20"/>
        </w:rPr>
        <w:sectPr>
          <w:type w:val="continuous"/>
          <w:pgSz w:w="11910" w:h="16840"/>
          <w:pgMar w:top="1580" w:bottom="280" w:left="700" w:right="0"/>
        </w:sectPr>
      </w:pPr>
    </w:p>
    <w:p>
      <w:pPr>
        <w:pStyle w:val="BodyText"/>
      </w:pPr>
      <w:r>
        <w:rPr/>
        <w:drawing>
          <wp:anchor distT="0" distB="0" distL="0" distR="0" allowOverlap="1" layoutInCell="1" locked="0" behindDoc="1" simplePos="0" relativeHeight="235768832">
            <wp:simplePos x="0" y="0"/>
            <wp:positionH relativeFrom="page">
              <wp:posOffset>0</wp:posOffset>
            </wp:positionH>
            <wp:positionV relativeFrom="page">
              <wp:posOffset>0</wp:posOffset>
            </wp:positionV>
            <wp:extent cx="594067" cy="10692003"/>
            <wp:effectExtent l="0" t="0" r="0" b="0"/>
            <wp:wrapNone/>
            <wp:docPr id="43" name="image49.png"/>
            <wp:cNvGraphicFramePr>
              <a:graphicFrameLocks noChangeAspect="1"/>
            </wp:cNvGraphicFramePr>
            <a:graphic>
              <a:graphicData uri="http://schemas.openxmlformats.org/drawingml/2006/picture">
                <pic:pic>
                  <pic:nvPicPr>
                    <pic:cNvPr id="44"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4662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2"/>
          <w:numId w:val="20"/>
        </w:numPr>
        <w:tabs>
          <w:tab w:pos="1227" w:val="left" w:leader="none"/>
          <w:tab w:pos="1228" w:val="left" w:leader="none"/>
        </w:tabs>
        <w:spacing w:line="235" w:lineRule="auto" w:before="222" w:after="0"/>
        <w:ind w:left="547" w:right="1987" w:firstLine="0"/>
        <w:jc w:val="left"/>
        <w:rPr>
          <w:sz w:val="20"/>
        </w:rPr>
      </w:pPr>
      <w:r>
        <w:rPr>
          <w:w w:val="120"/>
          <w:sz w:val="20"/>
        </w:rPr>
        <w:t>Perhaps the biggest finding was that 82% of people surveyed </w:t>
      </w:r>
      <w:r>
        <w:rPr>
          <w:spacing w:val="2"/>
          <w:w w:val="120"/>
          <w:sz w:val="20"/>
        </w:rPr>
        <w:t>left </w:t>
      </w:r>
      <w:r>
        <w:rPr>
          <w:w w:val="120"/>
          <w:sz w:val="20"/>
        </w:rPr>
        <w:t>church   because of a change in circumstances. People, particularly those aged </w:t>
      </w:r>
      <w:r>
        <w:rPr>
          <w:spacing w:val="2"/>
          <w:w w:val="120"/>
          <w:sz w:val="20"/>
        </w:rPr>
        <w:t>20-40, </w:t>
      </w:r>
      <w:r>
        <w:rPr>
          <w:w w:val="120"/>
          <w:sz w:val="20"/>
        </w:rPr>
        <w:t>are much more mobile than in previous generations and it would seem that this has a significant impact on church attendance. People move on in some </w:t>
      </w:r>
      <w:r>
        <w:rPr>
          <w:spacing w:val="-4"/>
          <w:w w:val="120"/>
          <w:sz w:val="20"/>
        </w:rPr>
        <w:t>way, </w:t>
      </w:r>
      <w:r>
        <w:rPr>
          <w:w w:val="120"/>
          <w:sz w:val="20"/>
        </w:rPr>
        <w:t>either to a different home or through a change of job, relationship or children, and it is at that point that they  break connection with their congregation. However, in general, these people still have faith. They still see that faith as important. They still identify as Christian. They just don’t go to</w:t>
      </w:r>
      <w:r>
        <w:rPr>
          <w:spacing w:val="4"/>
          <w:w w:val="120"/>
          <w:sz w:val="20"/>
        </w:rPr>
        <w:t> </w:t>
      </w:r>
      <w:r>
        <w:rPr>
          <w:w w:val="120"/>
          <w:sz w:val="20"/>
        </w:rPr>
        <w:t>church.</w:t>
      </w:r>
    </w:p>
    <w:p>
      <w:pPr>
        <w:pStyle w:val="BodyText"/>
        <w:spacing w:before="1"/>
      </w:pPr>
    </w:p>
    <w:p>
      <w:pPr>
        <w:pStyle w:val="ListParagraph"/>
        <w:numPr>
          <w:ilvl w:val="2"/>
          <w:numId w:val="20"/>
        </w:numPr>
        <w:tabs>
          <w:tab w:pos="1227" w:val="left" w:leader="none"/>
          <w:tab w:pos="1228" w:val="left" w:leader="none"/>
        </w:tabs>
        <w:spacing w:line="235" w:lineRule="auto" w:before="0" w:after="0"/>
        <w:ind w:left="547" w:right="2365" w:firstLine="0"/>
        <w:jc w:val="left"/>
        <w:rPr>
          <w:sz w:val="20"/>
        </w:rPr>
      </w:pPr>
      <w:r>
        <w:rPr>
          <w:w w:val="120"/>
          <w:sz w:val="20"/>
        </w:rPr>
        <w:t>The research also found that people who were still involved in Church valued a range of worship styles and opportunities. They wanted their faith to be firmly connected to their lives but to also be able to experience a connection to God in worship.</w:t>
      </w:r>
    </w:p>
    <w:p>
      <w:pPr>
        <w:pStyle w:val="BodyText"/>
        <w:spacing w:before="11"/>
        <w:rPr>
          <w:sz w:val="19"/>
        </w:rPr>
      </w:pPr>
    </w:p>
    <w:p>
      <w:pPr>
        <w:pStyle w:val="ListParagraph"/>
        <w:numPr>
          <w:ilvl w:val="2"/>
          <w:numId w:val="20"/>
        </w:numPr>
        <w:tabs>
          <w:tab w:pos="1227" w:val="left" w:leader="none"/>
          <w:tab w:pos="1228" w:val="left" w:leader="none"/>
        </w:tabs>
        <w:spacing w:line="235" w:lineRule="auto" w:before="0" w:after="0"/>
        <w:ind w:left="547" w:right="2169" w:firstLine="0"/>
        <w:jc w:val="left"/>
        <w:rPr>
          <w:sz w:val="20"/>
        </w:rPr>
      </w:pPr>
      <w:r>
        <w:rPr>
          <w:w w:val="120"/>
          <w:sz w:val="20"/>
        </w:rPr>
        <w:t>However, the </w:t>
      </w:r>
      <w:r>
        <w:rPr>
          <w:spacing w:val="2"/>
          <w:w w:val="120"/>
          <w:sz w:val="20"/>
        </w:rPr>
        <w:t>report </w:t>
      </w:r>
      <w:r>
        <w:rPr>
          <w:w w:val="120"/>
          <w:sz w:val="20"/>
        </w:rPr>
        <w:t>also noted that it was unlikely that Sunday worship would be a first point of contact for people, as many people encounter church through other activities. Those who were </w:t>
      </w:r>
      <w:r>
        <w:rPr>
          <w:spacing w:val="2"/>
          <w:w w:val="120"/>
          <w:sz w:val="20"/>
        </w:rPr>
        <w:t>part </w:t>
      </w:r>
      <w:r>
        <w:rPr>
          <w:w w:val="120"/>
          <w:sz w:val="20"/>
        </w:rPr>
        <w:t>of churches valued small group opportunities where they could discuss theological, moral and ethical issues and feel </w:t>
      </w:r>
      <w:r>
        <w:rPr>
          <w:spacing w:val="2"/>
          <w:w w:val="120"/>
          <w:sz w:val="20"/>
        </w:rPr>
        <w:t>part </w:t>
      </w:r>
      <w:r>
        <w:rPr>
          <w:w w:val="120"/>
          <w:sz w:val="20"/>
        </w:rPr>
        <w:t>of a</w:t>
      </w:r>
      <w:r>
        <w:rPr>
          <w:spacing w:val="37"/>
          <w:w w:val="120"/>
          <w:sz w:val="20"/>
        </w:rPr>
        <w:t> </w:t>
      </w:r>
      <w:r>
        <w:rPr>
          <w:w w:val="120"/>
          <w:sz w:val="20"/>
        </w:rPr>
        <w:t>community.</w:t>
      </w:r>
    </w:p>
    <w:p>
      <w:pPr>
        <w:pStyle w:val="BodyText"/>
        <w:spacing w:before="11"/>
        <w:rPr>
          <w:sz w:val="19"/>
        </w:rPr>
      </w:pPr>
    </w:p>
    <w:p>
      <w:pPr>
        <w:pStyle w:val="ListParagraph"/>
        <w:numPr>
          <w:ilvl w:val="2"/>
          <w:numId w:val="20"/>
        </w:numPr>
        <w:tabs>
          <w:tab w:pos="1227" w:val="left" w:leader="none"/>
          <w:tab w:pos="1228" w:val="left" w:leader="none"/>
        </w:tabs>
        <w:spacing w:line="235" w:lineRule="auto" w:before="0" w:after="0"/>
        <w:ind w:left="547" w:right="2312" w:firstLine="0"/>
        <w:jc w:val="left"/>
        <w:rPr>
          <w:sz w:val="20"/>
        </w:rPr>
      </w:pPr>
      <w:r>
        <w:rPr>
          <w:w w:val="120"/>
          <w:sz w:val="20"/>
        </w:rPr>
        <w:t>Finally, a breakdown in the traditional models of the provision of pastoral care meant that the opportunity for a mentoring relationship with an older person was less</w:t>
      </w:r>
      <w:r>
        <w:rPr>
          <w:spacing w:val="1"/>
          <w:w w:val="120"/>
          <w:sz w:val="20"/>
        </w:rPr>
        <w:t> </w:t>
      </w:r>
      <w:r>
        <w:rPr>
          <w:spacing w:val="-3"/>
          <w:w w:val="120"/>
          <w:sz w:val="20"/>
        </w:rPr>
        <w:t>likely.</w:t>
      </w:r>
    </w:p>
    <w:p>
      <w:pPr>
        <w:pStyle w:val="BodyText"/>
        <w:spacing w:before="7"/>
        <w:rPr>
          <w:sz w:val="26"/>
        </w:rPr>
      </w:pPr>
    </w:p>
    <w:p>
      <w:pPr>
        <w:pStyle w:val="Heading4"/>
        <w:numPr>
          <w:ilvl w:val="1"/>
          <w:numId w:val="20"/>
        </w:numPr>
        <w:tabs>
          <w:tab w:pos="1228" w:val="left" w:leader="none"/>
        </w:tabs>
        <w:spacing w:line="196" w:lineRule="auto" w:before="0" w:after="0"/>
        <w:ind w:left="1227" w:right="2444" w:hanging="681"/>
        <w:jc w:val="left"/>
      </w:pPr>
      <w:r>
        <w:rPr>
          <w:spacing w:val="3"/>
          <w:w w:val="110"/>
        </w:rPr>
        <w:t>Perceptions </w:t>
      </w:r>
      <w:r>
        <w:rPr>
          <w:w w:val="110"/>
        </w:rPr>
        <w:t>of </w:t>
      </w:r>
      <w:r>
        <w:rPr>
          <w:spacing w:val="3"/>
          <w:w w:val="110"/>
        </w:rPr>
        <w:t>Jesus, Christians and Evangelism </w:t>
      </w:r>
      <w:r>
        <w:rPr>
          <w:w w:val="110"/>
        </w:rPr>
        <w:t>in </w:t>
      </w:r>
      <w:r>
        <w:rPr>
          <w:spacing w:val="2"/>
          <w:w w:val="110"/>
        </w:rPr>
        <w:t>the </w:t>
      </w:r>
      <w:r>
        <w:rPr>
          <w:spacing w:val="6"/>
          <w:w w:val="110"/>
        </w:rPr>
        <w:t>UK, </w:t>
      </w:r>
      <w:r>
        <w:rPr>
          <w:spacing w:val="-7"/>
          <w:w w:val="110"/>
        </w:rPr>
        <w:t>2015, </w:t>
      </w:r>
      <w:r>
        <w:rPr>
          <w:spacing w:val="4"/>
          <w:w w:val="110"/>
        </w:rPr>
        <w:t>Barna Group </w:t>
      </w:r>
      <w:r>
        <w:rPr>
          <w:spacing w:val="6"/>
          <w:w w:val="110"/>
        </w:rPr>
        <w:t>(EA, </w:t>
      </w:r>
      <w:r>
        <w:rPr>
          <w:spacing w:val="3"/>
          <w:w w:val="110"/>
        </w:rPr>
        <w:t>Church </w:t>
      </w:r>
      <w:r>
        <w:rPr>
          <w:w w:val="110"/>
        </w:rPr>
        <w:t>of </w:t>
      </w:r>
      <w:r>
        <w:rPr>
          <w:spacing w:val="4"/>
          <w:w w:val="110"/>
        </w:rPr>
        <w:t>England </w:t>
      </w:r>
      <w:r>
        <w:rPr>
          <w:w w:val="110"/>
        </w:rPr>
        <w:t>&amp;</w:t>
      </w:r>
      <w:r>
        <w:rPr>
          <w:spacing w:val="21"/>
          <w:w w:val="110"/>
        </w:rPr>
        <w:t> </w:t>
      </w:r>
      <w:r>
        <w:rPr>
          <w:spacing w:val="3"/>
          <w:w w:val="110"/>
        </w:rPr>
        <w:t>HOPE)</w:t>
      </w:r>
    </w:p>
    <w:p>
      <w:pPr>
        <w:pStyle w:val="ListParagraph"/>
        <w:numPr>
          <w:ilvl w:val="2"/>
          <w:numId w:val="20"/>
        </w:numPr>
        <w:tabs>
          <w:tab w:pos="1228" w:val="left" w:leader="none"/>
        </w:tabs>
        <w:spacing w:line="235" w:lineRule="auto" w:before="84" w:after="0"/>
        <w:ind w:left="547" w:right="2349" w:firstLine="0"/>
        <w:jc w:val="left"/>
        <w:rPr>
          <w:sz w:val="20"/>
        </w:rPr>
      </w:pPr>
      <w:r>
        <w:rPr>
          <w:w w:val="120"/>
          <w:sz w:val="20"/>
        </w:rPr>
        <w:t>In </w:t>
      </w:r>
      <w:r>
        <w:rPr>
          <w:spacing w:val="-7"/>
          <w:w w:val="120"/>
          <w:sz w:val="20"/>
        </w:rPr>
        <w:t>2015,  </w:t>
      </w:r>
      <w:r>
        <w:rPr>
          <w:w w:val="120"/>
          <w:sz w:val="20"/>
        </w:rPr>
        <w:t>Barna Group discovered that the same percentage of every decade  of life identify themselves as Christian, but the percentage attending church is</w:t>
      </w:r>
      <w:r>
        <w:rPr>
          <w:spacing w:val="49"/>
          <w:w w:val="120"/>
          <w:sz w:val="20"/>
        </w:rPr>
        <w:t> </w:t>
      </w:r>
      <w:r>
        <w:rPr>
          <w:w w:val="120"/>
          <w:sz w:val="20"/>
        </w:rPr>
        <w:t>vastly</w:t>
      </w:r>
    </w:p>
    <w:p>
      <w:pPr>
        <w:pStyle w:val="BodyText"/>
        <w:spacing w:line="235" w:lineRule="auto" w:before="1"/>
        <w:ind w:left="547" w:right="2112"/>
      </w:pPr>
      <w:r>
        <w:rPr>
          <w:w w:val="120"/>
        </w:rPr>
        <w:t>different. This implies that we are looking at a ‘missing generation’ of the institution of the Church, not of the Church of Jesus.</w:t>
      </w:r>
    </w:p>
    <w:p>
      <w:pPr>
        <w:pStyle w:val="BodyText"/>
        <w:spacing w:before="10"/>
        <w:rPr>
          <w:sz w:val="19"/>
        </w:rPr>
      </w:pPr>
    </w:p>
    <w:p>
      <w:pPr>
        <w:pStyle w:val="ListParagraph"/>
        <w:numPr>
          <w:ilvl w:val="2"/>
          <w:numId w:val="20"/>
        </w:numPr>
        <w:tabs>
          <w:tab w:pos="1228" w:val="left" w:leader="none"/>
        </w:tabs>
        <w:spacing w:line="235" w:lineRule="auto" w:before="0" w:after="0"/>
        <w:ind w:left="547" w:right="2621" w:firstLine="0"/>
        <w:jc w:val="both"/>
        <w:rPr>
          <w:sz w:val="20"/>
        </w:rPr>
      </w:pPr>
      <w:r>
        <w:rPr>
          <w:w w:val="120"/>
          <w:sz w:val="20"/>
        </w:rPr>
        <w:t>The research also found that most non-Christians </w:t>
      </w:r>
      <w:r>
        <w:rPr>
          <w:spacing w:val="-12"/>
          <w:w w:val="120"/>
          <w:sz w:val="20"/>
        </w:rPr>
        <w:t>(61%) </w:t>
      </w:r>
      <w:r>
        <w:rPr>
          <w:w w:val="120"/>
          <w:sz w:val="20"/>
        </w:rPr>
        <w:t>know a practising Christian, like them and think they are caring, good-humoured and friendly. </w:t>
      </w:r>
      <w:r>
        <w:rPr>
          <w:spacing w:val="-3"/>
          <w:w w:val="120"/>
          <w:sz w:val="20"/>
        </w:rPr>
        <w:t>42% </w:t>
      </w:r>
      <w:r>
        <w:rPr>
          <w:w w:val="120"/>
          <w:sz w:val="20"/>
        </w:rPr>
        <w:t>of practising Christians grew up in a Christian family, while 72% of non-practising Christians grew up in a Christian</w:t>
      </w:r>
      <w:r>
        <w:rPr>
          <w:spacing w:val="15"/>
          <w:w w:val="120"/>
          <w:sz w:val="20"/>
        </w:rPr>
        <w:t> </w:t>
      </w:r>
      <w:r>
        <w:rPr>
          <w:w w:val="120"/>
          <w:sz w:val="20"/>
        </w:rPr>
        <w:t>home.</w:t>
      </w:r>
    </w:p>
    <w:p>
      <w:pPr>
        <w:pStyle w:val="BodyText"/>
        <w:spacing w:before="10"/>
        <w:rPr>
          <w:sz w:val="19"/>
        </w:rPr>
      </w:pPr>
    </w:p>
    <w:p>
      <w:pPr>
        <w:pStyle w:val="ListParagraph"/>
        <w:numPr>
          <w:ilvl w:val="2"/>
          <w:numId w:val="20"/>
        </w:numPr>
        <w:tabs>
          <w:tab w:pos="1228" w:val="left" w:leader="none"/>
        </w:tabs>
        <w:spacing w:line="235" w:lineRule="auto" w:before="1" w:after="0"/>
        <w:ind w:left="547" w:right="2070" w:firstLine="0"/>
        <w:jc w:val="left"/>
        <w:rPr>
          <w:sz w:val="20"/>
        </w:rPr>
      </w:pPr>
      <w:r>
        <w:rPr>
          <w:w w:val="120"/>
          <w:sz w:val="20"/>
        </w:rPr>
        <w:t>In </w:t>
      </w:r>
      <w:r>
        <w:rPr>
          <w:spacing w:val="-12"/>
          <w:w w:val="120"/>
          <w:sz w:val="20"/>
        </w:rPr>
        <w:t>2017, </w:t>
      </w:r>
      <w:r>
        <w:rPr>
          <w:w w:val="120"/>
          <w:sz w:val="20"/>
        </w:rPr>
        <w:t>ComRes conducted ‘Church Mapping’ for the Church of England. They found that 77% of people who self-identify as Christian became a Christian before they were</w:t>
      </w:r>
      <w:r>
        <w:rPr>
          <w:spacing w:val="5"/>
          <w:w w:val="120"/>
          <w:sz w:val="20"/>
        </w:rPr>
        <w:t> </w:t>
      </w:r>
      <w:r>
        <w:rPr>
          <w:spacing w:val="-6"/>
          <w:w w:val="120"/>
          <w:sz w:val="20"/>
        </w:rPr>
        <w:t>10</w:t>
      </w:r>
      <w:r>
        <w:rPr>
          <w:spacing w:val="6"/>
          <w:w w:val="120"/>
          <w:sz w:val="20"/>
        </w:rPr>
        <w:t> </w:t>
      </w:r>
      <w:r>
        <w:rPr>
          <w:w w:val="120"/>
          <w:sz w:val="20"/>
        </w:rPr>
        <w:t>years</w:t>
      </w:r>
      <w:r>
        <w:rPr>
          <w:spacing w:val="6"/>
          <w:w w:val="120"/>
          <w:sz w:val="20"/>
        </w:rPr>
        <w:t> </w:t>
      </w:r>
      <w:r>
        <w:rPr>
          <w:w w:val="120"/>
          <w:sz w:val="20"/>
        </w:rPr>
        <w:t>old,</w:t>
      </w:r>
      <w:r>
        <w:rPr>
          <w:spacing w:val="6"/>
          <w:w w:val="120"/>
          <w:sz w:val="20"/>
        </w:rPr>
        <w:t> </w:t>
      </w:r>
      <w:r>
        <w:rPr>
          <w:w w:val="120"/>
          <w:sz w:val="20"/>
        </w:rPr>
        <w:t>thus</w:t>
      </w:r>
      <w:r>
        <w:rPr>
          <w:spacing w:val="6"/>
          <w:w w:val="120"/>
          <w:sz w:val="20"/>
        </w:rPr>
        <w:t> </w:t>
      </w:r>
      <w:r>
        <w:rPr>
          <w:w w:val="120"/>
          <w:sz w:val="20"/>
        </w:rPr>
        <w:t>placing</w:t>
      </w:r>
      <w:r>
        <w:rPr>
          <w:spacing w:val="6"/>
          <w:w w:val="120"/>
          <w:sz w:val="20"/>
        </w:rPr>
        <w:t> </w:t>
      </w:r>
      <w:r>
        <w:rPr>
          <w:w w:val="120"/>
          <w:sz w:val="20"/>
        </w:rPr>
        <w:t>great</w:t>
      </w:r>
      <w:r>
        <w:rPr>
          <w:spacing w:val="6"/>
          <w:w w:val="120"/>
          <w:sz w:val="20"/>
        </w:rPr>
        <w:t> </w:t>
      </w:r>
      <w:r>
        <w:rPr>
          <w:w w:val="120"/>
          <w:sz w:val="20"/>
        </w:rPr>
        <w:t>importance</w:t>
      </w:r>
      <w:r>
        <w:rPr>
          <w:spacing w:val="6"/>
          <w:w w:val="120"/>
          <w:sz w:val="20"/>
        </w:rPr>
        <w:t> </w:t>
      </w:r>
      <w:r>
        <w:rPr>
          <w:w w:val="120"/>
          <w:sz w:val="20"/>
        </w:rPr>
        <w:t>on</w:t>
      </w:r>
      <w:r>
        <w:rPr>
          <w:spacing w:val="6"/>
          <w:w w:val="120"/>
          <w:sz w:val="20"/>
        </w:rPr>
        <w:t> </w:t>
      </w:r>
      <w:r>
        <w:rPr>
          <w:spacing w:val="-3"/>
          <w:w w:val="120"/>
          <w:sz w:val="20"/>
        </w:rPr>
        <w:t>children’s</w:t>
      </w:r>
      <w:r>
        <w:rPr>
          <w:spacing w:val="6"/>
          <w:w w:val="120"/>
          <w:sz w:val="20"/>
        </w:rPr>
        <w:t> </w:t>
      </w:r>
      <w:r>
        <w:rPr>
          <w:w w:val="120"/>
          <w:sz w:val="20"/>
        </w:rPr>
        <w:t>and</w:t>
      </w:r>
      <w:r>
        <w:rPr>
          <w:spacing w:val="6"/>
          <w:w w:val="120"/>
          <w:sz w:val="20"/>
        </w:rPr>
        <w:t> </w:t>
      </w:r>
      <w:r>
        <w:rPr>
          <w:w w:val="120"/>
          <w:sz w:val="20"/>
        </w:rPr>
        <w:t>youth</w:t>
      </w:r>
      <w:r>
        <w:rPr>
          <w:spacing w:val="6"/>
          <w:w w:val="120"/>
          <w:sz w:val="20"/>
        </w:rPr>
        <w:t> </w:t>
      </w:r>
      <w:r>
        <w:rPr>
          <w:w w:val="120"/>
          <w:sz w:val="20"/>
        </w:rPr>
        <w:t>work.</w:t>
      </w:r>
    </w:p>
    <w:p>
      <w:pPr>
        <w:pStyle w:val="BodyText"/>
        <w:spacing w:before="7"/>
        <w:rPr>
          <w:sz w:val="26"/>
        </w:rPr>
      </w:pPr>
    </w:p>
    <w:p>
      <w:pPr>
        <w:pStyle w:val="Heading4"/>
        <w:numPr>
          <w:ilvl w:val="1"/>
          <w:numId w:val="20"/>
        </w:numPr>
        <w:tabs>
          <w:tab w:pos="1228" w:val="left" w:leader="none"/>
        </w:tabs>
        <w:spacing w:line="196" w:lineRule="auto" w:before="0" w:after="0"/>
        <w:ind w:left="1227" w:right="2000" w:hanging="681"/>
        <w:jc w:val="left"/>
      </w:pPr>
      <w:r>
        <w:rPr>
          <w:spacing w:val="3"/>
          <w:w w:val="110"/>
        </w:rPr>
        <w:t>Joint </w:t>
      </w:r>
      <w:r>
        <w:rPr>
          <w:spacing w:val="2"/>
          <w:w w:val="110"/>
        </w:rPr>
        <w:t>Study Leave </w:t>
      </w:r>
      <w:r>
        <w:rPr>
          <w:spacing w:val="5"/>
          <w:w w:val="110"/>
        </w:rPr>
        <w:t>report </w:t>
      </w:r>
      <w:r>
        <w:rPr>
          <w:w w:val="110"/>
        </w:rPr>
        <w:t>–  </w:t>
      </w:r>
      <w:r>
        <w:rPr>
          <w:spacing w:val="3"/>
          <w:w w:val="110"/>
        </w:rPr>
        <w:t>Graham Duffin, Andrew </w:t>
      </w:r>
      <w:r>
        <w:rPr>
          <w:spacing w:val="4"/>
          <w:w w:val="110"/>
        </w:rPr>
        <w:t>Morrice </w:t>
      </w:r>
      <w:r>
        <w:rPr>
          <w:spacing w:val="3"/>
          <w:w w:val="110"/>
        </w:rPr>
        <w:t>and </w:t>
      </w:r>
      <w:r>
        <w:rPr>
          <w:spacing w:val="4"/>
          <w:w w:val="110"/>
        </w:rPr>
        <w:t>Norman </w:t>
      </w:r>
      <w:r>
        <w:rPr>
          <w:spacing w:val="3"/>
          <w:w w:val="110"/>
        </w:rPr>
        <w:t>Smith </w:t>
      </w:r>
      <w:r>
        <w:rPr>
          <w:spacing w:val="4"/>
          <w:w w:val="110"/>
        </w:rPr>
        <w:t>October</w:t>
      </w:r>
      <w:r>
        <w:rPr>
          <w:spacing w:val="89"/>
          <w:w w:val="110"/>
        </w:rPr>
        <w:t> </w:t>
      </w:r>
      <w:r>
        <w:rPr>
          <w:spacing w:val="-7"/>
          <w:w w:val="110"/>
        </w:rPr>
        <w:t>2013</w:t>
      </w:r>
    </w:p>
    <w:p>
      <w:pPr>
        <w:pStyle w:val="ListParagraph"/>
        <w:numPr>
          <w:ilvl w:val="2"/>
          <w:numId w:val="20"/>
        </w:numPr>
        <w:tabs>
          <w:tab w:pos="1228" w:val="left" w:leader="none"/>
        </w:tabs>
        <w:spacing w:line="235" w:lineRule="auto" w:before="85" w:after="0"/>
        <w:ind w:left="547" w:right="2175" w:firstLine="0"/>
        <w:jc w:val="left"/>
        <w:rPr>
          <w:sz w:val="20"/>
        </w:rPr>
      </w:pPr>
      <w:r>
        <w:rPr>
          <w:w w:val="120"/>
          <w:sz w:val="20"/>
        </w:rPr>
        <w:t>Three Church of Scotland ministers, Graham Duffin, Andrew Morrice and Norman Smith, explored a similar age group as </w:t>
      </w:r>
      <w:r>
        <w:rPr>
          <w:spacing w:val="2"/>
          <w:w w:val="120"/>
          <w:sz w:val="20"/>
        </w:rPr>
        <w:t>part </w:t>
      </w:r>
      <w:r>
        <w:rPr>
          <w:w w:val="120"/>
          <w:sz w:val="20"/>
        </w:rPr>
        <w:t>of a study leave project in </w:t>
      </w:r>
      <w:r>
        <w:rPr>
          <w:spacing w:val="-7"/>
          <w:w w:val="120"/>
          <w:sz w:val="20"/>
        </w:rPr>
        <w:t>2013. </w:t>
      </w:r>
      <w:r>
        <w:rPr>
          <w:w w:val="120"/>
          <w:sz w:val="20"/>
        </w:rPr>
        <w:t>Rather than exploring what the problems were, they spoke to church leaders in places that bucked the trend and had flourishing ministries with people aged</w:t>
      </w:r>
      <w:r>
        <w:rPr>
          <w:spacing w:val="8"/>
          <w:w w:val="120"/>
          <w:sz w:val="20"/>
        </w:rPr>
        <w:t> </w:t>
      </w:r>
      <w:r>
        <w:rPr>
          <w:w w:val="120"/>
          <w:sz w:val="20"/>
        </w:rPr>
        <w:t>20-45.</w:t>
      </w:r>
    </w:p>
    <w:p>
      <w:pPr>
        <w:pStyle w:val="BodyText"/>
        <w:spacing w:before="11"/>
        <w:rPr>
          <w:sz w:val="19"/>
        </w:rPr>
      </w:pPr>
    </w:p>
    <w:p>
      <w:pPr>
        <w:pStyle w:val="ListParagraph"/>
        <w:numPr>
          <w:ilvl w:val="2"/>
          <w:numId w:val="20"/>
        </w:numPr>
        <w:tabs>
          <w:tab w:pos="1228" w:val="left" w:leader="none"/>
        </w:tabs>
        <w:spacing w:line="235" w:lineRule="auto" w:before="0" w:after="0"/>
        <w:ind w:left="547" w:right="2335" w:firstLine="0"/>
        <w:jc w:val="left"/>
        <w:rPr>
          <w:sz w:val="20"/>
        </w:rPr>
      </w:pPr>
      <w:r>
        <w:rPr>
          <w:w w:val="120"/>
          <w:sz w:val="20"/>
        </w:rPr>
        <w:t>They found that church leaders identified the following as key components of effective ministry to</w:t>
      </w:r>
      <w:r>
        <w:rPr>
          <w:spacing w:val="5"/>
          <w:w w:val="120"/>
          <w:sz w:val="20"/>
        </w:rPr>
        <w:t> </w:t>
      </w:r>
      <w:r>
        <w:rPr>
          <w:w w:val="120"/>
          <w:sz w:val="20"/>
        </w:rPr>
        <w:t>20-45-year-olds:</w:t>
      </w:r>
    </w:p>
    <w:p>
      <w:pPr>
        <w:pStyle w:val="ListParagraph"/>
        <w:numPr>
          <w:ilvl w:val="0"/>
          <w:numId w:val="21"/>
        </w:numPr>
        <w:tabs>
          <w:tab w:pos="1227" w:val="left" w:leader="none"/>
          <w:tab w:pos="1228" w:val="left" w:leader="none"/>
        </w:tabs>
        <w:spacing w:line="235" w:lineRule="auto" w:before="0" w:after="0"/>
        <w:ind w:left="1227" w:right="2208" w:hanging="681"/>
        <w:jc w:val="left"/>
        <w:rPr>
          <w:sz w:val="20"/>
        </w:rPr>
      </w:pPr>
      <w:r>
        <w:rPr>
          <w:w w:val="120"/>
          <w:sz w:val="20"/>
        </w:rPr>
        <w:t>Empowering, visionary leadership – whether we like it or not, ministers are key people.</w:t>
      </w:r>
    </w:p>
    <w:p>
      <w:pPr>
        <w:pStyle w:val="ListParagraph"/>
        <w:numPr>
          <w:ilvl w:val="0"/>
          <w:numId w:val="21"/>
        </w:numPr>
        <w:tabs>
          <w:tab w:pos="1227" w:val="left" w:leader="none"/>
          <w:tab w:pos="1228" w:val="left" w:leader="none"/>
        </w:tabs>
        <w:spacing w:line="235" w:lineRule="auto" w:before="0" w:after="0"/>
        <w:ind w:left="1227" w:right="2304" w:hanging="681"/>
        <w:jc w:val="left"/>
        <w:rPr>
          <w:sz w:val="20"/>
        </w:rPr>
      </w:pPr>
      <w:r>
        <w:rPr>
          <w:w w:val="120"/>
          <w:sz w:val="20"/>
        </w:rPr>
        <w:t>Significant leadership roles for under </w:t>
      </w:r>
      <w:r>
        <w:rPr>
          <w:spacing w:val="-5"/>
          <w:w w:val="120"/>
          <w:sz w:val="20"/>
        </w:rPr>
        <w:t>45s </w:t>
      </w:r>
      <w:r>
        <w:rPr>
          <w:w w:val="120"/>
          <w:sz w:val="20"/>
        </w:rPr>
        <w:t>– people with a stake are more likely to stay</w:t>
      </w:r>
      <w:r>
        <w:rPr>
          <w:spacing w:val="3"/>
          <w:w w:val="120"/>
          <w:sz w:val="20"/>
        </w:rPr>
        <w:t> </w:t>
      </w:r>
      <w:r>
        <w:rPr>
          <w:w w:val="120"/>
          <w:sz w:val="20"/>
        </w:rPr>
        <w:t>involved.</w:t>
      </w:r>
    </w:p>
    <w:p>
      <w:pPr>
        <w:pStyle w:val="ListParagraph"/>
        <w:numPr>
          <w:ilvl w:val="0"/>
          <w:numId w:val="21"/>
        </w:numPr>
        <w:tabs>
          <w:tab w:pos="1227" w:val="left" w:leader="none"/>
          <w:tab w:pos="1228" w:val="left" w:leader="none"/>
        </w:tabs>
        <w:spacing w:line="235" w:lineRule="auto" w:before="0" w:after="0"/>
        <w:ind w:left="1227" w:right="2519" w:hanging="681"/>
        <w:jc w:val="left"/>
        <w:rPr>
          <w:sz w:val="20"/>
        </w:rPr>
      </w:pPr>
      <w:r>
        <w:rPr>
          <w:spacing w:val="-4"/>
          <w:w w:val="120"/>
          <w:sz w:val="20"/>
        </w:rPr>
        <w:t>Team </w:t>
      </w:r>
      <w:r>
        <w:rPr>
          <w:w w:val="120"/>
          <w:sz w:val="20"/>
        </w:rPr>
        <w:t>ministry – a sense of a range of people being involved in ministry, not necessarily a formal staff</w:t>
      </w:r>
      <w:r>
        <w:rPr>
          <w:spacing w:val="4"/>
          <w:w w:val="120"/>
          <w:sz w:val="20"/>
        </w:rPr>
        <w:t> </w:t>
      </w:r>
      <w:r>
        <w:rPr>
          <w:w w:val="120"/>
          <w:sz w:val="20"/>
        </w:rPr>
        <w:t>team.</w:t>
      </w:r>
    </w:p>
    <w:p>
      <w:pPr>
        <w:pStyle w:val="ListParagraph"/>
        <w:numPr>
          <w:ilvl w:val="0"/>
          <w:numId w:val="21"/>
        </w:numPr>
        <w:tabs>
          <w:tab w:pos="1227" w:val="left" w:leader="none"/>
          <w:tab w:pos="1228" w:val="left" w:leader="none"/>
        </w:tabs>
        <w:spacing w:line="235" w:lineRule="auto" w:before="0" w:after="0"/>
        <w:ind w:left="1227" w:right="2272" w:hanging="681"/>
        <w:jc w:val="left"/>
        <w:rPr>
          <w:sz w:val="20"/>
        </w:rPr>
      </w:pPr>
      <w:r>
        <w:rPr>
          <w:w w:val="120"/>
          <w:sz w:val="20"/>
        </w:rPr>
        <w:t>Supportive church structures – a commitment to allow the time and resources necessary to engage and</w:t>
      </w:r>
      <w:r>
        <w:rPr>
          <w:spacing w:val="10"/>
          <w:w w:val="120"/>
          <w:sz w:val="20"/>
        </w:rPr>
        <w:t> </w:t>
      </w:r>
      <w:r>
        <w:rPr>
          <w:spacing w:val="-3"/>
          <w:w w:val="120"/>
          <w:sz w:val="20"/>
        </w:rPr>
        <w:t>grow.</w:t>
      </w:r>
    </w:p>
    <w:p>
      <w:pPr>
        <w:spacing w:after="0" w:line="235" w:lineRule="auto"/>
        <w:jc w:val="left"/>
        <w:rPr>
          <w:sz w:val="20"/>
        </w:rPr>
        <w:sectPr>
          <w:headerReference w:type="even" r:id="rId105"/>
          <w:pgSz w:w="11910" w:h="16840"/>
          <w:pgMar w:header="0" w:footer="647" w:top="0" w:bottom="840" w:left="700" w:right="0"/>
        </w:sectPr>
      </w:pPr>
    </w:p>
    <w:p>
      <w:pPr>
        <w:pStyle w:val="BodyText"/>
      </w:pPr>
      <w:r>
        <w:rPr/>
        <w:drawing>
          <wp:anchor distT="0" distB="0" distL="0" distR="0" allowOverlap="1" layoutInCell="1" locked="0" behindDoc="0" simplePos="0" relativeHeight="251738112">
            <wp:simplePos x="0" y="0"/>
            <wp:positionH relativeFrom="page">
              <wp:posOffset>6974928</wp:posOffset>
            </wp:positionH>
            <wp:positionV relativeFrom="page">
              <wp:posOffset>0</wp:posOffset>
            </wp:positionV>
            <wp:extent cx="585076" cy="10692003"/>
            <wp:effectExtent l="0" t="0" r="0" b="0"/>
            <wp:wrapNone/>
            <wp:docPr id="45" name="image50.png"/>
            <wp:cNvGraphicFramePr>
              <a:graphicFrameLocks noChangeAspect="1"/>
            </wp:cNvGraphicFramePr>
            <a:graphic>
              <a:graphicData uri="http://schemas.openxmlformats.org/drawingml/2006/picture">
                <pic:pic>
                  <pic:nvPicPr>
                    <pic:cNvPr id="46"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38.85pt;mso-position-horizontal-relative:page;mso-position-vertical-relative:paragraph;z-index:25173913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r>
        <w:rPr>
          <w:color w:val="7EAABF"/>
          <w:w w:val="120"/>
        </w:rPr>
        <w:t>Mission Council</w:t>
      </w:r>
    </w:p>
    <w:p>
      <w:pPr>
        <w:pStyle w:val="ListParagraph"/>
        <w:numPr>
          <w:ilvl w:val="1"/>
          <w:numId w:val="21"/>
        </w:numPr>
        <w:tabs>
          <w:tab w:pos="1964" w:val="left" w:leader="none"/>
          <w:tab w:pos="1965" w:val="left" w:leader="none"/>
        </w:tabs>
        <w:spacing w:line="235" w:lineRule="auto" w:before="211" w:after="0"/>
        <w:ind w:left="1964" w:right="2080" w:hanging="681"/>
        <w:jc w:val="left"/>
        <w:rPr>
          <w:sz w:val="20"/>
        </w:rPr>
      </w:pPr>
      <w:r>
        <w:rPr>
          <w:w w:val="120"/>
          <w:sz w:val="20"/>
        </w:rPr>
        <w:t>Intentional discipleship programmes – a clear priority for everyone to be involved in a programme of growth and</w:t>
      </w:r>
      <w:r>
        <w:rPr>
          <w:spacing w:val="27"/>
          <w:w w:val="120"/>
          <w:sz w:val="20"/>
        </w:rPr>
        <w:t> </w:t>
      </w:r>
      <w:r>
        <w:rPr>
          <w:w w:val="120"/>
          <w:sz w:val="20"/>
        </w:rPr>
        <w:t>resourcing.</w:t>
      </w:r>
    </w:p>
    <w:p>
      <w:pPr>
        <w:pStyle w:val="ListParagraph"/>
        <w:numPr>
          <w:ilvl w:val="1"/>
          <w:numId w:val="21"/>
        </w:numPr>
        <w:tabs>
          <w:tab w:pos="1964" w:val="left" w:leader="none"/>
          <w:tab w:pos="1965" w:val="left" w:leader="none"/>
        </w:tabs>
        <w:spacing w:line="235" w:lineRule="auto" w:before="0" w:after="0"/>
        <w:ind w:left="1964" w:right="1746" w:hanging="681"/>
        <w:jc w:val="left"/>
        <w:rPr>
          <w:sz w:val="20"/>
        </w:rPr>
      </w:pPr>
      <w:r>
        <w:rPr>
          <w:w w:val="120"/>
          <w:sz w:val="20"/>
        </w:rPr>
        <w:t>Encouragement to be actively involved in church life – taking </w:t>
      </w:r>
      <w:r>
        <w:rPr>
          <w:spacing w:val="2"/>
          <w:w w:val="120"/>
          <w:sz w:val="20"/>
        </w:rPr>
        <w:t>part </w:t>
      </w:r>
      <w:r>
        <w:rPr>
          <w:w w:val="120"/>
          <w:sz w:val="20"/>
        </w:rPr>
        <w:t>leads to a sense of belonging and</w:t>
      </w:r>
      <w:r>
        <w:rPr>
          <w:spacing w:val="10"/>
          <w:w w:val="120"/>
          <w:sz w:val="20"/>
        </w:rPr>
        <w:t> </w:t>
      </w:r>
      <w:r>
        <w:rPr>
          <w:w w:val="120"/>
          <w:sz w:val="20"/>
        </w:rPr>
        <w:t>ownership.</w:t>
      </w:r>
    </w:p>
    <w:p>
      <w:pPr>
        <w:pStyle w:val="ListParagraph"/>
        <w:numPr>
          <w:ilvl w:val="1"/>
          <w:numId w:val="21"/>
        </w:numPr>
        <w:tabs>
          <w:tab w:pos="1964" w:val="left" w:leader="none"/>
          <w:tab w:pos="1965" w:val="left" w:leader="none"/>
        </w:tabs>
        <w:spacing w:line="235" w:lineRule="auto" w:before="0" w:after="0"/>
        <w:ind w:left="1964" w:right="1248" w:hanging="681"/>
        <w:jc w:val="left"/>
        <w:rPr>
          <w:sz w:val="20"/>
        </w:rPr>
      </w:pPr>
      <w:r>
        <w:rPr>
          <w:w w:val="120"/>
          <w:sz w:val="20"/>
        </w:rPr>
        <w:t>Inspirational, relevant worship – it may be that a variety of worship opportunities are</w:t>
      </w:r>
      <w:r>
        <w:rPr>
          <w:spacing w:val="2"/>
          <w:w w:val="120"/>
          <w:sz w:val="20"/>
        </w:rPr>
        <w:t> </w:t>
      </w:r>
      <w:r>
        <w:rPr>
          <w:w w:val="120"/>
          <w:sz w:val="20"/>
        </w:rPr>
        <w:t>needed.</w:t>
      </w:r>
    </w:p>
    <w:p>
      <w:pPr>
        <w:pStyle w:val="ListParagraph"/>
        <w:numPr>
          <w:ilvl w:val="1"/>
          <w:numId w:val="21"/>
        </w:numPr>
        <w:tabs>
          <w:tab w:pos="1964" w:val="left" w:leader="none"/>
          <w:tab w:pos="1965" w:val="left" w:leader="none"/>
        </w:tabs>
        <w:spacing w:line="235" w:lineRule="auto" w:before="0" w:after="0"/>
        <w:ind w:left="1964" w:right="1390" w:hanging="681"/>
        <w:jc w:val="left"/>
        <w:rPr>
          <w:sz w:val="20"/>
        </w:rPr>
      </w:pPr>
      <w:r>
        <w:rPr>
          <w:w w:val="120"/>
          <w:sz w:val="20"/>
        </w:rPr>
        <w:t>A commitment to build and maintain meaningful relationships – friends inviting friends is central to any mission and evangelism</w:t>
      </w:r>
      <w:r>
        <w:rPr>
          <w:spacing w:val="12"/>
          <w:w w:val="120"/>
          <w:sz w:val="20"/>
        </w:rPr>
        <w:t> </w:t>
      </w:r>
      <w:r>
        <w:rPr>
          <w:w w:val="120"/>
          <w:sz w:val="20"/>
        </w:rPr>
        <w:t>strategy.</w:t>
      </w:r>
    </w:p>
    <w:p>
      <w:pPr>
        <w:pStyle w:val="ListParagraph"/>
        <w:numPr>
          <w:ilvl w:val="1"/>
          <w:numId w:val="21"/>
        </w:numPr>
        <w:tabs>
          <w:tab w:pos="1964" w:val="left" w:leader="none"/>
          <w:tab w:pos="1965" w:val="left" w:leader="none"/>
        </w:tabs>
        <w:spacing w:line="235" w:lineRule="auto" w:before="0" w:after="0"/>
        <w:ind w:left="1964" w:right="1348" w:hanging="681"/>
        <w:jc w:val="left"/>
        <w:rPr>
          <w:sz w:val="20"/>
        </w:rPr>
      </w:pPr>
      <w:r>
        <w:rPr>
          <w:w w:val="120"/>
          <w:sz w:val="20"/>
        </w:rPr>
        <w:t>A focus on outreach and mission – the church should be outward looking with a clear mission</w:t>
      </w:r>
      <w:r>
        <w:rPr>
          <w:spacing w:val="3"/>
          <w:w w:val="120"/>
          <w:sz w:val="20"/>
        </w:rPr>
        <w:t> </w:t>
      </w:r>
      <w:r>
        <w:rPr>
          <w:w w:val="120"/>
          <w:sz w:val="20"/>
        </w:rPr>
        <w:t>focus.</w:t>
      </w:r>
    </w:p>
    <w:p>
      <w:pPr>
        <w:pStyle w:val="ListParagraph"/>
        <w:numPr>
          <w:ilvl w:val="1"/>
          <w:numId w:val="21"/>
        </w:numPr>
        <w:tabs>
          <w:tab w:pos="1964" w:val="left" w:leader="none"/>
          <w:tab w:pos="1965" w:val="left" w:leader="none"/>
        </w:tabs>
        <w:spacing w:line="242" w:lineRule="exact" w:before="0" w:after="0"/>
        <w:ind w:left="1964" w:right="0" w:hanging="681"/>
        <w:jc w:val="left"/>
        <w:rPr>
          <w:sz w:val="20"/>
        </w:rPr>
      </w:pPr>
      <w:r>
        <w:rPr>
          <w:w w:val="120"/>
          <w:sz w:val="20"/>
        </w:rPr>
        <w:t>A reliance on God – prayer and discernment at the heart of</w:t>
      </w:r>
      <w:r>
        <w:rPr>
          <w:spacing w:val="33"/>
          <w:w w:val="120"/>
          <w:sz w:val="20"/>
        </w:rPr>
        <w:t> </w:t>
      </w:r>
      <w:r>
        <w:rPr>
          <w:w w:val="120"/>
          <w:sz w:val="20"/>
        </w:rPr>
        <w:t>everything.</w:t>
      </w:r>
    </w:p>
    <w:p>
      <w:pPr>
        <w:pStyle w:val="BodyText"/>
        <w:rPr>
          <w:sz w:val="19"/>
        </w:rPr>
      </w:pPr>
    </w:p>
    <w:p>
      <w:pPr>
        <w:pStyle w:val="Heading4"/>
        <w:numPr>
          <w:ilvl w:val="1"/>
          <w:numId w:val="20"/>
        </w:numPr>
        <w:tabs>
          <w:tab w:pos="1965" w:val="left" w:leader="none"/>
        </w:tabs>
        <w:spacing w:line="240" w:lineRule="auto" w:before="0" w:after="0"/>
        <w:ind w:left="1964" w:right="0" w:hanging="681"/>
        <w:jc w:val="left"/>
      </w:pPr>
      <w:r>
        <w:rPr>
          <w:spacing w:val="3"/>
          <w:w w:val="110"/>
        </w:rPr>
        <w:t>Church </w:t>
      </w:r>
      <w:r>
        <w:rPr>
          <w:w w:val="110"/>
        </w:rPr>
        <w:t>of</w:t>
      </w:r>
      <w:r>
        <w:rPr>
          <w:spacing w:val="22"/>
          <w:w w:val="110"/>
        </w:rPr>
        <w:t> </w:t>
      </w:r>
      <w:r>
        <w:rPr>
          <w:spacing w:val="4"/>
          <w:w w:val="110"/>
        </w:rPr>
        <w:t>England</w:t>
      </w:r>
    </w:p>
    <w:p>
      <w:pPr>
        <w:pStyle w:val="ListParagraph"/>
        <w:numPr>
          <w:ilvl w:val="2"/>
          <w:numId w:val="20"/>
        </w:numPr>
        <w:tabs>
          <w:tab w:pos="1964" w:val="left" w:leader="none"/>
          <w:tab w:pos="1965" w:val="left" w:leader="none"/>
        </w:tabs>
        <w:spacing w:line="235" w:lineRule="auto" w:before="69" w:after="0"/>
        <w:ind w:left="1284" w:right="1309" w:firstLine="0"/>
        <w:jc w:val="left"/>
        <w:rPr>
          <w:sz w:val="20"/>
        </w:rPr>
      </w:pPr>
      <w:r>
        <w:rPr>
          <w:w w:val="120"/>
          <w:sz w:val="20"/>
        </w:rPr>
        <w:t>Over the past few years the Church of England has built on some striking examples of churches which seem to be able to grow and resource others by creating and supporting ‘Resource Churches’ in cities. A Resource Church is defined as </w:t>
      </w:r>
      <w:r>
        <w:rPr>
          <w:spacing w:val="-5"/>
          <w:w w:val="120"/>
          <w:sz w:val="20"/>
        </w:rPr>
        <w:t>‘a </w:t>
      </w:r>
      <w:r>
        <w:rPr>
          <w:w w:val="120"/>
          <w:sz w:val="20"/>
        </w:rPr>
        <w:t>church which, working closely with the local bishop, intentionally resources mission</w:t>
      </w:r>
      <w:r>
        <w:rPr>
          <w:spacing w:val="34"/>
          <w:w w:val="120"/>
          <w:sz w:val="20"/>
        </w:rPr>
        <w:t> </w:t>
      </w:r>
      <w:r>
        <w:rPr>
          <w:w w:val="120"/>
          <w:sz w:val="20"/>
        </w:rPr>
        <w:t>across</w:t>
      </w:r>
    </w:p>
    <w:p>
      <w:pPr>
        <w:pStyle w:val="BodyText"/>
        <w:spacing w:line="235" w:lineRule="auto" w:before="3"/>
        <w:ind w:left="1284" w:right="1283"/>
      </w:pPr>
      <w:r>
        <w:rPr>
          <w:w w:val="120"/>
        </w:rPr>
        <w:t>a city, by planting and revitalising churches, developing leaders and providing other resources for mission. Its aim is to help evangelise the city and transform society.’</w:t>
      </w:r>
    </w:p>
    <w:p>
      <w:pPr>
        <w:pStyle w:val="BodyText"/>
        <w:spacing w:before="6"/>
        <w:rPr>
          <w:sz w:val="19"/>
        </w:rPr>
      </w:pPr>
    </w:p>
    <w:p>
      <w:pPr>
        <w:pStyle w:val="ListParagraph"/>
        <w:numPr>
          <w:ilvl w:val="2"/>
          <w:numId w:val="20"/>
        </w:numPr>
        <w:tabs>
          <w:tab w:pos="1965" w:val="left" w:leader="none"/>
        </w:tabs>
        <w:spacing w:line="237" w:lineRule="exact" w:before="0" w:after="0"/>
        <w:ind w:left="1964" w:right="0" w:hanging="681"/>
        <w:jc w:val="left"/>
        <w:rPr>
          <w:sz w:val="20"/>
        </w:rPr>
      </w:pPr>
      <w:r>
        <w:rPr>
          <w:w w:val="120"/>
          <w:sz w:val="20"/>
        </w:rPr>
        <w:t>This city focused </w:t>
      </w:r>
      <w:r>
        <w:rPr>
          <w:spacing w:val="-3"/>
          <w:w w:val="120"/>
          <w:sz w:val="20"/>
        </w:rPr>
        <w:t>mission </w:t>
      </w:r>
      <w:r>
        <w:rPr>
          <w:w w:val="120"/>
          <w:sz w:val="20"/>
        </w:rPr>
        <w:t>strategy is based on some </w:t>
      </w:r>
      <w:r>
        <w:rPr>
          <w:spacing w:val="-3"/>
          <w:w w:val="120"/>
          <w:sz w:val="20"/>
        </w:rPr>
        <w:t>core </w:t>
      </w:r>
      <w:r>
        <w:rPr>
          <w:w w:val="120"/>
          <w:sz w:val="20"/>
        </w:rPr>
        <w:t>principles which</w:t>
      </w:r>
      <w:r>
        <w:rPr>
          <w:spacing w:val="-21"/>
          <w:w w:val="120"/>
          <w:sz w:val="20"/>
        </w:rPr>
        <w:t> </w:t>
      </w:r>
      <w:r>
        <w:rPr>
          <w:spacing w:val="-3"/>
          <w:w w:val="120"/>
          <w:sz w:val="20"/>
        </w:rPr>
        <w:t>include:</w:t>
      </w:r>
    </w:p>
    <w:p>
      <w:pPr>
        <w:pStyle w:val="ListParagraph"/>
        <w:numPr>
          <w:ilvl w:val="1"/>
          <w:numId w:val="21"/>
        </w:numPr>
        <w:tabs>
          <w:tab w:pos="1964" w:val="left" w:leader="none"/>
          <w:tab w:pos="1965" w:val="left" w:leader="none"/>
        </w:tabs>
        <w:spacing w:line="235" w:lineRule="auto" w:before="0" w:after="0"/>
        <w:ind w:left="1964" w:right="1586" w:hanging="681"/>
        <w:jc w:val="left"/>
        <w:rPr>
          <w:sz w:val="20"/>
        </w:rPr>
      </w:pPr>
      <w:r>
        <w:rPr>
          <w:w w:val="120"/>
          <w:sz w:val="20"/>
        </w:rPr>
        <w:t>generosity – give away what we have been given </w:t>
      </w:r>
      <w:r>
        <w:rPr>
          <w:spacing w:val="-3"/>
          <w:w w:val="120"/>
          <w:sz w:val="20"/>
        </w:rPr>
        <w:t>(church </w:t>
      </w:r>
      <w:r>
        <w:rPr>
          <w:w w:val="120"/>
          <w:sz w:val="20"/>
        </w:rPr>
        <w:t>planting, resources, teams,</w:t>
      </w:r>
      <w:r>
        <w:rPr>
          <w:spacing w:val="1"/>
          <w:w w:val="120"/>
          <w:sz w:val="20"/>
        </w:rPr>
        <w:t> </w:t>
      </w:r>
      <w:r>
        <w:rPr>
          <w:spacing w:val="-5"/>
          <w:w w:val="120"/>
          <w:sz w:val="20"/>
        </w:rPr>
        <w:t>etc);</w:t>
      </w:r>
    </w:p>
    <w:p>
      <w:pPr>
        <w:pStyle w:val="ListParagraph"/>
        <w:numPr>
          <w:ilvl w:val="1"/>
          <w:numId w:val="21"/>
        </w:numPr>
        <w:tabs>
          <w:tab w:pos="1964" w:val="left" w:leader="none"/>
          <w:tab w:pos="1965" w:val="left" w:leader="none"/>
        </w:tabs>
        <w:spacing w:line="235" w:lineRule="auto" w:before="0" w:after="0"/>
        <w:ind w:left="1964" w:right="1711" w:hanging="681"/>
        <w:jc w:val="left"/>
        <w:rPr>
          <w:sz w:val="20"/>
        </w:rPr>
      </w:pPr>
      <w:r>
        <w:rPr>
          <w:w w:val="120"/>
          <w:sz w:val="20"/>
        </w:rPr>
        <w:t>partnership – work with others to reach our city </w:t>
      </w:r>
      <w:r>
        <w:rPr>
          <w:spacing w:val="-3"/>
          <w:w w:val="120"/>
          <w:sz w:val="20"/>
        </w:rPr>
        <w:t>(diocesan </w:t>
      </w:r>
      <w:r>
        <w:rPr>
          <w:w w:val="120"/>
          <w:sz w:val="20"/>
        </w:rPr>
        <w:t>bishop, churches, other denominations, businesses, charities,</w:t>
      </w:r>
      <w:r>
        <w:rPr>
          <w:spacing w:val="8"/>
          <w:w w:val="120"/>
          <w:sz w:val="20"/>
        </w:rPr>
        <w:t> </w:t>
      </w:r>
      <w:r>
        <w:rPr>
          <w:spacing w:val="-5"/>
          <w:w w:val="120"/>
          <w:sz w:val="20"/>
        </w:rPr>
        <w:t>etc);</w:t>
      </w:r>
    </w:p>
    <w:p>
      <w:pPr>
        <w:pStyle w:val="ListParagraph"/>
        <w:numPr>
          <w:ilvl w:val="1"/>
          <w:numId w:val="21"/>
        </w:numPr>
        <w:tabs>
          <w:tab w:pos="1964" w:val="left" w:leader="none"/>
          <w:tab w:pos="1965" w:val="left" w:leader="none"/>
        </w:tabs>
        <w:spacing w:line="235" w:lineRule="auto" w:before="0" w:after="0"/>
        <w:ind w:left="1964" w:right="1657" w:hanging="681"/>
        <w:jc w:val="left"/>
        <w:rPr>
          <w:sz w:val="20"/>
        </w:rPr>
      </w:pPr>
      <w:r>
        <w:rPr>
          <w:w w:val="120"/>
          <w:sz w:val="20"/>
        </w:rPr>
        <w:t>audacity – re-evangelise our city and help transform the structures and communities </w:t>
      </w:r>
      <w:r>
        <w:rPr>
          <w:spacing w:val="-3"/>
          <w:w w:val="120"/>
          <w:sz w:val="20"/>
        </w:rPr>
        <w:t>(with </w:t>
      </w:r>
      <w:r>
        <w:rPr>
          <w:w w:val="120"/>
          <w:sz w:val="20"/>
        </w:rPr>
        <w:t>a vision big enough to capture the imagination of the city and only achievable with</w:t>
      </w:r>
      <w:r>
        <w:rPr>
          <w:spacing w:val="10"/>
          <w:w w:val="120"/>
          <w:sz w:val="20"/>
        </w:rPr>
        <w:t> </w:t>
      </w:r>
      <w:r>
        <w:rPr>
          <w:w w:val="120"/>
          <w:sz w:val="20"/>
        </w:rPr>
        <w:t>God)</w:t>
      </w:r>
    </w:p>
    <w:p>
      <w:pPr>
        <w:pStyle w:val="ListParagraph"/>
        <w:numPr>
          <w:ilvl w:val="1"/>
          <w:numId w:val="21"/>
        </w:numPr>
        <w:tabs>
          <w:tab w:pos="1964" w:val="left" w:leader="none"/>
          <w:tab w:pos="1965" w:val="left" w:leader="none"/>
        </w:tabs>
        <w:spacing w:line="242" w:lineRule="exact" w:before="0" w:after="0"/>
        <w:ind w:left="1964" w:right="0" w:hanging="681"/>
        <w:jc w:val="left"/>
        <w:rPr>
          <w:sz w:val="20"/>
        </w:rPr>
      </w:pPr>
      <w:r>
        <w:rPr>
          <w:w w:val="120"/>
          <w:sz w:val="20"/>
        </w:rPr>
        <w:t>humility – serve the city and its </w:t>
      </w:r>
      <w:r>
        <w:rPr>
          <w:spacing w:val="-3"/>
          <w:w w:val="120"/>
          <w:sz w:val="20"/>
        </w:rPr>
        <w:t>churches (play </w:t>
      </w:r>
      <w:r>
        <w:rPr>
          <w:w w:val="120"/>
          <w:sz w:val="20"/>
        </w:rPr>
        <w:t>our part, </w:t>
      </w:r>
      <w:r>
        <w:rPr>
          <w:spacing w:val="-3"/>
          <w:w w:val="120"/>
          <w:sz w:val="20"/>
        </w:rPr>
        <w:t>listen </w:t>
      </w:r>
      <w:r>
        <w:rPr>
          <w:w w:val="120"/>
          <w:sz w:val="20"/>
        </w:rPr>
        <w:t>and serve the</w:t>
      </w:r>
      <w:r>
        <w:rPr>
          <w:spacing w:val="-13"/>
          <w:w w:val="120"/>
          <w:sz w:val="20"/>
        </w:rPr>
        <w:t> </w:t>
      </w:r>
      <w:r>
        <w:rPr>
          <w:spacing w:val="-5"/>
          <w:w w:val="120"/>
          <w:sz w:val="20"/>
        </w:rPr>
        <w:t>city).</w:t>
      </w:r>
    </w:p>
    <w:p>
      <w:pPr>
        <w:pStyle w:val="BodyText"/>
        <w:spacing w:before="2"/>
      </w:pPr>
    </w:p>
    <w:p>
      <w:pPr>
        <w:pStyle w:val="Heading4"/>
        <w:numPr>
          <w:ilvl w:val="0"/>
          <w:numId w:val="20"/>
        </w:numPr>
        <w:tabs>
          <w:tab w:pos="1964" w:val="left" w:leader="none"/>
          <w:tab w:pos="1965" w:val="left" w:leader="none"/>
        </w:tabs>
        <w:spacing w:line="240" w:lineRule="auto" w:before="1" w:after="0"/>
        <w:ind w:left="1964" w:right="0" w:hanging="681"/>
        <w:jc w:val="left"/>
      </w:pPr>
      <w:r>
        <w:rPr>
          <w:spacing w:val="4"/>
          <w:w w:val="110"/>
        </w:rPr>
        <w:t>Academic</w:t>
      </w:r>
      <w:r>
        <w:rPr>
          <w:spacing w:val="12"/>
          <w:w w:val="110"/>
        </w:rPr>
        <w:t> </w:t>
      </w:r>
      <w:r>
        <w:rPr>
          <w:spacing w:val="3"/>
          <w:w w:val="110"/>
        </w:rPr>
        <w:t>research</w:t>
      </w:r>
    </w:p>
    <w:p>
      <w:pPr>
        <w:pStyle w:val="ListParagraph"/>
        <w:numPr>
          <w:ilvl w:val="1"/>
          <w:numId w:val="20"/>
        </w:numPr>
        <w:tabs>
          <w:tab w:pos="1964" w:val="left" w:leader="none"/>
          <w:tab w:pos="1965" w:val="left" w:leader="none"/>
        </w:tabs>
        <w:spacing w:line="235" w:lineRule="auto" w:before="69" w:after="0"/>
        <w:ind w:left="1284" w:right="1923" w:firstLine="0"/>
        <w:jc w:val="left"/>
        <w:rPr>
          <w:sz w:val="20"/>
        </w:rPr>
      </w:pPr>
      <w:r>
        <w:rPr>
          <w:spacing w:val="3"/>
          <w:w w:val="120"/>
          <w:sz w:val="20"/>
        </w:rPr>
        <w:t>As </w:t>
      </w:r>
      <w:r>
        <w:rPr>
          <w:w w:val="120"/>
          <w:sz w:val="20"/>
        </w:rPr>
        <w:t>well as denominational research, the task group has also read academic research into the area of churches’ engagement with</w:t>
      </w:r>
      <w:r>
        <w:rPr>
          <w:spacing w:val="25"/>
          <w:w w:val="120"/>
          <w:sz w:val="20"/>
        </w:rPr>
        <w:t> </w:t>
      </w:r>
      <w:r>
        <w:rPr>
          <w:w w:val="120"/>
          <w:sz w:val="20"/>
        </w:rPr>
        <w:t>20-40-year-olds.</w:t>
      </w:r>
    </w:p>
    <w:p>
      <w:pPr>
        <w:pStyle w:val="BodyText"/>
        <w:spacing w:before="9"/>
        <w:rPr>
          <w:sz w:val="19"/>
        </w:rPr>
      </w:pPr>
    </w:p>
    <w:p>
      <w:pPr>
        <w:pStyle w:val="ListParagraph"/>
        <w:numPr>
          <w:ilvl w:val="1"/>
          <w:numId w:val="20"/>
        </w:numPr>
        <w:tabs>
          <w:tab w:pos="1964" w:val="left" w:leader="none"/>
          <w:tab w:pos="1965" w:val="left" w:leader="none"/>
        </w:tabs>
        <w:spacing w:line="235" w:lineRule="auto" w:before="0" w:after="0"/>
        <w:ind w:left="1284" w:right="1420" w:firstLine="0"/>
        <w:jc w:val="left"/>
        <w:rPr>
          <w:sz w:val="20"/>
        </w:rPr>
      </w:pPr>
      <w:r>
        <w:rPr>
          <w:w w:val="120"/>
          <w:sz w:val="20"/>
        </w:rPr>
        <w:t>Mayo, Collins and </w:t>
      </w:r>
      <w:r>
        <w:rPr>
          <w:spacing w:val="2"/>
          <w:w w:val="120"/>
          <w:sz w:val="20"/>
        </w:rPr>
        <w:t>Savage </w:t>
      </w:r>
      <w:r>
        <w:rPr>
          <w:w w:val="120"/>
          <w:sz w:val="20"/>
        </w:rPr>
        <w:t>(2004) researched the differences </w:t>
      </w:r>
      <w:r>
        <w:rPr>
          <w:spacing w:val="2"/>
          <w:w w:val="120"/>
          <w:sz w:val="20"/>
        </w:rPr>
        <w:t>between Generation </w:t>
      </w:r>
      <w:r>
        <w:rPr>
          <w:w w:val="120"/>
          <w:sz w:val="20"/>
        </w:rPr>
        <w:t>X (those </w:t>
      </w:r>
      <w:r>
        <w:rPr>
          <w:spacing w:val="3"/>
          <w:w w:val="120"/>
          <w:sz w:val="20"/>
        </w:rPr>
        <w:t>born </w:t>
      </w:r>
      <w:r>
        <w:rPr>
          <w:spacing w:val="2"/>
          <w:w w:val="120"/>
          <w:sz w:val="20"/>
        </w:rPr>
        <w:t>between </w:t>
      </w:r>
      <w:r>
        <w:rPr>
          <w:spacing w:val="-3"/>
          <w:w w:val="120"/>
          <w:sz w:val="20"/>
        </w:rPr>
        <w:t>1960 </w:t>
      </w:r>
      <w:r>
        <w:rPr>
          <w:w w:val="120"/>
          <w:sz w:val="20"/>
        </w:rPr>
        <w:t>and </w:t>
      </w:r>
      <w:r>
        <w:rPr>
          <w:spacing w:val="-4"/>
          <w:w w:val="120"/>
          <w:sz w:val="20"/>
        </w:rPr>
        <w:t>1980) </w:t>
      </w:r>
      <w:r>
        <w:rPr>
          <w:w w:val="120"/>
          <w:sz w:val="20"/>
        </w:rPr>
        <w:t>and </w:t>
      </w:r>
      <w:r>
        <w:rPr>
          <w:spacing w:val="2"/>
          <w:w w:val="120"/>
          <w:sz w:val="20"/>
        </w:rPr>
        <w:t>Generation </w:t>
      </w:r>
      <w:r>
        <w:rPr>
          <w:w w:val="120"/>
          <w:sz w:val="20"/>
        </w:rPr>
        <w:t>Y (those </w:t>
      </w:r>
      <w:r>
        <w:rPr>
          <w:spacing w:val="3"/>
          <w:w w:val="120"/>
          <w:sz w:val="20"/>
        </w:rPr>
        <w:t>born </w:t>
      </w:r>
      <w:r>
        <w:rPr>
          <w:spacing w:val="2"/>
          <w:w w:val="120"/>
          <w:sz w:val="20"/>
        </w:rPr>
        <w:t>between </w:t>
      </w:r>
      <w:r>
        <w:rPr>
          <w:spacing w:val="-3"/>
          <w:w w:val="120"/>
          <w:sz w:val="20"/>
        </w:rPr>
        <w:t>1980 </w:t>
      </w:r>
      <w:r>
        <w:rPr>
          <w:w w:val="120"/>
          <w:sz w:val="20"/>
        </w:rPr>
        <w:t>and 2000). They found that </w:t>
      </w:r>
      <w:r>
        <w:rPr>
          <w:spacing w:val="2"/>
          <w:w w:val="120"/>
          <w:sz w:val="20"/>
        </w:rPr>
        <w:t>Generation </w:t>
      </w:r>
      <w:r>
        <w:rPr>
          <w:w w:val="120"/>
          <w:sz w:val="20"/>
        </w:rPr>
        <w:t>X had </w:t>
      </w:r>
      <w:r>
        <w:rPr>
          <w:spacing w:val="2"/>
          <w:w w:val="120"/>
          <w:sz w:val="20"/>
        </w:rPr>
        <w:t>generally been ‘turned off’ </w:t>
      </w:r>
      <w:r>
        <w:rPr>
          <w:w w:val="120"/>
          <w:sz w:val="20"/>
        </w:rPr>
        <w:t>Church by </w:t>
      </w:r>
      <w:r>
        <w:rPr>
          <w:spacing w:val="2"/>
          <w:w w:val="120"/>
          <w:sz w:val="20"/>
        </w:rPr>
        <w:t>negative experiences, </w:t>
      </w:r>
      <w:r>
        <w:rPr>
          <w:w w:val="120"/>
          <w:sz w:val="20"/>
        </w:rPr>
        <w:t>whereas </w:t>
      </w:r>
      <w:r>
        <w:rPr>
          <w:spacing w:val="2"/>
          <w:w w:val="120"/>
          <w:sz w:val="20"/>
        </w:rPr>
        <w:t>Generation </w:t>
      </w:r>
      <w:r>
        <w:rPr>
          <w:w w:val="120"/>
          <w:sz w:val="20"/>
        </w:rPr>
        <w:t>Y had never entered it in  the </w:t>
      </w:r>
      <w:r>
        <w:rPr>
          <w:spacing w:val="2"/>
          <w:w w:val="120"/>
          <w:sz w:val="20"/>
        </w:rPr>
        <w:t>first </w:t>
      </w:r>
      <w:r>
        <w:rPr>
          <w:w w:val="120"/>
          <w:sz w:val="20"/>
        </w:rPr>
        <w:t>place. According to their findings, it is not (generally) that under-30s have     an issue with Church: they just do not </w:t>
      </w:r>
      <w:r>
        <w:rPr>
          <w:spacing w:val="2"/>
          <w:w w:val="120"/>
          <w:sz w:val="20"/>
        </w:rPr>
        <w:t>see </w:t>
      </w:r>
      <w:r>
        <w:rPr>
          <w:w w:val="120"/>
          <w:sz w:val="20"/>
        </w:rPr>
        <w:t>the relevance of it to their own lives. </w:t>
      </w:r>
      <w:r>
        <w:rPr>
          <w:spacing w:val="2"/>
          <w:w w:val="120"/>
          <w:sz w:val="20"/>
        </w:rPr>
        <w:t>Therefore, </w:t>
      </w:r>
      <w:r>
        <w:rPr>
          <w:w w:val="120"/>
          <w:sz w:val="20"/>
        </w:rPr>
        <w:t>the Church needs to be </w:t>
      </w:r>
      <w:r>
        <w:rPr>
          <w:spacing w:val="2"/>
          <w:w w:val="120"/>
          <w:sz w:val="20"/>
        </w:rPr>
        <w:t>open </w:t>
      </w:r>
      <w:r>
        <w:rPr>
          <w:w w:val="120"/>
          <w:sz w:val="20"/>
        </w:rPr>
        <w:t>and authentic and to </w:t>
      </w:r>
      <w:r>
        <w:rPr>
          <w:spacing w:val="2"/>
          <w:w w:val="120"/>
          <w:sz w:val="20"/>
        </w:rPr>
        <w:t>engage </w:t>
      </w:r>
      <w:r>
        <w:rPr>
          <w:w w:val="120"/>
          <w:sz w:val="20"/>
        </w:rPr>
        <w:t>in genuine conversation. It also needs to speak in a </w:t>
      </w:r>
      <w:r>
        <w:rPr>
          <w:spacing w:val="2"/>
          <w:w w:val="120"/>
          <w:sz w:val="20"/>
        </w:rPr>
        <w:t>language </w:t>
      </w:r>
      <w:r>
        <w:rPr>
          <w:w w:val="120"/>
          <w:sz w:val="20"/>
        </w:rPr>
        <w:t>that is accessible to all, </w:t>
      </w:r>
      <w:r>
        <w:rPr>
          <w:spacing w:val="2"/>
          <w:w w:val="120"/>
          <w:sz w:val="20"/>
        </w:rPr>
        <w:t>regardless  </w:t>
      </w:r>
      <w:r>
        <w:rPr>
          <w:w w:val="120"/>
          <w:sz w:val="20"/>
        </w:rPr>
        <w:t>of previous </w:t>
      </w:r>
      <w:r>
        <w:rPr>
          <w:spacing w:val="2"/>
          <w:w w:val="120"/>
          <w:sz w:val="20"/>
        </w:rPr>
        <w:t>exposure </w:t>
      </w:r>
      <w:r>
        <w:rPr>
          <w:w w:val="120"/>
          <w:sz w:val="20"/>
        </w:rPr>
        <w:t>to Church or</w:t>
      </w:r>
      <w:r>
        <w:rPr>
          <w:spacing w:val="36"/>
          <w:w w:val="120"/>
          <w:sz w:val="20"/>
        </w:rPr>
        <w:t> </w:t>
      </w:r>
      <w:r>
        <w:rPr>
          <w:spacing w:val="2"/>
          <w:w w:val="120"/>
          <w:sz w:val="20"/>
        </w:rPr>
        <w:t>faith.</w:t>
      </w:r>
    </w:p>
    <w:p>
      <w:pPr>
        <w:pStyle w:val="BodyText"/>
        <w:spacing w:before="2"/>
      </w:pPr>
    </w:p>
    <w:p>
      <w:pPr>
        <w:pStyle w:val="ListParagraph"/>
        <w:numPr>
          <w:ilvl w:val="1"/>
          <w:numId w:val="20"/>
        </w:numPr>
        <w:tabs>
          <w:tab w:pos="1964" w:val="left" w:leader="none"/>
          <w:tab w:pos="1965" w:val="left" w:leader="none"/>
        </w:tabs>
        <w:spacing w:line="235" w:lineRule="auto" w:before="1" w:after="0"/>
        <w:ind w:left="1284" w:right="1523" w:firstLine="0"/>
        <w:jc w:val="left"/>
        <w:rPr>
          <w:sz w:val="20"/>
        </w:rPr>
      </w:pPr>
      <w:r>
        <w:rPr>
          <w:spacing w:val="3"/>
          <w:w w:val="120"/>
          <w:sz w:val="20"/>
        </w:rPr>
        <w:t>Further </w:t>
      </w:r>
      <w:r>
        <w:rPr>
          <w:w w:val="120"/>
          <w:sz w:val="20"/>
        </w:rPr>
        <w:t>research has since </w:t>
      </w:r>
      <w:r>
        <w:rPr>
          <w:spacing w:val="2"/>
          <w:w w:val="120"/>
          <w:sz w:val="20"/>
        </w:rPr>
        <w:t>been </w:t>
      </w:r>
      <w:r>
        <w:rPr>
          <w:w w:val="120"/>
          <w:sz w:val="20"/>
        </w:rPr>
        <w:t>conducted into </w:t>
      </w:r>
      <w:r>
        <w:rPr>
          <w:spacing w:val="2"/>
          <w:w w:val="120"/>
          <w:sz w:val="20"/>
        </w:rPr>
        <w:t>Generation </w:t>
      </w:r>
      <w:r>
        <w:rPr>
          <w:w w:val="120"/>
          <w:sz w:val="20"/>
        </w:rPr>
        <w:t>Z (those </w:t>
      </w:r>
      <w:r>
        <w:rPr>
          <w:spacing w:val="3"/>
          <w:w w:val="120"/>
          <w:sz w:val="20"/>
        </w:rPr>
        <w:t>born </w:t>
      </w:r>
      <w:r>
        <w:rPr>
          <w:w w:val="120"/>
          <w:sz w:val="20"/>
        </w:rPr>
        <w:t>since 2000). This research has highlighted the </w:t>
      </w:r>
      <w:r>
        <w:rPr>
          <w:spacing w:val="2"/>
          <w:w w:val="120"/>
          <w:sz w:val="20"/>
        </w:rPr>
        <w:t>importance </w:t>
      </w:r>
      <w:r>
        <w:rPr>
          <w:w w:val="120"/>
          <w:sz w:val="20"/>
        </w:rPr>
        <w:t>that </w:t>
      </w:r>
      <w:r>
        <w:rPr>
          <w:spacing w:val="2"/>
          <w:w w:val="120"/>
          <w:sz w:val="20"/>
        </w:rPr>
        <w:t>grandparents </w:t>
      </w:r>
      <w:r>
        <w:rPr>
          <w:w w:val="120"/>
          <w:sz w:val="20"/>
        </w:rPr>
        <w:t>have    to play in the </w:t>
      </w:r>
      <w:r>
        <w:rPr>
          <w:spacing w:val="2"/>
          <w:w w:val="120"/>
          <w:sz w:val="20"/>
        </w:rPr>
        <w:t>faith </w:t>
      </w:r>
      <w:r>
        <w:rPr>
          <w:w w:val="120"/>
          <w:sz w:val="20"/>
        </w:rPr>
        <w:t>development of </w:t>
      </w:r>
      <w:r>
        <w:rPr>
          <w:spacing w:val="2"/>
          <w:w w:val="120"/>
          <w:sz w:val="20"/>
        </w:rPr>
        <w:t>Generation Z. </w:t>
      </w:r>
      <w:r>
        <w:rPr>
          <w:w w:val="120"/>
          <w:sz w:val="20"/>
        </w:rPr>
        <w:t>This research implies the </w:t>
      </w:r>
      <w:r>
        <w:rPr>
          <w:spacing w:val="2"/>
          <w:w w:val="120"/>
          <w:sz w:val="20"/>
        </w:rPr>
        <w:t>need </w:t>
      </w:r>
      <w:r>
        <w:rPr>
          <w:w w:val="120"/>
          <w:sz w:val="20"/>
        </w:rPr>
        <w:t>for </w:t>
      </w:r>
      <w:r>
        <w:rPr>
          <w:spacing w:val="2"/>
          <w:w w:val="120"/>
          <w:sz w:val="20"/>
        </w:rPr>
        <w:t>inter-generational </w:t>
      </w:r>
      <w:r>
        <w:rPr>
          <w:w w:val="120"/>
          <w:sz w:val="20"/>
        </w:rPr>
        <w:t>churches, </w:t>
      </w:r>
      <w:r>
        <w:rPr>
          <w:spacing w:val="2"/>
          <w:w w:val="120"/>
          <w:sz w:val="20"/>
        </w:rPr>
        <w:t>rather </w:t>
      </w:r>
      <w:r>
        <w:rPr>
          <w:w w:val="120"/>
          <w:sz w:val="20"/>
        </w:rPr>
        <w:t>than single </w:t>
      </w:r>
      <w:r>
        <w:rPr>
          <w:spacing w:val="2"/>
          <w:w w:val="120"/>
          <w:sz w:val="20"/>
        </w:rPr>
        <w:t>age </w:t>
      </w:r>
      <w:r>
        <w:rPr>
          <w:w w:val="120"/>
          <w:sz w:val="20"/>
        </w:rPr>
        <w:t>worship such as youth </w:t>
      </w:r>
      <w:r>
        <w:rPr>
          <w:spacing w:val="2"/>
          <w:w w:val="120"/>
          <w:sz w:val="20"/>
        </w:rPr>
        <w:t>services   </w:t>
      </w:r>
      <w:r>
        <w:rPr>
          <w:w w:val="120"/>
          <w:sz w:val="20"/>
        </w:rPr>
        <w:t>or </w:t>
      </w:r>
      <w:r>
        <w:rPr>
          <w:spacing w:val="2"/>
          <w:w w:val="120"/>
          <w:sz w:val="20"/>
        </w:rPr>
        <w:t>student</w:t>
      </w:r>
      <w:r>
        <w:rPr>
          <w:spacing w:val="12"/>
          <w:w w:val="120"/>
          <w:sz w:val="20"/>
        </w:rPr>
        <w:t> </w:t>
      </w:r>
      <w:r>
        <w:rPr>
          <w:spacing w:val="2"/>
          <w:w w:val="120"/>
          <w:sz w:val="20"/>
        </w:rPr>
        <w:t>churches.</w:t>
      </w:r>
    </w:p>
    <w:p>
      <w:pPr>
        <w:pStyle w:val="BodyText"/>
        <w:spacing w:before="8"/>
        <w:rPr>
          <w:sz w:val="26"/>
        </w:rPr>
      </w:pPr>
    </w:p>
    <w:p>
      <w:pPr>
        <w:pStyle w:val="Heading4"/>
        <w:numPr>
          <w:ilvl w:val="0"/>
          <w:numId w:val="20"/>
        </w:numPr>
        <w:tabs>
          <w:tab w:pos="1964" w:val="left" w:leader="none"/>
          <w:tab w:pos="1965" w:val="left" w:leader="none"/>
        </w:tabs>
        <w:spacing w:line="196" w:lineRule="auto" w:before="0" w:after="0"/>
        <w:ind w:left="1964" w:right="1647" w:hanging="681"/>
        <w:jc w:val="left"/>
      </w:pPr>
      <w:r>
        <w:rPr>
          <w:spacing w:val="3"/>
          <w:w w:val="110"/>
        </w:rPr>
        <w:t>URC </w:t>
      </w:r>
      <w:r>
        <w:rPr>
          <w:spacing w:val="2"/>
          <w:w w:val="110"/>
        </w:rPr>
        <w:t>research: </w:t>
      </w:r>
      <w:r>
        <w:rPr>
          <w:w w:val="110"/>
        </w:rPr>
        <w:t>a </w:t>
      </w:r>
      <w:r>
        <w:rPr>
          <w:spacing w:val="4"/>
          <w:w w:val="110"/>
        </w:rPr>
        <w:t>picture </w:t>
      </w:r>
      <w:r>
        <w:rPr>
          <w:w w:val="110"/>
        </w:rPr>
        <w:t>of </w:t>
      </w:r>
      <w:r>
        <w:rPr>
          <w:spacing w:val="2"/>
          <w:w w:val="110"/>
        </w:rPr>
        <w:t>the </w:t>
      </w:r>
      <w:r>
        <w:rPr>
          <w:spacing w:val="3"/>
          <w:w w:val="110"/>
        </w:rPr>
        <w:t>United </w:t>
      </w:r>
      <w:r>
        <w:rPr>
          <w:spacing w:val="4"/>
          <w:w w:val="110"/>
        </w:rPr>
        <w:t>Reformed </w:t>
      </w:r>
      <w:r>
        <w:rPr>
          <w:spacing w:val="3"/>
          <w:w w:val="110"/>
        </w:rPr>
        <w:t>Church</w:t>
      </w:r>
    </w:p>
    <w:p>
      <w:pPr>
        <w:pStyle w:val="BodyText"/>
        <w:spacing w:line="235" w:lineRule="auto" w:before="85"/>
        <w:ind w:left="1284" w:right="1584"/>
      </w:pPr>
      <w:r>
        <w:rPr>
          <w:w w:val="120"/>
        </w:rPr>
        <w:t>The task group has also conducted its own research within the United Reformed Church. Questionnaires were circulated to Children and Youth Development Officers, Training and Development Officers, Mission Enablers and university chaplains.</w:t>
      </w:r>
    </w:p>
    <w:p>
      <w:pPr>
        <w:pStyle w:val="BodyText"/>
        <w:spacing w:line="235" w:lineRule="auto" w:before="2"/>
        <w:ind w:left="1284" w:right="1417"/>
      </w:pPr>
      <w:r>
        <w:rPr>
          <w:w w:val="120"/>
        </w:rPr>
        <w:t>Conversations have been held with Armed Forces chaplains, Youth Assembly, Mission Council, General Assembly and various URC committees. Discussions have also been had in local churches and on social media.</w:t>
      </w:r>
    </w:p>
    <w:p>
      <w:pPr>
        <w:spacing w:after="0" w:line="235" w:lineRule="auto"/>
        <w:sectPr>
          <w:headerReference w:type="default" r:id="rId106"/>
          <w:footerReference w:type="default" r:id="rId107"/>
          <w:footerReference w:type="even" r:id="rId108"/>
          <w:pgSz w:w="11910" w:h="16840"/>
          <w:pgMar w:header="0" w:footer="641" w:top="0" w:bottom="840" w:left="700" w:right="0"/>
          <w:pgNumType w:start="25"/>
        </w:sectPr>
      </w:pPr>
    </w:p>
    <w:p>
      <w:pPr>
        <w:pStyle w:val="BodyText"/>
      </w:pPr>
      <w:r>
        <w:rPr/>
        <w:drawing>
          <wp:anchor distT="0" distB="0" distL="0" distR="0" allowOverlap="1" layoutInCell="1" locked="0" behindDoc="1" simplePos="0" relativeHeight="235772928">
            <wp:simplePos x="0" y="0"/>
            <wp:positionH relativeFrom="page">
              <wp:posOffset>0</wp:posOffset>
            </wp:positionH>
            <wp:positionV relativeFrom="page">
              <wp:posOffset>0</wp:posOffset>
            </wp:positionV>
            <wp:extent cx="594067" cy="10692003"/>
            <wp:effectExtent l="0" t="0" r="0" b="0"/>
            <wp:wrapNone/>
            <wp:docPr id="47" name="image49.png"/>
            <wp:cNvGraphicFramePr>
              <a:graphicFrameLocks noChangeAspect="1"/>
            </wp:cNvGraphicFramePr>
            <a:graphic>
              <a:graphicData uri="http://schemas.openxmlformats.org/drawingml/2006/picture">
                <pic:pic>
                  <pic:nvPicPr>
                    <pic:cNvPr id="48"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42528"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22"/>
        </w:numPr>
        <w:tabs>
          <w:tab w:pos="1228" w:val="left" w:leader="none"/>
        </w:tabs>
        <w:spacing w:line="240" w:lineRule="auto" w:before="215" w:after="0"/>
        <w:ind w:left="1227" w:right="0" w:hanging="681"/>
        <w:jc w:val="left"/>
        <w:rPr>
          <w:rFonts w:ascii="Stone Sans II ITC Std Bk"/>
          <w:b/>
          <w:sz w:val="29"/>
        </w:rPr>
      </w:pPr>
      <w:r>
        <w:rPr>
          <w:rFonts w:ascii="Stone Sans II ITC Std Bk"/>
          <w:b/>
          <w:spacing w:val="4"/>
          <w:w w:val="110"/>
          <w:sz w:val="29"/>
        </w:rPr>
        <w:t>Barriers </w:t>
      </w:r>
      <w:r>
        <w:rPr>
          <w:rFonts w:ascii="Stone Sans II ITC Std Bk"/>
          <w:b/>
          <w:w w:val="110"/>
          <w:sz w:val="29"/>
        </w:rPr>
        <w:t>to </w:t>
      </w:r>
      <w:r>
        <w:rPr>
          <w:rFonts w:ascii="Stone Sans II ITC Std Bk"/>
          <w:b/>
          <w:spacing w:val="4"/>
          <w:w w:val="110"/>
          <w:sz w:val="29"/>
        </w:rPr>
        <w:t>engaging </w:t>
      </w:r>
      <w:r>
        <w:rPr>
          <w:rFonts w:ascii="Stone Sans II ITC Std Bk"/>
          <w:b/>
          <w:spacing w:val="2"/>
          <w:w w:val="110"/>
          <w:sz w:val="29"/>
        </w:rPr>
        <w:t>with</w:t>
      </w:r>
      <w:r>
        <w:rPr>
          <w:rFonts w:ascii="Stone Sans II ITC Std Bk"/>
          <w:b/>
          <w:spacing w:val="44"/>
          <w:w w:val="110"/>
          <w:sz w:val="29"/>
        </w:rPr>
        <w:t> </w:t>
      </w:r>
      <w:r>
        <w:rPr>
          <w:rFonts w:ascii="Stone Sans II ITC Std Bk"/>
          <w:b/>
          <w:spacing w:val="7"/>
          <w:w w:val="110"/>
          <w:sz w:val="29"/>
        </w:rPr>
        <w:t>20-40-year-olds</w:t>
      </w:r>
    </w:p>
    <w:p>
      <w:pPr>
        <w:pStyle w:val="ListParagraph"/>
        <w:numPr>
          <w:ilvl w:val="2"/>
          <w:numId w:val="22"/>
        </w:numPr>
        <w:tabs>
          <w:tab w:pos="1227" w:val="left" w:leader="none"/>
          <w:tab w:pos="1228" w:val="left" w:leader="none"/>
        </w:tabs>
        <w:spacing w:line="235" w:lineRule="auto" w:before="69" w:after="0"/>
        <w:ind w:left="547" w:right="2033" w:firstLine="0"/>
        <w:jc w:val="left"/>
        <w:rPr>
          <w:sz w:val="20"/>
        </w:rPr>
      </w:pPr>
      <w:r>
        <w:rPr>
          <w:w w:val="120"/>
          <w:sz w:val="20"/>
        </w:rPr>
        <w:t>The barriers to engaging with 20-40-year-olds appear to be littered with misunderstandings and frustrations between the different generations within</w:t>
      </w:r>
      <w:r>
        <w:rPr>
          <w:spacing w:val="35"/>
          <w:w w:val="120"/>
          <w:sz w:val="20"/>
        </w:rPr>
        <w:t> </w:t>
      </w:r>
      <w:r>
        <w:rPr>
          <w:w w:val="120"/>
          <w:sz w:val="20"/>
        </w:rPr>
        <w:t>churches.</w:t>
      </w:r>
    </w:p>
    <w:p>
      <w:pPr>
        <w:pStyle w:val="BodyText"/>
        <w:spacing w:before="10"/>
        <w:rPr>
          <w:sz w:val="19"/>
        </w:rPr>
      </w:pPr>
    </w:p>
    <w:p>
      <w:pPr>
        <w:pStyle w:val="ListParagraph"/>
        <w:numPr>
          <w:ilvl w:val="2"/>
          <w:numId w:val="22"/>
        </w:numPr>
        <w:tabs>
          <w:tab w:pos="1227" w:val="left" w:leader="none"/>
          <w:tab w:pos="1228" w:val="left" w:leader="none"/>
        </w:tabs>
        <w:spacing w:line="235" w:lineRule="auto" w:before="0" w:after="0"/>
        <w:ind w:left="547" w:right="2060" w:firstLine="0"/>
        <w:jc w:val="left"/>
        <w:rPr>
          <w:sz w:val="20"/>
        </w:rPr>
      </w:pPr>
      <w:r>
        <w:rPr>
          <w:w w:val="120"/>
          <w:sz w:val="20"/>
        </w:rPr>
        <w:t>There are the many practical reasons as to why it is often difficult for 20-40-year- olds to engage with the Church. For example, this age range is often the time of life when people move location most frequently: from the childhood home to university    or to new employment; maybe to set up home on their own or with a partner. These moves often require young adults to move to more affordable areas, which may be some distance away from the local church they know. Furthermore, these significant and demanding life events can leave little room for a regular commitment to the life of a local church, which can feel as if it poses more demands than it offers</w:t>
      </w:r>
      <w:r>
        <w:rPr>
          <w:spacing w:val="27"/>
          <w:w w:val="120"/>
          <w:sz w:val="20"/>
        </w:rPr>
        <w:t> </w:t>
      </w:r>
      <w:r>
        <w:rPr>
          <w:w w:val="120"/>
          <w:sz w:val="20"/>
        </w:rPr>
        <w:t>support.</w:t>
      </w:r>
    </w:p>
    <w:p>
      <w:pPr>
        <w:pStyle w:val="BodyText"/>
        <w:spacing w:before="1"/>
      </w:pPr>
    </w:p>
    <w:p>
      <w:pPr>
        <w:pStyle w:val="ListParagraph"/>
        <w:numPr>
          <w:ilvl w:val="2"/>
          <w:numId w:val="22"/>
        </w:numPr>
        <w:tabs>
          <w:tab w:pos="1227" w:val="left" w:leader="none"/>
          <w:tab w:pos="1228" w:val="left" w:leader="none"/>
        </w:tabs>
        <w:spacing w:line="235" w:lineRule="auto" w:before="0" w:after="0"/>
        <w:ind w:left="547" w:right="2099" w:firstLine="0"/>
        <w:jc w:val="left"/>
        <w:rPr>
          <w:sz w:val="20"/>
        </w:rPr>
      </w:pPr>
      <w:r>
        <w:rPr>
          <w:w w:val="120"/>
          <w:sz w:val="20"/>
        </w:rPr>
        <w:t>It is not uncommon for a local church to view a lack of regular attendance or willingness to take on roles as a lack of commitment, accompanied by a frustration that younger people are ‘just not willing to take over all our </w:t>
      </w:r>
      <w:r>
        <w:rPr>
          <w:spacing w:val="-4"/>
          <w:w w:val="120"/>
          <w:sz w:val="20"/>
        </w:rPr>
        <w:t>jobs’. </w:t>
      </w:r>
      <w:r>
        <w:rPr>
          <w:w w:val="120"/>
          <w:sz w:val="20"/>
        </w:rPr>
        <w:t>Those in the </w:t>
      </w:r>
      <w:r>
        <w:rPr>
          <w:spacing w:val="3"/>
          <w:w w:val="120"/>
          <w:sz w:val="20"/>
        </w:rPr>
        <w:t>20-40 </w:t>
      </w:r>
      <w:r>
        <w:rPr>
          <w:w w:val="120"/>
          <w:sz w:val="20"/>
        </w:rPr>
        <w:t>age range can feel their local </w:t>
      </w:r>
      <w:r>
        <w:rPr>
          <w:spacing w:val="-3"/>
          <w:w w:val="120"/>
          <w:sz w:val="20"/>
        </w:rPr>
        <w:t>church’s </w:t>
      </w:r>
      <w:r>
        <w:rPr>
          <w:w w:val="120"/>
          <w:sz w:val="20"/>
        </w:rPr>
        <w:t>only engagement with them is to ask them to take over that which they are no longer able to do themselves, rather than being given the space and encouragement to create new expressions of church life appropriate to their generation. The ‘invitation’ can feel like a requirement to simply maintain what has been done</w:t>
      </w:r>
      <w:r>
        <w:rPr>
          <w:spacing w:val="4"/>
          <w:w w:val="120"/>
          <w:sz w:val="20"/>
        </w:rPr>
        <w:t> </w:t>
      </w:r>
      <w:r>
        <w:rPr>
          <w:w w:val="120"/>
          <w:sz w:val="20"/>
        </w:rPr>
        <w:t>before.</w:t>
      </w:r>
    </w:p>
    <w:p>
      <w:pPr>
        <w:pStyle w:val="BodyText"/>
        <w:spacing w:before="2"/>
      </w:pPr>
    </w:p>
    <w:p>
      <w:pPr>
        <w:pStyle w:val="ListParagraph"/>
        <w:numPr>
          <w:ilvl w:val="2"/>
          <w:numId w:val="22"/>
        </w:numPr>
        <w:tabs>
          <w:tab w:pos="1227" w:val="left" w:leader="none"/>
          <w:tab w:pos="1228" w:val="left" w:leader="none"/>
        </w:tabs>
        <w:spacing w:line="235" w:lineRule="auto" w:before="0" w:after="0"/>
        <w:ind w:left="547" w:right="2451" w:firstLine="0"/>
        <w:jc w:val="left"/>
        <w:rPr>
          <w:sz w:val="20"/>
        </w:rPr>
      </w:pPr>
      <w:r>
        <w:rPr>
          <w:w w:val="120"/>
          <w:sz w:val="20"/>
        </w:rPr>
        <w:t>Likewise, the timing of church events and activities, unless they are events specifically aimed at young families, are often at times which are not convenient for those in work, or with young</w:t>
      </w:r>
      <w:r>
        <w:rPr>
          <w:spacing w:val="15"/>
          <w:w w:val="120"/>
          <w:sz w:val="20"/>
        </w:rPr>
        <w:t> </w:t>
      </w:r>
      <w:r>
        <w:rPr>
          <w:w w:val="120"/>
          <w:sz w:val="20"/>
        </w:rPr>
        <w:t>children.</w:t>
      </w:r>
    </w:p>
    <w:p>
      <w:pPr>
        <w:pStyle w:val="BodyText"/>
        <w:spacing w:before="10"/>
        <w:rPr>
          <w:sz w:val="19"/>
        </w:rPr>
      </w:pPr>
    </w:p>
    <w:p>
      <w:pPr>
        <w:pStyle w:val="ListParagraph"/>
        <w:numPr>
          <w:ilvl w:val="2"/>
          <w:numId w:val="22"/>
        </w:numPr>
        <w:tabs>
          <w:tab w:pos="1227" w:val="left" w:leader="none"/>
          <w:tab w:pos="1228" w:val="left" w:leader="none"/>
        </w:tabs>
        <w:spacing w:line="235" w:lineRule="auto" w:before="0" w:after="0"/>
        <w:ind w:left="547" w:right="2118" w:firstLine="0"/>
        <w:jc w:val="left"/>
        <w:rPr>
          <w:sz w:val="20"/>
        </w:rPr>
      </w:pPr>
      <w:r>
        <w:rPr>
          <w:spacing w:val="3"/>
          <w:w w:val="120"/>
          <w:sz w:val="20"/>
        </w:rPr>
        <w:t>As </w:t>
      </w:r>
      <w:r>
        <w:rPr>
          <w:w w:val="120"/>
          <w:sz w:val="20"/>
        </w:rPr>
        <w:t>a result of this, many in the age range are far less likely to meet their peers in church, and are far less likely to participate in leadership and decision making. Many of the younger adults the task group listened to felt regularly frustrated, misunderstood or ignored, with decisions which directly affect them often being taken at meetings at which no one from that demographic was present or</w:t>
      </w:r>
      <w:r>
        <w:rPr>
          <w:spacing w:val="25"/>
          <w:w w:val="120"/>
          <w:sz w:val="20"/>
        </w:rPr>
        <w:t> </w:t>
      </w:r>
      <w:r>
        <w:rPr>
          <w:w w:val="120"/>
          <w:sz w:val="20"/>
        </w:rPr>
        <w:t>consulted.</w:t>
      </w:r>
    </w:p>
    <w:p>
      <w:pPr>
        <w:pStyle w:val="BodyText"/>
        <w:spacing w:before="12"/>
        <w:rPr>
          <w:sz w:val="19"/>
        </w:rPr>
      </w:pPr>
    </w:p>
    <w:p>
      <w:pPr>
        <w:pStyle w:val="ListParagraph"/>
        <w:numPr>
          <w:ilvl w:val="2"/>
          <w:numId w:val="22"/>
        </w:numPr>
        <w:tabs>
          <w:tab w:pos="1227" w:val="left" w:leader="none"/>
          <w:tab w:pos="1228" w:val="left" w:leader="none"/>
        </w:tabs>
        <w:spacing w:line="235" w:lineRule="auto" w:before="0" w:after="0"/>
        <w:ind w:left="547" w:right="2458" w:firstLine="0"/>
        <w:jc w:val="left"/>
        <w:rPr>
          <w:sz w:val="20"/>
        </w:rPr>
      </w:pPr>
      <w:r>
        <w:rPr>
          <w:w w:val="120"/>
          <w:sz w:val="20"/>
        </w:rPr>
        <w:t>Lack of communication and understanding can easily lead to a breakdown   in relationships with 20-40-year-olds in any local church. The institution demands that</w:t>
      </w:r>
      <w:r>
        <w:rPr>
          <w:spacing w:val="6"/>
          <w:w w:val="120"/>
          <w:sz w:val="20"/>
        </w:rPr>
        <w:t> </w:t>
      </w:r>
      <w:r>
        <w:rPr>
          <w:w w:val="120"/>
          <w:sz w:val="20"/>
        </w:rPr>
        <w:t>younger</w:t>
      </w:r>
      <w:r>
        <w:rPr>
          <w:spacing w:val="6"/>
          <w:w w:val="120"/>
          <w:sz w:val="20"/>
        </w:rPr>
        <w:t> </w:t>
      </w:r>
      <w:r>
        <w:rPr>
          <w:w w:val="120"/>
          <w:sz w:val="20"/>
        </w:rPr>
        <w:t>people</w:t>
      </w:r>
      <w:r>
        <w:rPr>
          <w:spacing w:val="7"/>
          <w:w w:val="120"/>
          <w:sz w:val="20"/>
        </w:rPr>
        <w:t> </w:t>
      </w:r>
      <w:r>
        <w:rPr>
          <w:w w:val="120"/>
          <w:sz w:val="20"/>
        </w:rPr>
        <w:t>learn</w:t>
      </w:r>
      <w:r>
        <w:rPr>
          <w:spacing w:val="6"/>
          <w:w w:val="120"/>
          <w:sz w:val="20"/>
        </w:rPr>
        <w:t> </w:t>
      </w:r>
      <w:r>
        <w:rPr>
          <w:w w:val="120"/>
          <w:sz w:val="20"/>
        </w:rPr>
        <w:t>the</w:t>
      </w:r>
      <w:r>
        <w:rPr>
          <w:spacing w:val="7"/>
          <w:w w:val="120"/>
          <w:sz w:val="20"/>
        </w:rPr>
        <w:t> </w:t>
      </w:r>
      <w:r>
        <w:rPr>
          <w:w w:val="120"/>
          <w:sz w:val="20"/>
        </w:rPr>
        <w:t>language</w:t>
      </w:r>
      <w:r>
        <w:rPr>
          <w:spacing w:val="6"/>
          <w:w w:val="120"/>
          <w:sz w:val="20"/>
        </w:rPr>
        <w:t> </w:t>
      </w:r>
      <w:r>
        <w:rPr>
          <w:w w:val="120"/>
          <w:sz w:val="20"/>
        </w:rPr>
        <w:t>and</w:t>
      </w:r>
      <w:r>
        <w:rPr>
          <w:spacing w:val="6"/>
          <w:w w:val="120"/>
          <w:sz w:val="20"/>
        </w:rPr>
        <w:t> </w:t>
      </w:r>
      <w:r>
        <w:rPr>
          <w:w w:val="120"/>
          <w:sz w:val="20"/>
        </w:rPr>
        <w:t>culture</w:t>
      </w:r>
      <w:r>
        <w:rPr>
          <w:spacing w:val="7"/>
          <w:w w:val="120"/>
          <w:sz w:val="20"/>
        </w:rPr>
        <w:t> </w:t>
      </w:r>
      <w:r>
        <w:rPr>
          <w:w w:val="120"/>
          <w:sz w:val="20"/>
        </w:rPr>
        <w:t>of</w:t>
      </w:r>
      <w:r>
        <w:rPr>
          <w:spacing w:val="6"/>
          <w:w w:val="120"/>
          <w:sz w:val="20"/>
        </w:rPr>
        <w:t> </w:t>
      </w:r>
      <w:r>
        <w:rPr>
          <w:w w:val="120"/>
          <w:sz w:val="20"/>
        </w:rPr>
        <w:t>the</w:t>
      </w:r>
      <w:r>
        <w:rPr>
          <w:spacing w:val="7"/>
          <w:w w:val="120"/>
          <w:sz w:val="20"/>
        </w:rPr>
        <w:t> </w:t>
      </w:r>
      <w:r>
        <w:rPr>
          <w:w w:val="120"/>
          <w:sz w:val="20"/>
        </w:rPr>
        <w:t>church,</w:t>
      </w:r>
      <w:r>
        <w:rPr>
          <w:spacing w:val="6"/>
          <w:w w:val="120"/>
          <w:sz w:val="20"/>
        </w:rPr>
        <w:t> </w:t>
      </w:r>
      <w:r>
        <w:rPr>
          <w:w w:val="120"/>
          <w:sz w:val="20"/>
        </w:rPr>
        <w:t>but</w:t>
      </w:r>
      <w:r>
        <w:rPr>
          <w:spacing w:val="7"/>
          <w:w w:val="120"/>
          <w:sz w:val="20"/>
        </w:rPr>
        <w:t> </w:t>
      </w:r>
      <w:r>
        <w:rPr>
          <w:w w:val="120"/>
          <w:sz w:val="20"/>
        </w:rPr>
        <w:t>often</w:t>
      </w:r>
      <w:r>
        <w:rPr>
          <w:spacing w:val="6"/>
          <w:w w:val="120"/>
          <w:sz w:val="20"/>
        </w:rPr>
        <w:t> </w:t>
      </w:r>
      <w:r>
        <w:rPr>
          <w:w w:val="120"/>
          <w:sz w:val="20"/>
        </w:rPr>
        <w:t>seems</w:t>
      </w:r>
    </w:p>
    <w:p>
      <w:pPr>
        <w:pStyle w:val="BodyText"/>
        <w:spacing w:line="235" w:lineRule="auto" w:before="2"/>
        <w:ind w:left="547" w:right="2269"/>
      </w:pPr>
      <w:r>
        <w:rPr>
          <w:w w:val="120"/>
        </w:rPr>
        <w:t>unwilling or incapable of learning from and adapting to the lives of younger adults in return. Through no intention, younger adults can feel slowly pushed out of church, or never completely feel like they were really allowed in.</w:t>
      </w:r>
    </w:p>
    <w:p>
      <w:pPr>
        <w:pStyle w:val="BodyText"/>
        <w:spacing w:before="3"/>
        <w:rPr>
          <w:sz w:val="22"/>
        </w:rPr>
      </w:pPr>
    </w:p>
    <w:p>
      <w:pPr>
        <w:pStyle w:val="Heading4"/>
        <w:numPr>
          <w:ilvl w:val="1"/>
          <w:numId w:val="22"/>
        </w:numPr>
        <w:tabs>
          <w:tab w:pos="1228" w:val="left" w:leader="none"/>
        </w:tabs>
        <w:spacing w:line="240" w:lineRule="auto" w:before="0" w:after="0"/>
        <w:ind w:left="1227" w:right="0" w:hanging="681"/>
        <w:jc w:val="left"/>
      </w:pPr>
      <w:r>
        <w:rPr>
          <w:spacing w:val="4"/>
          <w:w w:val="110"/>
        </w:rPr>
        <w:t>Local </w:t>
      </w:r>
      <w:r>
        <w:rPr>
          <w:spacing w:val="3"/>
          <w:w w:val="110"/>
        </w:rPr>
        <w:t>church</w:t>
      </w:r>
      <w:r>
        <w:rPr>
          <w:spacing w:val="21"/>
          <w:w w:val="110"/>
        </w:rPr>
        <w:t> </w:t>
      </w:r>
      <w:r>
        <w:rPr>
          <w:spacing w:val="5"/>
          <w:w w:val="110"/>
        </w:rPr>
        <w:t>life</w:t>
      </w:r>
    </w:p>
    <w:p>
      <w:pPr>
        <w:pStyle w:val="Heading8"/>
        <w:numPr>
          <w:ilvl w:val="2"/>
          <w:numId w:val="22"/>
        </w:numPr>
        <w:tabs>
          <w:tab w:pos="1228" w:val="left" w:leader="none"/>
        </w:tabs>
        <w:spacing w:line="261" w:lineRule="exact" w:before="53" w:after="0"/>
        <w:ind w:left="1227" w:right="0" w:hanging="681"/>
        <w:jc w:val="left"/>
      </w:pPr>
      <w:r>
        <w:rPr>
          <w:w w:val="110"/>
        </w:rPr>
        <w:t>What’s going</w:t>
      </w:r>
      <w:r>
        <w:rPr>
          <w:spacing w:val="-1"/>
          <w:w w:val="110"/>
        </w:rPr>
        <w:t> </w:t>
      </w:r>
      <w:r>
        <w:rPr>
          <w:w w:val="110"/>
        </w:rPr>
        <w:t>well?</w:t>
      </w:r>
    </w:p>
    <w:p>
      <w:pPr>
        <w:pStyle w:val="BodyText"/>
        <w:spacing w:line="235" w:lineRule="auto"/>
        <w:ind w:left="547" w:right="2483"/>
      </w:pPr>
      <w:r>
        <w:rPr>
          <w:w w:val="120"/>
        </w:rPr>
        <w:t>There are churches in the United Reformed Church where you are much more  likely</w:t>
      </w:r>
      <w:r>
        <w:rPr>
          <w:spacing w:val="8"/>
          <w:w w:val="120"/>
        </w:rPr>
        <w:t> </w:t>
      </w:r>
      <w:r>
        <w:rPr>
          <w:w w:val="120"/>
        </w:rPr>
        <w:t>to</w:t>
      </w:r>
      <w:r>
        <w:rPr>
          <w:spacing w:val="8"/>
          <w:w w:val="120"/>
        </w:rPr>
        <w:t> </w:t>
      </w:r>
      <w:r>
        <w:rPr>
          <w:w w:val="120"/>
        </w:rPr>
        <w:t>regularly</w:t>
      </w:r>
      <w:r>
        <w:rPr>
          <w:spacing w:val="9"/>
          <w:w w:val="120"/>
        </w:rPr>
        <w:t> </w:t>
      </w:r>
      <w:r>
        <w:rPr>
          <w:w w:val="120"/>
        </w:rPr>
        <w:t>find</w:t>
      </w:r>
      <w:r>
        <w:rPr>
          <w:spacing w:val="8"/>
          <w:w w:val="120"/>
        </w:rPr>
        <w:t> </w:t>
      </w:r>
      <w:r>
        <w:rPr>
          <w:w w:val="120"/>
        </w:rPr>
        <w:t>significant</w:t>
      </w:r>
      <w:r>
        <w:rPr>
          <w:spacing w:val="9"/>
          <w:w w:val="120"/>
        </w:rPr>
        <w:t> </w:t>
      </w:r>
      <w:r>
        <w:rPr>
          <w:w w:val="120"/>
        </w:rPr>
        <w:t>numbers</w:t>
      </w:r>
      <w:r>
        <w:rPr>
          <w:spacing w:val="8"/>
          <w:w w:val="120"/>
        </w:rPr>
        <w:t> </w:t>
      </w:r>
      <w:r>
        <w:rPr>
          <w:w w:val="120"/>
        </w:rPr>
        <w:t>of</w:t>
      </w:r>
      <w:r>
        <w:rPr>
          <w:spacing w:val="9"/>
          <w:w w:val="120"/>
        </w:rPr>
        <w:t> </w:t>
      </w:r>
      <w:r>
        <w:rPr>
          <w:w w:val="120"/>
        </w:rPr>
        <w:t>people</w:t>
      </w:r>
      <w:r>
        <w:rPr>
          <w:spacing w:val="8"/>
          <w:w w:val="120"/>
        </w:rPr>
        <w:t> </w:t>
      </w:r>
      <w:r>
        <w:rPr>
          <w:w w:val="120"/>
        </w:rPr>
        <w:t>in</w:t>
      </w:r>
      <w:r>
        <w:rPr>
          <w:spacing w:val="8"/>
          <w:w w:val="120"/>
        </w:rPr>
        <w:t> </w:t>
      </w:r>
      <w:r>
        <w:rPr>
          <w:w w:val="120"/>
        </w:rPr>
        <w:t>their</w:t>
      </w:r>
      <w:r>
        <w:rPr>
          <w:spacing w:val="9"/>
          <w:w w:val="120"/>
        </w:rPr>
        <w:t> </w:t>
      </w:r>
      <w:r>
        <w:rPr>
          <w:w w:val="120"/>
        </w:rPr>
        <w:t>20s</w:t>
      </w:r>
      <w:r>
        <w:rPr>
          <w:spacing w:val="8"/>
          <w:w w:val="120"/>
        </w:rPr>
        <w:t> </w:t>
      </w:r>
      <w:r>
        <w:rPr>
          <w:w w:val="120"/>
        </w:rPr>
        <w:t>and</w:t>
      </w:r>
      <w:r>
        <w:rPr>
          <w:spacing w:val="9"/>
          <w:w w:val="120"/>
        </w:rPr>
        <w:t> </w:t>
      </w:r>
      <w:r>
        <w:rPr>
          <w:w w:val="120"/>
        </w:rPr>
        <w:t>30s.</w:t>
      </w:r>
      <w:r>
        <w:rPr>
          <w:spacing w:val="8"/>
          <w:w w:val="120"/>
        </w:rPr>
        <w:t> </w:t>
      </w:r>
      <w:r>
        <w:rPr>
          <w:w w:val="120"/>
        </w:rPr>
        <w:t>Common</w:t>
      </w:r>
    </w:p>
    <w:p>
      <w:pPr>
        <w:pStyle w:val="BodyText"/>
        <w:spacing w:line="235" w:lineRule="auto"/>
        <w:ind w:left="547" w:right="1816"/>
      </w:pPr>
      <w:r>
        <w:rPr>
          <w:w w:val="120"/>
        </w:rPr>
        <w:t>characteristics within these churches are a strong sense of shared purpose and mission, and not a particular theology or style.</w:t>
      </w:r>
    </w:p>
    <w:p>
      <w:pPr>
        <w:pStyle w:val="BodyText"/>
        <w:spacing w:before="6"/>
        <w:rPr>
          <w:sz w:val="19"/>
        </w:rPr>
      </w:pPr>
    </w:p>
    <w:p>
      <w:pPr>
        <w:pStyle w:val="BodyText"/>
        <w:spacing w:line="235" w:lineRule="auto"/>
        <w:ind w:left="547" w:right="2200"/>
      </w:pPr>
      <w:r>
        <w:rPr>
          <w:w w:val="120"/>
        </w:rPr>
        <w:t>In these churches it is common for people under the age of 40 to be regularly  involved in leading worship: bringing to it their own sense of authenticity, honesty, and relevance. This richer diet of worship nourishes the congregation and inspires   and equips it to offer a broader variety of activities aimed at supporting people across the full spectrum of ages </w:t>
      </w:r>
      <w:r>
        <w:rPr>
          <w:spacing w:val="-5"/>
          <w:w w:val="120"/>
        </w:rPr>
        <w:t>(not </w:t>
      </w:r>
      <w:r>
        <w:rPr>
          <w:w w:val="120"/>
        </w:rPr>
        <w:t>only children and </w:t>
      </w:r>
      <w:r>
        <w:rPr>
          <w:spacing w:val="-3"/>
          <w:w w:val="120"/>
        </w:rPr>
        <w:t>retirees). </w:t>
      </w:r>
      <w:r>
        <w:rPr>
          <w:w w:val="120"/>
        </w:rPr>
        <w:t>This enables them to go beyond entertainment and social activities to groups which seek to foster a sense of discipleship, growth and development, exploration and</w:t>
      </w:r>
      <w:r>
        <w:rPr>
          <w:spacing w:val="29"/>
          <w:w w:val="120"/>
        </w:rPr>
        <w:t> </w:t>
      </w:r>
      <w:r>
        <w:rPr>
          <w:w w:val="120"/>
        </w:rPr>
        <w:t>challenge.</w:t>
      </w:r>
    </w:p>
    <w:p>
      <w:pPr>
        <w:pStyle w:val="BodyText"/>
        <w:spacing w:before="1"/>
      </w:pPr>
    </w:p>
    <w:p>
      <w:pPr>
        <w:pStyle w:val="BodyText"/>
        <w:spacing w:line="235" w:lineRule="auto"/>
        <w:ind w:left="547" w:right="2003"/>
      </w:pPr>
      <w:r>
        <w:rPr>
          <w:w w:val="120"/>
        </w:rPr>
        <w:t>Nurturing </w:t>
      </w:r>
      <w:r>
        <w:rPr>
          <w:spacing w:val="-3"/>
          <w:w w:val="120"/>
        </w:rPr>
        <w:t>discipleship </w:t>
      </w:r>
      <w:r>
        <w:rPr>
          <w:w w:val="120"/>
        </w:rPr>
        <w:t>changes </w:t>
      </w:r>
      <w:r>
        <w:rPr>
          <w:spacing w:val="-2"/>
          <w:w w:val="120"/>
        </w:rPr>
        <w:t>how </w:t>
      </w:r>
      <w:r>
        <w:rPr>
          <w:spacing w:val="-3"/>
          <w:w w:val="120"/>
        </w:rPr>
        <w:t>churches </w:t>
      </w:r>
      <w:r>
        <w:rPr>
          <w:w w:val="120"/>
        </w:rPr>
        <w:t>operate. In </w:t>
      </w:r>
      <w:r>
        <w:rPr>
          <w:spacing w:val="-3"/>
          <w:w w:val="120"/>
        </w:rPr>
        <w:t>decision </w:t>
      </w:r>
      <w:r>
        <w:rPr>
          <w:w w:val="120"/>
        </w:rPr>
        <w:t>making, </w:t>
      </w:r>
      <w:r>
        <w:rPr>
          <w:spacing w:val="-3"/>
          <w:w w:val="120"/>
        </w:rPr>
        <w:t>everyone’s voice </w:t>
      </w:r>
      <w:r>
        <w:rPr>
          <w:w w:val="120"/>
        </w:rPr>
        <w:t>is heard and respected, people are trusted </w:t>
      </w:r>
      <w:r>
        <w:rPr>
          <w:spacing w:val="-3"/>
          <w:w w:val="120"/>
        </w:rPr>
        <w:t>to </w:t>
      </w:r>
      <w:r>
        <w:rPr>
          <w:spacing w:val="-6"/>
          <w:w w:val="120"/>
        </w:rPr>
        <w:t>‘get </w:t>
      </w:r>
      <w:r>
        <w:rPr>
          <w:w w:val="120"/>
        </w:rPr>
        <w:t>on with </w:t>
      </w:r>
      <w:r>
        <w:rPr>
          <w:spacing w:val="-6"/>
          <w:w w:val="120"/>
        </w:rPr>
        <w:t>it’, </w:t>
      </w:r>
      <w:r>
        <w:rPr>
          <w:w w:val="120"/>
        </w:rPr>
        <w:t>and there is a real sense of everybody being </w:t>
      </w:r>
      <w:r>
        <w:rPr>
          <w:spacing w:val="-3"/>
          <w:w w:val="120"/>
        </w:rPr>
        <w:t>involved </w:t>
      </w:r>
      <w:r>
        <w:rPr>
          <w:w w:val="120"/>
        </w:rPr>
        <w:t>in </w:t>
      </w:r>
      <w:r>
        <w:rPr>
          <w:spacing w:val="-3"/>
          <w:w w:val="120"/>
        </w:rPr>
        <w:t>ministry, </w:t>
      </w:r>
      <w:r>
        <w:rPr>
          <w:spacing w:val="-2"/>
          <w:w w:val="120"/>
        </w:rPr>
        <w:t>not </w:t>
      </w:r>
      <w:r>
        <w:rPr>
          <w:w w:val="120"/>
        </w:rPr>
        <w:t>simply being </w:t>
      </w:r>
      <w:r>
        <w:rPr>
          <w:spacing w:val="-3"/>
          <w:w w:val="120"/>
        </w:rPr>
        <w:t>asked to </w:t>
      </w:r>
      <w:r>
        <w:rPr>
          <w:w w:val="120"/>
        </w:rPr>
        <w:t>do </w:t>
      </w:r>
      <w:r>
        <w:rPr>
          <w:spacing w:val="-3"/>
          <w:w w:val="120"/>
        </w:rPr>
        <w:t>church </w:t>
      </w:r>
      <w:r>
        <w:rPr>
          <w:spacing w:val="-6"/>
          <w:w w:val="120"/>
        </w:rPr>
        <w:t>‘jobs’.</w:t>
      </w:r>
    </w:p>
    <w:p>
      <w:pPr>
        <w:spacing w:after="0" w:line="235" w:lineRule="auto"/>
        <w:sectPr>
          <w:headerReference w:type="even" r:id="rId109"/>
          <w:pgSz w:w="11910" w:h="16840"/>
          <w:pgMar w:header="0" w:footer="647" w:top="0" w:bottom="840" w:left="700" w:right="0"/>
        </w:sectPr>
      </w:pPr>
    </w:p>
    <w:p>
      <w:pPr>
        <w:pStyle w:val="BodyText"/>
      </w:pPr>
      <w:r>
        <w:rPr/>
        <w:drawing>
          <wp:anchor distT="0" distB="0" distL="0" distR="0" allowOverlap="1" layoutInCell="1" locked="0" behindDoc="0" simplePos="0" relativeHeight="251742208">
            <wp:simplePos x="0" y="0"/>
            <wp:positionH relativeFrom="page">
              <wp:posOffset>6974928</wp:posOffset>
            </wp:positionH>
            <wp:positionV relativeFrom="page">
              <wp:posOffset>0</wp:posOffset>
            </wp:positionV>
            <wp:extent cx="585076" cy="10692003"/>
            <wp:effectExtent l="0" t="0" r="0" b="0"/>
            <wp:wrapNone/>
            <wp:docPr id="49" name="image50.png"/>
            <wp:cNvGraphicFramePr>
              <a:graphicFrameLocks noChangeAspect="1"/>
            </wp:cNvGraphicFramePr>
            <a:graphic>
              <a:graphicData uri="http://schemas.openxmlformats.org/drawingml/2006/picture">
                <pic:pic>
                  <pic:nvPicPr>
                    <pic:cNvPr id="5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141174pt;margin-top:22.693945pt;width:26pt;height:338.85pt;mso-position-horizontal-relative:page;mso-position-vertical-relative:paragraph;z-index:25174323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r>
        <w:rPr>
          <w:color w:val="7EAABF"/>
          <w:w w:val="120"/>
          <w:sz w:val="26"/>
        </w:rPr>
        <w:t>Mission Council</w:t>
      </w:r>
    </w:p>
    <w:p>
      <w:pPr>
        <w:pStyle w:val="BodyText"/>
        <w:spacing w:line="235" w:lineRule="auto" w:before="222"/>
        <w:ind w:left="1255" w:right="1283"/>
      </w:pPr>
      <w:r>
        <w:rPr>
          <w:w w:val="120"/>
        </w:rPr>
        <w:t>In churches like this it is quite usual and natural for some of those serving as elders or with other significant leadership responsibilities to be under the age of 40.</w:t>
      </w:r>
    </w:p>
    <w:p>
      <w:pPr>
        <w:pStyle w:val="BodyText"/>
        <w:spacing w:before="5"/>
        <w:rPr>
          <w:sz w:val="18"/>
        </w:rPr>
      </w:pPr>
    </w:p>
    <w:p>
      <w:pPr>
        <w:pStyle w:val="Heading8"/>
        <w:numPr>
          <w:ilvl w:val="2"/>
          <w:numId w:val="22"/>
        </w:numPr>
        <w:tabs>
          <w:tab w:pos="1937" w:val="left" w:leader="none"/>
        </w:tabs>
        <w:spacing w:line="261" w:lineRule="exact" w:before="0" w:after="0"/>
        <w:ind w:left="1936" w:right="0" w:hanging="682"/>
        <w:jc w:val="left"/>
      </w:pPr>
      <w:r>
        <w:rPr>
          <w:w w:val="110"/>
        </w:rPr>
        <w:t>The wider</w:t>
      </w:r>
      <w:r>
        <w:rPr>
          <w:spacing w:val="-1"/>
          <w:w w:val="110"/>
        </w:rPr>
        <w:t> </w:t>
      </w:r>
      <w:r>
        <w:rPr>
          <w:w w:val="110"/>
        </w:rPr>
        <w:t>reality</w:t>
      </w:r>
    </w:p>
    <w:p>
      <w:pPr>
        <w:pStyle w:val="BodyText"/>
        <w:spacing w:line="235" w:lineRule="auto"/>
        <w:ind w:left="1255" w:right="1533"/>
      </w:pPr>
      <w:r>
        <w:rPr>
          <w:w w:val="120"/>
        </w:rPr>
        <w:t>For many in our congregations this may sound like the life of the Church they once knew, but no longer recognise. Many churches within the URC are unsure of their purpose and mission: creating worship has become the chore of filling the pulpit,   and</w:t>
      </w:r>
      <w:r>
        <w:rPr>
          <w:spacing w:val="6"/>
          <w:w w:val="120"/>
        </w:rPr>
        <w:t> </w:t>
      </w:r>
      <w:r>
        <w:rPr>
          <w:w w:val="120"/>
        </w:rPr>
        <w:t>fewer</w:t>
      </w:r>
      <w:r>
        <w:rPr>
          <w:spacing w:val="6"/>
          <w:w w:val="120"/>
        </w:rPr>
        <w:t> </w:t>
      </w:r>
      <w:r>
        <w:rPr>
          <w:w w:val="120"/>
        </w:rPr>
        <w:t>people</w:t>
      </w:r>
      <w:r>
        <w:rPr>
          <w:spacing w:val="6"/>
          <w:w w:val="120"/>
        </w:rPr>
        <w:t> </w:t>
      </w:r>
      <w:r>
        <w:rPr>
          <w:w w:val="120"/>
        </w:rPr>
        <w:t>are</w:t>
      </w:r>
      <w:r>
        <w:rPr>
          <w:spacing w:val="6"/>
          <w:w w:val="120"/>
        </w:rPr>
        <w:t> </w:t>
      </w:r>
      <w:r>
        <w:rPr>
          <w:w w:val="120"/>
        </w:rPr>
        <w:t>doing</w:t>
      </w:r>
      <w:r>
        <w:rPr>
          <w:spacing w:val="7"/>
          <w:w w:val="120"/>
        </w:rPr>
        <w:t> </w:t>
      </w:r>
      <w:r>
        <w:rPr>
          <w:w w:val="120"/>
        </w:rPr>
        <w:t>more</w:t>
      </w:r>
      <w:r>
        <w:rPr>
          <w:spacing w:val="6"/>
          <w:w w:val="120"/>
        </w:rPr>
        <w:t> </w:t>
      </w:r>
      <w:r>
        <w:rPr>
          <w:w w:val="120"/>
        </w:rPr>
        <w:t>and</w:t>
      </w:r>
      <w:r>
        <w:rPr>
          <w:spacing w:val="6"/>
          <w:w w:val="120"/>
        </w:rPr>
        <w:t> </w:t>
      </w:r>
      <w:r>
        <w:rPr>
          <w:w w:val="120"/>
        </w:rPr>
        <w:t>more</w:t>
      </w:r>
      <w:r>
        <w:rPr>
          <w:spacing w:val="6"/>
          <w:w w:val="120"/>
        </w:rPr>
        <w:t> </w:t>
      </w:r>
      <w:r>
        <w:rPr>
          <w:spacing w:val="-4"/>
          <w:w w:val="120"/>
        </w:rPr>
        <w:t>‘jobs’.</w:t>
      </w:r>
      <w:r>
        <w:rPr>
          <w:spacing w:val="7"/>
          <w:w w:val="120"/>
        </w:rPr>
        <w:t> </w:t>
      </w:r>
      <w:r>
        <w:rPr>
          <w:w w:val="120"/>
        </w:rPr>
        <w:t>Those</w:t>
      </w:r>
      <w:r>
        <w:rPr>
          <w:spacing w:val="6"/>
          <w:w w:val="120"/>
        </w:rPr>
        <w:t> </w:t>
      </w:r>
      <w:r>
        <w:rPr>
          <w:w w:val="120"/>
        </w:rPr>
        <w:t>in</w:t>
      </w:r>
      <w:r>
        <w:rPr>
          <w:spacing w:val="6"/>
          <w:w w:val="120"/>
        </w:rPr>
        <w:t> </w:t>
      </w:r>
      <w:r>
        <w:rPr>
          <w:w w:val="120"/>
        </w:rPr>
        <w:t>their</w:t>
      </w:r>
      <w:r>
        <w:rPr>
          <w:spacing w:val="6"/>
          <w:w w:val="120"/>
        </w:rPr>
        <w:t> </w:t>
      </w:r>
      <w:r>
        <w:rPr>
          <w:w w:val="120"/>
        </w:rPr>
        <w:t>20s</w:t>
      </w:r>
      <w:r>
        <w:rPr>
          <w:spacing w:val="7"/>
          <w:w w:val="120"/>
        </w:rPr>
        <w:t> </w:t>
      </w:r>
      <w:r>
        <w:rPr>
          <w:w w:val="120"/>
        </w:rPr>
        <w:t>and</w:t>
      </w:r>
      <w:r>
        <w:rPr>
          <w:spacing w:val="6"/>
          <w:w w:val="120"/>
        </w:rPr>
        <w:t> </w:t>
      </w:r>
      <w:r>
        <w:rPr>
          <w:w w:val="120"/>
        </w:rPr>
        <w:t>30s</w:t>
      </w:r>
      <w:r>
        <w:rPr>
          <w:spacing w:val="6"/>
          <w:w w:val="120"/>
        </w:rPr>
        <w:t> </w:t>
      </w:r>
      <w:r>
        <w:rPr>
          <w:w w:val="120"/>
        </w:rPr>
        <w:t>are</w:t>
      </w:r>
      <w:r>
        <w:rPr>
          <w:spacing w:val="6"/>
          <w:w w:val="120"/>
        </w:rPr>
        <w:t> </w:t>
      </w:r>
      <w:r>
        <w:rPr>
          <w:w w:val="120"/>
        </w:rPr>
        <w:t>‘the</w:t>
      </w:r>
    </w:p>
    <w:p>
      <w:pPr>
        <w:pStyle w:val="BodyText"/>
        <w:spacing w:line="235" w:lineRule="auto"/>
        <w:ind w:left="1255" w:right="1283"/>
      </w:pPr>
      <w:r>
        <w:rPr>
          <w:w w:val="120"/>
        </w:rPr>
        <w:t>missing generations’ and it would be easy to feel that churches with no one in this age bracket have little chance of changing this reality because people tend naturally to form relationships and community with those of similar age, outlook, and interests.</w:t>
      </w:r>
    </w:p>
    <w:p>
      <w:pPr>
        <w:pStyle w:val="BodyText"/>
        <w:spacing w:before="8"/>
        <w:rPr>
          <w:sz w:val="19"/>
        </w:rPr>
      </w:pPr>
    </w:p>
    <w:p>
      <w:pPr>
        <w:pStyle w:val="BodyText"/>
        <w:spacing w:line="235" w:lineRule="auto"/>
        <w:ind w:left="1255" w:right="1584"/>
      </w:pPr>
      <w:r>
        <w:rPr>
          <w:w w:val="120"/>
        </w:rPr>
        <w:t>As both people and financial resources continue to feel more and more scarce, it is entirely understandable that at the local level, in ‘seeking to do a few things well’, many of our churches now see their mission as one to older people.</w:t>
      </w:r>
    </w:p>
    <w:p>
      <w:pPr>
        <w:pStyle w:val="BodyText"/>
        <w:spacing w:before="6"/>
        <w:rPr>
          <w:sz w:val="18"/>
        </w:rPr>
      </w:pPr>
    </w:p>
    <w:p>
      <w:pPr>
        <w:pStyle w:val="Heading8"/>
        <w:numPr>
          <w:ilvl w:val="2"/>
          <w:numId w:val="22"/>
        </w:numPr>
        <w:tabs>
          <w:tab w:pos="1937" w:val="left" w:leader="none"/>
        </w:tabs>
        <w:spacing w:line="261" w:lineRule="exact" w:before="0" w:after="0"/>
        <w:ind w:left="1936" w:right="0" w:hanging="682"/>
        <w:jc w:val="left"/>
      </w:pPr>
      <w:r>
        <w:rPr>
          <w:w w:val="110"/>
        </w:rPr>
        <w:t>Reversing the</w:t>
      </w:r>
      <w:r>
        <w:rPr>
          <w:spacing w:val="-1"/>
          <w:w w:val="110"/>
        </w:rPr>
        <w:t> </w:t>
      </w:r>
      <w:r>
        <w:rPr>
          <w:w w:val="110"/>
        </w:rPr>
        <w:t>trend</w:t>
      </w:r>
    </w:p>
    <w:p>
      <w:pPr>
        <w:spacing w:line="235" w:lineRule="auto" w:before="0"/>
        <w:ind w:left="1255" w:right="1584" w:firstLine="0"/>
        <w:jc w:val="left"/>
        <w:rPr>
          <w:sz w:val="20"/>
        </w:rPr>
      </w:pPr>
      <w:r>
        <w:rPr>
          <w:w w:val="120"/>
          <w:sz w:val="20"/>
        </w:rPr>
        <w:t>However,</w:t>
      </w:r>
      <w:r>
        <w:rPr>
          <w:spacing w:val="-12"/>
          <w:w w:val="120"/>
          <w:sz w:val="20"/>
        </w:rPr>
        <w:t> </w:t>
      </w:r>
      <w:r>
        <w:rPr>
          <w:w w:val="120"/>
          <w:sz w:val="20"/>
        </w:rPr>
        <w:t>some</w:t>
      </w:r>
      <w:r>
        <w:rPr>
          <w:spacing w:val="-11"/>
          <w:w w:val="120"/>
          <w:sz w:val="20"/>
        </w:rPr>
        <w:t> </w:t>
      </w:r>
      <w:r>
        <w:rPr>
          <w:w w:val="120"/>
          <w:sz w:val="20"/>
        </w:rPr>
        <w:t>churches</w:t>
      </w:r>
      <w:r>
        <w:rPr>
          <w:spacing w:val="-12"/>
          <w:w w:val="120"/>
          <w:sz w:val="20"/>
        </w:rPr>
        <w:t> </w:t>
      </w:r>
      <w:r>
        <w:rPr>
          <w:w w:val="120"/>
          <w:sz w:val="20"/>
        </w:rPr>
        <w:t>do</w:t>
      </w:r>
      <w:r>
        <w:rPr>
          <w:spacing w:val="-11"/>
          <w:w w:val="120"/>
          <w:sz w:val="20"/>
        </w:rPr>
        <w:t> </w:t>
      </w:r>
      <w:r>
        <w:rPr>
          <w:w w:val="120"/>
          <w:sz w:val="20"/>
        </w:rPr>
        <w:t>buck</w:t>
      </w:r>
      <w:r>
        <w:rPr>
          <w:spacing w:val="-12"/>
          <w:w w:val="120"/>
          <w:sz w:val="20"/>
        </w:rPr>
        <w:t> </w:t>
      </w:r>
      <w:r>
        <w:rPr>
          <w:w w:val="120"/>
          <w:sz w:val="20"/>
        </w:rPr>
        <w:t>the</w:t>
      </w:r>
      <w:r>
        <w:rPr>
          <w:spacing w:val="-11"/>
          <w:w w:val="120"/>
          <w:sz w:val="20"/>
        </w:rPr>
        <w:t> </w:t>
      </w:r>
      <w:r>
        <w:rPr>
          <w:w w:val="120"/>
          <w:sz w:val="20"/>
        </w:rPr>
        <w:t>trend</w:t>
      </w:r>
      <w:r>
        <w:rPr>
          <w:spacing w:val="-12"/>
          <w:w w:val="120"/>
          <w:sz w:val="20"/>
        </w:rPr>
        <w:t> </w:t>
      </w:r>
      <w:r>
        <w:rPr>
          <w:w w:val="120"/>
          <w:sz w:val="20"/>
        </w:rPr>
        <w:t>with</w:t>
      </w:r>
      <w:r>
        <w:rPr>
          <w:spacing w:val="-11"/>
          <w:w w:val="120"/>
          <w:sz w:val="20"/>
        </w:rPr>
        <w:t> </w:t>
      </w:r>
      <w:r>
        <w:rPr>
          <w:w w:val="120"/>
          <w:sz w:val="20"/>
        </w:rPr>
        <w:t>imaginative</w:t>
      </w:r>
      <w:r>
        <w:rPr>
          <w:spacing w:val="-12"/>
          <w:w w:val="120"/>
          <w:sz w:val="20"/>
        </w:rPr>
        <w:t> </w:t>
      </w:r>
      <w:r>
        <w:rPr>
          <w:i/>
          <w:w w:val="120"/>
          <w:sz w:val="20"/>
        </w:rPr>
        <w:t>Fresh</w:t>
      </w:r>
      <w:r>
        <w:rPr>
          <w:i/>
          <w:spacing w:val="-14"/>
          <w:w w:val="120"/>
          <w:sz w:val="20"/>
        </w:rPr>
        <w:t> </w:t>
      </w:r>
      <w:r>
        <w:rPr>
          <w:i/>
          <w:w w:val="120"/>
          <w:sz w:val="20"/>
        </w:rPr>
        <w:t>Expressions</w:t>
      </w:r>
      <w:r>
        <w:rPr>
          <w:w w:val="120"/>
          <w:sz w:val="20"/>
        </w:rPr>
        <w:t>,</w:t>
      </w:r>
      <w:r>
        <w:rPr>
          <w:spacing w:val="-11"/>
          <w:w w:val="120"/>
          <w:sz w:val="20"/>
        </w:rPr>
        <w:t> </w:t>
      </w:r>
      <w:r>
        <w:rPr>
          <w:i/>
          <w:w w:val="120"/>
          <w:sz w:val="20"/>
        </w:rPr>
        <w:t>Messy </w:t>
      </w:r>
      <w:r>
        <w:rPr>
          <w:i/>
          <w:w w:val="120"/>
          <w:sz w:val="20"/>
        </w:rPr>
        <w:t>Church</w:t>
      </w:r>
      <w:r>
        <w:rPr>
          <w:w w:val="120"/>
          <w:sz w:val="20"/>
        </w:rPr>
        <w:t>,</w:t>
      </w:r>
      <w:r>
        <w:rPr>
          <w:spacing w:val="-30"/>
          <w:w w:val="120"/>
          <w:sz w:val="20"/>
        </w:rPr>
        <w:t> </w:t>
      </w:r>
      <w:r>
        <w:rPr>
          <w:i/>
          <w:w w:val="120"/>
          <w:sz w:val="20"/>
        </w:rPr>
        <w:t>Pub</w:t>
      </w:r>
      <w:r>
        <w:rPr>
          <w:i/>
          <w:spacing w:val="-30"/>
          <w:w w:val="120"/>
          <w:sz w:val="20"/>
        </w:rPr>
        <w:t> </w:t>
      </w:r>
      <w:r>
        <w:rPr>
          <w:i/>
          <w:w w:val="120"/>
          <w:sz w:val="20"/>
        </w:rPr>
        <w:t>Church</w:t>
      </w:r>
      <w:r>
        <w:rPr>
          <w:w w:val="120"/>
          <w:sz w:val="20"/>
        </w:rPr>
        <w:t>,</w:t>
      </w:r>
      <w:r>
        <w:rPr>
          <w:spacing w:val="-29"/>
          <w:w w:val="120"/>
          <w:sz w:val="20"/>
        </w:rPr>
        <w:t> </w:t>
      </w:r>
      <w:r>
        <w:rPr>
          <w:w w:val="120"/>
          <w:sz w:val="20"/>
        </w:rPr>
        <w:t>and</w:t>
      </w:r>
      <w:r>
        <w:rPr>
          <w:spacing w:val="-30"/>
          <w:w w:val="120"/>
          <w:sz w:val="20"/>
        </w:rPr>
        <w:t> </w:t>
      </w:r>
      <w:r>
        <w:rPr>
          <w:i/>
          <w:w w:val="120"/>
          <w:sz w:val="20"/>
        </w:rPr>
        <w:t>‘Insert</w:t>
      </w:r>
      <w:r>
        <w:rPr>
          <w:i/>
          <w:spacing w:val="-31"/>
          <w:w w:val="120"/>
          <w:sz w:val="20"/>
        </w:rPr>
        <w:t> </w:t>
      </w:r>
      <w:r>
        <w:rPr>
          <w:i/>
          <w:w w:val="120"/>
          <w:sz w:val="20"/>
        </w:rPr>
        <w:t>another</w:t>
      </w:r>
      <w:r>
        <w:rPr>
          <w:i/>
          <w:spacing w:val="-30"/>
          <w:w w:val="120"/>
          <w:sz w:val="20"/>
        </w:rPr>
        <w:t> </w:t>
      </w:r>
      <w:r>
        <w:rPr>
          <w:i/>
          <w:w w:val="120"/>
          <w:sz w:val="20"/>
        </w:rPr>
        <w:t>contextually</w:t>
      </w:r>
      <w:r>
        <w:rPr>
          <w:i/>
          <w:spacing w:val="-30"/>
          <w:w w:val="120"/>
          <w:sz w:val="20"/>
        </w:rPr>
        <w:t> </w:t>
      </w:r>
      <w:r>
        <w:rPr>
          <w:i/>
          <w:w w:val="120"/>
          <w:sz w:val="20"/>
        </w:rPr>
        <w:t>appropriate</w:t>
      </w:r>
      <w:r>
        <w:rPr>
          <w:i/>
          <w:spacing w:val="-31"/>
          <w:w w:val="120"/>
          <w:sz w:val="20"/>
        </w:rPr>
        <w:t> </w:t>
      </w:r>
      <w:r>
        <w:rPr>
          <w:i/>
          <w:w w:val="120"/>
          <w:sz w:val="20"/>
        </w:rPr>
        <w:t>adjective’</w:t>
      </w:r>
      <w:r>
        <w:rPr>
          <w:i/>
          <w:spacing w:val="-30"/>
          <w:w w:val="120"/>
          <w:sz w:val="20"/>
        </w:rPr>
        <w:t> </w:t>
      </w:r>
      <w:r>
        <w:rPr>
          <w:i/>
          <w:w w:val="120"/>
          <w:sz w:val="20"/>
        </w:rPr>
        <w:t>Church</w:t>
      </w:r>
      <w:r>
        <w:rPr>
          <w:w w:val="120"/>
          <w:sz w:val="20"/>
        </w:rPr>
        <w:t>,</w:t>
      </w:r>
      <w:r>
        <w:rPr>
          <w:spacing w:val="-29"/>
          <w:w w:val="120"/>
          <w:sz w:val="20"/>
        </w:rPr>
        <w:t> </w:t>
      </w:r>
      <w:r>
        <w:rPr>
          <w:w w:val="120"/>
          <w:sz w:val="20"/>
        </w:rPr>
        <w:t>held at times more convenient and in venues more comfortable to young adults. A variety of provision for worship and nurture, specifically aimed at different</w:t>
      </w:r>
      <w:r>
        <w:rPr>
          <w:spacing w:val="44"/>
          <w:w w:val="120"/>
          <w:sz w:val="20"/>
        </w:rPr>
        <w:t> </w:t>
      </w:r>
      <w:r>
        <w:rPr>
          <w:w w:val="120"/>
          <w:sz w:val="20"/>
        </w:rPr>
        <w:t>demographics,</w:t>
      </w:r>
    </w:p>
    <w:p>
      <w:pPr>
        <w:pStyle w:val="BodyText"/>
        <w:spacing w:line="235" w:lineRule="auto"/>
        <w:ind w:left="1255" w:right="1584"/>
      </w:pPr>
      <w:r>
        <w:rPr>
          <w:w w:val="120"/>
        </w:rPr>
        <w:t>is helping a growing number of local churches begin to reengage with people of the missing generations. Establishing several ‘congregations’ within the one church is a more realistic and desirable way to grow a local church, rather than the often self- defeating endeavour of trying to make Sunday mornings work for all.</w:t>
      </w:r>
    </w:p>
    <w:p>
      <w:pPr>
        <w:pStyle w:val="BodyText"/>
        <w:spacing w:before="9"/>
        <w:rPr>
          <w:sz w:val="19"/>
        </w:rPr>
      </w:pPr>
    </w:p>
    <w:p>
      <w:pPr>
        <w:pStyle w:val="BodyText"/>
        <w:spacing w:line="235" w:lineRule="auto"/>
        <w:ind w:left="1255" w:right="1283"/>
      </w:pPr>
      <w:r>
        <w:rPr>
          <w:w w:val="120"/>
        </w:rPr>
        <w:t>However, what is also clear to the task group is that there is not one model or vehicle which has been ‘successful’. There is no specific programme or plan which ‘works’.</w:t>
      </w:r>
    </w:p>
    <w:p>
      <w:pPr>
        <w:pStyle w:val="BodyText"/>
        <w:spacing w:line="235" w:lineRule="auto" w:before="1"/>
        <w:ind w:left="1255" w:right="1417"/>
      </w:pPr>
      <w:r>
        <w:rPr>
          <w:w w:val="120"/>
        </w:rPr>
        <w:t>Working on our welcome, our buildings and our language are all important ingredients but are no panacea. Furthermore, practical changes can often be used to distract us from the answers to our malaise which we suspect we have known all along: the long and more difficult road of building relationships through openness, vulnerability, and</w:t>
      </w:r>
    </w:p>
    <w:p>
      <w:pPr>
        <w:pStyle w:val="BodyText"/>
        <w:spacing w:line="235" w:lineRule="auto" w:before="3"/>
        <w:ind w:left="1255" w:right="1283"/>
      </w:pPr>
      <w:r>
        <w:rPr>
          <w:w w:val="120"/>
        </w:rPr>
        <w:t>a willingness to be radically changed by our encounters with others who are often different from ourselves.</w:t>
      </w:r>
    </w:p>
    <w:p>
      <w:pPr>
        <w:pStyle w:val="BodyText"/>
        <w:spacing w:before="2"/>
        <w:rPr>
          <w:sz w:val="22"/>
        </w:rPr>
      </w:pPr>
    </w:p>
    <w:p>
      <w:pPr>
        <w:pStyle w:val="Heading4"/>
        <w:numPr>
          <w:ilvl w:val="1"/>
          <w:numId w:val="22"/>
        </w:numPr>
        <w:tabs>
          <w:tab w:pos="1937" w:val="left" w:leader="none"/>
        </w:tabs>
        <w:spacing w:line="240" w:lineRule="auto" w:before="0" w:after="0"/>
        <w:ind w:left="1936" w:right="0" w:hanging="682"/>
        <w:jc w:val="left"/>
      </w:pPr>
      <w:r>
        <w:rPr>
          <w:spacing w:val="3"/>
          <w:w w:val="110"/>
        </w:rPr>
        <w:t>Denominational</w:t>
      </w:r>
      <w:r>
        <w:rPr>
          <w:spacing w:val="12"/>
          <w:w w:val="110"/>
        </w:rPr>
        <w:t> </w:t>
      </w:r>
      <w:r>
        <w:rPr>
          <w:spacing w:val="3"/>
          <w:w w:val="110"/>
        </w:rPr>
        <w:t>life</w:t>
      </w:r>
    </w:p>
    <w:p>
      <w:pPr>
        <w:pStyle w:val="Heading8"/>
        <w:numPr>
          <w:ilvl w:val="2"/>
          <w:numId w:val="22"/>
        </w:numPr>
        <w:tabs>
          <w:tab w:pos="1937" w:val="left" w:leader="none"/>
        </w:tabs>
        <w:spacing w:line="261" w:lineRule="exact" w:before="53" w:after="0"/>
        <w:ind w:left="1936" w:right="0" w:hanging="682"/>
        <w:jc w:val="left"/>
      </w:pPr>
      <w:r>
        <w:rPr>
          <w:w w:val="110"/>
        </w:rPr>
        <w:t>What’s going</w:t>
      </w:r>
      <w:r>
        <w:rPr>
          <w:spacing w:val="-1"/>
          <w:w w:val="110"/>
        </w:rPr>
        <w:t> </w:t>
      </w:r>
      <w:r>
        <w:rPr>
          <w:w w:val="110"/>
        </w:rPr>
        <w:t>well?</w:t>
      </w:r>
    </w:p>
    <w:p>
      <w:pPr>
        <w:pStyle w:val="BodyText"/>
        <w:spacing w:line="235" w:lineRule="auto"/>
        <w:ind w:left="1255" w:right="1336"/>
      </w:pPr>
      <w:r>
        <w:rPr>
          <w:w w:val="120"/>
        </w:rPr>
        <w:t>Work with </w:t>
      </w:r>
      <w:r>
        <w:rPr>
          <w:spacing w:val="-3"/>
          <w:w w:val="120"/>
        </w:rPr>
        <w:t>young </w:t>
      </w:r>
      <w:r>
        <w:rPr>
          <w:w w:val="120"/>
        </w:rPr>
        <w:t>people and </w:t>
      </w:r>
      <w:r>
        <w:rPr>
          <w:spacing w:val="-3"/>
          <w:w w:val="120"/>
        </w:rPr>
        <w:t>young </w:t>
      </w:r>
      <w:r>
        <w:rPr>
          <w:w w:val="120"/>
        </w:rPr>
        <w:t>adults in the </w:t>
      </w:r>
      <w:r>
        <w:rPr>
          <w:spacing w:val="-3"/>
          <w:w w:val="120"/>
        </w:rPr>
        <w:t>United </w:t>
      </w:r>
      <w:r>
        <w:rPr>
          <w:w w:val="120"/>
        </w:rPr>
        <w:t>Reformed </w:t>
      </w:r>
      <w:r>
        <w:rPr>
          <w:spacing w:val="-3"/>
          <w:w w:val="120"/>
        </w:rPr>
        <w:t>Church </w:t>
      </w:r>
      <w:r>
        <w:rPr>
          <w:w w:val="120"/>
        </w:rPr>
        <w:t>is defined as the age range of </w:t>
      </w:r>
      <w:r>
        <w:rPr>
          <w:spacing w:val="-5"/>
          <w:w w:val="120"/>
        </w:rPr>
        <w:t>11-26-year-olds. </w:t>
      </w:r>
      <w:r>
        <w:rPr>
          <w:w w:val="120"/>
        </w:rPr>
        <w:t>Those of ages which overlap with </w:t>
      </w:r>
      <w:r>
        <w:rPr>
          <w:spacing w:val="-3"/>
          <w:w w:val="120"/>
        </w:rPr>
        <w:t>this </w:t>
      </w:r>
      <w:r>
        <w:rPr>
          <w:w w:val="120"/>
        </w:rPr>
        <w:t>report’s remit </w:t>
      </w:r>
      <w:r>
        <w:rPr>
          <w:spacing w:val="-4"/>
          <w:w w:val="120"/>
        </w:rPr>
        <w:t>(20-25) </w:t>
      </w:r>
      <w:r>
        <w:rPr>
          <w:w w:val="120"/>
        </w:rPr>
        <w:t>participate fully in the leadership of our </w:t>
      </w:r>
      <w:r>
        <w:rPr>
          <w:spacing w:val="-3"/>
          <w:w w:val="120"/>
        </w:rPr>
        <w:t>youth </w:t>
      </w:r>
      <w:r>
        <w:rPr>
          <w:w w:val="120"/>
        </w:rPr>
        <w:t>structures and it is </w:t>
      </w:r>
      <w:r>
        <w:rPr>
          <w:spacing w:val="-3"/>
          <w:w w:val="120"/>
        </w:rPr>
        <w:t>those </w:t>
      </w:r>
      <w:r>
        <w:rPr>
          <w:w w:val="120"/>
        </w:rPr>
        <w:t>at the older end of the </w:t>
      </w:r>
      <w:r>
        <w:rPr>
          <w:spacing w:val="-3"/>
          <w:w w:val="120"/>
        </w:rPr>
        <w:t>youth </w:t>
      </w:r>
      <w:r>
        <w:rPr>
          <w:w w:val="120"/>
        </w:rPr>
        <w:t>work age range who </w:t>
      </w:r>
      <w:r>
        <w:rPr>
          <w:spacing w:val="-3"/>
          <w:w w:val="120"/>
        </w:rPr>
        <w:t>predominately </w:t>
      </w:r>
      <w:r>
        <w:rPr>
          <w:w w:val="120"/>
        </w:rPr>
        <w:t>fill the </w:t>
      </w:r>
      <w:r>
        <w:rPr>
          <w:spacing w:val="-3"/>
          <w:w w:val="120"/>
        </w:rPr>
        <w:t>spaces </w:t>
      </w:r>
      <w:r>
        <w:rPr>
          <w:w w:val="120"/>
        </w:rPr>
        <w:t>for </w:t>
      </w:r>
      <w:r>
        <w:rPr>
          <w:spacing w:val="-5"/>
          <w:w w:val="120"/>
        </w:rPr>
        <w:t>under-26 </w:t>
      </w:r>
      <w:r>
        <w:rPr>
          <w:w w:val="120"/>
        </w:rPr>
        <w:t>representatives at General Assembly and Mission </w:t>
      </w:r>
      <w:r>
        <w:rPr>
          <w:spacing w:val="-3"/>
          <w:w w:val="120"/>
        </w:rPr>
        <w:t>Council. Continued diligence </w:t>
      </w:r>
      <w:r>
        <w:rPr>
          <w:w w:val="120"/>
        </w:rPr>
        <w:t>by synods </w:t>
      </w:r>
      <w:r>
        <w:rPr>
          <w:spacing w:val="-3"/>
          <w:w w:val="120"/>
        </w:rPr>
        <w:t>to ensure </w:t>
      </w:r>
      <w:r>
        <w:rPr>
          <w:spacing w:val="-5"/>
          <w:w w:val="120"/>
        </w:rPr>
        <w:t>under-26 </w:t>
      </w:r>
      <w:r>
        <w:rPr>
          <w:spacing w:val="-3"/>
          <w:w w:val="120"/>
        </w:rPr>
        <w:t>places </w:t>
      </w:r>
      <w:r>
        <w:rPr>
          <w:w w:val="120"/>
        </w:rPr>
        <w:t>at Assembly are filled </w:t>
      </w:r>
      <w:r>
        <w:rPr>
          <w:spacing w:val="-3"/>
          <w:w w:val="120"/>
        </w:rPr>
        <w:t>continues to </w:t>
      </w:r>
      <w:r>
        <w:rPr>
          <w:w w:val="120"/>
        </w:rPr>
        <w:t>be of vital importance if the </w:t>
      </w:r>
      <w:r>
        <w:rPr>
          <w:spacing w:val="-3"/>
          <w:w w:val="120"/>
        </w:rPr>
        <w:t>voice </w:t>
      </w:r>
      <w:r>
        <w:rPr>
          <w:w w:val="120"/>
        </w:rPr>
        <w:t>of younger adults is </w:t>
      </w:r>
      <w:r>
        <w:rPr>
          <w:spacing w:val="-3"/>
          <w:w w:val="120"/>
        </w:rPr>
        <w:t>to </w:t>
      </w:r>
      <w:r>
        <w:rPr>
          <w:w w:val="120"/>
        </w:rPr>
        <w:t>be heard and </w:t>
      </w:r>
      <w:r>
        <w:rPr>
          <w:spacing w:val="-3"/>
          <w:w w:val="120"/>
        </w:rPr>
        <w:t>have </w:t>
      </w:r>
      <w:r>
        <w:rPr>
          <w:w w:val="120"/>
        </w:rPr>
        <w:t>influence in our </w:t>
      </w:r>
      <w:r>
        <w:rPr>
          <w:spacing w:val="-3"/>
          <w:w w:val="120"/>
        </w:rPr>
        <w:t>decision making.</w:t>
      </w:r>
    </w:p>
    <w:p>
      <w:pPr>
        <w:pStyle w:val="BodyText"/>
        <w:spacing w:before="4"/>
        <w:rPr>
          <w:sz w:val="18"/>
        </w:rPr>
      </w:pPr>
    </w:p>
    <w:p>
      <w:pPr>
        <w:pStyle w:val="Heading8"/>
        <w:numPr>
          <w:ilvl w:val="2"/>
          <w:numId w:val="22"/>
        </w:numPr>
        <w:tabs>
          <w:tab w:pos="1937" w:val="left" w:leader="none"/>
        </w:tabs>
        <w:spacing w:line="261" w:lineRule="exact" w:before="0" w:after="0"/>
        <w:ind w:left="1936" w:right="0" w:hanging="682"/>
        <w:jc w:val="left"/>
      </w:pPr>
      <w:r>
        <w:rPr>
          <w:w w:val="110"/>
        </w:rPr>
        <w:t>The wider</w:t>
      </w:r>
      <w:r>
        <w:rPr>
          <w:spacing w:val="-1"/>
          <w:w w:val="110"/>
        </w:rPr>
        <w:t> </w:t>
      </w:r>
      <w:r>
        <w:rPr>
          <w:w w:val="110"/>
        </w:rPr>
        <w:t>reality</w:t>
      </w:r>
    </w:p>
    <w:p>
      <w:pPr>
        <w:pStyle w:val="BodyText"/>
        <w:spacing w:line="235" w:lineRule="auto"/>
        <w:ind w:left="1255" w:right="1367"/>
      </w:pPr>
      <w:r>
        <w:rPr>
          <w:spacing w:val="-4"/>
          <w:w w:val="120"/>
        </w:rPr>
        <w:t>However, </w:t>
      </w:r>
      <w:r>
        <w:rPr>
          <w:w w:val="120"/>
        </w:rPr>
        <w:t>we do </w:t>
      </w:r>
      <w:r>
        <w:rPr>
          <w:spacing w:val="-3"/>
          <w:w w:val="120"/>
        </w:rPr>
        <w:t>wish to </w:t>
      </w:r>
      <w:r>
        <w:rPr>
          <w:w w:val="120"/>
        </w:rPr>
        <w:t>sound several </w:t>
      </w:r>
      <w:r>
        <w:rPr>
          <w:spacing w:val="-3"/>
          <w:w w:val="120"/>
        </w:rPr>
        <w:t>notes </w:t>
      </w:r>
      <w:r>
        <w:rPr>
          <w:w w:val="120"/>
        </w:rPr>
        <w:t>of caution. In reality most of our programmatic work with </w:t>
      </w:r>
      <w:r>
        <w:rPr>
          <w:spacing w:val="-3"/>
          <w:w w:val="120"/>
        </w:rPr>
        <w:t>young </w:t>
      </w:r>
      <w:r>
        <w:rPr>
          <w:w w:val="120"/>
        </w:rPr>
        <w:t>people </w:t>
      </w:r>
      <w:r>
        <w:rPr>
          <w:spacing w:val="-3"/>
          <w:w w:val="120"/>
        </w:rPr>
        <w:t>stops </w:t>
      </w:r>
      <w:r>
        <w:rPr>
          <w:w w:val="120"/>
        </w:rPr>
        <w:t>at age </w:t>
      </w:r>
      <w:r>
        <w:rPr>
          <w:spacing w:val="-6"/>
          <w:w w:val="120"/>
        </w:rPr>
        <w:t>18, </w:t>
      </w:r>
      <w:r>
        <w:rPr>
          <w:w w:val="120"/>
        </w:rPr>
        <w:t>around the age of starting work, going </w:t>
      </w:r>
      <w:r>
        <w:rPr>
          <w:spacing w:val="-3"/>
          <w:w w:val="120"/>
        </w:rPr>
        <w:t>to university, </w:t>
      </w:r>
      <w:r>
        <w:rPr>
          <w:w w:val="120"/>
        </w:rPr>
        <w:t>or </w:t>
      </w:r>
      <w:r>
        <w:rPr>
          <w:spacing w:val="-3"/>
          <w:w w:val="120"/>
        </w:rPr>
        <w:t>leaving </w:t>
      </w:r>
      <w:r>
        <w:rPr>
          <w:w w:val="120"/>
        </w:rPr>
        <w:t>home. It </w:t>
      </w:r>
      <w:r>
        <w:rPr>
          <w:spacing w:val="-3"/>
          <w:w w:val="120"/>
        </w:rPr>
        <w:t>would, </w:t>
      </w:r>
      <w:r>
        <w:rPr>
          <w:w w:val="120"/>
        </w:rPr>
        <w:t>perhaps, be understandable </w:t>
      </w:r>
      <w:r>
        <w:rPr>
          <w:spacing w:val="-3"/>
          <w:w w:val="120"/>
        </w:rPr>
        <w:t>if, </w:t>
      </w:r>
      <w:r>
        <w:rPr>
          <w:w w:val="120"/>
        </w:rPr>
        <w:t>at times, </w:t>
      </w:r>
      <w:r>
        <w:rPr>
          <w:spacing w:val="-3"/>
          <w:w w:val="120"/>
        </w:rPr>
        <w:t>those within </w:t>
      </w:r>
      <w:r>
        <w:rPr>
          <w:w w:val="120"/>
        </w:rPr>
        <w:t>the older age range felt </w:t>
      </w:r>
      <w:r>
        <w:rPr>
          <w:spacing w:val="-2"/>
          <w:w w:val="120"/>
        </w:rPr>
        <w:t>not </w:t>
      </w:r>
      <w:r>
        <w:rPr>
          <w:w w:val="120"/>
        </w:rPr>
        <w:t>so much the </w:t>
      </w:r>
      <w:r>
        <w:rPr>
          <w:i/>
          <w:spacing w:val="-4"/>
          <w:w w:val="120"/>
        </w:rPr>
        <w:t>missing </w:t>
      </w:r>
      <w:r>
        <w:rPr>
          <w:w w:val="120"/>
        </w:rPr>
        <w:t>generation but the </w:t>
      </w:r>
      <w:r>
        <w:rPr>
          <w:i/>
          <w:w w:val="120"/>
        </w:rPr>
        <w:t>forgotten</w:t>
      </w:r>
      <w:r>
        <w:rPr>
          <w:i/>
          <w:spacing w:val="-16"/>
          <w:w w:val="120"/>
        </w:rPr>
        <w:t> </w:t>
      </w:r>
      <w:r>
        <w:rPr>
          <w:w w:val="120"/>
        </w:rPr>
        <w:t>one.</w:t>
      </w:r>
      <w:r>
        <w:rPr>
          <w:spacing w:val="-16"/>
          <w:w w:val="120"/>
        </w:rPr>
        <w:t> </w:t>
      </w:r>
      <w:r>
        <w:rPr>
          <w:w w:val="120"/>
        </w:rPr>
        <w:t>Many</w:t>
      </w:r>
      <w:r>
        <w:rPr>
          <w:spacing w:val="-16"/>
          <w:w w:val="120"/>
        </w:rPr>
        <w:t> </w:t>
      </w:r>
      <w:r>
        <w:rPr>
          <w:w w:val="120"/>
        </w:rPr>
        <w:t>of</w:t>
      </w:r>
      <w:r>
        <w:rPr>
          <w:spacing w:val="-16"/>
          <w:w w:val="120"/>
        </w:rPr>
        <w:t> </w:t>
      </w:r>
      <w:r>
        <w:rPr>
          <w:w w:val="120"/>
        </w:rPr>
        <w:t>our</w:t>
      </w:r>
      <w:r>
        <w:rPr>
          <w:spacing w:val="-16"/>
          <w:w w:val="120"/>
        </w:rPr>
        <w:t> </w:t>
      </w:r>
      <w:r>
        <w:rPr>
          <w:w w:val="120"/>
        </w:rPr>
        <w:t>younger</w:t>
      </w:r>
      <w:r>
        <w:rPr>
          <w:spacing w:val="-16"/>
          <w:w w:val="120"/>
        </w:rPr>
        <w:t> </w:t>
      </w:r>
      <w:r>
        <w:rPr>
          <w:w w:val="120"/>
        </w:rPr>
        <w:t>adults</w:t>
      </w:r>
      <w:r>
        <w:rPr>
          <w:spacing w:val="-15"/>
          <w:w w:val="120"/>
        </w:rPr>
        <w:t> </w:t>
      </w:r>
      <w:r>
        <w:rPr>
          <w:spacing w:val="-3"/>
          <w:w w:val="120"/>
        </w:rPr>
        <w:t>commented</w:t>
      </w:r>
      <w:r>
        <w:rPr>
          <w:spacing w:val="-16"/>
          <w:w w:val="120"/>
        </w:rPr>
        <w:t> </w:t>
      </w:r>
      <w:r>
        <w:rPr>
          <w:w w:val="120"/>
        </w:rPr>
        <w:t>that</w:t>
      </w:r>
      <w:r>
        <w:rPr>
          <w:spacing w:val="-16"/>
          <w:w w:val="120"/>
        </w:rPr>
        <w:t> </w:t>
      </w:r>
      <w:r>
        <w:rPr>
          <w:spacing w:val="-2"/>
          <w:w w:val="120"/>
        </w:rPr>
        <w:t>reaching</w:t>
      </w:r>
      <w:r>
        <w:rPr>
          <w:spacing w:val="-16"/>
          <w:w w:val="120"/>
        </w:rPr>
        <w:t> </w:t>
      </w:r>
      <w:r>
        <w:rPr>
          <w:spacing w:val="-3"/>
          <w:w w:val="120"/>
        </w:rPr>
        <w:t>this</w:t>
      </w:r>
      <w:r>
        <w:rPr>
          <w:spacing w:val="-16"/>
          <w:w w:val="120"/>
        </w:rPr>
        <w:t> </w:t>
      </w:r>
      <w:r>
        <w:rPr>
          <w:w w:val="120"/>
        </w:rPr>
        <w:t>age</w:t>
      </w:r>
      <w:r>
        <w:rPr>
          <w:spacing w:val="-16"/>
          <w:w w:val="120"/>
        </w:rPr>
        <w:t> </w:t>
      </w:r>
      <w:r>
        <w:rPr>
          <w:w w:val="120"/>
        </w:rPr>
        <w:t>can</w:t>
      </w:r>
      <w:r>
        <w:rPr>
          <w:spacing w:val="-16"/>
          <w:w w:val="120"/>
        </w:rPr>
        <w:t> </w:t>
      </w:r>
      <w:r>
        <w:rPr>
          <w:w w:val="120"/>
        </w:rPr>
        <w:t>feel</w:t>
      </w:r>
      <w:r>
        <w:rPr>
          <w:spacing w:val="-15"/>
          <w:w w:val="120"/>
        </w:rPr>
        <w:t> </w:t>
      </w:r>
      <w:r>
        <w:rPr>
          <w:spacing w:val="-3"/>
          <w:w w:val="120"/>
        </w:rPr>
        <w:t>like </w:t>
      </w:r>
      <w:r>
        <w:rPr>
          <w:w w:val="120"/>
        </w:rPr>
        <w:t>a </w:t>
      </w:r>
      <w:r>
        <w:rPr>
          <w:spacing w:val="-4"/>
          <w:w w:val="120"/>
        </w:rPr>
        <w:t>‘cliff </w:t>
      </w:r>
      <w:r>
        <w:rPr>
          <w:spacing w:val="-6"/>
          <w:w w:val="120"/>
        </w:rPr>
        <w:t>edge’, </w:t>
      </w:r>
      <w:r>
        <w:rPr>
          <w:spacing w:val="-2"/>
          <w:w w:val="120"/>
        </w:rPr>
        <w:t>moving </w:t>
      </w:r>
      <w:r>
        <w:rPr>
          <w:w w:val="120"/>
        </w:rPr>
        <w:t>from a </w:t>
      </w:r>
      <w:r>
        <w:rPr>
          <w:spacing w:val="-4"/>
          <w:w w:val="120"/>
        </w:rPr>
        <w:t>‘youth’ </w:t>
      </w:r>
      <w:r>
        <w:rPr>
          <w:w w:val="120"/>
        </w:rPr>
        <w:t>experience of faith and </w:t>
      </w:r>
      <w:r>
        <w:rPr>
          <w:spacing w:val="-3"/>
          <w:w w:val="120"/>
        </w:rPr>
        <w:t>church </w:t>
      </w:r>
      <w:r>
        <w:rPr>
          <w:w w:val="120"/>
        </w:rPr>
        <w:t>life with all the URC </w:t>
      </w:r>
      <w:r>
        <w:rPr>
          <w:spacing w:val="-4"/>
          <w:w w:val="120"/>
        </w:rPr>
        <w:t>Youth </w:t>
      </w:r>
      <w:r>
        <w:rPr>
          <w:w w:val="120"/>
        </w:rPr>
        <w:t>programmes </w:t>
      </w:r>
      <w:r>
        <w:rPr>
          <w:spacing w:val="-3"/>
          <w:w w:val="120"/>
        </w:rPr>
        <w:t>offer, to </w:t>
      </w:r>
      <w:r>
        <w:rPr>
          <w:w w:val="120"/>
        </w:rPr>
        <w:t>an experience that can be seen as a </w:t>
      </w:r>
      <w:r>
        <w:rPr>
          <w:spacing w:val="-4"/>
          <w:w w:val="120"/>
        </w:rPr>
        <w:t>‘one </w:t>
      </w:r>
      <w:r>
        <w:rPr>
          <w:w w:val="120"/>
        </w:rPr>
        <w:t>experience fits </w:t>
      </w:r>
      <w:r>
        <w:rPr>
          <w:spacing w:val="-6"/>
          <w:w w:val="120"/>
        </w:rPr>
        <w:t>all’, </w:t>
      </w:r>
      <w:r>
        <w:rPr>
          <w:w w:val="120"/>
        </w:rPr>
        <w:t>which</w:t>
      </w:r>
      <w:r>
        <w:rPr>
          <w:spacing w:val="-5"/>
          <w:w w:val="120"/>
        </w:rPr>
        <w:t> </w:t>
      </w:r>
      <w:r>
        <w:rPr>
          <w:w w:val="120"/>
        </w:rPr>
        <w:t>in</w:t>
      </w:r>
      <w:r>
        <w:rPr>
          <w:spacing w:val="-6"/>
          <w:w w:val="120"/>
        </w:rPr>
        <w:t> </w:t>
      </w:r>
      <w:r>
        <w:rPr>
          <w:w w:val="120"/>
        </w:rPr>
        <w:t>reality</w:t>
      </w:r>
      <w:r>
        <w:rPr>
          <w:spacing w:val="-5"/>
          <w:w w:val="120"/>
        </w:rPr>
        <w:t> </w:t>
      </w:r>
      <w:r>
        <w:rPr>
          <w:w w:val="120"/>
        </w:rPr>
        <w:t>can</w:t>
      </w:r>
      <w:r>
        <w:rPr>
          <w:spacing w:val="-5"/>
          <w:w w:val="120"/>
        </w:rPr>
        <w:t> </w:t>
      </w:r>
      <w:r>
        <w:rPr>
          <w:w w:val="120"/>
        </w:rPr>
        <w:t>be</w:t>
      </w:r>
      <w:r>
        <w:rPr>
          <w:spacing w:val="-5"/>
          <w:w w:val="120"/>
        </w:rPr>
        <w:t> </w:t>
      </w:r>
      <w:r>
        <w:rPr>
          <w:w w:val="120"/>
        </w:rPr>
        <w:t>very</w:t>
      </w:r>
      <w:r>
        <w:rPr>
          <w:spacing w:val="-5"/>
          <w:w w:val="120"/>
        </w:rPr>
        <w:t> </w:t>
      </w:r>
      <w:r>
        <w:rPr>
          <w:spacing w:val="-3"/>
          <w:w w:val="120"/>
        </w:rPr>
        <w:t>culturally</w:t>
      </w:r>
      <w:r>
        <w:rPr>
          <w:spacing w:val="-5"/>
          <w:w w:val="120"/>
        </w:rPr>
        <w:t> </w:t>
      </w:r>
      <w:r>
        <w:rPr>
          <w:w w:val="120"/>
        </w:rPr>
        <w:t>different</w:t>
      </w:r>
      <w:r>
        <w:rPr>
          <w:spacing w:val="-5"/>
          <w:w w:val="120"/>
        </w:rPr>
        <w:t> </w:t>
      </w:r>
      <w:r>
        <w:rPr>
          <w:spacing w:val="-3"/>
          <w:w w:val="120"/>
        </w:rPr>
        <w:t>to</w:t>
      </w:r>
      <w:r>
        <w:rPr>
          <w:spacing w:val="-5"/>
          <w:w w:val="120"/>
        </w:rPr>
        <w:t> </w:t>
      </w:r>
      <w:r>
        <w:rPr>
          <w:w w:val="120"/>
        </w:rPr>
        <w:t>the</w:t>
      </w:r>
      <w:r>
        <w:rPr>
          <w:spacing w:val="-5"/>
          <w:w w:val="120"/>
        </w:rPr>
        <w:t> </w:t>
      </w:r>
      <w:r>
        <w:rPr>
          <w:w w:val="120"/>
        </w:rPr>
        <w:t>reality</w:t>
      </w:r>
      <w:r>
        <w:rPr>
          <w:spacing w:val="-5"/>
          <w:w w:val="120"/>
        </w:rPr>
        <w:t> </w:t>
      </w:r>
      <w:r>
        <w:rPr>
          <w:w w:val="120"/>
        </w:rPr>
        <w:t>of</w:t>
      </w:r>
      <w:r>
        <w:rPr>
          <w:spacing w:val="-5"/>
          <w:w w:val="120"/>
        </w:rPr>
        <w:t> </w:t>
      </w:r>
      <w:r>
        <w:rPr>
          <w:w w:val="120"/>
        </w:rPr>
        <w:t>most</w:t>
      </w:r>
      <w:r>
        <w:rPr>
          <w:spacing w:val="-5"/>
          <w:w w:val="120"/>
        </w:rPr>
        <w:t> </w:t>
      </w:r>
      <w:r>
        <w:rPr>
          <w:spacing w:val="-3"/>
          <w:w w:val="120"/>
        </w:rPr>
        <w:t>young</w:t>
      </w:r>
      <w:r>
        <w:rPr>
          <w:spacing w:val="-5"/>
          <w:w w:val="120"/>
        </w:rPr>
        <w:t> </w:t>
      </w:r>
      <w:r>
        <w:rPr>
          <w:w w:val="120"/>
        </w:rPr>
        <w:t>adults’</w:t>
      </w:r>
      <w:r>
        <w:rPr>
          <w:spacing w:val="-5"/>
          <w:w w:val="120"/>
        </w:rPr>
        <w:t> </w:t>
      </w:r>
      <w:r>
        <w:rPr>
          <w:spacing w:val="-3"/>
          <w:w w:val="120"/>
        </w:rPr>
        <w:t>lives.</w:t>
      </w:r>
    </w:p>
    <w:p>
      <w:pPr>
        <w:pStyle w:val="BodyText"/>
        <w:spacing w:before="9"/>
        <w:rPr>
          <w:sz w:val="19"/>
        </w:rPr>
      </w:pPr>
    </w:p>
    <w:p>
      <w:pPr>
        <w:pStyle w:val="BodyText"/>
        <w:spacing w:line="235" w:lineRule="auto"/>
        <w:ind w:left="1255" w:right="1584"/>
      </w:pPr>
      <w:r>
        <w:rPr>
          <w:w w:val="120"/>
        </w:rPr>
        <w:t>A significant cultural difference between the generations (at the risk of unintended caricature) is that a youth group programme might have lots of discussions and activities, whereas in a traditional church service you are much more likely to be expected to sit and listen! 20-40-year olds often want to continue their church experience as a socially-based shared exploration of faith and life.</w:t>
      </w:r>
    </w:p>
    <w:p>
      <w:pPr>
        <w:spacing w:after="0" w:line="235" w:lineRule="auto"/>
        <w:sectPr>
          <w:headerReference w:type="default" r:id="rId110"/>
          <w:footerReference w:type="default" r:id="rId111"/>
          <w:footerReference w:type="even" r:id="rId112"/>
          <w:pgSz w:w="11910" w:h="16840"/>
          <w:pgMar w:header="0" w:footer="647" w:top="0" w:bottom="840" w:left="700" w:right="0"/>
          <w:pgNumType w:start="27"/>
        </w:sectPr>
      </w:pPr>
    </w:p>
    <w:p>
      <w:pPr>
        <w:pStyle w:val="BodyText"/>
      </w:pPr>
      <w:r>
        <w:rPr/>
        <w:drawing>
          <wp:anchor distT="0" distB="0" distL="0" distR="0" allowOverlap="1" layoutInCell="1" locked="0" behindDoc="1" simplePos="0" relativeHeight="235777024">
            <wp:simplePos x="0" y="0"/>
            <wp:positionH relativeFrom="page">
              <wp:posOffset>0</wp:posOffset>
            </wp:positionH>
            <wp:positionV relativeFrom="page">
              <wp:posOffset>0</wp:posOffset>
            </wp:positionV>
            <wp:extent cx="594067" cy="10692003"/>
            <wp:effectExtent l="0" t="0" r="0" b="0"/>
            <wp:wrapNone/>
            <wp:docPr id="51" name="image49.png"/>
            <wp:cNvGraphicFramePr>
              <a:graphicFrameLocks noChangeAspect="1"/>
            </wp:cNvGraphicFramePr>
            <a:graphic>
              <a:graphicData uri="http://schemas.openxmlformats.org/drawingml/2006/picture">
                <pic:pic>
                  <pic:nvPicPr>
                    <pic:cNvPr id="5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3843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spacing w:before="5"/>
        <w:rPr>
          <w:sz w:val="21"/>
        </w:rPr>
      </w:pPr>
    </w:p>
    <w:p>
      <w:pPr>
        <w:spacing w:before="108"/>
        <w:ind w:left="547" w:right="0" w:firstLine="0"/>
        <w:jc w:val="left"/>
        <w:rPr>
          <w:sz w:val="26"/>
        </w:rPr>
      </w:pPr>
      <w:r>
        <w:rPr>
          <w:color w:val="7EAABF"/>
          <w:w w:val="120"/>
          <w:sz w:val="26"/>
        </w:rPr>
        <w:t>Mission Council</w:t>
      </w:r>
    </w:p>
    <w:p>
      <w:pPr>
        <w:pStyle w:val="BodyText"/>
        <w:spacing w:line="235" w:lineRule="auto" w:before="222"/>
        <w:ind w:left="547" w:right="2143"/>
      </w:pPr>
      <w:r>
        <w:rPr>
          <w:w w:val="120"/>
        </w:rPr>
        <w:t>Whilst we highlighted earlier the good work already taking place in ensuring young adult participation in our councils, responses to questionnaires showed that many young people sometimes feel as if their involvement is simply in order to train them to be committee members when they are older, rather than being taken seriously now as members now in their own right.</w:t>
      </w:r>
    </w:p>
    <w:p>
      <w:pPr>
        <w:pStyle w:val="BodyText"/>
        <w:spacing w:before="11"/>
        <w:rPr>
          <w:sz w:val="19"/>
        </w:rPr>
      </w:pPr>
    </w:p>
    <w:p>
      <w:pPr>
        <w:pStyle w:val="BodyText"/>
        <w:spacing w:line="235" w:lineRule="auto"/>
        <w:ind w:left="547" w:right="2850"/>
      </w:pPr>
      <w:r>
        <w:rPr>
          <w:w w:val="120"/>
        </w:rPr>
        <w:t>We would also like to note the often intractable issue of our various councils and committees taking place during university terms and working hours means participation of those within our remit is all the more difficult.</w:t>
      </w:r>
    </w:p>
    <w:p>
      <w:pPr>
        <w:pStyle w:val="BodyText"/>
        <w:spacing w:before="6"/>
        <w:rPr>
          <w:sz w:val="18"/>
        </w:rPr>
      </w:pPr>
    </w:p>
    <w:p>
      <w:pPr>
        <w:pStyle w:val="Heading8"/>
        <w:numPr>
          <w:ilvl w:val="2"/>
          <w:numId w:val="22"/>
        </w:numPr>
        <w:tabs>
          <w:tab w:pos="1228" w:val="left" w:leader="none"/>
        </w:tabs>
        <w:spacing w:line="261" w:lineRule="exact" w:before="0" w:after="0"/>
        <w:ind w:left="1227" w:right="0" w:hanging="681"/>
        <w:jc w:val="left"/>
      </w:pPr>
      <w:r>
        <w:rPr>
          <w:w w:val="110"/>
        </w:rPr>
        <w:t>Reversing the</w:t>
      </w:r>
      <w:r>
        <w:rPr>
          <w:spacing w:val="-1"/>
          <w:w w:val="110"/>
        </w:rPr>
        <w:t> </w:t>
      </w:r>
      <w:r>
        <w:rPr>
          <w:w w:val="110"/>
        </w:rPr>
        <w:t>trend</w:t>
      </w:r>
    </w:p>
    <w:p>
      <w:pPr>
        <w:pStyle w:val="BodyText"/>
        <w:spacing w:line="235" w:lineRule="auto"/>
        <w:ind w:left="547" w:right="2115"/>
      </w:pPr>
      <w:r>
        <w:rPr>
          <w:w w:val="120"/>
        </w:rPr>
        <w:t>When considering how to reverse this trend, the task group began by asking whether   a church of predominantly older people can foster and maintain a culture of regularly making decisions for the benefit of younger people, even if that means ‘voting’ against the perceived self-interests of the often older majority? Though this question was</w:t>
      </w:r>
      <w:r>
        <w:rPr>
          <w:spacing w:val="12"/>
          <w:w w:val="120"/>
        </w:rPr>
        <w:t> </w:t>
      </w:r>
      <w:r>
        <w:rPr>
          <w:w w:val="120"/>
        </w:rPr>
        <w:t>a</w:t>
      </w:r>
    </w:p>
    <w:p>
      <w:pPr>
        <w:pStyle w:val="BodyText"/>
        <w:spacing w:line="235" w:lineRule="auto"/>
        <w:ind w:left="547" w:right="2013"/>
        <w:jc w:val="both"/>
      </w:pPr>
      <w:r>
        <w:rPr>
          <w:w w:val="120"/>
        </w:rPr>
        <w:t>helpful place to start our thinking, the task group soon recognised that the ideals which we aspire to in our councils should not facilitate the influence of self-interest or majority rule in any respect, so perhaps we merely need to remind ourselves of this more often!</w:t>
      </w:r>
    </w:p>
    <w:p>
      <w:pPr>
        <w:pStyle w:val="BodyText"/>
        <w:spacing w:before="8"/>
        <w:rPr>
          <w:sz w:val="19"/>
        </w:rPr>
      </w:pPr>
    </w:p>
    <w:p>
      <w:pPr>
        <w:pStyle w:val="BodyText"/>
        <w:spacing w:line="235" w:lineRule="auto"/>
        <w:ind w:left="547" w:right="2269"/>
      </w:pPr>
      <w:r>
        <w:rPr>
          <w:w w:val="120"/>
        </w:rPr>
        <w:t>The issue of the quality of our decision making, with regard to ‘the missing generations’, is not only that this age range are often absent from any discussion and decision, but that they are often also absent from setting the agenda of what is to</w:t>
      </w:r>
    </w:p>
    <w:p>
      <w:pPr>
        <w:pStyle w:val="BodyText"/>
        <w:spacing w:line="235" w:lineRule="auto" w:before="2"/>
        <w:ind w:left="547" w:right="2348"/>
        <w:jc w:val="both"/>
      </w:pPr>
      <w:r>
        <w:rPr>
          <w:w w:val="120"/>
        </w:rPr>
        <w:t>be discussed and decided. Younger adults, who are students and parents, managers and problem solvers, creative thinkers and inspiring leaders in the world outside the Church, are all too often dismissed as the amusing or annoying oddity within it.</w:t>
      </w:r>
    </w:p>
    <w:p>
      <w:pPr>
        <w:pStyle w:val="BodyText"/>
        <w:spacing w:before="10"/>
        <w:rPr>
          <w:sz w:val="19"/>
        </w:rPr>
      </w:pPr>
    </w:p>
    <w:p>
      <w:pPr>
        <w:pStyle w:val="BodyText"/>
        <w:spacing w:line="235" w:lineRule="auto" w:before="1"/>
        <w:ind w:left="547" w:right="2479"/>
      </w:pPr>
      <w:r>
        <w:rPr>
          <w:w w:val="120"/>
        </w:rPr>
        <w:t>We note that tradition has it that Jesus’ entire ministry was conducted between the ages of 30 and 33, and presumably many of the disciples were of similar age!</w:t>
      </w:r>
    </w:p>
    <w:p>
      <w:pPr>
        <w:pStyle w:val="BodyText"/>
        <w:spacing w:before="9"/>
        <w:rPr>
          <w:sz w:val="19"/>
        </w:rPr>
      </w:pPr>
    </w:p>
    <w:p>
      <w:pPr>
        <w:pStyle w:val="BodyText"/>
        <w:spacing w:line="235" w:lineRule="auto"/>
        <w:ind w:left="547" w:right="2069"/>
      </w:pPr>
      <w:r>
        <w:rPr>
          <w:w w:val="120"/>
        </w:rPr>
        <w:t>Under 40s can bring to Church life an attitude of ‘This is where we want to be, how do we get there?’ in contrast to church agendas which, however forward looking their aim, are often in tone: ‘This is broken, how do we fix it?’ or ‘This is what </w:t>
      </w:r>
      <w:r>
        <w:rPr>
          <w:spacing w:val="-3"/>
          <w:w w:val="120"/>
        </w:rPr>
        <w:t>we’ve </w:t>
      </w:r>
      <w:r>
        <w:rPr>
          <w:w w:val="120"/>
        </w:rPr>
        <w:t>got, what’s  the best we can do with</w:t>
      </w:r>
      <w:r>
        <w:rPr>
          <w:spacing w:val="12"/>
          <w:w w:val="120"/>
        </w:rPr>
        <w:t> </w:t>
      </w:r>
      <w:r>
        <w:rPr>
          <w:w w:val="120"/>
        </w:rPr>
        <w:t>it?’</w:t>
      </w:r>
    </w:p>
    <w:p>
      <w:pPr>
        <w:pStyle w:val="BodyText"/>
        <w:spacing w:before="4"/>
        <w:rPr>
          <w:sz w:val="22"/>
        </w:rPr>
      </w:pPr>
    </w:p>
    <w:p>
      <w:pPr>
        <w:pStyle w:val="Heading4"/>
        <w:numPr>
          <w:ilvl w:val="0"/>
          <w:numId w:val="20"/>
        </w:numPr>
        <w:tabs>
          <w:tab w:pos="1227" w:val="left" w:leader="none"/>
          <w:tab w:pos="1228" w:val="left" w:leader="none"/>
        </w:tabs>
        <w:spacing w:line="240" w:lineRule="auto" w:before="0" w:after="0"/>
        <w:ind w:left="1227" w:right="0" w:hanging="681"/>
        <w:jc w:val="left"/>
      </w:pPr>
      <w:r>
        <w:rPr>
          <w:spacing w:val="4"/>
          <w:w w:val="110"/>
        </w:rPr>
        <w:t>Reflections </w:t>
      </w:r>
      <w:r>
        <w:rPr>
          <w:spacing w:val="2"/>
          <w:w w:val="110"/>
        </w:rPr>
        <w:t>on </w:t>
      </w:r>
      <w:r>
        <w:rPr>
          <w:spacing w:val="3"/>
          <w:w w:val="110"/>
        </w:rPr>
        <w:t>moving</w:t>
      </w:r>
      <w:r>
        <w:rPr>
          <w:spacing w:val="32"/>
          <w:w w:val="110"/>
        </w:rPr>
        <w:t> </w:t>
      </w:r>
      <w:r>
        <w:rPr>
          <w:spacing w:val="5"/>
          <w:w w:val="110"/>
        </w:rPr>
        <w:t>forward</w:t>
      </w:r>
    </w:p>
    <w:p>
      <w:pPr>
        <w:pStyle w:val="ListParagraph"/>
        <w:numPr>
          <w:ilvl w:val="1"/>
          <w:numId w:val="20"/>
        </w:numPr>
        <w:tabs>
          <w:tab w:pos="1228" w:val="left" w:leader="none"/>
        </w:tabs>
        <w:spacing w:line="240" w:lineRule="auto" w:before="98" w:after="0"/>
        <w:ind w:left="1227" w:right="0" w:hanging="681"/>
        <w:jc w:val="left"/>
        <w:rPr>
          <w:rFonts w:ascii="Stone Sans II ITC Std Bk"/>
          <w:b/>
          <w:sz w:val="29"/>
        </w:rPr>
      </w:pPr>
      <w:r>
        <w:rPr>
          <w:rFonts w:ascii="Stone Sans II ITC Std Bk"/>
          <w:b/>
          <w:spacing w:val="3"/>
          <w:w w:val="110"/>
          <w:sz w:val="29"/>
        </w:rPr>
        <w:t>Something </w:t>
      </w:r>
      <w:r>
        <w:rPr>
          <w:rFonts w:ascii="Stone Sans II ITC Std Bk"/>
          <w:b/>
          <w:w w:val="110"/>
          <w:sz w:val="29"/>
        </w:rPr>
        <w:t>to </w:t>
      </w:r>
      <w:r>
        <w:rPr>
          <w:rFonts w:ascii="Stone Sans II ITC Std Bk"/>
          <w:b/>
          <w:spacing w:val="3"/>
          <w:w w:val="110"/>
          <w:sz w:val="29"/>
        </w:rPr>
        <w:t>build</w:t>
      </w:r>
      <w:r>
        <w:rPr>
          <w:rFonts w:ascii="Stone Sans II ITC Std Bk"/>
          <w:b/>
          <w:spacing w:val="34"/>
          <w:w w:val="110"/>
          <w:sz w:val="29"/>
        </w:rPr>
        <w:t> </w:t>
      </w:r>
      <w:r>
        <w:rPr>
          <w:rFonts w:ascii="Stone Sans II ITC Std Bk"/>
          <w:b/>
          <w:spacing w:val="-3"/>
          <w:w w:val="110"/>
          <w:sz w:val="29"/>
        </w:rPr>
        <w:t>on?</w:t>
      </w:r>
    </w:p>
    <w:p>
      <w:pPr>
        <w:pStyle w:val="BodyText"/>
        <w:spacing w:line="235" w:lineRule="auto" w:before="69"/>
        <w:ind w:left="547" w:right="2200"/>
      </w:pPr>
      <w:r>
        <w:rPr>
          <w:w w:val="120"/>
        </w:rPr>
        <w:t>The United Reformed Church has been greatly blessed by FURY and URC Youth (including all types of work from Pilots to youth groups). The work, the programmes and the way faith has been explored and shared by children and young people has been a strong part of our denomination’s life. Many people, including those who now are not church goers, have a faith connection because of what they experienced as a child or a young person whilst connected, in some way, to a United Reformed Church. This is something for the denomination to celebrate.</w:t>
      </w:r>
    </w:p>
    <w:p>
      <w:pPr>
        <w:pStyle w:val="BodyText"/>
        <w:spacing w:before="6"/>
        <w:rPr>
          <w:sz w:val="22"/>
        </w:rPr>
      </w:pPr>
    </w:p>
    <w:p>
      <w:pPr>
        <w:pStyle w:val="Heading4"/>
        <w:numPr>
          <w:ilvl w:val="1"/>
          <w:numId w:val="20"/>
        </w:numPr>
        <w:tabs>
          <w:tab w:pos="1228" w:val="left" w:leader="none"/>
        </w:tabs>
        <w:spacing w:line="240" w:lineRule="auto" w:before="0" w:after="0"/>
        <w:ind w:left="1227" w:right="0" w:hanging="681"/>
        <w:jc w:val="left"/>
      </w:pPr>
      <w:r>
        <w:rPr>
          <w:spacing w:val="3"/>
          <w:w w:val="110"/>
        </w:rPr>
        <w:t>Points </w:t>
      </w:r>
      <w:r>
        <w:rPr>
          <w:w w:val="110"/>
        </w:rPr>
        <w:t>of</w:t>
      </w:r>
      <w:r>
        <w:rPr>
          <w:spacing w:val="22"/>
          <w:w w:val="110"/>
        </w:rPr>
        <w:t> </w:t>
      </w:r>
      <w:r>
        <w:rPr>
          <w:spacing w:val="4"/>
          <w:w w:val="110"/>
        </w:rPr>
        <w:t>contact</w:t>
      </w:r>
    </w:p>
    <w:p>
      <w:pPr>
        <w:pStyle w:val="ListParagraph"/>
        <w:numPr>
          <w:ilvl w:val="2"/>
          <w:numId w:val="20"/>
        </w:numPr>
        <w:tabs>
          <w:tab w:pos="1228" w:val="left" w:leader="none"/>
        </w:tabs>
        <w:spacing w:line="235" w:lineRule="auto" w:before="69" w:after="0"/>
        <w:ind w:left="547" w:right="2561" w:firstLine="0"/>
        <w:jc w:val="left"/>
        <w:rPr>
          <w:sz w:val="20"/>
        </w:rPr>
      </w:pPr>
      <w:r>
        <w:rPr>
          <w:spacing w:val="3"/>
          <w:w w:val="120"/>
          <w:sz w:val="20"/>
        </w:rPr>
        <w:t>As </w:t>
      </w:r>
      <w:r>
        <w:rPr>
          <w:w w:val="120"/>
          <w:sz w:val="20"/>
        </w:rPr>
        <w:t>mentioned several times already, the varied life circumstances of people in</w:t>
      </w:r>
      <w:r>
        <w:rPr>
          <w:spacing w:val="5"/>
          <w:w w:val="120"/>
          <w:sz w:val="20"/>
        </w:rPr>
        <w:t> </w:t>
      </w:r>
      <w:r>
        <w:rPr>
          <w:w w:val="120"/>
          <w:sz w:val="20"/>
        </w:rPr>
        <w:t>the</w:t>
      </w:r>
      <w:r>
        <w:rPr>
          <w:spacing w:val="6"/>
          <w:w w:val="120"/>
          <w:sz w:val="20"/>
        </w:rPr>
        <w:t> </w:t>
      </w:r>
      <w:r>
        <w:rPr>
          <w:spacing w:val="3"/>
          <w:w w:val="120"/>
          <w:sz w:val="20"/>
        </w:rPr>
        <w:t>20-40s</w:t>
      </w:r>
      <w:r>
        <w:rPr>
          <w:spacing w:val="6"/>
          <w:w w:val="120"/>
          <w:sz w:val="20"/>
        </w:rPr>
        <w:t> </w:t>
      </w:r>
      <w:r>
        <w:rPr>
          <w:w w:val="120"/>
          <w:sz w:val="20"/>
        </w:rPr>
        <w:t>age</w:t>
      </w:r>
      <w:r>
        <w:rPr>
          <w:spacing w:val="5"/>
          <w:w w:val="120"/>
          <w:sz w:val="20"/>
        </w:rPr>
        <w:t> </w:t>
      </w:r>
      <w:r>
        <w:rPr>
          <w:w w:val="120"/>
          <w:sz w:val="20"/>
        </w:rPr>
        <w:t>bracket</w:t>
      </w:r>
      <w:r>
        <w:rPr>
          <w:spacing w:val="6"/>
          <w:w w:val="120"/>
          <w:sz w:val="20"/>
        </w:rPr>
        <w:t> </w:t>
      </w:r>
      <w:r>
        <w:rPr>
          <w:w w:val="120"/>
          <w:sz w:val="20"/>
        </w:rPr>
        <w:t>can</w:t>
      </w:r>
      <w:r>
        <w:rPr>
          <w:spacing w:val="6"/>
          <w:w w:val="120"/>
          <w:sz w:val="20"/>
        </w:rPr>
        <w:t> </w:t>
      </w:r>
      <w:r>
        <w:rPr>
          <w:w w:val="120"/>
          <w:sz w:val="20"/>
        </w:rPr>
        <w:t>all</w:t>
      </w:r>
      <w:r>
        <w:rPr>
          <w:spacing w:val="6"/>
          <w:w w:val="120"/>
          <w:sz w:val="20"/>
        </w:rPr>
        <w:t> </w:t>
      </w:r>
      <w:r>
        <w:rPr>
          <w:w w:val="120"/>
          <w:sz w:val="20"/>
        </w:rPr>
        <w:t>to</w:t>
      </w:r>
      <w:r>
        <w:rPr>
          <w:spacing w:val="5"/>
          <w:w w:val="120"/>
          <w:sz w:val="20"/>
        </w:rPr>
        <w:t> </w:t>
      </w:r>
      <w:r>
        <w:rPr>
          <w:w w:val="120"/>
          <w:sz w:val="20"/>
        </w:rPr>
        <w:t>easily</w:t>
      </w:r>
      <w:r>
        <w:rPr>
          <w:spacing w:val="6"/>
          <w:w w:val="120"/>
          <w:sz w:val="20"/>
        </w:rPr>
        <w:t> </w:t>
      </w:r>
      <w:r>
        <w:rPr>
          <w:w w:val="120"/>
          <w:sz w:val="20"/>
        </w:rPr>
        <w:t>lead</w:t>
      </w:r>
      <w:r>
        <w:rPr>
          <w:spacing w:val="6"/>
          <w:w w:val="120"/>
          <w:sz w:val="20"/>
        </w:rPr>
        <w:t> </w:t>
      </w:r>
      <w:r>
        <w:rPr>
          <w:w w:val="120"/>
          <w:sz w:val="20"/>
        </w:rPr>
        <w:t>people,</w:t>
      </w:r>
      <w:r>
        <w:rPr>
          <w:spacing w:val="5"/>
          <w:w w:val="120"/>
          <w:sz w:val="20"/>
        </w:rPr>
        <w:t> </w:t>
      </w:r>
      <w:r>
        <w:rPr>
          <w:w w:val="120"/>
          <w:sz w:val="20"/>
        </w:rPr>
        <w:t>seemingly,</w:t>
      </w:r>
      <w:r>
        <w:rPr>
          <w:spacing w:val="6"/>
          <w:w w:val="120"/>
          <w:sz w:val="20"/>
        </w:rPr>
        <w:t> </w:t>
      </w:r>
      <w:r>
        <w:rPr>
          <w:w w:val="120"/>
          <w:sz w:val="20"/>
        </w:rPr>
        <w:t>away</w:t>
      </w:r>
      <w:r>
        <w:rPr>
          <w:spacing w:val="6"/>
          <w:w w:val="120"/>
          <w:sz w:val="20"/>
        </w:rPr>
        <w:t> </w:t>
      </w:r>
      <w:r>
        <w:rPr>
          <w:w w:val="120"/>
          <w:sz w:val="20"/>
        </w:rPr>
        <w:t>from</w:t>
      </w:r>
      <w:r>
        <w:rPr>
          <w:spacing w:val="6"/>
          <w:w w:val="120"/>
          <w:sz w:val="20"/>
        </w:rPr>
        <w:t> </w:t>
      </w:r>
      <w:r>
        <w:rPr>
          <w:w w:val="120"/>
          <w:sz w:val="20"/>
        </w:rPr>
        <w:t>God.</w:t>
      </w:r>
    </w:p>
    <w:p>
      <w:pPr>
        <w:pStyle w:val="BodyText"/>
        <w:spacing w:line="235" w:lineRule="auto" w:before="1"/>
        <w:ind w:left="547" w:right="2112"/>
      </w:pPr>
      <w:r>
        <w:rPr>
          <w:w w:val="120"/>
        </w:rPr>
        <w:t>However, as a church we know that many life events can draw people back into church life – if only for weddings, funerals and baptisms. Rites of passage and life events are clear ways of being able to engage with every generation. There are many examples of how various cultures and traditions can do this. Some may be dependent on cultural background,</w:t>
      </w:r>
      <w:r>
        <w:rPr>
          <w:spacing w:val="5"/>
          <w:w w:val="120"/>
        </w:rPr>
        <w:t> </w:t>
      </w:r>
      <w:r>
        <w:rPr>
          <w:w w:val="120"/>
        </w:rPr>
        <w:t>others</w:t>
      </w:r>
      <w:r>
        <w:rPr>
          <w:spacing w:val="6"/>
          <w:w w:val="120"/>
        </w:rPr>
        <w:t> </w:t>
      </w:r>
      <w:r>
        <w:rPr>
          <w:w w:val="120"/>
        </w:rPr>
        <w:t>may</w:t>
      </w:r>
      <w:r>
        <w:rPr>
          <w:spacing w:val="5"/>
          <w:w w:val="120"/>
        </w:rPr>
        <w:t> </w:t>
      </w:r>
      <w:r>
        <w:rPr>
          <w:w w:val="120"/>
        </w:rPr>
        <w:t>be</w:t>
      </w:r>
      <w:r>
        <w:rPr>
          <w:spacing w:val="6"/>
          <w:w w:val="120"/>
        </w:rPr>
        <w:t> </w:t>
      </w:r>
      <w:r>
        <w:rPr>
          <w:w w:val="120"/>
        </w:rPr>
        <w:t>dependent</w:t>
      </w:r>
      <w:r>
        <w:rPr>
          <w:spacing w:val="5"/>
          <w:w w:val="120"/>
        </w:rPr>
        <w:t> </w:t>
      </w:r>
      <w:r>
        <w:rPr>
          <w:w w:val="120"/>
        </w:rPr>
        <w:t>on</w:t>
      </w:r>
      <w:r>
        <w:rPr>
          <w:spacing w:val="6"/>
          <w:w w:val="120"/>
        </w:rPr>
        <w:t> </w:t>
      </w:r>
      <w:r>
        <w:rPr>
          <w:w w:val="120"/>
        </w:rPr>
        <w:t>family</w:t>
      </w:r>
      <w:r>
        <w:rPr>
          <w:spacing w:val="5"/>
          <w:w w:val="120"/>
        </w:rPr>
        <w:t> </w:t>
      </w:r>
      <w:r>
        <w:rPr>
          <w:w w:val="120"/>
        </w:rPr>
        <w:t>faith</w:t>
      </w:r>
      <w:r>
        <w:rPr>
          <w:spacing w:val="6"/>
          <w:w w:val="120"/>
        </w:rPr>
        <w:t> </w:t>
      </w:r>
      <w:r>
        <w:rPr>
          <w:w w:val="120"/>
        </w:rPr>
        <w:t>experience</w:t>
      </w:r>
      <w:r>
        <w:rPr>
          <w:spacing w:val="5"/>
          <w:w w:val="120"/>
        </w:rPr>
        <w:t> </w:t>
      </w:r>
      <w:r>
        <w:rPr>
          <w:w w:val="120"/>
        </w:rPr>
        <w:t>–</w:t>
      </w:r>
      <w:r>
        <w:rPr>
          <w:spacing w:val="6"/>
          <w:w w:val="120"/>
        </w:rPr>
        <w:t> </w:t>
      </w:r>
      <w:r>
        <w:rPr>
          <w:w w:val="120"/>
        </w:rPr>
        <w:t>but</w:t>
      </w:r>
      <w:r>
        <w:rPr>
          <w:spacing w:val="5"/>
          <w:w w:val="120"/>
        </w:rPr>
        <w:t> </w:t>
      </w:r>
      <w:r>
        <w:rPr>
          <w:w w:val="120"/>
        </w:rPr>
        <w:t>all</w:t>
      </w:r>
      <w:r>
        <w:rPr>
          <w:spacing w:val="6"/>
          <w:w w:val="120"/>
        </w:rPr>
        <w:t> </w:t>
      </w:r>
      <w:r>
        <w:rPr>
          <w:w w:val="120"/>
        </w:rPr>
        <w:t>can</w:t>
      </w:r>
      <w:r>
        <w:rPr>
          <w:spacing w:val="5"/>
          <w:w w:val="120"/>
        </w:rPr>
        <w:t> </w:t>
      </w:r>
      <w:r>
        <w:rPr>
          <w:w w:val="120"/>
        </w:rPr>
        <w:t>be</w:t>
      </w:r>
    </w:p>
    <w:p>
      <w:pPr>
        <w:pStyle w:val="BodyText"/>
        <w:ind w:left="547"/>
      </w:pPr>
      <w:r>
        <w:rPr>
          <w:w w:val="120"/>
        </w:rPr>
        <w:t>God-given opportunities to explore faith with people.</w:t>
      </w:r>
    </w:p>
    <w:p>
      <w:pPr>
        <w:pStyle w:val="BodyText"/>
        <w:spacing w:before="8"/>
        <w:rPr>
          <w:sz w:val="19"/>
        </w:rPr>
      </w:pPr>
    </w:p>
    <w:p>
      <w:pPr>
        <w:pStyle w:val="ListParagraph"/>
        <w:numPr>
          <w:ilvl w:val="2"/>
          <w:numId w:val="20"/>
        </w:numPr>
        <w:tabs>
          <w:tab w:pos="1228" w:val="left" w:leader="none"/>
        </w:tabs>
        <w:spacing w:line="235" w:lineRule="auto" w:before="0" w:after="0"/>
        <w:ind w:left="547" w:right="2049" w:firstLine="0"/>
        <w:jc w:val="both"/>
        <w:rPr>
          <w:sz w:val="20"/>
        </w:rPr>
      </w:pPr>
      <w:r>
        <w:rPr>
          <w:w w:val="120"/>
          <w:sz w:val="20"/>
        </w:rPr>
        <w:t>When encountering people who have had a positive Church background, this is   a good opportunity to reconnect. But, fewer and fewer of the </w:t>
      </w:r>
      <w:r>
        <w:rPr>
          <w:spacing w:val="3"/>
          <w:w w:val="120"/>
          <w:sz w:val="20"/>
        </w:rPr>
        <w:t>20-40s </w:t>
      </w:r>
      <w:r>
        <w:rPr>
          <w:w w:val="120"/>
          <w:sz w:val="20"/>
        </w:rPr>
        <w:t>generation have ever</w:t>
      </w:r>
      <w:r>
        <w:rPr>
          <w:spacing w:val="5"/>
          <w:w w:val="120"/>
          <w:sz w:val="20"/>
        </w:rPr>
        <w:t> </w:t>
      </w:r>
      <w:r>
        <w:rPr>
          <w:w w:val="120"/>
          <w:sz w:val="20"/>
        </w:rPr>
        <w:t>had</w:t>
      </w:r>
      <w:r>
        <w:rPr>
          <w:spacing w:val="4"/>
          <w:w w:val="120"/>
          <w:sz w:val="20"/>
        </w:rPr>
        <w:t> </w:t>
      </w:r>
      <w:r>
        <w:rPr>
          <w:w w:val="120"/>
          <w:sz w:val="20"/>
        </w:rPr>
        <w:t>a</w:t>
      </w:r>
      <w:r>
        <w:rPr>
          <w:spacing w:val="5"/>
          <w:w w:val="120"/>
          <w:sz w:val="20"/>
        </w:rPr>
        <w:t> </w:t>
      </w:r>
      <w:r>
        <w:rPr>
          <w:w w:val="120"/>
          <w:sz w:val="20"/>
        </w:rPr>
        <w:t>connection</w:t>
      </w:r>
      <w:r>
        <w:rPr>
          <w:spacing w:val="5"/>
          <w:w w:val="120"/>
          <w:sz w:val="20"/>
        </w:rPr>
        <w:t> </w:t>
      </w:r>
      <w:r>
        <w:rPr>
          <w:w w:val="120"/>
          <w:sz w:val="20"/>
        </w:rPr>
        <w:t>with</w:t>
      </w:r>
      <w:r>
        <w:rPr>
          <w:spacing w:val="5"/>
          <w:w w:val="120"/>
          <w:sz w:val="20"/>
        </w:rPr>
        <w:t> </w:t>
      </w:r>
      <w:r>
        <w:rPr>
          <w:w w:val="120"/>
          <w:sz w:val="20"/>
        </w:rPr>
        <w:t>a</w:t>
      </w:r>
      <w:r>
        <w:rPr>
          <w:spacing w:val="5"/>
          <w:w w:val="120"/>
          <w:sz w:val="20"/>
        </w:rPr>
        <w:t> </w:t>
      </w:r>
      <w:r>
        <w:rPr>
          <w:w w:val="120"/>
          <w:sz w:val="20"/>
        </w:rPr>
        <w:t>church.</w:t>
      </w:r>
      <w:r>
        <w:rPr>
          <w:spacing w:val="5"/>
          <w:w w:val="120"/>
          <w:sz w:val="20"/>
        </w:rPr>
        <w:t> </w:t>
      </w:r>
      <w:r>
        <w:rPr>
          <w:w w:val="120"/>
          <w:sz w:val="20"/>
        </w:rPr>
        <w:t>Their</w:t>
      </w:r>
      <w:r>
        <w:rPr>
          <w:spacing w:val="5"/>
          <w:w w:val="120"/>
          <w:sz w:val="20"/>
        </w:rPr>
        <w:t> </w:t>
      </w:r>
      <w:r>
        <w:rPr>
          <w:w w:val="120"/>
          <w:sz w:val="20"/>
        </w:rPr>
        <w:t>first</w:t>
      </w:r>
      <w:r>
        <w:rPr>
          <w:spacing w:val="5"/>
          <w:w w:val="120"/>
          <w:sz w:val="20"/>
        </w:rPr>
        <w:t> </w:t>
      </w:r>
      <w:r>
        <w:rPr>
          <w:w w:val="120"/>
          <w:sz w:val="20"/>
        </w:rPr>
        <w:t>encounter</w:t>
      </w:r>
      <w:r>
        <w:rPr>
          <w:spacing w:val="5"/>
          <w:w w:val="120"/>
          <w:sz w:val="20"/>
        </w:rPr>
        <w:t> </w:t>
      </w:r>
      <w:r>
        <w:rPr>
          <w:w w:val="120"/>
          <w:sz w:val="20"/>
        </w:rPr>
        <w:t>with</w:t>
      </w:r>
      <w:r>
        <w:rPr>
          <w:spacing w:val="5"/>
          <w:w w:val="120"/>
          <w:sz w:val="20"/>
        </w:rPr>
        <w:t> </w:t>
      </w:r>
      <w:r>
        <w:rPr>
          <w:w w:val="120"/>
          <w:sz w:val="20"/>
        </w:rPr>
        <w:t>the</w:t>
      </w:r>
      <w:r>
        <w:rPr>
          <w:spacing w:val="5"/>
          <w:w w:val="120"/>
          <w:sz w:val="20"/>
        </w:rPr>
        <w:t> </w:t>
      </w:r>
      <w:r>
        <w:rPr>
          <w:w w:val="120"/>
          <w:sz w:val="20"/>
        </w:rPr>
        <w:t>Church</w:t>
      </w:r>
      <w:r>
        <w:rPr>
          <w:spacing w:val="5"/>
          <w:w w:val="120"/>
          <w:sz w:val="20"/>
        </w:rPr>
        <w:t> </w:t>
      </w:r>
      <w:r>
        <w:rPr>
          <w:w w:val="120"/>
          <w:sz w:val="20"/>
        </w:rPr>
        <w:t>may</w:t>
      </w:r>
      <w:r>
        <w:rPr>
          <w:spacing w:val="5"/>
          <w:w w:val="120"/>
          <w:sz w:val="20"/>
        </w:rPr>
        <w:t> </w:t>
      </w:r>
      <w:r>
        <w:rPr>
          <w:w w:val="120"/>
          <w:sz w:val="20"/>
        </w:rPr>
        <w:t>well</w:t>
      </w:r>
      <w:r>
        <w:rPr>
          <w:spacing w:val="5"/>
          <w:w w:val="120"/>
          <w:sz w:val="20"/>
        </w:rPr>
        <w:t> </w:t>
      </w:r>
      <w:r>
        <w:rPr>
          <w:w w:val="120"/>
          <w:sz w:val="20"/>
        </w:rPr>
        <w:t>be</w:t>
      </w:r>
    </w:p>
    <w:p>
      <w:pPr>
        <w:spacing w:after="0" w:line="235" w:lineRule="auto"/>
        <w:jc w:val="both"/>
        <w:rPr>
          <w:sz w:val="20"/>
        </w:rPr>
        <w:sectPr>
          <w:headerReference w:type="even" r:id="rId113"/>
          <w:pgSz w:w="11910" w:h="16840"/>
          <w:pgMar w:header="0" w:footer="647" w:top="0" w:bottom="840" w:left="700" w:right="0"/>
        </w:sectPr>
      </w:pPr>
    </w:p>
    <w:p>
      <w:pPr>
        <w:pStyle w:val="BodyText"/>
      </w:pPr>
      <w:r>
        <w:rPr/>
        <w:drawing>
          <wp:anchor distT="0" distB="0" distL="0" distR="0" allowOverlap="1" layoutInCell="1" locked="0" behindDoc="0" simplePos="0" relativeHeight="251746304">
            <wp:simplePos x="0" y="0"/>
            <wp:positionH relativeFrom="page">
              <wp:posOffset>6974928</wp:posOffset>
            </wp:positionH>
            <wp:positionV relativeFrom="page">
              <wp:posOffset>0</wp:posOffset>
            </wp:positionV>
            <wp:extent cx="585076" cy="10692003"/>
            <wp:effectExtent l="0" t="0" r="0" b="0"/>
            <wp:wrapNone/>
            <wp:docPr id="53" name="image50.png"/>
            <wp:cNvGraphicFramePr>
              <a:graphicFrameLocks noChangeAspect="1"/>
            </wp:cNvGraphicFramePr>
            <a:graphic>
              <a:graphicData uri="http://schemas.openxmlformats.org/drawingml/2006/picture">
                <pic:pic>
                  <pic:nvPicPr>
                    <pic:cNvPr id="5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38.85pt;mso-position-horizontal-relative:page;mso-position-vertical-relative:paragraph;z-index:251747328"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r>
        <w:rPr>
          <w:color w:val="7EAABF"/>
          <w:w w:val="120"/>
        </w:rPr>
        <w:t>Mission Council</w:t>
      </w:r>
    </w:p>
    <w:p>
      <w:pPr>
        <w:pStyle w:val="BodyText"/>
        <w:spacing w:line="235" w:lineRule="auto" w:before="222"/>
        <w:ind w:left="1284" w:right="1367"/>
      </w:pPr>
      <w:r>
        <w:rPr>
          <w:w w:val="120"/>
        </w:rPr>
        <w:t>their first time of connection with any faith community. All of the task group’s research and conversations have highlighted the need for this (re-)connection to be authentic and welcoming: to show that being a part of a faith community is relevant and a good thing. However busy peoples lives may be, the task group believes people aged 20-40 will respond to church life which is purposeful and truly values them. A busy life is not the same as ‘life in all its fullness’!</w:t>
      </w:r>
    </w:p>
    <w:p>
      <w:pPr>
        <w:pStyle w:val="BodyText"/>
      </w:pPr>
    </w:p>
    <w:p>
      <w:pPr>
        <w:pStyle w:val="ListParagraph"/>
        <w:numPr>
          <w:ilvl w:val="2"/>
          <w:numId w:val="20"/>
        </w:numPr>
        <w:tabs>
          <w:tab w:pos="1965" w:val="left" w:leader="none"/>
        </w:tabs>
        <w:spacing w:line="235" w:lineRule="auto" w:before="0" w:after="0"/>
        <w:ind w:left="1284" w:right="1286" w:firstLine="0"/>
        <w:jc w:val="left"/>
        <w:rPr>
          <w:sz w:val="20"/>
        </w:rPr>
      </w:pPr>
      <w:r>
        <w:rPr>
          <w:w w:val="120"/>
          <w:sz w:val="20"/>
        </w:rPr>
        <w:t>Frustratingly, the question that comes next for many in our churches is: </w:t>
      </w:r>
      <w:r>
        <w:rPr>
          <w:spacing w:val="-3"/>
          <w:w w:val="120"/>
          <w:sz w:val="20"/>
        </w:rPr>
        <w:t>‘even </w:t>
      </w:r>
      <w:r>
        <w:rPr>
          <w:w w:val="120"/>
          <w:sz w:val="20"/>
        </w:rPr>
        <w:t>when we engage successfully with this generation we never see them “in church!” When are they going to sit in the pews on a Sunday morning?’ Arguably, more than any other generation, this question may be irrelevant. If we are truly looking to be inclusive in our church life, it will mean reshaping already existing church life to include a wider variety and understanding of </w:t>
      </w:r>
      <w:r>
        <w:rPr>
          <w:spacing w:val="-3"/>
          <w:w w:val="120"/>
          <w:sz w:val="20"/>
        </w:rPr>
        <w:t>‘church’ </w:t>
      </w:r>
      <w:r>
        <w:rPr>
          <w:w w:val="120"/>
          <w:sz w:val="20"/>
        </w:rPr>
        <w:t>and not the reshaping new members to fit into  our existing church life? It is perhaps the </w:t>
      </w:r>
      <w:r>
        <w:rPr>
          <w:spacing w:val="-3"/>
          <w:w w:val="120"/>
          <w:sz w:val="20"/>
        </w:rPr>
        <w:t>Church’s ‘chicken </w:t>
      </w:r>
      <w:r>
        <w:rPr>
          <w:w w:val="120"/>
          <w:sz w:val="20"/>
        </w:rPr>
        <w:t>or the egg’ question; Which comes first, ‘believing’ or ‘belonging’? The Church has an image of requiring certain belief and behaviour before someone is allowed to belong. This is certainly a common perception of those in the </w:t>
      </w:r>
      <w:r>
        <w:rPr>
          <w:spacing w:val="3"/>
          <w:w w:val="120"/>
          <w:sz w:val="20"/>
        </w:rPr>
        <w:t>20-40s </w:t>
      </w:r>
      <w:r>
        <w:rPr>
          <w:w w:val="120"/>
          <w:sz w:val="20"/>
        </w:rPr>
        <w:t>bracket. Church is a place for people who believe certain things about God and live in a certain </w:t>
      </w:r>
      <w:r>
        <w:rPr>
          <w:spacing w:val="-4"/>
          <w:w w:val="120"/>
          <w:sz w:val="20"/>
        </w:rPr>
        <w:t>way, </w:t>
      </w:r>
      <w:r>
        <w:rPr>
          <w:w w:val="120"/>
          <w:sz w:val="20"/>
        </w:rPr>
        <w:t>so why would those who do not  share those beliefs or lifestyle even consider</w:t>
      </w:r>
      <w:r>
        <w:rPr>
          <w:spacing w:val="10"/>
          <w:w w:val="120"/>
          <w:sz w:val="20"/>
        </w:rPr>
        <w:t> </w:t>
      </w:r>
      <w:r>
        <w:rPr>
          <w:w w:val="120"/>
          <w:sz w:val="20"/>
        </w:rPr>
        <w:t>attending?</w:t>
      </w:r>
    </w:p>
    <w:p>
      <w:pPr>
        <w:pStyle w:val="BodyText"/>
        <w:spacing w:before="9"/>
        <w:rPr>
          <w:sz w:val="22"/>
        </w:rPr>
      </w:pPr>
    </w:p>
    <w:p>
      <w:pPr>
        <w:pStyle w:val="Heading4"/>
        <w:numPr>
          <w:ilvl w:val="1"/>
          <w:numId w:val="20"/>
        </w:numPr>
        <w:tabs>
          <w:tab w:pos="1965" w:val="left" w:leader="none"/>
        </w:tabs>
        <w:spacing w:line="240" w:lineRule="auto" w:before="0" w:after="0"/>
        <w:ind w:left="1964" w:right="0" w:hanging="681"/>
        <w:jc w:val="left"/>
      </w:pPr>
      <w:r>
        <w:rPr>
          <w:spacing w:val="3"/>
          <w:w w:val="110"/>
        </w:rPr>
        <w:t>Organic</w:t>
      </w:r>
      <w:r>
        <w:rPr>
          <w:spacing w:val="12"/>
          <w:w w:val="110"/>
        </w:rPr>
        <w:t> </w:t>
      </w:r>
      <w:r>
        <w:rPr>
          <w:spacing w:val="3"/>
          <w:w w:val="110"/>
        </w:rPr>
        <w:t>discipleship</w:t>
      </w:r>
    </w:p>
    <w:p>
      <w:pPr>
        <w:pStyle w:val="ListParagraph"/>
        <w:numPr>
          <w:ilvl w:val="2"/>
          <w:numId w:val="20"/>
        </w:numPr>
        <w:tabs>
          <w:tab w:pos="1964" w:val="left" w:leader="none"/>
          <w:tab w:pos="1965" w:val="left" w:leader="none"/>
        </w:tabs>
        <w:spacing w:line="235" w:lineRule="auto" w:before="69" w:after="0"/>
        <w:ind w:left="1284" w:right="1337" w:firstLine="0"/>
        <w:jc w:val="left"/>
        <w:rPr>
          <w:sz w:val="20"/>
        </w:rPr>
      </w:pPr>
      <w:r>
        <w:rPr>
          <w:w w:val="120"/>
          <w:sz w:val="20"/>
        </w:rPr>
        <w:t>Maybe due to life changes, maybe due to world events, maybe due to a whole host of things, there is an attraction amongst younger adults to what discipleship can be. Not so much a taught way of being, but a shared journey of exploring. There are obvious links here to what ‘Walking the Way: Living the life of Jesus today’ may hope to be and</w:t>
      </w:r>
      <w:r>
        <w:rPr>
          <w:spacing w:val="4"/>
          <w:w w:val="120"/>
          <w:sz w:val="20"/>
        </w:rPr>
        <w:t> </w:t>
      </w:r>
      <w:r>
        <w:rPr>
          <w:w w:val="120"/>
          <w:sz w:val="20"/>
        </w:rPr>
        <w:t>achieve.</w:t>
      </w:r>
    </w:p>
    <w:p>
      <w:pPr>
        <w:pStyle w:val="BodyText"/>
        <w:spacing w:before="12"/>
        <w:rPr>
          <w:sz w:val="19"/>
        </w:rPr>
      </w:pPr>
    </w:p>
    <w:p>
      <w:pPr>
        <w:pStyle w:val="ListParagraph"/>
        <w:numPr>
          <w:ilvl w:val="2"/>
          <w:numId w:val="20"/>
        </w:numPr>
        <w:tabs>
          <w:tab w:pos="1965" w:val="left" w:leader="none"/>
        </w:tabs>
        <w:spacing w:line="235" w:lineRule="auto" w:before="0" w:after="0"/>
        <w:ind w:left="1284" w:right="1348" w:firstLine="0"/>
        <w:jc w:val="left"/>
        <w:rPr>
          <w:sz w:val="20"/>
        </w:rPr>
      </w:pPr>
      <w:r>
        <w:rPr>
          <w:w w:val="120"/>
          <w:sz w:val="20"/>
        </w:rPr>
        <w:t>Discipleship for this generation can be a fluid experience. No longer do we see generation after generation of church family worshipping in the same place. Not only   is</w:t>
      </w:r>
      <w:r>
        <w:rPr>
          <w:spacing w:val="6"/>
          <w:w w:val="120"/>
          <w:sz w:val="20"/>
        </w:rPr>
        <w:t> </w:t>
      </w:r>
      <w:r>
        <w:rPr>
          <w:w w:val="120"/>
          <w:sz w:val="20"/>
        </w:rPr>
        <w:t>the</w:t>
      </w:r>
      <w:r>
        <w:rPr>
          <w:spacing w:val="6"/>
          <w:w w:val="120"/>
          <w:sz w:val="20"/>
        </w:rPr>
        <w:t> </w:t>
      </w:r>
      <w:r>
        <w:rPr>
          <w:spacing w:val="3"/>
          <w:w w:val="120"/>
          <w:sz w:val="20"/>
        </w:rPr>
        <w:t>20-40s</w:t>
      </w:r>
      <w:r>
        <w:rPr>
          <w:spacing w:val="6"/>
          <w:w w:val="120"/>
          <w:sz w:val="20"/>
        </w:rPr>
        <w:t> </w:t>
      </w:r>
      <w:r>
        <w:rPr>
          <w:w w:val="120"/>
          <w:sz w:val="20"/>
        </w:rPr>
        <w:t>generation</w:t>
      </w:r>
      <w:r>
        <w:rPr>
          <w:spacing w:val="6"/>
          <w:w w:val="120"/>
          <w:sz w:val="20"/>
        </w:rPr>
        <w:t> </w:t>
      </w:r>
      <w:r>
        <w:rPr>
          <w:w w:val="120"/>
          <w:sz w:val="20"/>
        </w:rPr>
        <w:t>more</w:t>
      </w:r>
      <w:r>
        <w:rPr>
          <w:spacing w:val="6"/>
          <w:w w:val="120"/>
          <w:sz w:val="20"/>
        </w:rPr>
        <w:t> </w:t>
      </w:r>
      <w:r>
        <w:rPr>
          <w:w w:val="120"/>
          <w:sz w:val="20"/>
        </w:rPr>
        <w:t>mobile</w:t>
      </w:r>
      <w:r>
        <w:rPr>
          <w:spacing w:val="6"/>
          <w:w w:val="120"/>
          <w:sz w:val="20"/>
        </w:rPr>
        <w:t> </w:t>
      </w:r>
      <w:r>
        <w:rPr>
          <w:w w:val="120"/>
          <w:sz w:val="20"/>
        </w:rPr>
        <w:t>in</w:t>
      </w:r>
      <w:r>
        <w:rPr>
          <w:spacing w:val="6"/>
          <w:w w:val="120"/>
          <w:sz w:val="20"/>
        </w:rPr>
        <w:t> </w:t>
      </w:r>
      <w:r>
        <w:rPr>
          <w:w w:val="120"/>
          <w:sz w:val="20"/>
        </w:rPr>
        <w:t>where</w:t>
      </w:r>
      <w:r>
        <w:rPr>
          <w:spacing w:val="6"/>
          <w:w w:val="120"/>
          <w:sz w:val="20"/>
        </w:rPr>
        <w:t> </w:t>
      </w:r>
      <w:r>
        <w:rPr>
          <w:w w:val="120"/>
          <w:sz w:val="20"/>
        </w:rPr>
        <w:t>it</w:t>
      </w:r>
      <w:r>
        <w:rPr>
          <w:spacing w:val="6"/>
          <w:w w:val="120"/>
          <w:sz w:val="20"/>
        </w:rPr>
        <w:t> </w:t>
      </w:r>
      <w:r>
        <w:rPr>
          <w:w w:val="120"/>
          <w:sz w:val="20"/>
        </w:rPr>
        <w:t>lives,</w:t>
      </w:r>
      <w:r>
        <w:rPr>
          <w:spacing w:val="6"/>
          <w:w w:val="120"/>
          <w:sz w:val="20"/>
        </w:rPr>
        <w:t> </w:t>
      </w:r>
      <w:r>
        <w:rPr>
          <w:w w:val="120"/>
          <w:sz w:val="20"/>
        </w:rPr>
        <w:t>but</w:t>
      </w:r>
      <w:r>
        <w:rPr>
          <w:spacing w:val="6"/>
          <w:w w:val="120"/>
          <w:sz w:val="20"/>
        </w:rPr>
        <w:t> </w:t>
      </w:r>
      <w:r>
        <w:rPr>
          <w:w w:val="120"/>
          <w:sz w:val="20"/>
        </w:rPr>
        <w:t>also</w:t>
      </w:r>
      <w:r>
        <w:rPr>
          <w:spacing w:val="6"/>
          <w:w w:val="120"/>
          <w:sz w:val="20"/>
        </w:rPr>
        <w:t> </w:t>
      </w:r>
      <w:r>
        <w:rPr>
          <w:w w:val="120"/>
          <w:sz w:val="20"/>
        </w:rPr>
        <w:t>in</w:t>
      </w:r>
      <w:r>
        <w:rPr>
          <w:spacing w:val="6"/>
          <w:w w:val="120"/>
          <w:sz w:val="20"/>
        </w:rPr>
        <w:t> </w:t>
      </w:r>
      <w:r>
        <w:rPr>
          <w:w w:val="120"/>
          <w:sz w:val="20"/>
        </w:rPr>
        <w:t>how</w:t>
      </w:r>
      <w:r>
        <w:rPr>
          <w:spacing w:val="7"/>
          <w:w w:val="120"/>
          <w:sz w:val="20"/>
        </w:rPr>
        <w:t> </w:t>
      </w:r>
      <w:r>
        <w:rPr>
          <w:w w:val="120"/>
          <w:sz w:val="20"/>
        </w:rPr>
        <w:t>it</w:t>
      </w:r>
      <w:r>
        <w:rPr>
          <w:spacing w:val="6"/>
          <w:w w:val="120"/>
          <w:sz w:val="20"/>
        </w:rPr>
        <w:t> </w:t>
      </w:r>
      <w:r>
        <w:rPr>
          <w:w w:val="120"/>
          <w:sz w:val="20"/>
        </w:rPr>
        <w:t>moves</w:t>
      </w:r>
      <w:r>
        <w:rPr>
          <w:spacing w:val="6"/>
          <w:w w:val="120"/>
          <w:sz w:val="20"/>
        </w:rPr>
        <w:t> </w:t>
      </w:r>
      <w:r>
        <w:rPr>
          <w:w w:val="120"/>
          <w:sz w:val="20"/>
        </w:rPr>
        <w:t>during</w:t>
      </w:r>
    </w:p>
    <w:p>
      <w:pPr>
        <w:pStyle w:val="BodyText"/>
        <w:spacing w:line="235" w:lineRule="auto" w:before="2"/>
        <w:ind w:left="1284" w:right="1283"/>
      </w:pPr>
      <w:r>
        <w:rPr>
          <w:w w:val="120"/>
        </w:rPr>
        <w:t>the week; possibly working in one place, living in other, socialising in yet another, while having family and friends scattered even further afield. How does a person of faith live and express their faith with others in such a fragmented world?</w:t>
      </w:r>
    </w:p>
    <w:p>
      <w:pPr>
        <w:pStyle w:val="BodyText"/>
        <w:spacing w:before="3"/>
        <w:rPr>
          <w:sz w:val="22"/>
        </w:rPr>
      </w:pPr>
    </w:p>
    <w:p>
      <w:pPr>
        <w:pStyle w:val="Heading4"/>
        <w:numPr>
          <w:ilvl w:val="1"/>
          <w:numId w:val="20"/>
        </w:numPr>
        <w:tabs>
          <w:tab w:pos="1965" w:val="left" w:leader="none"/>
        </w:tabs>
        <w:spacing w:line="240" w:lineRule="auto" w:before="0" w:after="0"/>
        <w:ind w:left="1964" w:right="0" w:hanging="681"/>
        <w:jc w:val="left"/>
      </w:pPr>
      <w:r>
        <w:rPr>
          <w:spacing w:val="3"/>
          <w:w w:val="110"/>
        </w:rPr>
        <w:t>Social</w:t>
      </w:r>
      <w:r>
        <w:rPr>
          <w:spacing w:val="12"/>
          <w:w w:val="110"/>
        </w:rPr>
        <w:t> </w:t>
      </w:r>
      <w:r>
        <w:rPr>
          <w:spacing w:val="4"/>
          <w:w w:val="110"/>
        </w:rPr>
        <w:t>media</w:t>
      </w:r>
    </w:p>
    <w:p>
      <w:pPr>
        <w:pStyle w:val="ListParagraph"/>
        <w:numPr>
          <w:ilvl w:val="2"/>
          <w:numId w:val="20"/>
        </w:numPr>
        <w:tabs>
          <w:tab w:pos="1964" w:val="left" w:leader="none"/>
          <w:tab w:pos="1965" w:val="left" w:leader="none"/>
        </w:tabs>
        <w:spacing w:line="235" w:lineRule="auto" w:before="69" w:after="0"/>
        <w:ind w:left="1284" w:right="1568" w:firstLine="0"/>
        <w:jc w:val="left"/>
        <w:rPr>
          <w:sz w:val="20"/>
        </w:rPr>
      </w:pPr>
      <w:r>
        <w:rPr>
          <w:w w:val="120"/>
          <w:sz w:val="20"/>
        </w:rPr>
        <w:t>Social media may be one answer to this question. This generation has been heavily influenced by social media. At its best, social media is a daily tool used to bring people together through shared interests and beliefs, and as a place of healthy disagreement and</w:t>
      </w:r>
      <w:r>
        <w:rPr>
          <w:spacing w:val="4"/>
          <w:w w:val="120"/>
          <w:sz w:val="20"/>
        </w:rPr>
        <w:t> </w:t>
      </w:r>
      <w:r>
        <w:rPr>
          <w:w w:val="120"/>
          <w:sz w:val="20"/>
        </w:rPr>
        <w:t>discussion.</w:t>
      </w:r>
    </w:p>
    <w:p>
      <w:pPr>
        <w:pStyle w:val="BodyText"/>
        <w:spacing w:before="11"/>
        <w:rPr>
          <w:sz w:val="19"/>
        </w:rPr>
      </w:pPr>
    </w:p>
    <w:p>
      <w:pPr>
        <w:pStyle w:val="ListParagraph"/>
        <w:numPr>
          <w:ilvl w:val="2"/>
          <w:numId w:val="20"/>
        </w:numPr>
        <w:tabs>
          <w:tab w:pos="1965" w:val="left" w:leader="none"/>
        </w:tabs>
        <w:spacing w:line="235" w:lineRule="auto" w:before="0" w:after="0"/>
        <w:ind w:left="1284" w:right="1325" w:firstLine="0"/>
        <w:jc w:val="left"/>
        <w:rPr>
          <w:sz w:val="20"/>
        </w:rPr>
      </w:pPr>
      <w:r>
        <w:rPr>
          <w:w w:val="120"/>
          <w:sz w:val="20"/>
        </w:rPr>
        <w:t>However, one common criticism which the Church may share, is that social media can form distinct ‘echo chambers’ of community. These can become places where we gather with similar thinking people and simply reinforce our own worldview. The question this raises is whether Church can more visibly be much greater than that, a sign of authentic community – a place of discussion, disagreement, and deepening relationships, both on-line and on-the-ground. If we are to find ourselves attractive as ‘authentic community’, an open and exploring attitude should be a visible </w:t>
      </w:r>
      <w:r>
        <w:rPr>
          <w:spacing w:val="2"/>
          <w:w w:val="120"/>
          <w:sz w:val="20"/>
        </w:rPr>
        <w:t>part </w:t>
      </w:r>
      <w:r>
        <w:rPr>
          <w:w w:val="120"/>
          <w:sz w:val="20"/>
        </w:rPr>
        <w:t>of our identity and</w:t>
      </w:r>
      <w:r>
        <w:rPr>
          <w:spacing w:val="4"/>
          <w:w w:val="120"/>
          <w:sz w:val="20"/>
        </w:rPr>
        <w:t> </w:t>
      </w:r>
      <w:r>
        <w:rPr>
          <w:w w:val="120"/>
          <w:sz w:val="20"/>
        </w:rPr>
        <w:t>purpose.</w:t>
      </w:r>
    </w:p>
    <w:p>
      <w:pPr>
        <w:pStyle w:val="BodyText"/>
        <w:spacing w:before="1"/>
      </w:pPr>
    </w:p>
    <w:p>
      <w:pPr>
        <w:pStyle w:val="ListParagraph"/>
        <w:numPr>
          <w:ilvl w:val="2"/>
          <w:numId w:val="20"/>
        </w:numPr>
        <w:tabs>
          <w:tab w:pos="1965" w:val="left" w:leader="none"/>
        </w:tabs>
        <w:spacing w:line="235" w:lineRule="auto" w:before="0" w:after="0"/>
        <w:ind w:left="1284" w:right="1329" w:firstLine="0"/>
        <w:jc w:val="left"/>
        <w:rPr>
          <w:sz w:val="20"/>
        </w:rPr>
      </w:pPr>
      <w:r>
        <w:rPr>
          <w:w w:val="120"/>
          <w:sz w:val="20"/>
        </w:rPr>
        <w:t>There is much more we can explore as a denomination to create a vibrant online faith community, not least as a means of connecting with those in the 20s to 40 age range. We note the URC already has a Facebook and Twitter presence, a </w:t>
      </w:r>
      <w:r>
        <w:rPr>
          <w:i/>
          <w:w w:val="120"/>
          <w:sz w:val="20"/>
        </w:rPr>
        <w:t>Reform </w:t>
      </w:r>
      <w:r>
        <w:rPr>
          <w:w w:val="120"/>
          <w:sz w:val="20"/>
        </w:rPr>
        <w:t>App, and that the </w:t>
      </w:r>
      <w:r>
        <w:rPr>
          <w:spacing w:val="-3"/>
          <w:w w:val="120"/>
          <w:sz w:val="20"/>
        </w:rPr>
        <w:t>URC’s </w:t>
      </w:r>
      <w:r>
        <w:rPr>
          <w:w w:val="120"/>
          <w:sz w:val="20"/>
        </w:rPr>
        <w:t>‘Daily Devotions’ have been a valuable resource for </w:t>
      </w:r>
      <w:r>
        <w:rPr>
          <w:spacing w:val="-4"/>
          <w:w w:val="120"/>
          <w:sz w:val="20"/>
        </w:rPr>
        <w:t>many. </w:t>
      </w:r>
      <w:r>
        <w:rPr>
          <w:w w:val="120"/>
          <w:sz w:val="20"/>
        </w:rPr>
        <w:t>We are also hopeful that new resources for ‘Walking the Way’ and Stepwise will include video, online forums, webinars, and </w:t>
      </w:r>
      <w:r>
        <w:rPr>
          <w:spacing w:val="-3"/>
          <w:w w:val="120"/>
          <w:sz w:val="20"/>
        </w:rPr>
        <w:t>(despite </w:t>
      </w:r>
      <w:r>
        <w:rPr>
          <w:w w:val="120"/>
          <w:sz w:val="20"/>
        </w:rPr>
        <w:t>the dangers that online dialogues sometimes suffer </w:t>
      </w:r>
      <w:r>
        <w:rPr>
          <w:spacing w:val="-3"/>
          <w:w w:val="120"/>
          <w:sz w:val="20"/>
        </w:rPr>
        <w:t>from) </w:t>
      </w:r>
      <w:r>
        <w:rPr>
          <w:w w:val="120"/>
          <w:sz w:val="20"/>
        </w:rPr>
        <w:t>further opportunities for exploration and discussion based activities with much more interaction that emails and tweets</w:t>
      </w:r>
      <w:r>
        <w:rPr>
          <w:spacing w:val="12"/>
          <w:w w:val="120"/>
          <w:sz w:val="20"/>
        </w:rPr>
        <w:t> </w:t>
      </w:r>
      <w:r>
        <w:rPr>
          <w:w w:val="120"/>
          <w:sz w:val="20"/>
        </w:rPr>
        <w:t>allow.</w:t>
      </w:r>
    </w:p>
    <w:p>
      <w:pPr>
        <w:spacing w:after="0" w:line="235" w:lineRule="auto"/>
        <w:jc w:val="left"/>
        <w:rPr>
          <w:sz w:val="20"/>
        </w:rPr>
        <w:sectPr>
          <w:headerReference w:type="default" r:id="rId114"/>
          <w:footerReference w:type="default" r:id="rId115"/>
          <w:footerReference w:type="even" r:id="rId116"/>
          <w:pgSz w:w="11910" w:h="16840"/>
          <w:pgMar w:header="0" w:footer="647" w:top="0" w:bottom="840" w:left="700" w:right="0"/>
          <w:pgNumType w:start="29"/>
        </w:sectPr>
      </w:pPr>
    </w:p>
    <w:p>
      <w:pPr>
        <w:pStyle w:val="BodyText"/>
      </w:pPr>
      <w:r>
        <w:rPr/>
        <w:drawing>
          <wp:anchor distT="0" distB="0" distL="0" distR="0" allowOverlap="1" layoutInCell="1" locked="0" behindDoc="1" simplePos="0" relativeHeight="235781120">
            <wp:simplePos x="0" y="0"/>
            <wp:positionH relativeFrom="page">
              <wp:posOffset>0</wp:posOffset>
            </wp:positionH>
            <wp:positionV relativeFrom="page">
              <wp:posOffset>0</wp:posOffset>
            </wp:positionV>
            <wp:extent cx="594067" cy="10692003"/>
            <wp:effectExtent l="0" t="0" r="0" b="0"/>
            <wp:wrapNone/>
            <wp:docPr id="55" name="image49.png"/>
            <wp:cNvGraphicFramePr>
              <a:graphicFrameLocks noChangeAspect="1"/>
            </wp:cNvGraphicFramePr>
            <a:graphic>
              <a:graphicData uri="http://schemas.openxmlformats.org/drawingml/2006/picture">
                <pic:pic>
                  <pic:nvPicPr>
                    <pic:cNvPr id="56"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3433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20"/>
        </w:numPr>
        <w:tabs>
          <w:tab w:pos="1228" w:val="left" w:leader="none"/>
        </w:tabs>
        <w:spacing w:line="240" w:lineRule="auto" w:before="215" w:after="0"/>
        <w:ind w:left="1227" w:right="0" w:hanging="681"/>
        <w:jc w:val="left"/>
        <w:rPr>
          <w:rFonts w:ascii="Stone Sans II ITC Std Bk"/>
          <w:b/>
          <w:sz w:val="29"/>
        </w:rPr>
      </w:pPr>
      <w:r>
        <w:rPr>
          <w:rFonts w:ascii="Stone Sans II ITC Std Bk"/>
          <w:b/>
          <w:spacing w:val="3"/>
          <w:w w:val="110"/>
          <w:sz w:val="29"/>
        </w:rPr>
        <w:t>Keeping </w:t>
      </w:r>
      <w:r>
        <w:rPr>
          <w:rFonts w:ascii="Stone Sans II ITC Std Bk"/>
          <w:b/>
          <w:spacing w:val="2"/>
          <w:w w:val="110"/>
          <w:sz w:val="29"/>
        </w:rPr>
        <w:t>pace with</w:t>
      </w:r>
      <w:r>
        <w:rPr>
          <w:rFonts w:ascii="Stone Sans II ITC Std Bk"/>
          <w:b/>
          <w:spacing w:val="33"/>
          <w:w w:val="110"/>
          <w:sz w:val="29"/>
        </w:rPr>
        <w:t> </w:t>
      </w:r>
      <w:r>
        <w:rPr>
          <w:rFonts w:ascii="Stone Sans II ITC Std Bk"/>
          <w:b/>
          <w:w w:val="110"/>
          <w:sz w:val="29"/>
        </w:rPr>
        <w:t>change?</w:t>
      </w:r>
    </w:p>
    <w:p>
      <w:pPr>
        <w:pStyle w:val="ListParagraph"/>
        <w:numPr>
          <w:ilvl w:val="2"/>
          <w:numId w:val="20"/>
        </w:numPr>
        <w:tabs>
          <w:tab w:pos="1228" w:val="left" w:leader="none"/>
        </w:tabs>
        <w:spacing w:line="235" w:lineRule="auto" w:before="69" w:after="0"/>
        <w:ind w:left="547" w:right="2079" w:firstLine="0"/>
        <w:jc w:val="left"/>
        <w:rPr>
          <w:sz w:val="20"/>
        </w:rPr>
      </w:pPr>
      <w:r>
        <w:rPr>
          <w:w w:val="120"/>
          <w:sz w:val="20"/>
        </w:rPr>
        <w:t>It can be said that much of what has been learnt about this generation is already out of date – time passes and life moves on fast. In Lewis Carroll’s </w:t>
      </w:r>
      <w:r>
        <w:rPr>
          <w:i/>
          <w:w w:val="120"/>
          <w:sz w:val="20"/>
        </w:rPr>
        <w:t>Alice Through the </w:t>
      </w:r>
      <w:r>
        <w:rPr>
          <w:i/>
          <w:w w:val="120"/>
          <w:sz w:val="20"/>
        </w:rPr>
        <w:t>Looking Glass</w:t>
      </w:r>
      <w:r>
        <w:rPr>
          <w:w w:val="120"/>
          <w:sz w:val="20"/>
        </w:rPr>
        <w:t>, after running fast, Alice remarks to the Queen of </w:t>
      </w:r>
      <w:r>
        <w:rPr>
          <w:spacing w:val="2"/>
          <w:w w:val="120"/>
          <w:sz w:val="20"/>
        </w:rPr>
        <w:t>Hearts </w:t>
      </w:r>
      <w:r>
        <w:rPr>
          <w:w w:val="120"/>
          <w:sz w:val="20"/>
        </w:rPr>
        <w:t>that it appears that they have not got anywhere. The Queen retorts: ‘It takes all the running you can do, to keep in the same </w:t>
      </w:r>
      <w:r>
        <w:rPr>
          <w:spacing w:val="-3"/>
          <w:w w:val="120"/>
          <w:sz w:val="20"/>
        </w:rPr>
        <w:t>place.’ </w:t>
      </w:r>
      <w:r>
        <w:rPr>
          <w:w w:val="120"/>
          <w:sz w:val="20"/>
        </w:rPr>
        <w:t>Often Church can feel like that! Maybe we need to do less of </w:t>
      </w:r>
      <w:r>
        <w:rPr>
          <w:i/>
          <w:w w:val="120"/>
          <w:sz w:val="20"/>
        </w:rPr>
        <w:t>running </w:t>
      </w:r>
      <w:r>
        <w:rPr>
          <w:w w:val="120"/>
          <w:sz w:val="20"/>
        </w:rPr>
        <w:t>churches, and more of being still with God and each other to build deeper</w:t>
      </w:r>
      <w:r>
        <w:rPr>
          <w:spacing w:val="1"/>
          <w:w w:val="120"/>
          <w:sz w:val="20"/>
        </w:rPr>
        <w:t> </w:t>
      </w:r>
      <w:r>
        <w:rPr>
          <w:w w:val="120"/>
          <w:sz w:val="20"/>
        </w:rPr>
        <w:t>relationships?</w:t>
      </w:r>
    </w:p>
    <w:p>
      <w:pPr>
        <w:pStyle w:val="BodyText"/>
        <w:spacing w:before="1"/>
      </w:pPr>
    </w:p>
    <w:p>
      <w:pPr>
        <w:pStyle w:val="ListParagraph"/>
        <w:numPr>
          <w:ilvl w:val="2"/>
          <w:numId w:val="20"/>
        </w:numPr>
        <w:tabs>
          <w:tab w:pos="1228" w:val="left" w:leader="none"/>
        </w:tabs>
        <w:spacing w:line="235" w:lineRule="auto" w:before="0" w:after="0"/>
        <w:ind w:left="547" w:right="3195" w:firstLine="0"/>
        <w:jc w:val="left"/>
        <w:rPr>
          <w:sz w:val="20"/>
        </w:rPr>
      </w:pPr>
      <w:r>
        <w:rPr>
          <w:w w:val="120"/>
          <w:sz w:val="20"/>
        </w:rPr>
        <w:t>The task group firmly believes that people of all ages are attracted to communities of hope, of vision, and of</w:t>
      </w:r>
      <w:r>
        <w:rPr>
          <w:spacing w:val="14"/>
          <w:w w:val="120"/>
          <w:sz w:val="20"/>
        </w:rPr>
        <w:t> </w:t>
      </w:r>
      <w:r>
        <w:rPr>
          <w:w w:val="120"/>
          <w:sz w:val="20"/>
        </w:rPr>
        <w:t>love.</w:t>
      </w:r>
    </w:p>
    <w:p>
      <w:pPr>
        <w:pStyle w:val="BodyText"/>
        <w:spacing w:before="2"/>
        <w:rPr>
          <w:sz w:val="22"/>
        </w:rPr>
      </w:pPr>
    </w:p>
    <w:p>
      <w:pPr>
        <w:pStyle w:val="Heading4"/>
        <w:numPr>
          <w:ilvl w:val="0"/>
          <w:numId w:val="20"/>
        </w:numPr>
        <w:tabs>
          <w:tab w:pos="1227" w:val="left" w:leader="none"/>
          <w:tab w:pos="1228" w:val="left" w:leader="none"/>
        </w:tabs>
        <w:spacing w:line="240" w:lineRule="auto" w:before="0" w:after="0"/>
        <w:ind w:left="1227" w:right="0" w:hanging="681"/>
        <w:jc w:val="left"/>
      </w:pPr>
      <w:r>
        <w:rPr>
          <w:spacing w:val="3"/>
          <w:w w:val="110"/>
        </w:rPr>
        <w:t>Resolution </w:t>
      </w:r>
      <w:r>
        <w:rPr>
          <w:spacing w:val="2"/>
          <w:w w:val="110"/>
        </w:rPr>
        <w:t>or</w:t>
      </w:r>
      <w:r>
        <w:rPr>
          <w:spacing w:val="23"/>
          <w:w w:val="110"/>
        </w:rPr>
        <w:t> </w:t>
      </w:r>
      <w:r>
        <w:rPr>
          <w:spacing w:val="3"/>
          <w:w w:val="110"/>
        </w:rPr>
        <w:t>recommendations</w:t>
      </w:r>
    </w:p>
    <w:p>
      <w:pPr>
        <w:pStyle w:val="ListParagraph"/>
        <w:numPr>
          <w:ilvl w:val="2"/>
          <w:numId w:val="23"/>
        </w:numPr>
        <w:tabs>
          <w:tab w:pos="1228" w:val="left" w:leader="none"/>
        </w:tabs>
        <w:spacing w:line="235" w:lineRule="auto" w:before="69" w:after="0"/>
        <w:ind w:left="547" w:right="2146" w:firstLine="0"/>
        <w:jc w:val="left"/>
        <w:rPr>
          <w:sz w:val="20"/>
        </w:rPr>
      </w:pPr>
      <w:r>
        <w:rPr>
          <w:w w:val="120"/>
          <w:sz w:val="20"/>
        </w:rPr>
        <w:t>In its initial remit, the task group was asked to bring resolutions, with costings, of how the Church could better engage with 20-40-year-olds to General Assembly. However, the task group members are unanimous in the belief that such resolutions are either not possible or would achieve little. All of the </w:t>
      </w:r>
      <w:r>
        <w:rPr>
          <w:spacing w:val="-3"/>
          <w:w w:val="120"/>
          <w:sz w:val="20"/>
        </w:rPr>
        <w:t>group’s </w:t>
      </w:r>
      <w:r>
        <w:rPr>
          <w:w w:val="120"/>
          <w:sz w:val="20"/>
        </w:rPr>
        <w:t>findings have shown that engagement is about building personal relationships with individuals and moving forward together. Therefore, the group does not want to give General Assembly another programme or a resolution with steps for every local church follow in order</w:t>
      </w:r>
      <w:r>
        <w:rPr>
          <w:spacing w:val="44"/>
          <w:w w:val="120"/>
          <w:sz w:val="20"/>
        </w:rPr>
        <w:t> </w:t>
      </w:r>
      <w:r>
        <w:rPr>
          <w:w w:val="120"/>
          <w:sz w:val="20"/>
        </w:rPr>
        <w:t>to</w:t>
      </w:r>
    </w:p>
    <w:p>
      <w:pPr>
        <w:pStyle w:val="BodyText"/>
        <w:spacing w:line="235" w:lineRule="auto" w:before="5"/>
        <w:ind w:left="547" w:right="1584"/>
      </w:pPr>
      <w:r>
        <w:rPr>
          <w:w w:val="120"/>
        </w:rPr>
        <w:t>connect with younger adults. Instead, the task group wishes to signpost individuals and churches to good news stories, the resources that are already available elsewhere, and present questions and issues for all our councils and committees to act upon.</w:t>
      </w:r>
    </w:p>
    <w:p>
      <w:pPr>
        <w:pStyle w:val="BodyText"/>
        <w:spacing w:before="10"/>
        <w:rPr>
          <w:sz w:val="19"/>
        </w:rPr>
      </w:pPr>
    </w:p>
    <w:p>
      <w:pPr>
        <w:pStyle w:val="ListParagraph"/>
        <w:numPr>
          <w:ilvl w:val="2"/>
          <w:numId w:val="23"/>
        </w:numPr>
        <w:tabs>
          <w:tab w:pos="1228" w:val="left" w:leader="none"/>
        </w:tabs>
        <w:spacing w:line="235" w:lineRule="auto" w:before="1" w:after="0"/>
        <w:ind w:left="547" w:right="2246" w:firstLine="0"/>
        <w:jc w:val="left"/>
        <w:rPr>
          <w:sz w:val="20"/>
        </w:rPr>
      </w:pPr>
      <w:r>
        <w:rPr>
          <w:spacing w:val="3"/>
          <w:w w:val="120"/>
          <w:sz w:val="20"/>
        </w:rPr>
        <w:t>As </w:t>
      </w:r>
      <w:r>
        <w:rPr>
          <w:w w:val="120"/>
          <w:sz w:val="20"/>
        </w:rPr>
        <w:t>in many areas of our Church life, what seems to be required of us first is an attitudinal change, from which all else will naturally follow. The challenge from the findings of this </w:t>
      </w:r>
      <w:r>
        <w:rPr>
          <w:spacing w:val="2"/>
          <w:w w:val="120"/>
          <w:sz w:val="20"/>
        </w:rPr>
        <w:t>report </w:t>
      </w:r>
      <w:r>
        <w:rPr>
          <w:w w:val="120"/>
          <w:sz w:val="20"/>
        </w:rPr>
        <w:t>is for our local churches, our synods and our denominational structures and programmes to intentionally build into their thinking consideration of  a much broader spectrum of people, particularly those aged </w:t>
      </w:r>
      <w:r>
        <w:rPr>
          <w:spacing w:val="2"/>
          <w:w w:val="120"/>
          <w:sz w:val="20"/>
        </w:rPr>
        <w:t>20-40. </w:t>
      </w:r>
      <w:r>
        <w:rPr>
          <w:w w:val="120"/>
          <w:sz w:val="20"/>
        </w:rPr>
        <w:t>However, we are hopeful that a renewed emphasis on discipleship (‘Walking the Way’) and a hands-on mentored</w:t>
      </w:r>
      <w:r>
        <w:rPr>
          <w:spacing w:val="10"/>
          <w:w w:val="120"/>
          <w:sz w:val="20"/>
        </w:rPr>
        <w:t> </w:t>
      </w:r>
      <w:r>
        <w:rPr>
          <w:w w:val="120"/>
          <w:sz w:val="20"/>
        </w:rPr>
        <w:t>approach</w:t>
      </w:r>
      <w:r>
        <w:rPr>
          <w:spacing w:val="10"/>
          <w:w w:val="120"/>
          <w:sz w:val="20"/>
        </w:rPr>
        <w:t> </w:t>
      </w:r>
      <w:r>
        <w:rPr>
          <w:w w:val="120"/>
          <w:sz w:val="20"/>
        </w:rPr>
        <w:t>to</w:t>
      </w:r>
      <w:r>
        <w:rPr>
          <w:spacing w:val="11"/>
          <w:w w:val="120"/>
          <w:sz w:val="20"/>
        </w:rPr>
        <w:t> </w:t>
      </w:r>
      <w:r>
        <w:rPr>
          <w:w w:val="120"/>
          <w:sz w:val="20"/>
        </w:rPr>
        <w:t>lay</w:t>
      </w:r>
      <w:r>
        <w:rPr>
          <w:spacing w:val="10"/>
          <w:w w:val="120"/>
          <w:sz w:val="20"/>
        </w:rPr>
        <w:t> </w:t>
      </w:r>
      <w:r>
        <w:rPr>
          <w:w w:val="120"/>
          <w:sz w:val="20"/>
        </w:rPr>
        <w:t>learning</w:t>
      </w:r>
      <w:r>
        <w:rPr>
          <w:spacing w:val="11"/>
          <w:w w:val="120"/>
          <w:sz w:val="20"/>
        </w:rPr>
        <w:t> </w:t>
      </w:r>
      <w:r>
        <w:rPr>
          <w:spacing w:val="-4"/>
          <w:w w:val="120"/>
          <w:sz w:val="20"/>
        </w:rPr>
        <w:t>(Stepwise)</w:t>
      </w:r>
      <w:r>
        <w:rPr>
          <w:spacing w:val="10"/>
          <w:w w:val="120"/>
          <w:sz w:val="20"/>
        </w:rPr>
        <w:t> </w:t>
      </w:r>
      <w:r>
        <w:rPr>
          <w:w w:val="120"/>
          <w:sz w:val="20"/>
        </w:rPr>
        <w:t>are</w:t>
      </w:r>
      <w:r>
        <w:rPr>
          <w:spacing w:val="11"/>
          <w:w w:val="120"/>
          <w:sz w:val="20"/>
        </w:rPr>
        <w:t> </w:t>
      </w:r>
      <w:r>
        <w:rPr>
          <w:w w:val="120"/>
          <w:sz w:val="20"/>
        </w:rPr>
        <w:t>positive</w:t>
      </w:r>
      <w:r>
        <w:rPr>
          <w:spacing w:val="10"/>
          <w:w w:val="120"/>
          <w:sz w:val="20"/>
        </w:rPr>
        <w:t> </w:t>
      </w:r>
      <w:r>
        <w:rPr>
          <w:w w:val="120"/>
          <w:sz w:val="20"/>
        </w:rPr>
        <w:t>beginnings</w:t>
      </w:r>
      <w:r>
        <w:rPr>
          <w:spacing w:val="11"/>
          <w:w w:val="120"/>
          <w:sz w:val="20"/>
        </w:rPr>
        <w:t> </w:t>
      </w:r>
      <w:r>
        <w:rPr>
          <w:w w:val="120"/>
          <w:sz w:val="20"/>
        </w:rPr>
        <w:t>in</w:t>
      </w:r>
      <w:r>
        <w:rPr>
          <w:spacing w:val="10"/>
          <w:w w:val="120"/>
          <w:sz w:val="20"/>
        </w:rPr>
        <w:t> </w:t>
      </w:r>
      <w:r>
        <w:rPr>
          <w:w w:val="120"/>
          <w:sz w:val="20"/>
        </w:rPr>
        <w:t>this</w:t>
      </w:r>
      <w:r>
        <w:rPr>
          <w:spacing w:val="11"/>
          <w:w w:val="120"/>
          <w:sz w:val="20"/>
        </w:rPr>
        <w:t> </w:t>
      </w:r>
      <w:r>
        <w:rPr>
          <w:w w:val="120"/>
          <w:sz w:val="20"/>
        </w:rPr>
        <w:t>regard.</w:t>
      </w:r>
    </w:p>
    <w:p>
      <w:pPr>
        <w:pStyle w:val="BodyText"/>
      </w:pPr>
    </w:p>
    <w:p>
      <w:pPr>
        <w:pStyle w:val="ListParagraph"/>
        <w:numPr>
          <w:ilvl w:val="2"/>
          <w:numId w:val="23"/>
        </w:numPr>
        <w:tabs>
          <w:tab w:pos="1228" w:val="left" w:leader="none"/>
        </w:tabs>
        <w:spacing w:line="235" w:lineRule="auto" w:before="0" w:after="0"/>
        <w:ind w:left="547" w:right="2276" w:firstLine="0"/>
        <w:jc w:val="left"/>
        <w:rPr>
          <w:sz w:val="20"/>
        </w:rPr>
      </w:pPr>
      <w:r>
        <w:rPr>
          <w:w w:val="120"/>
          <w:sz w:val="20"/>
        </w:rPr>
        <w:t>The cost to our churches of seeking to improve engagement to 20-40-year- olds is unlikely to be financial. If the Church is truly serious about engaging in with 20-40-year-olds,</w:t>
      </w:r>
      <w:r>
        <w:rPr>
          <w:spacing w:val="6"/>
          <w:w w:val="120"/>
          <w:sz w:val="20"/>
        </w:rPr>
        <w:t> </w:t>
      </w:r>
      <w:r>
        <w:rPr>
          <w:w w:val="120"/>
          <w:sz w:val="20"/>
        </w:rPr>
        <w:t>it</w:t>
      </w:r>
      <w:r>
        <w:rPr>
          <w:spacing w:val="7"/>
          <w:w w:val="120"/>
          <w:sz w:val="20"/>
        </w:rPr>
        <w:t> </w:t>
      </w:r>
      <w:r>
        <w:rPr>
          <w:w w:val="120"/>
          <w:sz w:val="20"/>
        </w:rPr>
        <w:t>needs</w:t>
      </w:r>
      <w:r>
        <w:rPr>
          <w:spacing w:val="6"/>
          <w:w w:val="120"/>
          <w:sz w:val="20"/>
        </w:rPr>
        <w:t> </w:t>
      </w:r>
      <w:r>
        <w:rPr>
          <w:w w:val="120"/>
          <w:sz w:val="20"/>
        </w:rPr>
        <w:t>to</w:t>
      </w:r>
      <w:r>
        <w:rPr>
          <w:spacing w:val="7"/>
          <w:w w:val="120"/>
          <w:sz w:val="20"/>
        </w:rPr>
        <w:t> </w:t>
      </w:r>
      <w:r>
        <w:rPr>
          <w:w w:val="120"/>
          <w:sz w:val="20"/>
        </w:rPr>
        <w:t>be</w:t>
      </w:r>
      <w:r>
        <w:rPr>
          <w:spacing w:val="7"/>
          <w:w w:val="120"/>
          <w:sz w:val="20"/>
        </w:rPr>
        <w:t> </w:t>
      </w:r>
      <w:r>
        <w:rPr>
          <w:w w:val="120"/>
          <w:sz w:val="20"/>
        </w:rPr>
        <w:t>open</w:t>
      </w:r>
      <w:r>
        <w:rPr>
          <w:spacing w:val="6"/>
          <w:w w:val="120"/>
          <w:sz w:val="20"/>
        </w:rPr>
        <w:t> </w:t>
      </w:r>
      <w:r>
        <w:rPr>
          <w:w w:val="120"/>
          <w:sz w:val="20"/>
        </w:rPr>
        <w:t>to</w:t>
      </w:r>
      <w:r>
        <w:rPr>
          <w:spacing w:val="7"/>
          <w:w w:val="120"/>
          <w:sz w:val="20"/>
        </w:rPr>
        <w:t> </w:t>
      </w:r>
      <w:r>
        <w:rPr>
          <w:w w:val="120"/>
          <w:sz w:val="20"/>
        </w:rPr>
        <w:t>radical</w:t>
      </w:r>
      <w:r>
        <w:rPr>
          <w:spacing w:val="6"/>
          <w:w w:val="120"/>
          <w:sz w:val="20"/>
        </w:rPr>
        <w:t> </w:t>
      </w:r>
      <w:r>
        <w:rPr>
          <w:w w:val="120"/>
          <w:sz w:val="20"/>
        </w:rPr>
        <w:t>change.</w:t>
      </w:r>
      <w:r>
        <w:rPr>
          <w:spacing w:val="7"/>
          <w:w w:val="120"/>
          <w:sz w:val="20"/>
        </w:rPr>
        <w:t> </w:t>
      </w:r>
      <w:r>
        <w:rPr>
          <w:w w:val="120"/>
          <w:sz w:val="20"/>
        </w:rPr>
        <w:t>For</w:t>
      </w:r>
      <w:r>
        <w:rPr>
          <w:spacing w:val="7"/>
          <w:w w:val="120"/>
          <w:sz w:val="20"/>
        </w:rPr>
        <w:t> </w:t>
      </w:r>
      <w:r>
        <w:rPr>
          <w:w w:val="120"/>
          <w:sz w:val="20"/>
        </w:rPr>
        <w:t>some</w:t>
      </w:r>
      <w:r>
        <w:rPr>
          <w:spacing w:val="6"/>
          <w:w w:val="120"/>
          <w:sz w:val="20"/>
        </w:rPr>
        <w:t> </w:t>
      </w:r>
      <w:r>
        <w:rPr>
          <w:w w:val="120"/>
          <w:sz w:val="20"/>
        </w:rPr>
        <w:t>this</w:t>
      </w:r>
      <w:r>
        <w:rPr>
          <w:spacing w:val="7"/>
          <w:w w:val="120"/>
          <w:sz w:val="20"/>
        </w:rPr>
        <w:t> </w:t>
      </w:r>
      <w:r>
        <w:rPr>
          <w:w w:val="120"/>
          <w:sz w:val="20"/>
        </w:rPr>
        <w:t>may</w:t>
      </w:r>
      <w:r>
        <w:rPr>
          <w:spacing w:val="6"/>
          <w:w w:val="120"/>
          <w:sz w:val="20"/>
        </w:rPr>
        <w:t> </w:t>
      </w:r>
      <w:r>
        <w:rPr>
          <w:w w:val="120"/>
          <w:sz w:val="20"/>
        </w:rPr>
        <w:t>be</w:t>
      </w:r>
      <w:r>
        <w:rPr>
          <w:spacing w:val="7"/>
          <w:w w:val="120"/>
          <w:sz w:val="20"/>
        </w:rPr>
        <w:t> </w:t>
      </w:r>
      <w:r>
        <w:rPr>
          <w:w w:val="120"/>
          <w:sz w:val="20"/>
        </w:rPr>
        <w:t>painful,</w:t>
      </w:r>
    </w:p>
    <w:p>
      <w:pPr>
        <w:pStyle w:val="BodyText"/>
        <w:spacing w:line="235" w:lineRule="auto" w:before="3"/>
        <w:ind w:left="547" w:right="2107"/>
        <w:jc w:val="both"/>
      </w:pPr>
      <w:r>
        <w:rPr>
          <w:w w:val="120"/>
        </w:rPr>
        <w:t>for others it is what they have long been yearning for. Of course, the irony is that in ten or twenty years’ time, 20-40-year-olds will be a different generation, and the solutions that work today will not be the solutions that work then.</w:t>
      </w:r>
    </w:p>
    <w:p>
      <w:pPr>
        <w:pStyle w:val="BodyText"/>
        <w:spacing w:before="10"/>
        <w:rPr>
          <w:sz w:val="19"/>
        </w:rPr>
      </w:pPr>
    </w:p>
    <w:p>
      <w:pPr>
        <w:pStyle w:val="ListParagraph"/>
        <w:numPr>
          <w:ilvl w:val="2"/>
          <w:numId w:val="23"/>
        </w:numPr>
        <w:tabs>
          <w:tab w:pos="1228" w:val="left" w:leader="none"/>
        </w:tabs>
        <w:spacing w:line="235" w:lineRule="auto" w:before="0" w:after="0"/>
        <w:ind w:left="547" w:right="2072" w:firstLine="0"/>
        <w:jc w:val="left"/>
        <w:rPr>
          <w:sz w:val="20"/>
        </w:rPr>
      </w:pPr>
      <w:r>
        <w:rPr>
          <w:spacing w:val="-3"/>
          <w:w w:val="120"/>
          <w:sz w:val="20"/>
        </w:rPr>
        <w:t>We</w:t>
      </w:r>
      <w:r>
        <w:rPr>
          <w:spacing w:val="-9"/>
          <w:w w:val="120"/>
          <w:sz w:val="20"/>
        </w:rPr>
        <w:t> </w:t>
      </w:r>
      <w:r>
        <w:rPr>
          <w:w w:val="120"/>
          <w:sz w:val="20"/>
        </w:rPr>
        <w:t>hope</w:t>
      </w:r>
      <w:r>
        <w:rPr>
          <w:spacing w:val="-8"/>
          <w:w w:val="120"/>
          <w:sz w:val="20"/>
        </w:rPr>
        <w:t> </w:t>
      </w:r>
      <w:r>
        <w:rPr>
          <w:w w:val="120"/>
          <w:sz w:val="20"/>
        </w:rPr>
        <w:t>it</w:t>
      </w:r>
      <w:r>
        <w:rPr>
          <w:spacing w:val="-9"/>
          <w:w w:val="120"/>
          <w:sz w:val="20"/>
        </w:rPr>
        <w:t> </w:t>
      </w:r>
      <w:r>
        <w:rPr>
          <w:w w:val="120"/>
          <w:sz w:val="20"/>
        </w:rPr>
        <w:t>is</w:t>
      </w:r>
      <w:r>
        <w:rPr>
          <w:spacing w:val="-8"/>
          <w:w w:val="120"/>
          <w:sz w:val="20"/>
        </w:rPr>
        <w:t> </w:t>
      </w:r>
      <w:r>
        <w:rPr>
          <w:w w:val="120"/>
          <w:sz w:val="20"/>
        </w:rPr>
        <w:t>by</w:t>
      </w:r>
      <w:r>
        <w:rPr>
          <w:spacing w:val="-9"/>
          <w:w w:val="120"/>
          <w:sz w:val="20"/>
        </w:rPr>
        <w:t> </w:t>
      </w:r>
      <w:r>
        <w:rPr>
          <w:spacing w:val="-2"/>
          <w:w w:val="120"/>
          <w:sz w:val="20"/>
        </w:rPr>
        <w:t>now</w:t>
      </w:r>
      <w:r>
        <w:rPr>
          <w:spacing w:val="-8"/>
          <w:w w:val="120"/>
          <w:sz w:val="20"/>
        </w:rPr>
        <w:t> </w:t>
      </w:r>
      <w:r>
        <w:rPr>
          <w:w w:val="120"/>
          <w:sz w:val="20"/>
        </w:rPr>
        <w:t>clear</w:t>
      </w:r>
      <w:r>
        <w:rPr>
          <w:spacing w:val="-9"/>
          <w:w w:val="120"/>
          <w:sz w:val="20"/>
        </w:rPr>
        <w:t> </w:t>
      </w:r>
      <w:r>
        <w:rPr>
          <w:w w:val="120"/>
          <w:sz w:val="20"/>
        </w:rPr>
        <w:t>that</w:t>
      </w:r>
      <w:r>
        <w:rPr>
          <w:spacing w:val="-8"/>
          <w:w w:val="120"/>
          <w:sz w:val="20"/>
        </w:rPr>
        <w:t> </w:t>
      </w:r>
      <w:r>
        <w:rPr>
          <w:w w:val="120"/>
          <w:sz w:val="20"/>
        </w:rPr>
        <w:t>there</w:t>
      </w:r>
      <w:r>
        <w:rPr>
          <w:spacing w:val="-9"/>
          <w:w w:val="120"/>
          <w:sz w:val="20"/>
        </w:rPr>
        <w:t> </w:t>
      </w:r>
      <w:r>
        <w:rPr>
          <w:w w:val="120"/>
          <w:sz w:val="20"/>
        </w:rPr>
        <w:t>is</w:t>
      </w:r>
      <w:r>
        <w:rPr>
          <w:spacing w:val="-8"/>
          <w:w w:val="120"/>
          <w:sz w:val="20"/>
        </w:rPr>
        <w:t> </w:t>
      </w:r>
      <w:r>
        <w:rPr>
          <w:w w:val="120"/>
          <w:sz w:val="20"/>
        </w:rPr>
        <w:t>no</w:t>
      </w:r>
      <w:r>
        <w:rPr>
          <w:spacing w:val="-8"/>
          <w:w w:val="120"/>
          <w:sz w:val="20"/>
        </w:rPr>
        <w:t> </w:t>
      </w:r>
      <w:r>
        <w:rPr>
          <w:w w:val="120"/>
          <w:sz w:val="20"/>
        </w:rPr>
        <w:t>quick</w:t>
      </w:r>
      <w:r>
        <w:rPr>
          <w:spacing w:val="-9"/>
          <w:w w:val="120"/>
          <w:sz w:val="20"/>
        </w:rPr>
        <w:t> </w:t>
      </w:r>
      <w:r>
        <w:rPr>
          <w:w w:val="120"/>
          <w:sz w:val="20"/>
        </w:rPr>
        <w:t>fix</w:t>
      </w:r>
      <w:r>
        <w:rPr>
          <w:spacing w:val="-8"/>
          <w:w w:val="120"/>
          <w:sz w:val="20"/>
        </w:rPr>
        <w:t> </w:t>
      </w:r>
      <w:r>
        <w:rPr>
          <w:w w:val="120"/>
          <w:sz w:val="20"/>
        </w:rPr>
        <w:t>or</w:t>
      </w:r>
      <w:r>
        <w:rPr>
          <w:spacing w:val="-9"/>
          <w:w w:val="120"/>
          <w:sz w:val="20"/>
        </w:rPr>
        <w:t> </w:t>
      </w:r>
      <w:r>
        <w:rPr>
          <w:w w:val="120"/>
          <w:sz w:val="20"/>
        </w:rPr>
        <w:t>easy</w:t>
      </w:r>
      <w:r>
        <w:rPr>
          <w:spacing w:val="-8"/>
          <w:w w:val="120"/>
          <w:sz w:val="20"/>
        </w:rPr>
        <w:t> </w:t>
      </w:r>
      <w:r>
        <w:rPr>
          <w:w w:val="120"/>
          <w:sz w:val="20"/>
        </w:rPr>
        <w:t>answer</w:t>
      </w:r>
      <w:r>
        <w:rPr>
          <w:spacing w:val="-9"/>
          <w:w w:val="120"/>
          <w:sz w:val="20"/>
        </w:rPr>
        <w:t> </w:t>
      </w:r>
      <w:r>
        <w:rPr>
          <w:spacing w:val="-3"/>
          <w:w w:val="120"/>
          <w:sz w:val="20"/>
        </w:rPr>
        <w:t>to</w:t>
      </w:r>
      <w:r>
        <w:rPr>
          <w:spacing w:val="-8"/>
          <w:w w:val="120"/>
          <w:sz w:val="20"/>
        </w:rPr>
        <w:t> </w:t>
      </w:r>
      <w:r>
        <w:rPr>
          <w:w w:val="120"/>
          <w:sz w:val="20"/>
        </w:rPr>
        <w:t>the</w:t>
      </w:r>
      <w:r>
        <w:rPr>
          <w:spacing w:val="-9"/>
          <w:w w:val="120"/>
          <w:sz w:val="20"/>
        </w:rPr>
        <w:t> </w:t>
      </w:r>
      <w:r>
        <w:rPr>
          <w:w w:val="120"/>
          <w:sz w:val="20"/>
        </w:rPr>
        <w:t>question of engagement with 20-40 </w:t>
      </w:r>
      <w:r>
        <w:rPr>
          <w:spacing w:val="-3"/>
          <w:w w:val="120"/>
          <w:sz w:val="20"/>
        </w:rPr>
        <w:t>year </w:t>
      </w:r>
      <w:r>
        <w:rPr>
          <w:w w:val="120"/>
          <w:sz w:val="20"/>
        </w:rPr>
        <w:t>olds, neither is there a </w:t>
      </w:r>
      <w:r>
        <w:rPr>
          <w:spacing w:val="-4"/>
          <w:w w:val="120"/>
          <w:sz w:val="20"/>
        </w:rPr>
        <w:t>‘one </w:t>
      </w:r>
      <w:r>
        <w:rPr>
          <w:spacing w:val="-3"/>
          <w:w w:val="120"/>
          <w:sz w:val="20"/>
        </w:rPr>
        <w:t>size </w:t>
      </w:r>
      <w:r>
        <w:rPr>
          <w:w w:val="120"/>
          <w:sz w:val="20"/>
        </w:rPr>
        <w:t>fits all’</w:t>
      </w:r>
      <w:r>
        <w:rPr>
          <w:spacing w:val="-35"/>
          <w:w w:val="120"/>
          <w:sz w:val="20"/>
        </w:rPr>
        <w:t> </w:t>
      </w:r>
      <w:r>
        <w:rPr>
          <w:w w:val="120"/>
          <w:sz w:val="20"/>
        </w:rPr>
        <w:t>programme</w:t>
      </w:r>
    </w:p>
    <w:p>
      <w:pPr>
        <w:pStyle w:val="BodyText"/>
        <w:spacing w:line="235" w:lineRule="auto" w:before="1"/>
        <w:ind w:left="547" w:right="2082"/>
      </w:pPr>
      <w:r>
        <w:rPr>
          <w:w w:val="120"/>
        </w:rPr>
        <w:t>or a step-by-step guide </w:t>
      </w:r>
      <w:r>
        <w:rPr>
          <w:spacing w:val="-3"/>
          <w:w w:val="120"/>
        </w:rPr>
        <w:t>to </w:t>
      </w:r>
      <w:r>
        <w:rPr>
          <w:w w:val="120"/>
        </w:rPr>
        <w:t>filling </w:t>
      </w:r>
      <w:r>
        <w:rPr>
          <w:spacing w:val="-3"/>
          <w:w w:val="120"/>
        </w:rPr>
        <w:t>churches </w:t>
      </w:r>
      <w:r>
        <w:rPr>
          <w:w w:val="120"/>
        </w:rPr>
        <w:t>with people of </w:t>
      </w:r>
      <w:r>
        <w:rPr>
          <w:spacing w:val="-3"/>
          <w:w w:val="120"/>
        </w:rPr>
        <w:t>this </w:t>
      </w:r>
      <w:r>
        <w:rPr>
          <w:w w:val="120"/>
        </w:rPr>
        <w:t>age </w:t>
      </w:r>
      <w:r>
        <w:rPr>
          <w:spacing w:val="-3"/>
          <w:w w:val="120"/>
        </w:rPr>
        <w:t>group. We </w:t>
      </w:r>
      <w:r>
        <w:rPr>
          <w:w w:val="120"/>
        </w:rPr>
        <w:t>are also aware that for some </w:t>
      </w:r>
      <w:r>
        <w:rPr>
          <w:spacing w:val="-3"/>
          <w:w w:val="120"/>
        </w:rPr>
        <w:t>this </w:t>
      </w:r>
      <w:r>
        <w:rPr>
          <w:w w:val="120"/>
        </w:rPr>
        <w:t>report will </w:t>
      </w:r>
      <w:r>
        <w:rPr>
          <w:spacing w:val="-3"/>
          <w:w w:val="120"/>
        </w:rPr>
        <w:t>have </w:t>
      </w:r>
      <w:r>
        <w:rPr>
          <w:w w:val="120"/>
        </w:rPr>
        <w:t>made for difficult reading and presented some uncomfortable truths. For others it will </w:t>
      </w:r>
      <w:r>
        <w:rPr>
          <w:spacing w:val="-3"/>
          <w:w w:val="120"/>
        </w:rPr>
        <w:t>have revealed nothing </w:t>
      </w:r>
      <w:r>
        <w:rPr>
          <w:w w:val="120"/>
        </w:rPr>
        <w:t>new and feel </w:t>
      </w:r>
      <w:r>
        <w:rPr>
          <w:spacing w:val="-3"/>
          <w:w w:val="120"/>
        </w:rPr>
        <w:t>like </w:t>
      </w:r>
      <w:r>
        <w:rPr>
          <w:w w:val="120"/>
        </w:rPr>
        <w:t>more talk and little action. The task group pray that it </w:t>
      </w:r>
      <w:r>
        <w:rPr>
          <w:spacing w:val="-3"/>
          <w:w w:val="120"/>
        </w:rPr>
        <w:t>may </w:t>
      </w:r>
      <w:r>
        <w:rPr>
          <w:w w:val="120"/>
        </w:rPr>
        <w:t>be </w:t>
      </w:r>
      <w:r>
        <w:rPr>
          <w:spacing w:val="-3"/>
          <w:w w:val="120"/>
        </w:rPr>
        <w:t>received </w:t>
      </w:r>
      <w:r>
        <w:rPr>
          <w:w w:val="120"/>
        </w:rPr>
        <w:t>as a call </w:t>
      </w:r>
      <w:r>
        <w:rPr>
          <w:spacing w:val="-3"/>
          <w:w w:val="120"/>
        </w:rPr>
        <w:t>to </w:t>
      </w:r>
      <w:r>
        <w:rPr>
          <w:w w:val="120"/>
        </w:rPr>
        <w:t>all parts of our </w:t>
      </w:r>
      <w:r>
        <w:rPr>
          <w:spacing w:val="-3"/>
          <w:w w:val="120"/>
        </w:rPr>
        <w:t>church to </w:t>
      </w:r>
      <w:r>
        <w:rPr>
          <w:w w:val="120"/>
        </w:rPr>
        <w:t>engage more readily in open and genuine </w:t>
      </w:r>
      <w:r>
        <w:rPr>
          <w:spacing w:val="-3"/>
          <w:w w:val="120"/>
        </w:rPr>
        <w:t>conversation </w:t>
      </w:r>
      <w:r>
        <w:rPr>
          <w:w w:val="120"/>
        </w:rPr>
        <w:t>with </w:t>
      </w:r>
      <w:r>
        <w:rPr>
          <w:spacing w:val="-3"/>
          <w:w w:val="120"/>
        </w:rPr>
        <w:t>those </w:t>
      </w:r>
      <w:r>
        <w:rPr>
          <w:w w:val="120"/>
        </w:rPr>
        <w:t>often </w:t>
      </w:r>
      <w:r>
        <w:rPr>
          <w:spacing w:val="-3"/>
          <w:w w:val="120"/>
        </w:rPr>
        <w:t>missing </w:t>
      </w:r>
      <w:r>
        <w:rPr>
          <w:w w:val="120"/>
        </w:rPr>
        <w:t>from our </w:t>
      </w:r>
      <w:r>
        <w:rPr>
          <w:spacing w:val="-3"/>
          <w:w w:val="120"/>
        </w:rPr>
        <w:t>congregations, to continually </w:t>
      </w:r>
      <w:r>
        <w:rPr>
          <w:w w:val="120"/>
        </w:rPr>
        <w:t>seek </w:t>
      </w:r>
      <w:r>
        <w:rPr>
          <w:spacing w:val="-3"/>
          <w:w w:val="120"/>
        </w:rPr>
        <w:t>to </w:t>
      </w:r>
      <w:r>
        <w:rPr>
          <w:w w:val="120"/>
        </w:rPr>
        <w:t>build new meaningful and </w:t>
      </w:r>
      <w:r>
        <w:rPr>
          <w:spacing w:val="-3"/>
          <w:w w:val="120"/>
        </w:rPr>
        <w:t>mutual relationships, </w:t>
      </w:r>
      <w:r>
        <w:rPr>
          <w:w w:val="120"/>
        </w:rPr>
        <w:t>and </w:t>
      </w:r>
      <w:r>
        <w:rPr>
          <w:spacing w:val="-3"/>
          <w:w w:val="120"/>
        </w:rPr>
        <w:t>to allow </w:t>
      </w:r>
      <w:r>
        <w:rPr>
          <w:w w:val="120"/>
        </w:rPr>
        <w:t>these </w:t>
      </w:r>
      <w:r>
        <w:rPr>
          <w:spacing w:val="-3"/>
          <w:w w:val="120"/>
        </w:rPr>
        <w:t>encounters to shake </w:t>
      </w:r>
      <w:r>
        <w:rPr>
          <w:w w:val="120"/>
        </w:rPr>
        <w:t>us and </w:t>
      </w:r>
      <w:r>
        <w:rPr>
          <w:spacing w:val="-3"/>
          <w:w w:val="120"/>
        </w:rPr>
        <w:t>to </w:t>
      </w:r>
      <w:r>
        <w:rPr>
          <w:w w:val="120"/>
        </w:rPr>
        <w:t>shape </w:t>
      </w:r>
      <w:r>
        <w:rPr>
          <w:spacing w:val="-2"/>
          <w:w w:val="120"/>
        </w:rPr>
        <w:t>us.</w:t>
      </w:r>
    </w:p>
    <w:p>
      <w:pPr>
        <w:pStyle w:val="BodyText"/>
        <w:spacing w:before="9"/>
        <w:rPr>
          <w:sz w:val="19"/>
        </w:rPr>
      </w:pPr>
    </w:p>
    <w:p>
      <w:pPr>
        <w:pStyle w:val="ListParagraph"/>
        <w:numPr>
          <w:ilvl w:val="2"/>
          <w:numId w:val="23"/>
        </w:numPr>
        <w:tabs>
          <w:tab w:pos="1228" w:val="left" w:leader="none"/>
        </w:tabs>
        <w:spacing w:line="240" w:lineRule="auto" w:before="0" w:after="0"/>
        <w:ind w:left="1227" w:right="0" w:hanging="681"/>
        <w:jc w:val="left"/>
        <w:rPr>
          <w:sz w:val="20"/>
        </w:rPr>
      </w:pPr>
      <w:r>
        <w:rPr>
          <w:w w:val="120"/>
          <w:sz w:val="20"/>
        </w:rPr>
        <w:t>The church of Jesus Christ </w:t>
      </w:r>
      <w:r>
        <w:rPr>
          <w:i/>
          <w:w w:val="120"/>
          <w:sz w:val="20"/>
        </w:rPr>
        <w:t>belongs </w:t>
      </w:r>
      <w:r>
        <w:rPr>
          <w:w w:val="120"/>
          <w:sz w:val="20"/>
        </w:rPr>
        <w:t>to all, and just as much to those aged</w:t>
      </w:r>
      <w:r>
        <w:rPr>
          <w:spacing w:val="19"/>
          <w:w w:val="120"/>
          <w:sz w:val="20"/>
        </w:rPr>
        <w:t> </w:t>
      </w:r>
      <w:r>
        <w:rPr>
          <w:spacing w:val="3"/>
          <w:w w:val="120"/>
          <w:sz w:val="20"/>
        </w:rPr>
        <w:t>20-40!</w:t>
      </w:r>
    </w:p>
    <w:p>
      <w:pPr>
        <w:pStyle w:val="BodyText"/>
        <w:spacing w:before="1"/>
        <w:rPr>
          <w:sz w:val="22"/>
        </w:rPr>
      </w:pPr>
    </w:p>
    <w:p>
      <w:pPr>
        <w:pStyle w:val="Heading4"/>
        <w:ind w:left="547" w:firstLine="0"/>
      </w:pPr>
      <w:r>
        <w:rPr>
          <w:w w:val="110"/>
        </w:rPr>
        <w:t>Signposting</w:t>
      </w:r>
    </w:p>
    <w:p>
      <w:pPr>
        <w:pStyle w:val="BodyText"/>
        <w:spacing w:line="242" w:lineRule="exact" w:before="66"/>
        <w:ind w:left="547"/>
        <w:jc w:val="both"/>
      </w:pPr>
      <w:r>
        <w:rPr>
          <w:w w:val="125"/>
        </w:rPr>
        <w:t>‘Walking the Way’ – discipleship</w:t>
      </w:r>
    </w:p>
    <w:p>
      <w:pPr>
        <w:pStyle w:val="BodyText"/>
        <w:spacing w:line="242" w:lineRule="exact"/>
        <w:ind w:left="547"/>
        <w:jc w:val="both"/>
      </w:pPr>
      <w:r>
        <w:rPr>
          <w:w w:val="125"/>
        </w:rPr>
        <w:t>Education and learning – ‘Blended Lives, Blended Living’ report – digital age</w:t>
      </w:r>
    </w:p>
    <w:p>
      <w:pPr>
        <w:spacing w:after="0" w:line="242" w:lineRule="exact"/>
        <w:jc w:val="both"/>
        <w:sectPr>
          <w:headerReference w:type="even" r:id="rId117"/>
          <w:pgSz w:w="11910" w:h="16840"/>
          <w:pgMar w:header="0" w:footer="647" w:top="0" w:bottom="840" w:left="700" w:right="0"/>
        </w:sectPr>
      </w:pPr>
    </w:p>
    <w:p>
      <w:pPr>
        <w:pStyle w:val="BodyText"/>
      </w:pPr>
    </w:p>
    <w:p>
      <w:pPr>
        <w:pStyle w:val="BodyText"/>
        <w:spacing w:before="5"/>
        <w:rPr>
          <w:sz w:val="21"/>
        </w:rPr>
      </w:pPr>
    </w:p>
    <w:p>
      <w:pPr>
        <w:spacing w:after="0"/>
        <w:rPr>
          <w:sz w:val="21"/>
        </w:rPr>
        <w:sectPr>
          <w:headerReference w:type="default" r:id="rId118"/>
          <w:footerReference w:type="default" r:id="rId119"/>
          <w:footerReference w:type="even" r:id="rId120"/>
          <w:pgSz w:w="11910" w:h="16840"/>
          <w:pgMar w:header="0" w:footer="647" w:top="0" w:bottom="840" w:left="700" w:right="0"/>
          <w:pgNumType w:start="31"/>
        </w:sectPr>
      </w:pPr>
    </w:p>
    <w:p>
      <w:pPr>
        <w:pStyle w:val="BodyText"/>
        <w:spacing w:before="7"/>
        <w:rPr>
          <w:sz w:val="57"/>
        </w:rPr>
      </w:pPr>
    </w:p>
    <w:p>
      <w:pPr>
        <w:pStyle w:val="Heading2"/>
        <w:spacing w:before="0"/>
        <w:ind w:left="3744"/>
        <w:rPr>
          <w:rFonts w:ascii="Stone Sans II ITC Std Bk"/>
        </w:rPr>
      </w:pPr>
      <w:r>
        <w:rPr>
          <w:rFonts w:ascii="Stone Sans II ITC Std Bk"/>
          <w:color w:val="0090D4"/>
          <w:spacing w:val="7"/>
          <w:w w:val="110"/>
        </w:rPr>
        <w:t>For</w:t>
      </w:r>
      <w:r>
        <w:rPr>
          <w:rFonts w:ascii="Stone Sans II ITC Std Bk"/>
          <w:color w:val="0090D4"/>
          <w:spacing w:val="89"/>
          <w:w w:val="110"/>
        </w:rPr>
        <w:t> </w:t>
      </w:r>
      <w:r>
        <w:rPr>
          <w:rFonts w:ascii="Stone Sans II ITC Std Bk"/>
          <w:color w:val="0090D4"/>
          <w:spacing w:val="5"/>
          <w:w w:val="110"/>
        </w:rPr>
        <w:t>reflection</w:t>
      </w:r>
    </w:p>
    <w:p>
      <w:pPr>
        <w:pStyle w:val="Heading5"/>
        <w:ind w:left="442"/>
      </w:pPr>
      <w:r>
        <w:rPr/>
        <w:br w:type="column"/>
      </w:r>
      <w:r>
        <w:rPr>
          <w:color w:val="7EAABF"/>
          <w:w w:val="120"/>
        </w:rPr>
        <w:t>Mission Council</w:t>
      </w:r>
    </w:p>
    <w:p>
      <w:pPr>
        <w:spacing w:after="0"/>
        <w:sectPr>
          <w:type w:val="continuous"/>
          <w:pgSz w:w="11910" w:h="16840"/>
          <w:pgMar w:top="1580" w:bottom="280" w:left="700" w:right="0"/>
          <w:cols w:num="2" w:equalWidth="0">
            <w:col w:w="7499" w:space="40"/>
            <w:col w:w="3671"/>
          </w:cols>
        </w:sectPr>
      </w:pPr>
    </w:p>
    <w:p>
      <w:pPr>
        <w:spacing w:line="213" w:lineRule="auto" w:before="140"/>
        <w:ind w:left="3640" w:right="2269" w:hanging="1254"/>
        <w:jc w:val="left"/>
        <w:rPr>
          <w:rFonts w:ascii="Stone Sans II ITC Std X Bd"/>
          <w:b/>
          <w:sz w:val="50"/>
        </w:rPr>
      </w:pPr>
      <w:r>
        <w:rPr/>
        <w:drawing>
          <wp:anchor distT="0" distB="0" distL="0" distR="0" allowOverlap="1" layoutInCell="1" locked="0" behindDoc="0" simplePos="0" relativeHeight="251750400">
            <wp:simplePos x="0" y="0"/>
            <wp:positionH relativeFrom="page">
              <wp:posOffset>6974928</wp:posOffset>
            </wp:positionH>
            <wp:positionV relativeFrom="page">
              <wp:posOffset>0</wp:posOffset>
            </wp:positionV>
            <wp:extent cx="585076" cy="10692003"/>
            <wp:effectExtent l="0" t="0" r="0" b="0"/>
            <wp:wrapNone/>
            <wp:docPr id="57" name="image50.png"/>
            <wp:cNvGraphicFramePr>
              <a:graphicFrameLocks noChangeAspect="1"/>
            </wp:cNvGraphicFramePr>
            <a:graphic>
              <a:graphicData uri="http://schemas.openxmlformats.org/drawingml/2006/picture">
                <pic:pic>
                  <pic:nvPicPr>
                    <pic:cNvPr id="58" name="image50.png"/>
                    <pic:cNvPicPr/>
                  </pic:nvPicPr>
                  <pic:blipFill>
                    <a:blip r:embed="rId64" cstate="print"/>
                    <a:stretch>
                      <a:fillRect/>
                    </a:stretch>
                  </pic:blipFill>
                  <pic:spPr>
                    <a:xfrm>
                      <a:off x="0" y="0"/>
                      <a:ext cx="585076" cy="10692003"/>
                    </a:xfrm>
                    <a:prstGeom prst="rect">
                      <a:avLst/>
                    </a:prstGeom>
                  </pic:spPr>
                </pic:pic>
              </a:graphicData>
            </a:graphic>
          </wp:anchor>
        </w:drawing>
      </w:r>
      <w:r>
        <w:rPr/>
        <w:pict>
          <v:shape style="position:absolute;margin-left:554.141174pt;margin-top:-46.22057pt;width:26pt;height:338.85pt;mso-position-horizontal-relative:page;mso-position-vertical-relative:paragraph;z-index:25175142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r>
        <w:rPr>
          <w:rFonts w:ascii="Stone Sans II ITC Std X Bd"/>
          <w:b/>
          <w:w w:val="110"/>
          <w:sz w:val="50"/>
        </w:rPr>
        <w:t>Questions for reflection and discussion</w:t>
      </w:r>
    </w:p>
    <w:p>
      <w:pPr>
        <w:pStyle w:val="BodyText"/>
        <w:spacing w:line="235" w:lineRule="auto" w:before="142"/>
        <w:ind w:left="1284" w:right="1283"/>
      </w:pPr>
      <w:r>
        <w:rPr>
          <w:w w:val="120"/>
        </w:rPr>
        <w:t>These may be explored by individuals or in a small group setting, or discussed at an Elders, Church, or Synod Meeting.</w:t>
      </w:r>
    </w:p>
    <w:p>
      <w:pPr>
        <w:pStyle w:val="BodyText"/>
        <w:rPr>
          <w:sz w:val="24"/>
        </w:rPr>
      </w:pPr>
    </w:p>
    <w:p>
      <w:pPr>
        <w:pStyle w:val="BodyText"/>
        <w:spacing w:before="9"/>
        <w:rPr>
          <w:sz w:val="17"/>
        </w:rPr>
      </w:pPr>
    </w:p>
    <w:p>
      <w:pPr>
        <w:spacing w:before="1"/>
        <w:ind w:left="1284" w:right="0" w:firstLine="0"/>
        <w:jc w:val="left"/>
        <w:rPr>
          <w:rFonts w:ascii="Stone Sans II ITC Std Bk"/>
          <w:b/>
          <w:sz w:val="29"/>
        </w:rPr>
      </w:pPr>
      <w:r>
        <w:rPr>
          <w:rFonts w:ascii="Stone Sans II ITC Std Bk"/>
          <w:b/>
          <w:spacing w:val="4"/>
          <w:w w:val="110"/>
          <w:sz w:val="29"/>
        </w:rPr>
        <w:t>Introduction</w:t>
      </w:r>
    </w:p>
    <w:p>
      <w:pPr>
        <w:pStyle w:val="BodyText"/>
        <w:spacing w:line="235" w:lineRule="auto" w:before="69"/>
        <w:ind w:left="1284" w:right="1584"/>
      </w:pPr>
      <w:r>
        <w:rPr>
          <w:w w:val="120"/>
        </w:rPr>
        <w:t>Having read the </w:t>
      </w:r>
      <w:r>
        <w:rPr>
          <w:spacing w:val="2"/>
          <w:w w:val="120"/>
        </w:rPr>
        <w:t>report </w:t>
      </w:r>
      <w:r>
        <w:rPr>
          <w:w w:val="120"/>
        </w:rPr>
        <w:t>of the </w:t>
      </w:r>
      <w:r>
        <w:rPr>
          <w:spacing w:val="3"/>
          <w:w w:val="120"/>
        </w:rPr>
        <w:t>20-40 </w:t>
      </w:r>
      <w:r>
        <w:rPr>
          <w:w w:val="120"/>
        </w:rPr>
        <w:t>task group, spend a few moments to consider how you are</w:t>
      </w:r>
      <w:r>
        <w:rPr>
          <w:spacing w:val="6"/>
          <w:w w:val="120"/>
        </w:rPr>
        <w:t> </w:t>
      </w:r>
      <w:r>
        <w:rPr>
          <w:w w:val="120"/>
        </w:rPr>
        <w:t>feeling.</w:t>
      </w:r>
    </w:p>
    <w:p>
      <w:pPr>
        <w:pStyle w:val="BodyText"/>
        <w:spacing w:before="9"/>
        <w:rPr>
          <w:sz w:val="19"/>
        </w:rPr>
      </w:pPr>
    </w:p>
    <w:p>
      <w:pPr>
        <w:pStyle w:val="BodyText"/>
        <w:spacing w:line="235" w:lineRule="auto"/>
        <w:ind w:left="1284" w:right="1531"/>
        <w:jc w:val="both"/>
      </w:pPr>
      <w:r>
        <w:rPr>
          <w:w w:val="120"/>
        </w:rPr>
        <w:t>Some may be sad at the picture the report paints, others inspired by the opportunity to address this issue. You may be angry at the report, or at the Church, or simply feel helpless faced with such a huge issue.</w:t>
      </w:r>
    </w:p>
    <w:p>
      <w:pPr>
        <w:pStyle w:val="BodyText"/>
        <w:spacing w:before="10"/>
        <w:rPr>
          <w:sz w:val="19"/>
        </w:rPr>
      </w:pPr>
    </w:p>
    <w:p>
      <w:pPr>
        <w:pStyle w:val="BodyText"/>
        <w:spacing w:line="235" w:lineRule="auto"/>
        <w:ind w:left="1284" w:right="1584"/>
      </w:pPr>
      <w:r>
        <w:rPr>
          <w:w w:val="120"/>
        </w:rPr>
        <w:t>There is no right or wrong answer, but acknowledging how we feel is important before we engage with the questions the report presents.</w:t>
      </w:r>
    </w:p>
    <w:p>
      <w:pPr>
        <w:pStyle w:val="BodyText"/>
        <w:spacing w:before="2"/>
        <w:rPr>
          <w:sz w:val="22"/>
        </w:rPr>
      </w:pPr>
    </w:p>
    <w:p>
      <w:pPr>
        <w:pStyle w:val="Heading4"/>
        <w:ind w:left="1284" w:firstLine="0"/>
      </w:pPr>
      <w:r>
        <w:rPr>
          <w:w w:val="110"/>
        </w:rPr>
        <w:t>Reflecting on your own context</w:t>
      </w:r>
    </w:p>
    <w:p>
      <w:pPr>
        <w:pStyle w:val="ListParagraph"/>
        <w:numPr>
          <w:ilvl w:val="3"/>
          <w:numId w:val="23"/>
        </w:numPr>
        <w:tabs>
          <w:tab w:pos="1964" w:val="left" w:leader="none"/>
          <w:tab w:pos="1965" w:val="left" w:leader="none"/>
        </w:tabs>
        <w:spacing w:line="240" w:lineRule="auto" w:before="66" w:after="0"/>
        <w:ind w:left="1964" w:right="0" w:hanging="681"/>
        <w:jc w:val="left"/>
        <w:rPr>
          <w:sz w:val="20"/>
        </w:rPr>
      </w:pPr>
      <w:r>
        <w:rPr>
          <w:w w:val="120"/>
          <w:sz w:val="20"/>
        </w:rPr>
        <w:t>What generation(s) are missing from the life of your local</w:t>
      </w:r>
      <w:r>
        <w:rPr>
          <w:spacing w:val="14"/>
          <w:w w:val="120"/>
          <w:sz w:val="20"/>
        </w:rPr>
        <w:t> </w:t>
      </w:r>
      <w:r>
        <w:rPr>
          <w:w w:val="120"/>
          <w:sz w:val="20"/>
        </w:rPr>
        <w:t>church?</w:t>
      </w:r>
    </w:p>
    <w:p>
      <w:pPr>
        <w:pStyle w:val="ListParagraph"/>
        <w:numPr>
          <w:ilvl w:val="3"/>
          <w:numId w:val="23"/>
        </w:numPr>
        <w:tabs>
          <w:tab w:pos="1964" w:val="left" w:leader="none"/>
          <w:tab w:pos="1965" w:val="left" w:leader="none"/>
        </w:tabs>
        <w:spacing w:line="240" w:lineRule="auto" w:before="205" w:after="0"/>
        <w:ind w:left="1964" w:right="0" w:hanging="681"/>
        <w:jc w:val="left"/>
        <w:rPr>
          <w:sz w:val="20"/>
        </w:rPr>
      </w:pPr>
      <w:r>
        <w:rPr>
          <w:w w:val="120"/>
          <w:sz w:val="20"/>
        </w:rPr>
        <w:t>What </w:t>
      </w:r>
      <w:r>
        <w:rPr>
          <w:spacing w:val="2"/>
          <w:w w:val="120"/>
          <w:sz w:val="20"/>
        </w:rPr>
        <w:t>part </w:t>
      </w:r>
      <w:r>
        <w:rPr>
          <w:w w:val="120"/>
          <w:sz w:val="20"/>
        </w:rPr>
        <w:t>do people age </w:t>
      </w:r>
      <w:r>
        <w:rPr>
          <w:spacing w:val="3"/>
          <w:w w:val="120"/>
          <w:sz w:val="20"/>
        </w:rPr>
        <w:t>20-40 </w:t>
      </w:r>
      <w:r>
        <w:rPr>
          <w:w w:val="120"/>
          <w:sz w:val="20"/>
        </w:rPr>
        <w:t>play in the life of your local</w:t>
      </w:r>
      <w:r>
        <w:rPr>
          <w:spacing w:val="28"/>
          <w:w w:val="120"/>
          <w:sz w:val="20"/>
        </w:rPr>
        <w:t> </w:t>
      </w:r>
      <w:r>
        <w:rPr>
          <w:w w:val="120"/>
          <w:sz w:val="20"/>
        </w:rPr>
        <w:t>church?</w:t>
      </w:r>
    </w:p>
    <w:p>
      <w:pPr>
        <w:pStyle w:val="ListParagraph"/>
        <w:numPr>
          <w:ilvl w:val="3"/>
          <w:numId w:val="23"/>
        </w:numPr>
        <w:tabs>
          <w:tab w:pos="1964" w:val="left" w:leader="none"/>
          <w:tab w:pos="1965" w:val="left" w:leader="none"/>
        </w:tabs>
        <w:spacing w:line="240" w:lineRule="auto" w:before="206" w:after="0"/>
        <w:ind w:left="1964" w:right="0" w:hanging="681"/>
        <w:jc w:val="left"/>
        <w:rPr>
          <w:sz w:val="20"/>
        </w:rPr>
      </w:pPr>
      <w:r>
        <w:rPr>
          <w:w w:val="120"/>
          <w:sz w:val="20"/>
        </w:rPr>
        <w:t>How do you believe your church is relevant to the lives of people aged 20 to</w:t>
      </w:r>
      <w:r>
        <w:rPr>
          <w:spacing w:val="3"/>
          <w:w w:val="120"/>
          <w:sz w:val="20"/>
        </w:rPr>
        <w:t> </w:t>
      </w:r>
      <w:r>
        <w:rPr>
          <w:w w:val="120"/>
          <w:sz w:val="20"/>
        </w:rPr>
        <w:t>40?</w:t>
      </w:r>
    </w:p>
    <w:p>
      <w:pPr>
        <w:pStyle w:val="ListParagraph"/>
        <w:numPr>
          <w:ilvl w:val="3"/>
          <w:numId w:val="23"/>
        </w:numPr>
        <w:tabs>
          <w:tab w:pos="1964" w:val="left" w:leader="none"/>
          <w:tab w:pos="1965" w:val="left" w:leader="none"/>
        </w:tabs>
        <w:spacing w:line="211" w:lineRule="auto" w:before="225" w:after="0"/>
        <w:ind w:left="1964" w:right="1552" w:hanging="681"/>
        <w:jc w:val="left"/>
        <w:rPr>
          <w:sz w:val="20"/>
        </w:rPr>
      </w:pPr>
      <w:r>
        <w:rPr>
          <w:w w:val="120"/>
          <w:sz w:val="20"/>
        </w:rPr>
        <w:t>Arrange a church meeting to discuss the Key components of effective ministry to </w:t>
      </w:r>
      <w:r>
        <w:rPr>
          <w:spacing w:val="2"/>
          <w:w w:val="120"/>
          <w:sz w:val="20"/>
        </w:rPr>
        <w:t>20-40s’ </w:t>
      </w:r>
      <w:r>
        <w:rPr>
          <w:spacing w:val="-4"/>
          <w:w w:val="120"/>
          <w:sz w:val="20"/>
        </w:rPr>
        <w:t>(see </w:t>
      </w:r>
      <w:r>
        <w:rPr>
          <w:w w:val="120"/>
          <w:sz w:val="20"/>
        </w:rPr>
        <w:t>page</w:t>
      </w:r>
      <w:r>
        <w:rPr>
          <w:spacing w:val="12"/>
          <w:w w:val="120"/>
          <w:sz w:val="20"/>
        </w:rPr>
        <w:t> </w:t>
      </w:r>
      <w:r>
        <w:rPr>
          <w:spacing w:val="-6"/>
          <w:w w:val="120"/>
          <w:sz w:val="20"/>
        </w:rPr>
        <w:t>32)</w:t>
      </w:r>
    </w:p>
    <w:p>
      <w:pPr>
        <w:pStyle w:val="BodyText"/>
        <w:spacing w:before="5"/>
        <w:rPr>
          <w:sz w:val="22"/>
        </w:rPr>
      </w:pPr>
    </w:p>
    <w:p>
      <w:pPr>
        <w:pStyle w:val="Heading4"/>
        <w:ind w:left="1284" w:firstLine="0"/>
      </w:pPr>
      <w:r>
        <w:rPr>
          <w:w w:val="110"/>
        </w:rPr>
        <w:t>Making connections, deepening understanding</w:t>
      </w:r>
    </w:p>
    <w:p>
      <w:pPr>
        <w:pStyle w:val="ListParagraph"/>
        <w:numPr>
          <w:ilvl w:val="3"/>
          <w:numId w:val="23"/>
        </w:numPr>
        <w:tabs>
          <w:tab w:pos="1964" w:val="left" w:leader="none"/>
          <w:tab w:pos="1965" w:val="left" w:leader="none"/>
        </w:tabs>
        <w:spacing w:line="240" w:lineRule="auto" w:before="65" w:after="0"/>
        <w:ind w:left="1964" w:right="0" w:hanging="681"/>
        <w:jc w:val="left"/>
        <w:rPr>
          <w:sz w:val="20"/>
        </w:rPr>
      </w:pPr>
      <w:r>
        <w:rPr>
          <w:w w:val="120"/>
          <w:sz w:val="20"/>
        </w:rPr>
        <w:t>What barriers to </w:t>
      </w:r>
      <w:r>
        <w:rPr>
          <w:spacing w:val="3"/>
          <w:w w:val="120"/>
          <w:sz w:val="20"/>
        </w:rPr>
        <w:t>20-40 </w:t>
      </w:r>
      <w:r>
        <w:rPr>
          <w:w w:val="120"/>
          <w:sz w:val="20"/>
        </w:rPr>
        <w:t>year olds exist in your</w:t>
      </w:r>
      <w:r>
        <w:rPr>
          <w:spacing w:val="11"/>
          <w:w w:val="120"/>
          <w:sz w:val="20"/>
        </w:rPr>
        <w:t> </w:t>
      </w:r>
      <w:r>
        <w:rPr>
          <w:w w:val="120"/>
          <w:sz w:val="20"/>
        </w:rPr>
        <w:t>church?</w:t>
      </w:r>
    </w:p>
    <w:p>
      <w:pPr>
        <w:pStyle w:val="ListParagraph"/>
        <w:numPr>
          <w:ilvl w:val="3"/>
          <w:numId w:val="23"/>
        </w:numPr>
        <w:tabs>
          <w:tab w:pos="1964" w:val="left" w:leader="none"/>
          <w:tab w:pos="1965" w:val="left" w:leader="none"/>
        </w:tabs>
        <w:spacing w:line="223" w:lineRule="auto" w:before="217" w:after="0"/>
        <w:ind w:left="1964" w:right="1459" w:hanging="681"/>
        <w:jc w:val="left"/>
        <w:rPr>
          <w:sz w:val="20"/>
        </w:rPr>
      </w:pPr>
      <w:r>
        <w:rPr>
          <w:spacing w:val="-5"/>
          <w:w w:val="120"/>
          <w:sz w:val="20"/>
        </w:rPr>
        <w:t>Take </w:t>
      </w:r>
      <w:r>
        <w:rPr>
          <w:w w:val="120"/>
          <w:sz w:val="20"/>
        </w:rPr>
        <w:t>time this week to talk to someone you know age </w:t>
      </w:r>
      <w:r>
        <w:rPr>
          <w:spacing w:val="3"/>
          <w:w w:val="120"/>
          <w:sz w:val="20"/>
        </w:rPr>
        <w:t>20-40 </w:t>
      </w:r>
      <w:r>
        <w:rPr>
          <w:w w:val="120"/>
          <w:sz w:val="20"/>
        </w:rPr>
        <w:t>about their views of church. If possible, speak to someone who attends you church and someone who does not at attend any</w:t>
      </w:r>
      <w:r>
        <w:rPr>
          <w:spacing w:val="12"/>
          <w:w w:val="120"/>
          <w:sz w:val="20"/>
        </w:rPr>
        <w:t> </w:t>
      </w:r>
      <w:r>
        <w:rPr>
          <w:w w:val="120"/>
          <w:sz w:val="20"/>
        </w:rPr>
        <w:t>church.</w:t>
      </w:r>
    </w:p>
    <w:p>
      <w:pPr>
        <w:pStyle w:val="BodyText"/>
        <w:rPr>
          <w:sz w:val="21"/>
        </w:rPr>
      </w:pPr>
    </w:p>
    <w:p>
      <w:pPr>
        <w:pStyle w:val="ListParagraph"/>
        <w:numPr>
          <w:ilvl w:val="3"/>
          <w:numId w:val="23"/>
        </w:numPr>
        <w:tabs>
          <w:tab w:pos="1964" w:val="left" w:leader="none"/>
          <w:tab w:pos="1965" w:val="left" w:leader="none"/>
        </w:tabs>
        <w:spacing w:line="211" w:lineRule="auto" w:before="0" w:after="0"/>
        <w:ind w:left="1964" w:right="1660" w:hanging="681"/>
        <w:jc w:val="left"/>
        <w:rPr>
          <w:sz w:val="20"/>
        </w:rPr>
      </w:pPr>
      <w:r>
        <w:rPr>
          <w:w w:val="120"/>
          <w:sz w:val="20"/>
        </w:rPr>
        <w:t>What stories can you find of churches that have good inclusion of those aged </w:t>
      </w:r>
      <w:r>
        <w:rPr>
          <w:spacing w:val="3"/>
          <w:w w:val="120"/>
          <w:sz w:val="20"/>
        </w:rPr>
        <w:t>20-40 </w:t>
      </w:r>
      <w:r>
        <w:rPr>
          <w:w w:val="120"/>
          <w:sz w:val="20"/>
        </w:rPr>
        <w:t>and what can we learn from</w:t>
      </w:r>
      <w:r>
        <w:rPr>
          <w:spacing w:val="10"/>
          <w:w w:val="120"/>
          <w:sz w:val="20"/>
        </w:rPr>
        <w:t> </w:t>
      </w:r>
      <w:r>
        <w:rPr>
          <w:w w:val="120"/>
          <w:sz w:val="20"/>
        </w:rPr>
        <w:t>them?</w:t>
      </w:r>
    </w:p>
    <w:p>
      <w:pPr>
        <w:pStyle w:val="BodyText"/>
        <w:spacing w:before="8"/>
      </w:pPr>
    </w:p>
    <w:p>
      <w:pPr>
        <w:pStyle w:val="ListParagraph"/>
        <w:numPr>
          <w:ilvl w:val="3"/>
          <w:numId w:val="23"/>
        </w:numPr>
        <w:tabs>
          <w:tab w:pos="1964" w:val="left" w:leader="none"/>
          <w:tab w:pos="1965" w:val="left" w:leader="none"/>
        </w:tabs>
        <w:spacing w:line="223" w:lineRule="auto" w:before="0" w:after="0"/>
        <w:ind w:left="1964" w:right="1325" w:hanging="681"/>
        <w:jc w:val="left"/>
        <w:rPr>
          <w:sz w:val="20"/>
        </w:rPr>
      </w:pPr>
      <w:r>
        <w:rPr>
          <w:w w:val="120"/>
          <w:sz w:val="20"/>
        </w:rPr>
        <w:t>Ask your synod or ecumenical contacts which churches in your area engage well with people age </w:t>
      </w:r>
      <w:r>
        <w:rPr>
          <w:spacing w:val="3"/>
          <w:w w:val="120"/>
          <w:sz w:val="20"/>
        </w:rPr>
        <w:t>20-40 </w:t>
      </w:r>
      <w:r>
        <w:rPr>
          <w:w w:val="120"/>
          <w:sz w:val="20"/>
        </w:rPr>
        <w:t>and arrange to visit their worship or other significant activities which include this age</w:t>
      </w:r>
      <w:r>
        <w:rPr>
          <w:spacing w:val="14"/>
          <w:w w:val="120"/>
          <w:sz w:val="20"/>
        </w:rPr>
        <w:t> </w:t>
      </w:r>
      <w:r>
        <w:rPr>
          <w:w w:val="120"/>
          <w:sz w:val="20"/>
        </w:rPr>
        <w:t>group.</w:t>
      </w:r>
    </w:p>
    <w:p>
      <w:pPr>
        <w:pStyle w:val="BodyText"/>
        <w:spacing w:before="2"/>
        <w:rPr>
          <w:sz w:val="22"/>
        </w:rPr>
      </w:pPr>
    </w:p>
    <w:p>
      <w:pPr>
        <w:pStyle w:val="Heading4"/>
        <w:ind w:left="1284" w:firstLine="0"/>
      </w:pPr>
      <w:r>
        <w:rPr>
          <w:w w:val="110"/>
        </w:rPr>
        <w:t>Questions leading to change?</w:t>
      </w:r>
    </w:p>
    <w:p>
      <w:pPr>
        <w:pStyle w:val="ListParagraph"/>
        <w:numPr>
          <w:ilvl w:val="3"/>
          <w:numId w:val="23"/>
        </w:numPr>
        <w:tabs>
          <w:tab w:pos="1964" w:val="left" w:leader="none"/>
          <w:tab w:pos="1965" w:val="left" w:leader="none"/>
        </w:tabs>
        <w:spacing w:line="208" w:lineRule="auto" w:before="86" w:after="0"/>
        <w:ind w:left="1964" w:right="1598" w:hanging="681"/>
        <w:jc w:val="left"/>
        <w:rPr>
          <w:sz w:val="20"/>
        </w:rPr>
      </w:pPr>
      <w:r>
        <w:rPr>
          <w:w w:val="120"/>
          <w:sz w:val="20"/>
        </w:rPr>
        <w:t>Do people age </w:t>
      </w:r>
      <w:r>
        <w:rPr>
          <w:spacing w:val="3"/>
          <w:w w:val="120"/>
          <w:sz w:val="20"/>
        </w:rPr>
        <w:t>20-40 </w:t>
      </w:r>
      <w:r>
        <w:rPr>
          <w:w w:val="120"/>
          <w:sz w:val="20"/>
        </w:rPr>
        <w:t>regularly participate in leading worship at your church? If not, what realistic steps could you take to change this, if</w:t>
      </w:r>
      <w:r>
        <w:rPr>
          <w:spacing w:val="16"/>
          <w:w w:val="120"/>
          <w:sz w:val="20"/>
        </w:rPr>
        <w:t> </w:t>
      </w:r>
      <w:r>
        <w:rPr>
          <w:spacing w:val="-5"/>
          <w:w w:val="120"/>
          <w:sz w:val="20"/>
        </w:rPr>
        <w:t>any?</w:t>
      </w:r>
    </w:p>
    <w:p>
      <w:pPr>
        <w:pStyle w:val="BodyText"/>
        <w:spacing w:before="9"/>
        <w:rPr>
          <w:sz w:val="21"/>
        </w:rPr>
      </w:pPr>
    </w:p>
    <w:p>
      <w:pPr>
        <w:pStyle w:val="ListParagraph"/>
        <w:numPr>
          <w:ilvl w:val="3"/>
          <w:numId w:val="23"/>
        </w:numPr>
        <w:tabs>
          <w:tab w:pos="1964" w:val="left" w:leader="none"/>
          <w:tab w:pos="1965" w:val="left" w:leader="none"/>
        </w:tabs>
        <w:spacing w:line="208" w:lineRule="auto" w:before="0" w:after="0"/>
        <w:ind w:left="1964" w:right="1591" w:hanging="681"/>
        <w:jc w:val="left"/>
        <w:rPr>
          <w:sz w:val="20"/>
        </w:rPr>
      </w:pPr>
      <w:r>
        <w:rPr>
          <w:w w:val="120"/>
          <w:sz w:val="20"/>
        </w:rPr>
        <w:t>Are any of your church elders age </w:t>
      </w:r>
      <w:r>
        <w:rPr>
          <w:spacing w:val="2"/>
          <w:w w:val="120"/>
          <w:sz w:val="20"/>
        </w:rPr>
        <w:t>20-40? </w:t>
      </w:r>
      <w:r>
        <w:rPr>
          <w:w w:val="120"/>
          <w:sz w:val="20"/>
        </w:rPr>
        <w:t>If not, what realistic steps could you take to change this, if</w:t>
      </w:r>
      <w:r>
        <w:rPr>
          <w:spacing w:val="8"/>
          <w:w w:val="120"/>
          <w:sz w:val="20"/>
        </w:rPr>
        <w:t> </w:t>
      </w:r>
      <w:r>
        <w:rPr>
          <w:spacing w:val="-5"/>
          <w:w w:val="120"/>
          <w:sz w:val="20"/>
        </w:rPr>
        <w:t>any?</w:t>
      </w:r>
    </w:p>
    <w:p>
      <w:pPr>
        <w:spacing w:after="0" w:line="208" w:lineRule="auto"/>
        <w:jc w:val="left"/>
        <w:rPr>
          <w:sz w:val="20"/>
        </w:rPr>
        <w:sectPr>
          <w:type w:val="continuous"/>
          <w:pgSz w:w="11910" w:h="16840"/>
          <w:pgMar w:top="1580" w:bottom="280" w:left="700" w:right="0"/>
        </w:sectPr>
      </w:pPr>
    </w:p>
    <w:p>
      <w:pPr>
        <w:pStyle w:val="BodyText"/>
      </w:pPr>
      <w:r>
        <w:rPr/>
        <w:drawing>
          <wp:anchor distT="0" distB="0" distL="0" distR="0" allowOverlap="1" layoutInCell="1" locked="0" behindDoc="1" simplePos="0" relativeHeight="235785216">
            <wp:simplePos x="0" y="0"/>
            <wp:positionH relativeFrom="page">
              <wp:posOffset>0</wp:posOffset>
            </wp:positionH>
            <wp:positionV relativeFrom="page">
              <wp:posOffset>0</wp:posOffset>
            </wp:positionV>
            <wp:extent cx="594067" cy="10692003"/>
            <wp:effectExtent l="0" t="0" r="0" b="0"/>
            <wp:wrapNone/>
            <wp:docPr id="59" name="image49.png"/>
            <wp:cNvGraphicFramePr>
              <a:graphicFrameLocks noChangeAspect="1"/>
            </wp:cNvGraphicFramePr>
            <a:graphic>
              <a:graphicData uri="http://schemas.openxmlformats.org/drawingml/2006/picture">
                <pic:pic>
                  <pic:nvPicPr>
                    <pic:cNvPr id="60"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38.85pt;mso-position-horizontal-relative:page;mso-position-vertical-relative:page;z-index:-26753024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w w:val="120"/>
                      <w:sz w:val="39"/>
                    </w:rPr>
                    <w:t>Appendix five – </w:t>
                  </w:r>
                  <w:r>
                    <w:rPr>
                      <w:rFonts w:ascii="Stone Sans II ITC Std Lt" w:hAnsi="Stone Sans II ITC Std Lt"/>
                      <w:b w:val="0"/>
                      <w:w w:val="120"/>
                      <w:sz w:val="39"/>
                    </w:rPr>
                    <w:t>20-40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0"/>
          <w:numId w:val="21"/>
        </w:numPr>
        <w:tabs>
          <w:tab w:pos="1227" w:val="left" w:leader="none"/>
          <w:tab w:pos="1228" w:val="left" w:leader="none"/>
        </w:tabs>
        <w:spacing w:line="223" w:lineRule="auto" w:before="229" w:after="0"/>
        <w:ind w:left="1227" w:right="2239" w:hanging="681"/>
        <w:jc w:val="both"/>
        <w:rPr>
          <w:sz w:val="20"/>
        </w:rPr>
      </w:pPr>
      <w:r>
        <w:rPr>
          <w:w w:val="120"/>
          <w:sz w:val="20"/>
        </w:rPr>
        <w:t>Does your church have more than one ‘congregation’ in order to connect with different generations? If not, what realistic steps could you take to change this, if</w:t>
      </w:r>
      <w:r>
        <w:rPr>
          <w:spacing w:val="1"/>
          <w:w w:val="120"/>
          <w:sz w:val="20"/>
        </w:rPr>
        <w:t> </w:t>
      </w:r>
      <w:r>
        <w:rPr>
          <w:spacing w:val="-9"/>
          <w:w w:val="120"/>
          <w:sz w:val="20"/>
        </w:rPr>
        <w:t>any?</w:t>
      </w:r>
    </w:p>
    <w:p>
      <w:pPr>
        <w:pStyle w:val="BodyText"/>
        <w:spacing w:before="2"/>
        <w:rPr>
          <w:sz w:val="21"/>
        </w:rPr>
      </w:pPr>
    </w:p>
    <w:p>
      <w:pPr>
        <w:pStyle w:val="ListParagraph"/>
        <w:numPr>
          <w:ilvl w:val="0"/>
          <w:numId w:val="21"/>
        </w:numPr>
        <w:tabs>
          <w:tab w:pos="1227" w:val="left" w:leader="none"/>
          <w:tab w:pos="1228" w:val="left" w:leader="none"/>
        </w:tabs>
        <w:spacing w:line="208" w:lineRule="auto" w:before="0" w:after="0"/>
        <w:ind w:left="1227" w:right="2236" w:hanging="681"/>
        <w:jc w:val="both"/>
        <w:rPr>
          <w:sz w:val="20"/>
        </w:rPr>
      </w:pPr>
      <w:r>
        <w:rPr>
          <w:w w:val="120"/>
          <w:sz w:val="20"/>
        </w:rPr>
        <w:t>Do those age </w:t>
      </w:r>
      <w:r>
        <w:rPr>
          <w:spacing w:val="3"/>
          <w:w w:val="120"/>
          <w:sz w:val="20"/>
        </w:rPr>
        <w:t>20-40 </w:t>
      </w:r>
      <w:r>
        <w:rPr>
          <w:w w:val="120"/>
          <w:sz w:val="20"/>
        </w:rPr>
        <w:t>take </w:t>
      </w:r>
      <w:r>
        <w:rPr>
          <w:spacing w:val="2"/>
          <w:w w:val="120"/>
          <w:sz w:val="20"/>
        </w:rPr>
        <w:t>part </w:t>
      </w:r>
      <w:r>
        <w:rPr>
          <w:w w:val="120"/>
          <w:sz w:val="20"/>
        </w:rPr>
        <w:t>in your local church decision making, if not what realistic steps could you take to change this, if</w:t>
      </w:r>
      <w:r>
        <w:rPr>
          <w:spacing w:val="15"/>
          <w:w w:val="120"/>
          <w:sz w:val="20"/>
        </w:rPr>
        <w:t> </w:t>
      </w:r>
      <w:r>
        <w:rPr>
          <w:spacing w:val="-5"/>
          <w:w w:val="120"/>
          <w:sz w:val="20"/>
        </w:rPr>
        <w:t>any?</w:t>
      </w:r>
    </w:p>
    <w:p>
      <w:pPr>
        <w:pStyle w:val="BodyText"/>
        <w:spacing w:before="9"/>
        <w:rPr>
          <w:sz w:val="21"/>
        </w:rPr>
      </w:pPr>
    </w:p>
    <w:p>
      <w:pPr>
        <w:pStyle w:val="ListParagraph"/>
        <w:numPr>
          <w:ilvl w:val="0"/>
          <w:numId w:val="21"/>
        </w:numPr>
        <w:tabs>
          <w:tab w:pos="1227" w:val="left" w:leader="none"/>
          <w:tab w:pos="1228" w:val="left" w:leader="none"/>
        </w:tabs>
        <w:spacing w:line="208" w:lineRule="auto" w:before="0" w:after="0"/>
        <w:ind w:left="1227" w:right="2261" w:hanging="681"/>
        <w:jc w:val="both"/>
        <w:rPr>
          <w:sz w:val="20"/>
        </w:rPr>
      </w:pPr>
      <w:r>
        <w:rPr>
          <w:w w:val="120"/>
          <w:sz w:val="20"/>
        </w:rPr>
        <w:t>What changes has, or could, your local church make to make connections with </w:t>
      </w:r>
      <w:r>
        <w:rPr>
          <w:spacing w:val="3"/>
          <w:w w:val="120"/>
          <w:sz w:val="20"/>
        </w:rPr>
        <w:t>20-40s</w:t>
      </w:r>
      <w:r>
        <w:rPr>
          <w:spacing w:val="1"/>
          <w:w w:val="120"/>
          <w:sz w:val="20"/>
        </w:rPr>
        <w:t> </w:t>
      </w:r>
      <w:r>
        <w:rPr>
          <w:spacing w:val="-3"/>
          <w:w w:val="120"/>
          <w:sz w:val="20"/>
        </w:rPr>
        <w:t>easier?</w:t>
      </w:r>
    </w:p>
    <w:p>
      <w:pPr>
        <w:pStyle w:val="BodyText"/>
        <w:spacing w:before="8"/>
        <w:rPr>
          <w:sz w:val="21"/>
        </w:rPr>
      </w:pPr>
    </w:p>
    <w:p>
      <w:pPr>
        <w:pStyle w:val="ListParagraph"/>
        <w:numPr>
          <w:ilvl w:val="0"/>
          <w:numId w:val="21"/>
        </w:numPr>
        <w:tabs>
          <w:tab w:pos="1227" w:val="left" w:leader="none"/>
          <w:tab w:pos="1228" w:val="left" w:leader="none"/>
        </w:tabs>
        <w:spacing w:line="208" w:lineRule="auto" w:before="0" w:after="0"/>
        <w:ind w:left="1227" w:right="2010" w:hanging="681"/>
        <w:jc w:val="left"/>
        <w:rPr>
          <w:sz w:val="20"/>
        </w:rPr>
      </w:pPr>
      <w:r>
        <w:rPr>
          <w:w w:val="120"/>
          <w:sz w:val="20"/>
        </w:rPr>
        <w:t>Are there any aspects of your churches life which you would not want to change, and</w:t>
      </w:r>
      <w:r>
        <w:rPr>
          <w:spacing w:val="2"/>
          <w:w w:val="120"/>
          <w:sz w:val="20"/>
        </w:rPr>
        <w:t> </w:t>
      </w:r>
      <w:r>
        <w:rPr>
          <w:spacing w:val="-8"/>
          <w:w w:val="120"/>
          <w:sz w:val="20"/>
        </w:rPr>
        <w:t>why?</w:t>
      </w:r>
    </w:p>
    <w:p>
      <w:pPr>
        <w:pStyle w:val="BodyText"/>
        <w:spacing w:before="9"/>
        <w:rPr>
          <w:sz w:val="22"/>
        </w:rPr>
      </w:pPr>
    </w:p>
    <w:p>
      <w:pPr>
        <w:pStyle w:val="Heading4"/>
        <w:ind w:left="547" w:firstLine="0"/>
      </w:pPr>
      <w:r>
        <w:rPr>
          <w:w w:val="110"/>
        </w:rPr>
        <w:t>Communication</w:t>
      </w:r>
    </w:p>
    <w:p>
      <w:pPr>
        <w:pStyle w:val="ListParagraph"/>
        <w:numPr>
          <w:ilvl w:val="0"/>
          <w:numId w:val="21"/>
        </w:numPr>
        <w:tabs>
          <w:tab w:pos="1227" w:val="left" w:leader="none"/>
          <w:tab w:pos="1228" w:val="left" w:leader="none"/>
        </w:tabs>
        <w:spacing w:line="208" w:lineRule="auto" w:before="86" w:after="0"/>
        <w:ind w:left="1227" w:right="2352" w:hanging="681"/>
        <w:jc w:val="left"/>
        <w:rPr>
          <w:sz w:val="20"/>
        </w:rPr>
      </w:pPr>
      <w:r>
        <w:rPr>
          <w:w w:val="120"/>
          <w:sz w:val="20"/>
        </w:rPr>
        <w:t>What activities in your church are specifically aimed at those in the </w:t>
      </w:r>
      <w:r>
        <w:rPr>
          <w:spacing w:val="3"/>
          <w:w w:val="120"/>
          <w:sz w:val="20"/>
        </w:rPr>
        <w:t>20-40 </w:t>
      </w:r>
      <w:r>
        <w:rPr>
          <w:w w:val="120"/>
          <w:sz w:val="20"/>
        </w:rPr>
        <w:t>age range and how is this</w:t>
      </w:r>
      <w:r>
        <w:rPr>
          <w:spacing w:val="11"/>
          <w:w w:val="120"/>
          <w:sz w:val="20"/>
        </w:rPr>
        <w:t> </w:t>
      </w:r>
      <w:r>
        <w:rPr>
          <w:w w:val="120"/>
          <w:sz w:val="20"/>
        </w:rPr>
        <w:t>communicated?</w:t>
      </w:r>
    </w:p>
    <w:p>
      <w:pPr>
        <w:pStyle w:val="BodyText"/>
      </w:pPr>
    </w:p>
    <w:p>
      <w:pPr>
        <w:pStyle w:val="ListParagraph"/>
        <w:numPr>
          <w:ilvl w:val="0"/>
          <w:numId w:val="21"/>
        </w:numPr>
        <w:tabs>
          <w:tab w:pos="1227" w:val="left" w:leader="none"/>
          <w:tab w:pos="1228" w:val="left" w:leader="none"/>
        </w:tabs>
        <w:spacing w:line="240" w:lineRule="auto" w:before="0" w:after="0"/>
        <w:ind w:left="1227" w:right="0" w:hanging="681"/>
        <w:jc w:val="left"/>
        <w:rPr>
          <w:sz w:val="20"/>
        </w:rPr>
      </w:pPr>
      <w:r>
        <w:rPr>
          <w:w w:val="120"/>
          <w:sz w:val="20"/>
        </w:rPr>
        <w:t>How does your church use social media? Could you be more</w:t>
      </w:r>
      <w:r>
        <w:rPr>
          <w:spacing w:val="25"/>
          <w:w w:val="120"/>
          <w:sz w:val="20"/>
        </w:rPr>
        <w:t> </w:t>
      </w:r>
      <w:r>
        <w:rPr>
          <w:w w:val="120"/>
          <w:sz w:val="20"/>
        </w:rPr>
        <w:t>effective?</w:t>
      </w:r>
    </w:p>
    <w:p>
      <w:pPr>
        <w:pStyle w:val="ListParagraph"/>
        <w:numPr>
          <w:ilvl w:val="0"/>
          <w:numId w:val="21"/>
        </w:numPr>
        <w:tabs>
          <w:tab w:pos="1227" w:val="left" w:leader="none"/>
          <w:tab w:pos="1228" w:val="left" w:leader="none"/>
        </w:tabs>
        <w:spacing w:line="208" w:lineRule="auto" w:before="226" w:after="0"/>
        <w:ind w:left="1227" w:right="2361" w:hanging="681"/>
        <w:jc w:val="left"/>
        <w:rPr>
          <w:sz w:val="20"/>
        </w:rPr>
      </w:pPr>
      <w:r>
        <w:rPr>
          <w:w w:val="120"/>
          <w:sz w:val="20"/>
        </w:rPr>
        <w:t>Many people age </w:t>
      </w:r>
      <w:r>
        <w:rPr>
          <w:spacing w:val="3"/>
          <w:w w:val="120"/>
          <w:sz w:val="20"/>
        </w:rPr>
        <w:t>20-40 </w:t>
      </w:r>
      <w:r>
        <w:rPr>
          <w:w w:val="120"/>
          <w:sz w:val="20"/>
        </w:rPr>
        <w:t>think you have to first believe in order to belong to a church. How could your church communicate a change to this</w:t>
      </w:r>
      <w:r>
        <w:rPr>
          <w:spacing w:val="9"/>
          <w:w w:val="120"/>
          <w:sz w:val="20"/>
        </w:rPr>
        <w:t> </w:t>
      </w:r>
      <w:r>
        <w:rPr>
          <w:w w:val="120"/>
          <w:sz w:val="20"/>
        </w:rPr>
        <w:t>perception?</w:t>
      </w:r>
    </w:p>
    <w:p>
      <w:pPr>
        <w:pStyle w:val="BodyText"/>
        <w:spacing w:before="7"/>
        <w:rPr>
          <w:sz w:val="21"/>
        </w:rPr>
      </w:pPr>
    </w:p>
    <w:p>
      <w:pPr>
        <w:pStyle w:val="ListParagraph"/>
        <w:numPr>
          <w:ilvl w:val="0"/>
          <w:numId w:val="21"/>
        </w:numPr>
        <w:tabs>
          <w:tab w:pos="1227" w:val="left" w:leader="none"/>
          <w:tab w:pos="1228" w:val="left" w:leader="none"/>
        </w:tabs>
        <w:spacing w:line="211" w:lineRule="auto" w:before="0" w:after="0"/>
        <w:ind w:left="1227" w:right="2711" w:hanging="681"/>
        <w:jc w:val="left"/>
        <w:rPr>
          <w:sz w:val="20"/>
        </w:rPr>
      </w:pPr>
      <w:r>
        <w:rPr>
          <w:w w:val="120"/>
          <w:sz w:val="20"/>
        </w:rPr>
        <w:t>How does your church communicate its vision, its mission, or its purpose? Does what you present feel attractive or relevant to those age</w:t>
      </w:r>
      <w:r>
        <w:rPr>
          <w:spacing w:val="15"/>
          <w:w w:val="120"/>
          <w:sz w:val="20"/>
        </w:rPr>
        <w:t> </w:t>
      </w:r>
      <w:r>
        <w:rPr>
          <w:spacing w:val="2"/>
          <w:w w:val="120"/>
          <w:sz w:val="20"/>
        </w:rPr>
        <w:t>20-40?</w:t>
      </w:r>
    </w:p>
    <w:p>
      <w:pPr>
        <w:pStyle w:val="BodyText"/>
        <w:spacing w:before="6"/>
        <w:rPr>
          <w:sz w:val="22"/>
        </w:rPr>
      </w:pPr>
    </w:p>
    <w:p>
      <w:pPr>
        <w:pStyle w:val="Heading4"/>
        <w:ind w:left="547" w:firstLine="0"/>
      </w:pPr>
      <w:r>
        <w:rPr>
          <w:w w:val="110"/>
        </w:rPr>
        <w:t>Prayer</w:t>
      </w:r>
    </w:p>
    <w:p>
      <w:pPr>
        <w:pStyle w:val="BodyText"/>
        <w:spacing w:line="235" w:lineRule="auto" w:before="69"/>
        <w:ind w:left="547" w:right="2003"/>
      </w:pPr>
      <w:r>
        <w:rPr>
          <w:w w:val="120"/>
        </w:rPr>
        <w:t>Spend some time now to pray for those in your church and in the wider community age 20-40, exploring if possible the challenges and aspirations of this generation.</w:t>
      </w:r>
    </w:p>
    <w:p>
      <w:pPr>
        <w:pStyle w:val="BodyText"/>
        <w:spacing w:before="1"/>
        <w:rPr>
          <w:sz w:val="22"/>
        </w:rPr>
      </w:pPr>
    </w:p>
    <w:p>
      <w:pPr>
        <w:pStyle w:val="Heading4"/>
        <w:spacing w:before="1"/>
        <w:ind w:left="547" w:firstLine="0"/>
      </w:pPr>
      <w:r>
        <w:rPr>
          <w:w w:val="110"/>
        </w:rPr>
        <w:t>Key </w:t>
      </w:r>
      <w:r>
        <w:rPr>
          <w:spacing w:val="4"/>
          <w:w w:val="110"/>
        </w:rPr>
        <w:t>components </w:t>
      </w:r>
      <w:r>
        <w:rPr>
          <w:w w:val="110"/>
        </w:rPr>
        <w:t>of </w:t>
      </w:r>
      <w:r>
        <w:rPr>
          <w:spacing w:val="4"/>
          <w:w w:val="110"/>
        </w:rPr>
        <w:t>effective ministry </w:t>
      </w:r>
      <w:r>
        <w:rPr>
          <w:w w:val="110"/>
        </w:rPr>
        <w:t>to</w:t>
      </w:r>
      <w:r>
        <w:rPr>
          <w:spacing w:val="67"/>
          <w:w w:val="110"/>
        </w:rPr>
        <w:t> </w:t>
      </w:r>
      <w:r>
        <w:rPr>
          <w:spacing w:val="7"/>
          <w:w w:val="110"/>
        </w:rPr>
        <w:t>20-40s:</w:t>
      </w:r>
    </w:p>
    <w:p>
      <w:pPr>
        <w:pStyle w:val="ListParagraph"/>
        <w:numPr>
          <w:ilvl w:val="0"/>
          <w:numId w:val="24"/>
        </w:numPr>
        <w:tabs>
          <w:tab w:pos="1227" w:val="left" w:leader="none"/>
          <w:tab w:pos="1228" w:val="left" w:leader="none"/>
        </w:tabs>
        <w:spacing w:line="235" w:lineRule="auto" w:before="69" w:after="0"/>
        <w:ind w:left="1227" w:right="2592" w:hanging="681"/>
        <w:jc w:val="left"/>
        <w:rPr>
          <w:sz w:val="20"/>
        </w:rPr>
      </w:pPr>
      <w:r>
        <w:rPr>
          <w:w w:val="120"/>
          <w:sz w:val="20"/>
        </w:rPr>
        <w:t>Empowering, visionary leadership – whether we like it or not, Ministers are key</w:t>
      </w:r>
      <w:r>
        <w:rPr>
          <w:spacing w:val="2"/>
          <w:w w:val="120"/>
          <w:sz w:val="20"/>
        </w:rPr>
        <w:t> </w:t>
      </w:r>
      <w:r>
        <w:rPr>
          <w:w w:val="120"/>
          <w:sz w:val="20"/>
        </w:rPr>
        <w:t>people.</w:t>
      </w:r>
    </w:p>
    <w:p>
      <w:pPr>
        <w:pStyle w:val="ListParagraph"/>
        <w:numPr>
          <w:ilvl w:val="0"/>
          <w:numId w:val="24"/>
        </w:numPr>
        <w:tabs>
          <w:tab w:pos="1227" w:val="left" w:leader="none"/>
          <w:tab w:pos="1228" w:val="left" w:leader="none"/>
        </w:tabs>
        <w:spacing w:line="235" w:lineRule="auto" w:before="171" w:after="0"/>
        <w:ind w:left="1227" w:right="2287" w:hanging="681"/>
        <w:jc w:val="left"/>
        <w:rPr>
          <w:sz w:val="20"/>
        </w:rPr>
      </w:pPr>
      <w:r>
        <w:rPr>
          <w:w w:val="120"/>
          <w:sz w:val="20"/>
        </w:rPr>
        <w:t>Significant leadership roles for under 40s – people with a stake are more likely to stay</w:t>
      </w:r>
      <w:r>
        <w:rPr>
          <w:spacing w:val="3"/>
          <w:w w:val="120"/>
          <w:sz w:val="20"/>
        </w:rPr>
        <w:t> </w:t>
      </w:r>
      <w:r>
        <w:rPr>
          <w:w w:val="120"/>
          <w:sz w:val="20"/>
        </w:rPr>
        <w:t>involved.</w:t>
      </w:r>
    </w:p>
    <w:p>
      <w:pPr>
        <w:pStyle w:val="ListParagraph"/>
        <w:numPr>
          <w:ilvl w:val="0"/>
          <w:numId w:val="24"/>
        </w:numPr>
        <w:tabs>
          <w:tab w:pos="1227" w:val="left" w:leader="none"/>
          <w:tab w:pos="1228" w:val="left" w:leader="none"/>
        </w:tabs>
        <w:spacing w:line="235" w:lineRule="auto" w:before="172" w:after="0"/>
        <w:ind w:left="1227" w:right="2519" w:hanging="681"/>
        <w:jc w:val="left"/>
        <w:rPr>
          <w:sz w:val="20"/>
        </w:rPr>
      </w:pPr>
      <w:r>
        <w:rPr>
          <w:spacing w:val="-4"/>
          <w:w w:val="120"/>
          <w:sz w:val="20"/>
        </w:rPr>
        <w:t>Team </w:t>
      </w:r>
      <w:r>
        <w:rPr>
          <w:w w:val="120"/>
          <w:sz w:val="20"/>
        </w:rPr>
        <w:t>ministry – a sense of a range of people being involved in ministry, not necessarily a formal staff</w:t>
      </w:r>
      <w:r>
        <w:rPr>
          <w:spacing w:val="4"/>
          <w:w w:val="120"/>
          <w:sz w:val="20"/>
        </w:rPr>
        <w:t> </w:t>
      </w:r>
      <w:r>
        <w:rPr>
          <w:w w:val="120"/>
          <w:sz w:val="20"/>
        </w:rPr>
        <w:t>team.</w:t>
      </w:r>
    </w:p>
    <w:p>
      <w:pPr>
        <w:pStyle w:val="ListParagraph"/>
        <w:numPr>
          <w:ilvl w:val="0"/>
          <w:numId w:val="24"/>
        </w:numPr>
        <w:tabs>
          <w:tab w:pos="1227" w:val="left" w:leader="none"/>
          <w:tab w:pos="1228" w:val="left" w:leader="none"/>
        </w:tabs>
        <w:spacing w:line="235" w:lineRule="auto" w:before="171" w:after="0"/>
        <w:ind w:left="1227" w:right="2272" w:hanging="681"/>
        <w:jc w:val="left"/>
        <w:rPr>
          <w:sz w:val="20"/>
        </w:rPr>
      </w:pPr>
      <w:r>
        <w:rPr>
          <w:w w:val="120"/>
          <w:sz w:val="20"/>
        </w:rPr>
        <w:t>Supportive church structures – a commitment to allow the time and resources necessary to engage and</w:t>
      </w:r>
      <w:r>
        <w:rPr>
          <w:spacing w:val="10"/>
          <w:w w:val="120"/>
          <w:sz w:val="20"/>
        </w:rPr>
        <w:t> </w:t>
      </w:r>
      <w:r>
        <w:rPr>
          <w:spacing w:val="-3"/>
          <w:w w:val="120"/>
          <w:sz w:val="20"/>
        </w:rPr>
        <w:t>grow.</w:t>
      </w:r>
    </w:p>
    <w:p>
      <w:pPr>
        <w:pStyle w:val="ListParagraph"/>
        <w:numPr>
          <w:ilvl w:val="0"/>
          <w:numId w:val="24"/>
        </w:numPr>
        <w:tabs>
          <w:tab w:pos="1227" w:val="left" w:leader="none"/>
          <w:tab w:pos="1228" w:val="left" w:leader="none"/>
        </w:tabs>
        <w:spacing w:line="235" w:lineRule="auto" w:before="172" w:after="0"/>
        <w:ind w:left="1227" w:right="2817" w:hanging="681"/>
        <w:jc w:val="left"/>
        <w:rPr>
          <w:sz w:val="20"/>
        </w:rPr>
      </w:pPr>
      <w:r>
        <w:rPr>
          <w:w w:val="120"/>
          <w:sz w:val="20"/>
        </w:rPr>
        <w:t>Intentional discipleship programmes – a clear priority for everyone to be involved in a programme of growth and</w:t>
      </w:r>
      <w:r>
        <w:rPr>
          <w:spacing w:val="27"/>
          <w:w w:val="120"/>
          <w:sz w:val="20"/>
        </w:rPr>
        <w:t> </w:t>
      </w:r>
      <w:r>
        <w:rPr>
          <w:w w:val="120"/>
          <w:sz w:val="20"/>
        </w:rPr>
        <w:t>resourcing.</w:t>
      </w:r>
    </w:p>
    <w:p>
      <w:pPr>
        <w:pStyle w:val="ListParagraph"/>
        <w:numPr>
          <w:ilvl w:val="0"/>
          <w:numId w:val="24"/>
        </w:numPr>
        <w:tabs>
          <w:tab w:pos="1227" w:val="left" w:leader="none"/>
          <w:tab w:pos="1228" w:val="left" w:leader="none"/>
        </w:tabs>
        <w:spacing w:line="235" w:lineRule="auto" w:before="171" w:after="0"/>
        <w:ind w:left="1227" w:right="2483" w:hanging="681"/>
        <w:jc w:val="left"/>
        <w:rPr>
          <w:sz w:val="20"/>
        </w:rPr>
      </w:pPr>
      <w:r>
        <w:rPr>
          <w:w w:val="120"/>
          <w:sz w:val="20"/>
        </w:rPr>
        <w:t>Encouragement to be actively involved in church life – taking </w:t>
      </w:r>
      <w:r>
        <w:rPr>
          <w:spacing w:val="2"/>
          <w:w w:val="120"/>
          <w:sz w:val="20"/>
        </w:rPr>
        <w:t>part </w:t>
      </w:r>
      <w:r>
        <w:rPr>
          <w:w w:val="120"/>
          <w:sz w:val="20"/>
        </w:rPr>
        <w:t>leads to a sense of belonging and</w:t>
      </w:r>
      <w:r>
        <w:rPr>
          <w:spacing w:val="10"/>
          <w:w w:val="120"/>
          <w:sz w:val="20"/>
        </w:rPr>
        <w:t> </w:t>
      </w:r>
      <w:r>
        <w:rPr>
          <w:w w:val="120"/>
          <w:sz w:val="20"/>
        </w:rPr>
        <w:t>ownership.</w:t>
      </w:r>
    </w:p>
    <w:p>
      <w:pPr>
        <w:pStyle w:val="ListParagraph"/>
        <w:numPr>
          <w:ilvl w:val="0"/>
          <w:numId w:val="24"/>
        </w:numPr>
        <w:tabs>
          <w:tab w:pos="1227" w:val="left" w:leader="none"/>
          <w:tab w:pos="1228" w:val="left" w:leader="none"/>
        </w:tabs>
        <w:spacing w:line="235" w:lineRule="auto" w:before="172" w:after="0"/>
        <w:ind w:left="1227" w:right="1985" w:hanging="681"/>
        <w:jc w:val="left"/>
        <w:rPr>
          <w:sz w:val="20"/>
        </w:rPr>
      </w:pPr>
      <w:r>
        <w:rPr>
          <w:w w:val="120"/>
          <w:sz w:val="20"/>
        </w:rPr>
        <w:t>Inspirational, relevant worship – it may be that a variety of worship opportunities are</w:t>
      </w:r>
      <w:r>
        <w:rPr>
          <w:spacing w:val="2"/>
          <w:w w:val="120"/>
          <w:sz w:val="20"/>
        </w:rPr>
        <w:t> </w:t>
      </w:r>
      <w:r>
        <w:rPr>
          <w:w w:val="120"/>
          <w:sz w:val="20"/>
        </w:rPr>
        <w:t>needed.</w:t>
      </w:r>
    </w:p>
    <w:p>
      <w:pPr>
        <w:pStyle w:val="ListParagraph"/>
        <w:numPr>
          <w:ilvl w:val="0"/>
          <w:numId w:val="24"/>
        </w:numPr>
        <w:tabs>
          <w:tab w:pos="1227" w:val="left" w:leader="none"/>
          <w:tab w:pos="1228" w:val="left" w:leader="none"/>
        </w:tabs>
        <w:spacing w:line="235" w:lineRule="auto" w:before="171" w:after="0"/>
        <w:ind w:left="1227" w:right="2127" w:hanging="681"/>
        <w:jc w:val="left"/>
        <w:rPr>
          <w:sz w:val="20"/>
        </w:rPr>
      </w:pPr>
      <w:r>
        <w:rPr>
          <w:w w:val="120"/>
          <w:sz w:val="20"/>
        </w:rPr>
        <w:t>A commitment to build and maintain meaningful relationships – friends inviting friends is central to any mission and evangelism</w:t>
      </w:r>
      <w:r>
        <w:rPr>
          <w:spacing w:val="12"/>
          <w:w w:val="120"/>
          <w:sz w:val="20"/>
        </w:rPr>
        <w:t> </w:t>
      </w:r>
      <w:r>
        <w:rPr>
          <w:w w:val="120"/>
          <w:sz w:val="20"/>
        </w:rPr>
        <w:t>strategy.</w:t>
      </w:r>
    </w:p>
    <w:p>
      <w:pPr>
        <w:pStyle w:val="ListParagraph"/>
        <w:numPr>
          <w:ilvl w:val="0"/>
          <w:numId w:val="24"/>
        </w:numPr>
        <w:tabs>
          <w:tab w:pos="1227" w:val="left" w:leader="none"/>
          <w:tab w:pos="1228" w:val="left" w:leader="none"/>
        </w:tabs>
        <w:spacing w:line="235" w:lineRule="auto" w:before="172" w:after="0"/>
        <w:ind w:left="1227" w:right="2251" w:hanging="681"/>
        <w:jc w:val="left"/>
        <w:rPr>
          <w:sz w:val="20"/>
        </w:rPr>
      </w:pPr>
      <w:r>
        <w:rPr>
          <w:w w:val="120"/>
          <w:sz w:val="20"/>
        </w:rPr>
        <w:t>A focus on outreach and mission – the church should be outward looking with a clear mission</w:t>
      </w:r>
      <w:r>
        <w:rPr>
          <w:spacing w:val="5"/>
          <w:w w:val="120"/>
          <w:sz w:val="20"/>
        </w:rPr>
        <w:t> </w:t>
      </w:r>
      <w:r>
        <w:rPr>
          <w:w w:val="120"/>
          <w:sz w:val="20"/>
        </w:rPr>
        <w:t>focus.</w:t>
      </w:r>
    </w:p>
    <w:p>
      <w:pPr>
        <w:pStyle w:val="ListParagraph"/>
        <w:numPr>
          <w:ilvl w:val="0"/>
          <w:numId w:val="24"/>
        </w:numPr>
        <w:tabs>
          <w:tab w:pos="1227" w:val="left" w:leader="none"/>
          <w:tab w:pos="1228" w:val="left" w:leader="none"/>
        </w:tabs>
        <w:spacing w:line="240" w:lineRule="auto" w:before="168" w:after="0"/>
        <w:ind w:left="1227" w:right="0" w:hanging="681"/>
        <w:jc w:val="left"/>
        <w:rPr>
          <w:sz w:val="20"/>
        </w:rPr>
      </w:pPr>
      <w:r>
        <w:rPr>
          <w:w w:val="120"/>
          <w:sz w:val="20"/>
        </w:rPr>
        <w:t>A reliance on God – and discernment at the heart of</w:t>
      </w:r>
      <w:r>
        <w:rPr>
          <w:spacing w:val="28"/>
          <w:w w:val="120"/>
          <w:sz w:val="20"/>
        </w:rPr>
        <w:t> </w:t>
      </w:r>
      <w:r>
        <w:rPr>
          <w:w w:val="120"/>
          <w:sz w:val="20"/>
        </w:rPr>
        <w:t>everything.</w:t>
      </w:r>
    </w:p>
    <w:p>
      <w:pPr>
        <w:spacing w:after="0" w:line="240" w:lineRule="auto"/>
        <w:jc w:val="left"/>
        <w:rPr>
          <w:sz w:val="20"/>
        </w:rPr>
        <w:sectPr>
          <w:headerReference w:type="even" r:id="rId121"/>
          <w:pgSz w:w="11910" w:h="16840"/>
          <w:pgMar w:header="0" w:footer="647" w:top="0" w:bottom="840" w:left="700" w:right="0"/>
        </w:sectPr>
      </w:pPr>
    </w:p>
    <w:p>
      <w:pPr>
        <w:pStyle w:val="BodyText"/>
      </w:pPr>
      <w:r>
        <w:rPr/>
        <w:pict>
          <v:rect style="position:absolute;margin-left:1.417pt;margin-top:.000015pt;width:547.79pt;height:841.89pt;mso-position-horizontal-relative:page;mso-position-vertical-relative:page;z-index:-267529216" filled="true" fillcolor="#fef4df" stroked="false">
            <v:fill type="solid"/>
            <w10:wrap type="none"/>
          </v:rect>
        </w:pict>
      </w:r>
      <w:r>
        <w:rPr/>
        <w:drawing>
          <wp:anchor distT="0" distB="0" distL="0" distR="0" allowOverlap="1" layoutInCell="1" locked="0" behindDoc="0" simplePos="0" relativeHeight="251755520">
            <wp:simplePos x="0" y="0"/>
            <wp:positionH relativeFrom="page">
              <wp:posOffset>6974928</wp:posOffset>
            </wp:positionH>
            <wp:positionV relativeFrom="page">
              <wp:posOffset>0</wp:posOffset>
            </wp:positionV>
            <wp:extent cx="585063" cy="10692003"/>
            <wp:effectExtent l="0" t="0" r="0" b="0"/>
            <wp:wrapNone/>
            <wp:docPr id="61" name="image24.png"/>
            <wp:cNvGraphicFramePr>
              <a:graphicFrameLocks noChangeAspect="1"/>
            </wp:cNvGraphicFramePr>
            <a:graphic>
              <a:graphicData uri="http://schemas.openxmlformats.org/drawingml/2006/picture">
                <pic:pic>
                  <pic:nvPicPr>
                    <pic:cNvPr id="62"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043" w:right="2113"/>
        <w:rPr>
          <w:b/>
        </w:rPr>
      </w:pPr>
      <w:r>
        <w:rPr/>
        <w:pict>
          <v:shape style="position:absolute;margin-left:554.141174pt;margin-top:-5.989334pt;width:26pt;height:575.9pt;mso-position-horizontal-relative:page;mso-position-vertical-relative:paragraph;z-index:25175654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15"/>
                      <w:sz w:val="39"/>
                    </w:rPr>
                    <w:t>Appendix </w:t>
                  </w:r>
                  <w:r>
                    <w:rPr>
                      <w:color w:val="FFFFFF"/>
                      <w:spacing w:val="7"/>
                      <w:w w:val="115"/>
                      <w:sz w:val="39"/>
                    </w:rPr>
                    <w:t>six </w:t>
                  </w:r>
                  <w:r>
                    <w:rPr>
                      <w:color w:val="FFFFFF"/>
                      <w:w w:val="115"/>
                      <w:sz w:val="39"/>
                    </w:rPr>
                    <w:t>– </w:t>
                  </w:r>
                  <w:r>
                    <w:rPr>
                      <w:rFonts w:ascii="Stone Sans II ITC Std Lt" w:hAnsi="Stone Sans II ITC Std Lt"/>
                      <w:b w:val="0"/>
                      <w:spacing w:val="9"/>
                      <w:w w:val="115"/>
                      <w:sz w:val="39"/>
                    </w:rPr>
                    <w:t>Safeguarding </w:t>
                  </w:r>
                  <w:r>
                    <w:rPr>
                      <w:rFonts w:ascii="Stone Sans II ITC Std Lt" w:hAnsi="Stone Sans II ITC Std Lt"/>
                      <w:b w:val="0"/>
                      <w:spacing w:val="10"/>
                      <w:w w:val="115"/>
                      <w:sz w:val="39"/>
                    </w:rPr>
                    <w:t>priorities </w:t>
                  </w:r>
                  <w:r>
                    <w:rPr>
                      <w:rFonts w:ascii="Stone Sans II ITC Std Lt" w:hAnsi="Stone Sans II ITC Std Lt"/>
                      <w:b w:val="0"/>
                      <w:spacing w:val="7"/>
                      <w:w w:val="115"/>
                      <w:sz w:val="39"/>
                    </w:rPr>
                    <w:t>and</w:t>
                  </w:r>
                  <w:r>
                    <w:rPr>
                      <w:rFonts w:ascii="Stone Sans II ITC Std Lt" w:hAnsi="Stone Sans II ITC Std Lt"/>
                      <w:b w:val="0"/>
                      <w:spacing w:val="128"/>
                      <w:w w:val="115"/>
                      <w:sz w:val="39"/>
                    </w:rPr>
                    <w:t> </w:t>
                  </w:r>
                  <w:r>
                    <w:rPr>
                      <w:rFonts w:ascii="Stone Sans II ITC Std Lt" w:hAnsi="Stone Sans II ITC Std Lt"/>
                      <w:b w:val="0"/>
                      <w:spacing w:val="9"/>
                      <w:w w:val="115"/>
                      <w:sz w:val="39"/>
                    </w:rPr>
                    <w:t>developments</w:t>
                  </w:r>
                </w:p>
              </w:txbxContent>
            </v:textbox>
            <w10:wrap type="none"/>
          </v:shape>
        </w:pict>
      </w:r>
      <w:bookmarkStart w:name="_bookmark7" w:id="8"/>
      <w:bookmarkEnd w:id="8"/>
      <w:r>
        <w:rPr>
          <w:b w:val="0"/>
        </w:rPr>
      </w:r>
      <w:r>
        <w:rPr>
          <w:b/>
          <w:color w:val="F1B400"/>
          <w:w w:val="110"/>
        </w:rPr>
        <w:t>Safeguarding advisory group appendix six</w:t>
      </w:r>
    </w:p>
    <w:p>
      <w:pPr>
        <w:spacing w:line="213" w:lineRule="auto" w:before="0"/>
        <w:ind w:left="1043" w:right="0" w:firstLine="0"/>
        <w:jc w:val="left"/>
        <w:rPr>
          <w:rFonts w:ascii="Stone Sans II ITC Std X Bd"/>
          <w:b/>
          <w:sz w:val="50"/>
        </w:rPr>
      </w:pPr>
      <w:r>
        <w:rPr>
          <w:rFonts w:ascii="Stone Sans II ITC Std X Bd"/>
          <w:b/>
          <w:spacing w:val="-9"/>
          <w:w w:val="110"/>
          <w:sz w:val="50"/>
        </w:rPr>
        <w:t>Safeguarding priorities </w:t>
      </w:r>
      <w:r>
        <w:rPr>
          <w:rFonts w:ascii="Stone Sans II ITC Std X Bd"/>
          <w:b/>
          <w:spacing w:val="-7"/>
          <w:w w:val="110"/>
          <w:sz w:val="50"/>
        </w:rPr>
        <w:t>and </w:t>
      </w:r>
      <w:r>
        <w:rPr>
          <w:rFonts w:ascii="Stone Sans II ITC Std X Bd"/>
          <w:b/>
          <w:spacing w:val="-10"/>
          <w:w w:val="110"/>
          <w:sz w:val="50"/>
        </w:rPr>
        <w:t>developments</w:t>
      </w:r>
    </w:p>
    <w:p>
      <w:pPr>
        <w:spacing w:before="352" w:after="10"/>
        <w:ind w:left="1043"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35" w:lineRule="auto" w:before="111"/>
              <w:ind w:left="80" w:right="752"/>
              <w:rPr>
                <w:sz w:val="20"/>
              </w:rPr>
            </w:pPr>
            <w:r>
              <w:rPr>
                <w:w w:val="120"/>
                <w:sz w:val="20"/>
              </w:rPr>
              <w:t>Ioannis Athanasiou: </w:t>
            </w:r>
            <w:hyperlink r:id="rId124">
              <w:r>
                <w:rPr>
                  <w:color w:val="006AB3"/>
                  <w:w w:val="120"/>
                  <w:sz w:val="20"/>
                </w:rPr>
                <w:t>ioannis.athanasiou@urc.org.uk</w:t>
              </w:r>
            </w:hyperlink>
            <w:r>
              <w:rPr>
                <w:color w:val="006AB3"/>
                <w:w w:val="120"/>
                <w:sz w:val="20"/>
              </w:rPr>
              <w:t> </w:t>
            </w:r>
            <w:r>
              <w:rPr>
                <w:w w:val="120"/>
                <w:sz w:val="20"/>
              </w:rPr>
              <w:t>Richard Church: </w:t>
            </w:r>
            <w:hyperlink r:id="rId125">
              <w:r>
                <w:rPr>
                  <w:color w:val="006AB3"/>
                  <w:w w:val="120"/>
                  <w:sz w:val="20"/>
                </w:rPr>
                <w:t>richard.church@urc.org.uk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7"/>
              <w:ind w:left="80"/>
              <w:rPr>
                <w:sz w:val="20"/>
              </w:rPr>
            </w:pPr>
            <w:r>
              <w:rPr>
                <w:w w:val="120"/>
                <w:sz w:val="20"/>
              </w:rPr>
              <w:t>Take note.</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1043"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before="108"/>
              <w:ind w:left="80"/>
              <w:rPr>
                <w:sz w:val="20"/>
              </w:rPr>
            </w:pPr>
            <w:r>
              <w:rPr>
                <w:w w:val="120"/>
                <w:sz w:val="20"/>
              </w:rPr>
              <w:t>To provide an update on safeguarding operations and concerns.</w:t>
            </w:r>
          </w:p>
        </w:tc>
      </w:tr>
      <w:tr>
        <w:trPr>
          <w:trHeight w:val="136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Pr>
                <w:sz w:val="20"/>
              </w:rPr>
            </w:pPr>
            <w:r>
              <w:rPr>
                <w:w w:val="120"/>
                <w:sz w:val="20"/>
              </w:rPr>
              <w:t>Presenting key priorities about safeguarding that have an impact on the whole Church.</w:t>
            </w:r>
          </w:p>
          <w:p>
            <w:pPr>
              <w:pStyle w:val="TableParagraph"/>
              <w:spacing w:before="12"/>
              <w:rPr>
                <w:rFonts w:ascii="Stone Sans II ITC Std Bk"/>
                <w:b/>
                <w:sz w:val="17"/>
              </w:rPr>
            </w:pPr>
          </w:p>
          <w:p>
            <w:pPr>
              <w:pStyle w:val="TableParagraph"/>
              <w:spacing w:line="235" w:lineRule="auto"/>
              <w:ind w:left="80"/>
              <w:rPr>
                <w:sz w:val="20"/>
              </w:rPr>
            </w:pPr>
            <w:r>
              <w:rPr>
                <w:w w:val="120"/>
                <w:sz w:val="20"/>
              </w:rPr>
              <w:t>Notifying the need to update a previous resolution related to criminal record checks.</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148"/>
              <w:rPr>
                <w:sz w:val="20"/>
              </w:rPr>
            </w:pPr>
            <w:r>
              <w:rPr>
                <w:w w:val="125"/>
                <w:sz w:val="20"/>
              </w:rPr>
              <w:t>Resolution</w:t>
            </w:r>
            <w:r>
              <w:rPr>
                <w:spacing w:val="-23"/>
                <w:w w:val="125"/>
                <w:sz w:val="20"/>
              </w:rPr>
              <w:t> </w:t>
            </w:r>
            <w:r>
              <w:rPr>
                <w:spacing w:val="-8"/>
                <w:w w:val="125"/>
                <w:sz w:val="20"/>
              </w:rPr>
              <w:t>21:</w:t>
            </w:r>
            <w:r>
              <w:rPr>
                <w:spacing w:val="-23"/>
                <w:w w:val="125"/>
                <w:sz w:val="20"/>
              </w:rPr>
              <w:t> </w:t>
            </w:r>
            <w:r>
              <w:rPr>
                <w:w w:val="125"/>
                <w:sz w:val="20"/>
              </w:rPr>
              <w:t>Ministries</w:t>
            </w:r>
            <w:r>
              <w:rPr>
                <w:spacing w:val="-23"/>
                <w:w w:val="125"/>
                <w:sz w:val="20"/>
              </w:rPr>
              <w:t> </w:t>
            </w:r>
            <w:r>
              <w:rPr>
                <w:w w:val="125"/>
                <w:sz w:val="20"/>
              </w:rPr>
              <w:t>and</w:t>
            </w:r>
            <w:r>
              <w:rPr>
                <w:spacing w:val="-23"/>
                <w:w w:val="125"/>
                <w:sz w:val="20"/>
              </w:rPr>
              <w:t> </w:t>
            </w:r>
            <w:r>
              <w:rPr>
                <w:spacing w:val="-3"/>
                <w:w w:val="125"/>
                <w:sz w:val="20"/>
              </w:rPr>
              <w:t>Youth</w:t>
            </w:r>
            <w:r>
              <w:rPr>
                <w:spacing w:val="-23"/>
                <w:w w:val="125"/>
                <w:sz w:val="20"/>
              </w:rPr>
              <w:t> </w:t>
            </w:r>
            <w:r>
              <w:rPr>
                <w:w w:val="125"/>
                <w:sz w:val="20"/>
              </w:rPr>
              <w:t>and</w:t>
            </w:r>
            <w:r>
              <w:rPr>
                <w:spacing w:val="-22"/>
                <w:w w:val="125"/>
                <w:sz w:val="20"/>
              </w:rPr>
              <w:t> </w:t>
            </w:r>
            <w:r>
              <w:rPr>
                <w:spacing w:val="-3"/>
                <w:w w:val="125"/>
                <w:sz w:val="20"/>
              </w:rPr>
              <w:t>Children’s</w:t>
            </w:r>
            <w:r>
              <w:rPr>
                <w:spacing w:val="-23"/>
                <w:w w:val="125"/>
                <w:sz w:val="20"/>
              </w:rPr>
              <w:t> </w:t>
            </w:r>
            <w:r>
              <w:rPr>
                <w:w w:val="125"/>
                <w:sz w:val="20"/>
              </w:rPr>
              <w:t>Work:</w:t>
            </w:r>
            <w:r>
              <w:rPr>
                <w:spacing w:val="-23"/>
                <w:w w:val="125"/>
                <w:sz w:val="20"/>
              </w:rPr>
              <w:t> </w:t>
            </w:r>
            <w:r>
              <w:rPr>
                <w:w w:val="125"/>
                <w:sz w:val="20"/>
              </w:rPr>
              <w:t>vetting and barring – General Assembly </w:t>
            </w:r>
            <w:r>
              <w:rPr>
                <w:spacing w:val="-6"/>
                <w:w w:val="125"/>
                <w:sz w:val="20"/>
              </w:rPr>
              <w:t>2010</w:t>
            </w:r>
            <w:r>
              <w:rPr>
                <w:spacing w:val="-16"/>
                <w:w w:val="125"/>
                <w:sz w:val="20"/>
              </w:rPr>
              <w:t> </w:t>
            </w:r>
            <w:r>
              <w:rPr>
                <w:w w:val="125"/>
                <w:sz w:val="20"/>
              </w:rPr>
              <w:t>pp.254-255</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5"/>
                <w:sz w:val="20"/>
              </w:rPr>
              <w:t>Safeguarding advisory group.</w:t>
            </w:r>
          </w:p>
        </w:tc>
      </w:tr>
    </w:tbl>
    <w:p>
      <w:pPr>
        <w:spacing w:before="187" w:after="9"/>
        <w:ind w:left="1043"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None.</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ight="148"/>
              <w:rPr>
                <w:sz w:val="20"/>
              </w:rPr>
            </w:pPr>
            <w:r>
              <w:rPr>
                <w:w w:val="120"/>
                <w:sz w:val="20"/>
              </w:rPr>
              <w:t>Competent oversight of safeguarding and criminal record checks is a legal and reputational requirement.</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9"/>
        <w:rPr>
          <w:rFonts w:ascii="Stone Sans II ITC Std Bk"/>
          <w:b/>
          <w:sz w:val="33"/>
        </w:rPr>
      </w:pPr>
    </w:p>
    <w:p>
      <w:pPr>
        <w:spacing w:before="0"/>
        <w:ind w:left="3726"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33</w:t>
      </w:r>
    </w:p>
    <w:p>
      <w:pPr>
        <w:spacing w:after="0"/>
        <w:jc w:val="left"/>
        <w:rPr>
          <w:rFonts w:ascii="Stone Sans II ITC Std X Bd" w:hAnsi="Stone Sans II ITC Std X Bd"/>
          <w:sz w:val="24"/>
        </w:rPr>
        <w:sectPr>
          <w:headerReference w:type="default" r:id="rId122"/>
          <w:footerReference w:type="default" r:id="rId123"/>
          <w:pgSz w:w="11910" w:h="16840"/>
          <w:pgMar w:header="0" w:footer="0" w:top="0" w:bottom="0" w:left="700" w:right="0"/>
        </w:sectPr>
      </w:pPr>
    </w:p>
    <w:p>
      <w:pPr>
        <w:pStyle w:val="BodyText"/>
        <w:rPr>
          <w:rFonts w:ascii="Stone Sans II ITC Std X Bd"/>
          <w:b/>
        </w:rPr>
      </w:pPr>
      <w:r>
        <w:rPr/>
        <w:pict>
          <v:group style="position:absolute;margin-left:0pt;margin-top:0pt;width:46.8pt;height:841.9pt;mso-position-horizontal-relative:page;mso-position-vertical-relative:page;z-index:-267526144" coordorigin="0,0" coordsize="936,16838">
            <v:shape style="position:absolute;left:0;top:0;width:936;height:16838" type="#_x0000_t75" stroked="false">
              <v:imagedata r:id="rId129" o:title=""/>
            </v:shape>
            <v:shape style="position:absolute;left:0;top:0;width:936;height:16838" type="#_x0000_t75" stroked="false">
              <v:imagedata r:id="rId79" o:title=""/>
            </v:shape>
            <w10:wrap type="none"/>
          </v:group>
        </w:pict>
      </w:r>
      <w:r>
        <w:rPr/>
        <w:pict>
          <v:shape style="position:absolute;margin-left:20.519100pt;margin-top:48.890015pt;width:26pt;height:575.9pt;mso-position-horizontal-relative:page;mso-position-vertical-relative:page;z-index:-26752409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15"/>
                      <w:sz w:val="39"/>
                    </w:rPr>
                    <w:t>Appendix </w:t>
                  </w:r>
                  <w:r>
                    <w:rPr>
                      <w:color w:val="FFFFFF"/>
                      <w:spacing w:val="7"/>
                      <w:w w:val="115"/>
                      <w:sz w:val="39"/>
                    </w:rPr>
                    <w:t>six </w:t>
                  </w:r>
                  <w:r>
                    <w:rPr>
                      <w:color w:val="FFFFFF"/>
                      <w:w w:val="115"/>
                      <w:sz w:val="39"/>
                    </w:rPr>
                    <w:t>– </w:t>
                  </w:r>
                  <w:r>
                    <w:rPr>
                      <w:rFonts w:ascii="Stone Sans II ITC Std Lt" w:hAnsi="Stone Sans II ITC Std Lt"/>
                      <w:b w:val="0"/>
                      <w:spacing w:val="9"/>
                      <w:w w:val="115"/>
                      <w:sz w:val="39"/>
                    </w:rPr>
                    <w:t>Safeguarding </w:t>
                  </w:r>
                  <w:r>
                    <w:rPr>
                      <w:rFonts w:ascii="Stone Sans II ITC Std Lt" w:hAnsi="Stone Sans II ITC Std Lt"/>
                      <w:b w:val="0"/>
                      <w:spacing w:val="10"/>
                      <w:w w:val="115"/>
                      <w:sz w:val="39"/>
                    </w:rPr>
                    <w:t>priorities </w:t>
                  </w:r>
                  <w:r>
                    <w:rPr>
                      <w:rFonts w:ascii="Stone Sans II ITC Std Lt" w:hAnsi="Stone Sans II ITC Std Lt"/>
                      <w:b w:val="0"/>
                      <w:spacing w:val="7"/>
                      <w:w w:val="115"/>
                      <w:sz w:val="39"/>
                    </w:rPr>
                    <w:t>and</w:t>
                  </w:r>
                  <w:r>
                    <w:rPr>
                      <w:rFonts w:ascii="Stone Sans II ITC Std Lt" w:hAnsi="Stone Sans II ITC Std Lt"/>
                      <w:b w:val="0"/>
                      <w:spacing w:val="128"/>
                      <w:w w:val="115"/>
                      <w:sz w:val="39"/>
                    </w:rPr>
                    <w:t> </w:t>
                  </w:r>
                  <w:r>
                    <w:rPr>
                      <w:rFonts w:ascii="Stone Sans II ITC Std Lt" w:hAnsi="Stone Sans II ITC Std Lt"/>
                      <w:b w:val="0"/>
                      <w:spacing w:val="9"/>
                      <w:w w:val="115"/>
                      <w:sz w:val="39"/>
                    </w:rPr>
                    <w:t>developments</w:t>
                  </w:r>
                </w:p>
              </w:txbxContent>
            </v:textbox>
            <w10:wrap type="none"/>
          </v:shape>
        </w:pict>
      </w:r>
    </w:p>
    <w:p>
      <w:pPr>
        <w:pStyle w:val="BodyText"/>
        <w:spacing w:before="5"/>
        <w:rPr>
          <w:rFonts w:ascii="Stone Sans II ITC Std X Bd"/>
          <w:b/>
          <w:sz w:val="17"/>
        </w:rPr>
      </w:pPr>
    </w:p>
    <w:p>
      <w:pPr>
        <w:spacing w:before="109"/>
        <w:ind w:left="547" w:right="0" w:firstLine="0"/>
        <w:jc w:val="left"/>
        <w:rPr>
          <w:sz w:val="26"/>
        </w:rPr>
      </w:pPr>
      <w:r>
        <w:rPr>
          <w:color w:val="7EAABF"/>
          <w:w w:val="120"/>
          <w:sz w:val="26"/>
        </w:rPr>
        <w:t>Mission Council</w:t>
      </w:r>
    </w:p>
    <w:p>
      <w:pPr>
        <w:pStyle w:val="BodyText"/>
        <w:spacing w:before="8"/>
        <w:rPr>
          <w:sz w:val="24"/>
        </w:rPr>
      </w:pPr>
    </w:p>
    <w:p>
      <w:pPr>
        <w:spacing w:line="213" w:lineRule="auto" w:before="0"/>
        <w:ind w:left="2943" w:right="0" w:hanging="1852"/>
        <w:jc w:val="left"/>
        <w:rPr>
          <w:rFonts w:ascii="Stone Sans II ITC Std X Bd"/>
          <w:b/>
          <w:sz w:val="50"/>
        </w:rPr>
      </w:pPr>
      <w:r>
        <w:rPr>
          <w:rFonts w:ascii="Stone Sans II ITC Std X Bd"/>
          <w:b/>
          <w:spacing w:val="-9"/>
          <w:w w:val="110"/>
          <w:sz w:val="50"/>
        </w:rPr>
        <w:t>Safeguarding priorities </w:t>
      </w:r>
      <w:r>
        <w:rPr>
          <w:rFonts w:ascii="Stone Sans II ITC Std X Bd"/>
          <w:b/>
          <w:spacing w:val="-7"/>
          <w:w w:val="110"/>
          <w:sz w:val="50"/>
        </w:rPr>
        <w:t>and </w:t>
      </w:r>
      <w:r>
        <w:rPr>
          <w:rFonts w:ascii="Stone Sans II ITC Std X Bd"/>
          <w:b/>
          <w:spacing w:val="-10"/>
          <w:w w:val="110"/>
          <w:sz w:val="50"/>
        </w:rPr>
        <w:t>developments</w:t>
      </w:r>
    </w:p>
    <w:p>
      <w:pPr>
        <w:spacing w:line="261" w:lineRule="auto" w:before="157"/>
        <w:ind w:left="660" w:right="2269" w:firstLine="0"/>
        <w:jc w:val="left"/>
        <w:rPr>
          <w:sz w:val="18"/>
        </w:rPr>
      </w:pPr>
      <w:r>
        <w:rPr/>
        <w:pict>
          <v:line style="position:absolute;mso-position-horizontal-relative:page;mso-position-vertical-relative:paragraph;z-index:251758592" from="61.944801pt,9.825152pt" to="61.944801pt,66.755152pt" stroked="true" strokeweight="1pt" strokecolor="#f1b400">
            <v:stroke dashstyle="solid"/>
            <w10:wrap type="none"/>
          </v:line>
        </w:pict>
      </w:r>
      <w:r>
        <w:rPr>
          <w:color w:val="707172"/>
          <w:w w:val="120"/>
          <w:sz w:val="18"/>
        </w:rPr>
        <w:t>The Safeguarding advisory group </w:t>
      </w:r>
      <w:r>
        <w:rPr>
          <w:color w:val="707172"/>
          <w:spacing w:val="-4"/>
          <w:w w:val="120"/>
          <w:sz w:val="18"/>
        </w:rPr>
        <w:t>(SAG)  </w:t>
      </w:r>
      <w:r>
        <w:rPr>
          <w:color w:val="707172"/>
          <w:w w:val="120"/>
          <w:sz w:val="18"/>
        </w:rPr>
        <w:t>has been set up by Mission Council. </w:t>
      </w:r>
      <w:r>
        <w:rPr>
          <w:color w:val="707172"/>
          <w:spacing w:val="2"/>
          <w:w w:val="120"/>
          <w:sz w:val="18"/>
        </w:rPr>
        <w:t>Its </w:t>
      </w:r>
      <w:r>
        <w:rPr>
          <w:color w:val="707172"/>
          <w:w w:val="120"/>
          <w:sz w:val="18"/>
        </w:rPr>
        <w:t>current terms   of reference (November </w:t>
      </w:r>
      <w:r>
        <w:rPr>
          <w:color w:val="707172"/>
          <w:spacing w:val="-8"/>
          <w:w w:val="120"/>
          <w:sz w:val="18"/>
        </w:rPr>
        <w:t>2013) </w:t>
      </w:r>
      <w:r>
        <w:rPr>
          <w:color w:val="707172"/>
          <w:w w:val="120"/>
          <w:sz w:val="18"/>
        </w:rPr>
        <w:t>mandate it to nurture good standards of safety around the Church as a whole. But it does not make formal recommendations to General Assembly. This </w:t>
      </w:r>
      <w:r>
        <w:rPr>
          <w:color w:val="707172"/>
          <w:spacing w:val="2"/>
          <w:w w:val="120"/>
          <w:sz w:val="18"/>
        </w:rPr>
        <w:t>report, </w:t>
      </w:r>
      <w:r>
        <w:rPr>
          <w:color w:val="707172"/>
          <w:w w:val="120"/>
          <w:sz w:val="18"/>
        </w:rPr>
        <w:t>then, lets Assembly know about some of the group’s current concerns and work, and about</w:t>
      </w:r>
      <w:r>
        <w:rPr>
          <w:color w:val="707172"/>
          <w:spacing w:val="7"/>
          <w:w w:val="120"/>
          <w:sz w:val="18"/>
        </w:rPr>
        <w:t> </w:t>
      </w:r>
      <w:r>
        <w:rPr>
          <w:color w:val="707172"/>
          <w:w w:val="120"/>
          <w:sz w:val="18"/>
        </w:rPr>
        <w:t>advice</w:t>
      </w:r>
      <w:r>
        <w:rPr>
          <w:color w:val="707172"/>
          <w:spacing w:val="8"/>
          <w:w w:val="120"/>
          <w:sz w:val="18"/>
        </w:rPr>
        <w:t> </w:t>
      </w:r>
      <w:r>
        <w:rPr>
          <w:color w:val="707172"/>
          <w:w w:val="120"/>
          <w:sz w:val="18"/>
        </w:rPr>
        <w:t>that</w:t>
      </w:r>
      <w:r>
        <w:rPr>
          <w:color w:val="707172"/>
          <w:spacing w:val="7"/>
          <w:w w:val="120"/>
          <w:sz w:val="18"/>
        </w:rPr>
        <w:t> </w:t>
      </w:r>
      <w:r>
        <w:rPr>
          <w:color w:val="707172"/>
          <w:w w:val="120"/>
          <w:sz w:val="18"/>
        </w:rPr>
        <w:t>the</w:t>
      </w:r>
      <w:r>
        <w:rPr>
          <w:color w:val="707172"/>
          <w:spacing w:val="8"/>
          <w:w w:val="120"/>
          <w:sz w:val="18"/>
        </w:rPr>
        <w:t> </w:t>
      </w:r>
      <w:r>
        <w:rPr>
          <w:color w:val="707172"/>
          <w:w w:val="120"/>
          <w:sz w:val="18"/>
        </w:rPr>
        <w:t>group</w:t>
      </w:r>
      <w:r>
        <w:rPr>
          <w:color w:val="707172"/>
          <w:spacing w:val="7"/>
          <w:w w:val="120"/>
          <w:sz w:val="18"/>
        </w:rPr>
        <w:t> </w:t>
      </w:r>
      <w:r>
        <w:rPr>
          <w:color w:val="707172"/>
          <w:spacing w:val="2"/>
          <w:w w:val="120"/>
          <w:sz w:val="18"/>
        </w:rPr>
        <w:t>expects</w:t>
      </w:r>
      <w:r>
        <w:rPr>
          <w:color w:val="707172"/>
          <w:spacing w:val="8"/>
          <w:w w:val="120"/>
          <w:sz w:val="18"/>
        </w:rPr>
        <w:t> </w:t>
      </w:r>
      <w:r>
        <w:rPr>
          <w:color w:val="707172"/>
          <w:w w:val="120"/>
          <w:sz w:val="18"/>
        </w:rPr>
        <w:t>to</w:t>
      </w:r>
      <w:r>
        <w:rPr>
          <w:color w:val="707172"/>
          <w:spacing w:val="7"/>
          <w:w w:val="120"/>
          <w:sz w:val="18"/>
        </w:rPr>
        <w:t> </w:t>
      </w:r>
      <w:r>
        <w:rPr>
          <w:color w:val="707172"/>
          <w:w w:val="120"/>
          <w:sz w:val="18"/>
        </w:rPr>
        <w:t>give</w:t>
      </w:r>
      <w:r>
        <w:rPr>
          <w:color w:val="707172"/>
          <w:spacing w:val="8"/>
          <w:w w:val="120"/>
          <w:sz w:val="18"/>
        </w:rPr>
        <w:t> </w:t>
      </w:r>
      <w:r>
        <w:rPr>
          <w:color w:val="707172"/>
          <w:w w:val="120"/>
          <w:sz w:val="18"/>
        </w:rPr>
        <w:t>Mission</w:t>
      </w:r>
      <w:r>
        <w:rPr>
          <w:color w:val="707172"/>
          <w:spacing w:val="7"/>
          <w:w w:val="120"/>
          <w:sz w:val="18"/>
        </w:rPr>
        <w:t> </w:t>
      </w:r>
      <w:r>
        <w:rPr>
          <w:color w:val="707172"/>
          <w:w w:val="120"/>
          <w:sz w:val="18"/>
        </w:rPr>
        <w:t>Council</w:t>
      </w:r>
      <w:r>
        <w:rPr>
          <w:color w:val="707172"/>
          <w:spacing w:val="8"/>
          <w:w w:val="120"/>
          <w:sz w:val="18"/>
        </w:rPr>
        <w:t> </w:t>
      </w:r>
      <w:r>
        <w:rPr>
          <w:color w:val="707172"/>
          <w:w w:val="120"/>
          <w:sz w:val="18"/>
        </w:rPr>
        <w:t>in</w:t>
      </w:r>
      <w:r>
        <w:rPr>
          <w:color w:val="707172"/>
          <w:spacing w:val="7"/>
          <w:w w:val="120"/>
          <w:sz w:val="18"/>
        </w:rPr>
        <w:t> </w:t>
      </w:r>
      <w:r>
        <w:rPr>
          <w:color w:val="707172"/>
          <w:w w:val="120"/>
          <w:sz w:val="18"/>
        </w:rPr>
        <w:t>the</w:t>
      </w:r>
      <w:r>
        <w:rPr>
          <w:color w:val="707172"/>
          <w:spacing w:val="8"/>
          <w:w w:val="120"/>
          <w:sz w:val="18"/>
        </w:rPr>
        <w:t> </w:t>
      </w:r>
      <w:r>
        <w:rPr>
          <w:color w:val="707172"/>
          <w:w w:val="120"/>
          <w:sz w:val="18"/>
        </w:rPr>
        <w:t>autumn</w:t>
      </w:r>
      <w:r>
        <w:rPr>
          <w:color w:val="707172"/>
          <w:spacing w:val="7"/>
          <w:w w:val="120"/>
          <w:sz w:val="18"/>
        </w:rPr>
        <w:t> </w:t>
      </w:r>
      <w:r>
        <w:rPr>
          <w:color w:val="707172"/>
          <w:w w:val="120"/>
          <w:sz w:val="18"/>
        </w:rPr>
        <w:t>of</w:t>
      </w:r>
      <w:r>
        <w:rPr>
          <w:color w:val="707172"/>
          <w:spacing w:val="7"/>
          <w:w w:val="120"/>
          <w:sz w:val="18"/>
        </w:rPr>
        <w:t> </w:t>
      </w:r>
      <w:r>
        <w:rPr>
          <w:color w:val="707172"/>
          <w:w w:val="120"/>
          <w:sz w:val="18"/>
        </w:rPr>
        <w:t>this</w:t>
      </w:r>
      <w:r>
        <w:rPr>
          <w:color w:val="707172"/>
          <w:spacing w:val="8"/>
          <w:w w:val="120"/>
          <w:sz w:val="18"/>
        </w:rPr>
        <w:t> </w:t>
      </w:r>
      <w:r>
        <w:rPr>
          <w:color w:val="707172"/>
          <w:spacing w:val="-3"/>
          <w:w w:val="120"/>
          <w:sz w:val="18"/>
        </w:rPr>
        <w:t>year.</w:t>
      </w:r>
    </w:p>
    <w:p>
      <w:pPr>
        <w:pStyle w:val="BodyText"/>
        <w:rPr>
          <w:sz w:val="22"/>
        </w:rPr>
      </w:pPr>
    </w:p>
    <w:p>
      <w:pPr>
        <w:pStyle w:val="BodyText"/>
        <w:spacing w:before="3"/>
        <w:rPr>
          <w:sz w:val="16"/>
        </w:rPr>
      </w:pPr>
    </w:p>
    <w:p>
      <w:pPr>
        <w:pStyle w:val="ListParagraph"/>
        <w:numPr>
          <w:ilvl w:val="0"/>
          <w:numId w:val="25"/>
        </w:numPr>
        <w:tabs>
          <w:tab w:pos="1227" w:val="left" w:leader="none"/>
          <w:tab w:pos="1228" w:val="left" w:leader="none"/>
        </w:tabs>
        <w:spacing w:line="235" w:lineRule="auto" w:before="0" w:after="0"/>
        <w:ind w:left="547" w:right="2011" w:firstLine="0"/>
        <w:jc w:val="left"/>
        <w:rPr>
          <w:sz w:val="20"/>
        </w:rPr>
      </w:pPr>
      <w:r>
        <w:rPr>
          <w:w w:val="120"/>
          <w:sz w:val="20"/>
        </w:rPr>
        <w:t>The United Reformed Church is committed to creating a safe environment for   all. The Church has made significant progress in recent years to put in place robust policies, systems and practices to ensure that every child and adult is treated with dignity and respect, whatever their circumstances. In accordance  with  public  policy and guidance by the Charity Commission, safeguarding has become a key priority for    all churches and synods, not just for those working with groups traditionally considered as being at</w:t>
      </w:r>
      <w:r>
        <w:rPr>
          <w:spacing w:val="5"/>
          <w:w w:val="120"/>
          <w:sz w:val="20"/>
        </w:rPr>
        <w:t> </w:t>
      </w:r>
      <w:r>
        <w:rPr>
          <w:w w:val="120"/>
          <w:sz w:val="20"/>
        </w:rPr>
        <w:t>risk.</w:t>
      </w:r>
    </w:p>
    <w:p>
      <w:pPr>
        <w:pStyle w:val="BodyText"/>
        <w:spacing w:before="1"/>
      </w:pPr>
    </w:p>
    <w:p>
      <w:pPr>
        <w:pStyle w:val="ListParagraph"/>
        <w:numPr>
          <w:ilvl w:val="0"/>
          <w:numId w:val="25"/>
        </w:numPr>
        <w:tabs>
          <w:tab w:pos="1227" w:val="left" w:leader="none"/>
          <w:tab w:pos="1228" w:val="left" w:leader="none"/>
        </w:tabs>
        <w:spacing w:line="235" w:lineRule="auto" w:before="0" w:after="0"/>
        <w:ind w:left="547" w:right="2363" w:firstLine="0"/>
        <w:jc w:val="left"/>
        <w:rPr>
          <w:sz w:val="20"/>
        </w:rPr>
      </w:pPr>
      <w:r>
        <w:rPr>
          <w:w w:val="120"/>
          <w:sz w:val="20"/>
        </w:rPr>
        <w:t>It is real </w:t>
      </w:r>
      <w:r>
        <w:rPr>
          <w:spacing w:val="2"/>
          <w:w w:val="120"/>
          <w:sz w:val="20"/>
        </w:rPr>
        <w:t>progress </w:t>
      </w:r>
      <w:r>
        <w:rPr>
          <w:w w:val="120"/>
          <w:sz w:val="20"/>
        </w:rPr>
        <w:t>that all </w:t>
      </w:r>
      <w:r>
        <w:rPr>
          <w:spacing w:val="2"/>
          <w:w w:val="120"/>
          <w:sz w:val="20"/>
        </w:rPr>
        <w:t>synods </w:t>
      </w:r>
      <w:r>
        <w:rPr>
          <w:w w:val="120"/>
          <w:sz w:val="20"/>
        </w:rPr>
        <w:t>have </w:t>
      </w:r>
      <w:r>
        <w:rPr>
          <w:spacing w:val="2"/>
          <w:w w:val="120"/>
          <w:sz w:val="20"/>
        </w:rPr>
        <w:t>decided </w:t>
      </w:r>
      <w:r>
        <w:rPr>
          <w:w w:val="120"/>
          <w:sz w:val="20"/>
        </w:rPr>
        <w:t>to organise </w:t>
      </w:r>
      <w:r>
        <w:rPr>
          <w:spacing w:val="2"/>
          <w:w w:val="120"/>
          <w:sz w:val="20"/>
        </w:rPr>
        <w:t>safeguarding matters </w:t>
      </w:r>
      <w:r>
        <w:rPr>
          <w:w w:val="120"/>
          <w:sz w:val="20"/>
        </w:rPr>
        <w:t>and to provide advice, guidance and </w:t>
      </w:r>
      <w:r>
        <w:rPr>
          <w:spacing w:val="2"/>
          <w:w w:val="120"/>
          <w:sz w:val="20"/>
        </w:rPr>
        <w:t>training </w:t>
      </w:r>
      <w:r>
        <w:rPr>
          <w:w w:val="120"/>
          <w:sz w:val="20"/>
        </w:rPr>
        <w:t>to </w:t>
      </w:r>
      <w:r>
        <w:rPr>
          <w:spacing w:val="2"/>
          <w:w w:val="120"/>
          <w:sz w:val="20"/>
        </w:rPr>
        <w:t>local </w:t>
      </w:r>
      <w:r>
        <w:rPr>
          <w:w w:val="120"/>
          <w:sz w:val="20"/>
        </w:rPr>
        <w:t>churches. Twelve </w:t>
      </w:r>
      <w:r>
        <w:rPr>
          <w:spacing w:val="2"/>
          <w:w w:val="120"/>
          <w:sz w:val="20"/>
        </w:rPr>
        <w:t>synods </w:t>
      </w:r>
      <w:r>
        <w:rPr>
          <w:w w:val="120"/>
          <w:sz w:val="20"/>
        </w:rPr>
        <w:t>have employed or assigned designated </w:t>
      </w:r>
      <w:r>
        <w:rPr>
          <w:spacing w:val="2"/>
          <w:w w:val="120"/>
          <w:sz w:val="20"/>
        </w:rPr>
        <w:t>professionals </w:t>
      </w:r>
      <w:r>
        <w:rPr>
          <w:w w:val="120"/>
          <w:sz w:val="20"/>
        </w:rPr>
        <w:t>to </w:t>
      </w:r>
      <w:r>
        <w:rPr>
          <w:spacing w:val="3"/>
          <w:w w:val="120"/>
          <w:sz w:val="20"/>
        </w:rPr>
        <w:t>act </w:t>
      </w:r>
      <w:r>
        <w:rPr>
          <w:w w:val="120"/>
          <w:sz w:val="20"/>
        </w:rPr>
        <w:t>as single </w:t>
      </w:r>
      <w:r>
        <w:rPr>
          <w:spacing w:val="2"/>
          <w:w w:val="120"/>
          <w:sz w:val="20"/>
        </w:rPr>
        <w:t>points </w:t>
      </w:r>
      <w:r>
        <w:rPr>
          <w:w w:val="120"/>
          <w:sz w:val="20"/>
        </w:rPr>
        <w:t>of </w:t>
      </w:r>
      <w:r>
        <w:rPr>
          <w:spacing w:val="2"/>
          <w:w w:val="120"/>
          <w:sz w:val="20"/>
        </w:rPr>
        <w:t>contact </w:t>
      </w:r>
      <w:r>
        <w:rPr>
          <w:w w:val="120"/>
          <w:sz w:val="20"/>
        </w:rPr>
        <w:t>and </w:t>
      </w:r>
      <w:r>
        <w:rPr>
          <w:spacing w:val="2"/>
          <w:w w:val="120"/>
          <w:sz w:val="20"/>
        </w:rPr>
        <w:t>respond appropriately </w:t>
      </w:r>
      <w:r>
        <w:rPr>
          <w:w w:val="120"/>
          <w:sz w:val="20"/>
        </w:rPr>
        <w:t>to any </w:t>
      </w:r>
      <w:r>
        <w:rPr>
          <w:spacing w:val="2"/>
          <w:w w:val="120"/>
          <w:sz w:val="20"/>
        </w:rPr>
        <w:t>safeguarding </w:t>
      </w:r>
      <w:r>
        <w:rPr>
          <w:w w:val="120"/>
          <w:sz w:val="20"/>
        </w:rPr>
        <w:t>concerns. </w:t>
      </w:r>
      <w:r>
        <w:rPr>
          <w:spacing w:val="2"/>
          <w:w w:val="120"/>
          <w:sz w:val="20"/>
        </w:rPr>
        <w:t>The </w:t>
      </w:r>
      <w:r>
        <w:rPr>
          <w:w w:val="120"/>
          <w:sz w:val="20"/>
        </w:rPr>
        <w:t>Synod </w:t>
      </w:r>
      <w:r>
        <w:rPr>
          <w:spacing w:val="3"/>
          <w:w w:val="120"/>
          <w:sz w:val="20"/>
        </w:rPr>
        <w:t>of </w:t>
      </w:r>
      <w:r>
        <w:rPr>
          <w:w w:val="120"/>
          <w:sz w:val="20"/>
        </w:rPr>
        <w:t>Scotland has </w:t>
      </w:r>
      <w:r>
        <w:rPr>
          <w:spacing w:val="2"/>
          <w:w w:val="120"/>
          <w:sz w:val="20"/>
        </w:rPr>
        <w:t>agreed </w:t>
      </w:r>
      <w:r>
        <w:rPr>
          <w:w w:val="120"/>
          <w:sz w:val="20"/>
        </w:rPr>
        <w:t>an </w:t>
      </w:r>
      <w:r>
        <w:rPr>
          <w:spacing w:val="3"/>
          <w:w w:val="120"/>
          <w:sz w:val="20"/>
        </w:rPr>
        <w:t>on-going </w:t>
      </w:r>
      <w:r>
        <w:rPr>
          <w:spacing w:val="2"/>
          <w:w w:val="120"/>
          <w:sz w:val="20"/>
        </w:rPr>
        <w:t>service </w:t>
      </w:r>
      <w:r>
        <w:rPr>
          <w:w w:val="120"/>
          <w:sz w:val="20"/>
        </w:rPr>
        <w:t>for </w:t>
      </w:r>
      <w:r>
        <w:rPr>
          <w:spacing w:val="3"/>
          <w:w w:val="120"/>
          <w:sz w:val="20"/>
        </w:rPr>
        <w:t>aspects </w:t>
      </w:r>
      <w:r>
        <w:rPr>
          <w:w w:val="120"/>
          <w:sz w:val="20"/>
        </w:rPr>
        <w:t>of their </w:t>
      </w:r>
      <w:r>
        <w:rPr>
          <w:spacing w:val="2"/>
          <w:w w:val="120"/>
          <w:sz w:val="20"/>
        </w:rPr>
        <w:t>safeguarding practice </w:t>
      </w:r>
      <w:r>
        <w:rPr>
          <w:w w:val="120"/>
          <w:sz w:val="20"/>
        </w:rPr>
        <w:t>with the Church of</w:t>
      </w:r>
      <w:r>
        <w:rPr>
          <w:spacing w:val="27"/>
          <w:w w:val="120"/>
          <w:sz w:val="20"/>
        </w:rPr>
        <w:t> </w:t>
      </w:r>
      <w:r>
        <w:rPr>
          <w:w w:val="120"/>
          <w:sz w:val="20"/>
        </w:rPr>
        <w:t>Scotland.</w:t>
      </w:r>
    </w:p>
    <w:p>
      <w:pPr>
        <w:pStyle w:val="BodyText"/>
      </w:pPr>
    </w:p>
    <w:p>
      <w:pPr>
        <w:pStyle w:val="ListParagraph"/>
        <w:numPr>
          <w:ilvl w:val="0"/>
          <w:numId w:val="25"/>
        </w:numPr>
        <w:tabs>
          <w:tab w:pos="1227" w:val="left" w:leader="none"/>
          <w:tab w:pos="1228" w:val="left" w:leader="none"/>
        </w:tabs>
        <w:spacing w:line="235" w:lineRule="auto" w:before="0" w:after="0"/>
        <w:ind w:left="547" w:right="2458" w:firstLine="0"/>
        <w:jc w:val="left"/>
        <w:rPr>
          <w:sz w:val="20"/>
        </w:rPr>
      </w:pPr>
      <w:r>
        <w:rPr>
          <w:w w:val="120"/>
          <w:sz w:val="20"/>
        </w:rPr>
        <w:t>SAG has been intent on reviewing development and implementation of safeguarding policies, to conform to best practice approach to safeguarding. In addition to Good Practice 4 </w:t>
      </w:r>
      <w:r>
        <w:rPr>
          <w:spacing w:val="-7"/>
          <w:w w:val="120"/>
          <w:sz w:val="20"/>
        </w:rPr>
        <w:t>(GP4) </w:t>
      </w:r>
      <w:r>
        <w:rPr>
          <w:w w:val="120"/>
          <w:sz w:val="20"/>
        </w:rPr>
        <w:t>guidance and the Past Case Review </w:t>
      </w:r>
      <w:r>
        <w:rPr>
          <w:spacing w:val="-4"/>
          <w:w w:val="120"/>
          <w:sz w:val="20"/>
        </w:rPr>
        <w:t>(PCR), </w:t>
      </w:r>
      <w:r>
        <w:rPr>
          <w:w w:val="120"/>
          <w:sz w:val="20"/>
        </w:rPr>
        <w:t>the publication of supplementary guidance on ‘Safeguarding Adults at Risk’ was added to current safeguarding practice to empower and support adults in maintaining independence and</w:t>
      </w:r>
      <w:r>
        <w:rPr>
          <w:spacing w:val="5"/>
          <w:w w:val="120"/>
          <w:sz w:val="20"/>
        </w:rPr>
        <w:t> </w:t>
      </w:r>
      <w:r>
        <w:rPr>
          <w:w w:val="120"/>
          <w:sz w:val="20"/>
        </w:rPr>
        <w:t>wellbeing.</w:t>
      </w:r>
    </w:p>
    <w:p>
      <w:pPr>
        <w:pStyle w:val="BodyText"/>
      </w:pPr>
    </w:p>
    <w:p>
      <w:pPr>
        <w:pStyle w:val="ListParagraph"/>
        <w:numPr>
          <w:ilvl w:val="0"/>
          <w:numId w:val="25"/>
        </w:numPr>
        <w:tabs>
          <w:tab w:pos="1227" w:val="left" w:leader="none"/>
          <w:tab w:pos="1228" w:val="left" w:leader="none"/>
        </w:tabs>
        <w:spacing w:line="235" w:lineRule="auto" w:before="0" w:after="0"/>
        <w:ind w:left="547" w:right="2067" w:firstLine="0"/>
        <w:jc w:val="left"/>
        <w:rPr>
          <w:sz w:val="20"/>
        </w:rPr>
      </w:pPr>
      <w:r>
        <w:rPr>
          <w:w w:val="120"/>
          <w:sz w:val="20"/>
        </w:rPr>
        <w:t>The </w:t>
      </w:r>
      <w:r>
        <w:rPr>
          <w:spacing w:val="-3"/>
          <w:w w:val="120"/>
          <w:sz w:val="20"/>
        </w:rPr>
        <w:t>URC’s </w:t>
      </w:r>
      <w:r>
        <w:rPr>
          <w:w w:val="120"/>
          <w:sz w:val="20"/>
        </w:rPr>
        <w:t>‘Safeguarding Strategic Plan </w:t>
      </w:r>
      <w:r>
        <w:rPr>
          <w:spacing w:val="-8"/>
          <w:w w:val="120"/>
          <w:sz w:val="20"/>
        </w:rPr>
        <w:t>(2017-2022)’ </w:t>
      </w:r>
      <w:r>
        <w:rPr>
          <w:w w:val="120"/>
          <w:sz w:val="20"/>
        </w:rPr>
        <w:t>was  agreed  by  SAG  last year and is being further developed in consultation with synod moderators, synod safeguarding officers and external </w:t>
      </w:r>
      <w:r>
        <w:rPr>
          <w:spacing w:val="2"/>
          <w:w w:val="120"/>
          <w:sz w:val="20"/>
        </w:rPr>
        <w:t>experts. </w:t>
      </w:r>
      <w:r>
        <w:rPr>
          <w:w w:val="120"/>
          <w:sz w:val="20"/>
        </w:rPr>
        <w:t>A joint meeting of the synod safeguarding officers and SAG in June </w:t>
      </w:r>
      <w:r>
        <w:rPr>
          <w:spacing w:val="-6"/>
          <w:w w:val="120"/>
          <w:sz w:val="20"/>
        </w:rPr>
        <w:t>2018 </w:t>
      </w:r>
      <w:r>
        <w:rPr>
          <w:w w:val="120"/>
          <w:sz w:val="20"/>
        </w:rPr>
        <w:t>will finalise the strategic plan for the attention of the next Mission Council and activate a collective </w:t>
      </w:r>
      <w:r>
        <w:rPr>
          <w:spacing w:val="2"/>
          <w:w w:val="120"/>
          <w:sz w:val="20"/>
        </w:rPr>
        <w:t>effort </w:t>
      </w:r>
      <w:r>
        <w:rPr>
          <w:w w:val="120"/>
          <w:sz w:val="20"/>
        </w:rPr>
        <w:t>to put specific standards and actions into practice in years to</w:t>
      </w:r>
      <w:r>
        <w:rPr>
          <w:spacing w:val="9"/>
          <w:w w:val="120"/>
          <w:sz w:val="20"/>
        </w:rPr>
        <w:t> </w:t>
      </w:r>
      <w:r>
        <w:rPr>
          <w:w w:val="120"/>
          <w:sz w:val="20"/>
        </w:rPr>
        <w:t>come.</w:t>
      </w:r>
    </w:p>
    <w:p>
      <w:pPr>
        <w:pStyle w:val="BodyText"/>
      </w:pPr>
    </w:p>
    <w:p>
      <w:pPr>
        <w:pStyle w:val="ListParagraph"/>
        <w:numPr>
          <w:ilvl w:val="0"/>
          <w:numId w:val="25"/>
        </w:numPr>
        <w:tabs>
          <w:tab w:pos="1227" w:val="left" w:leader="none"/>
          <w:tab w:pos="1228" w:val="left" w:leader="none"/>
        </w:tabs>
        <w:spacing w:line="235" w:lineRule="auto" w:before="1" w:after="0"/>
        <w:ind w:left="547" w:right="2022" w:firstLine="0"/>
        <w:jc w:val="left"/>
        <w:rPr>
          <w:sz w:val="20"/>
        </w:rPr>
      </w:pPr>
      <w:r>
        <w:rPr>
          <w:w w:val="120"/>
          <w:sz w:val="20"/>
        </w:rPr>
        <w:t>Safer recruitment guidance for the whole Church will be produced by the end of this year to reflect new laws and regulatory requirements and protect children, young people, and adults from abuse, harm or neglect. </w:t>
      </w:r>
      <w:r>
        <w:rPr>
          <w:spacing w:val="3"/>
          <w:w w:val="120"/>
          <w:sz w:val="20"/>
        </w:rPr>
        <w:t>As </w:t>
      </w:r>
      <w:r>
        <w:rPr>
          <w:w w:val="120"/>
          <w:sz w:val="20"/>
        </w:rPr>
        <w:t>a significant first step, Mission Council will be asked to review Resolution </w:t>
      </w:r>
      <w:r>
        <w:rPr>
          <w:spacing w:val="-4"/>
          <w:w w:val="120"/>
          <w:sz w:val="20"/>
        </w:rPr>
        <w:t>21 </w:t>
      </w:r>
      <w:r>
        <w:rPr>
          <w:w w:val="120"/>
          <w:sz w:val="20"/>
        </w:rPr>
        <w:t>from Assembly </w:t>
      </w:r>
      <w:r>
        <w:rPr>
          <w:spacing w:val="-5"/>
          <w:w w:val="120"/>
          <w:sz w:val="20"/>
        </w:rPr>
        <w:t>2010, </w:t>
      </w:r>
      <w:r>
        <w:rPr>
          <w:w w:val="120"/>
          <w:sz w:val="20"/>
        </w:rPr>
        <w:t>on vetting and barring</w:t>
      </w:r>
      <w:r>
        <w:rPr>
          <w:spacing w:val="2"/>
          <w:w w:val="120"/>
          <w:sz w:val="20"/>
        </w:rPr>
        <w:t> </w:t>
      </w:r>
      <w:r>
        <w:rPr>
          <w:w w:val="120"/>
          <w:sz w:val="20"/>
        </w:rPr>
        <w:t>procedures.</w:t>
      </w:r>
    </w:p>
    <w:p>
      <w:pPr>
        <w:pStyle w:val="BodyText"/>
        <w:spacing w:before="11"/>
        <w:rPr>
          <w:sz w:val="19"/>
        </w:rPr>
      </w:pPr>
    </w:p>
    <w:p>
      <w:pPr>
        <w:pStyle w:val="ListParagraph"/>
        <w:numPr>
          <w:ilvl w:val="0"/>
          <w:numId w:val="25"/>
        </w:numPr>
        <w:tabs>
          <w:tab w:pos="1227" w:val="left" w:leader="none"/>
          <w:tab w:pos="1228" w:val="left" w:leader="none"/>
        </w:tabs>
        <w:spacing w:line="235" w:lineRule="auto" w:before="0" w:after="0"/>
        <w:ind w:left="547" w:right="2279" w:firstLine="0"/>
        <w:jc w:val="left"/>
        <w:rPr>
          <w:sz w:val="20"/>
        </w:rPr>
      </w:pPr>
      <w:r>
        <w:rPr>
          <w:w w:val="120"/>
          <w:sz w:val="20"/>
        </w:rPr>
        <w:t>SAG has not yet had opportunity to present to Mission Council its concerns about the need to review the </w:t>
      </w:r>
      <w:r>
        <w:rPr>
          <w:spacing w:val="-6"/>
          <w:w w:val="120"/>
          <w:sz w:val="20"/>
        </w:rPr>
        <w:t>2010 </w:t>
      </w:r>
      <w:r>
        <w:rPr>
          <w:w w:val="120"/>
          <w:sz w:val="20"/>
        </w:rPr>
        <w:t>resolution. However, these concerns are noted below for the information of Assembly. SAG believes that this matter needs careful attention, and will ask Mission Council to approve necessary revisions of the </w:t>
      </w:r>
      <w:r>
        <w:rPr>
          <w:spacing w:val="-3"/>
          <w:w w:val="120"/>
          <w:sz w:val="20"/>
        </w:rPr>
        <w:t>Church’s </w:t>
      </w:r>
      <w:r>
        <w:rPr>
          <w:w w:val="120"/>
          <w:sz w:val="20"/>
        </w:rPr>
        <w:t>approach, so that URC churches will be legally compliant, and will be safer and more trusted environments for all, including ministers, staff and</w:t>
      </w:r>
      <w:r>
        <w:rPr>
          <w:spacing w:val="12"/>
          <w:w w:val="120"/>
          <w:sz w:val="20"/>
        </w:rPr>
        <w:t> </w:t>
      </w:r>
      <w:r>
        <w:rPr>
          <w:w w:val="120"/>
          <w:sz w:val="20"/>
        </w:rPr>
        <w:t>volunteers.</w:t>
      </w:r>
    </w:p>
    <w:p>
      <w:pPr>
        <w:spacing w:after="0" w:line="235" w:lineRule="auto"/>
        <w:jc w:val="left"/>
        <w:rPr>
          <w:sz w:val="20"/>
        </w:rPr>
        <w:sectPr>
          <w:headerReference w:type="even" r:id="rId126"/>
          <w:footerReference w:type="even" r:id="rId127"/>
          <w:footerReference w:type="default" r:id="rId128"/>
          <w:pgSz w:w="11910" w:h="16840"/>
          <w:pgMar w:header="0" w:footer="647" w:top="0" w:bottom="840" w:left="700" w:right="0"/>
          <w:pgNumType w:start="34"/>
        </w:sectPr>
      </w:pPr>
    </w:p>
    <w:p>
      <w:pPr>
        <w:pStyle w:val="BodyText"/>
      </w:pPr>
      <w:r>
        <w:rPr/>
        <w:drawing>
          <wp:anchor distT="0" distB="0" distL="0" distR="0" allowOverlap="1" layoutInCell="1" locked="0" behindDoc="0" simplePos="0" relativeHeight="251760640">
            <wp:simplePos x="0" y="0"/>
            <wp:positionH relativeFrom="page">
              <wp:posOffset>6974928</wp:posOffset>
            </wp:positionH>
            <wp:positionV relativeFrom="page">
              <wp:posOffset>0</wp:posOffset>
            </wp:positionV>
            <wp:extent cx="585076" cy="10692003"/>
            <wp:effectExtent l="0" t="0" r="0" b="0"/>
            <wp:wrapNone/>
            <wp:docPr id="63" name="image50.png"/>
            <wp:cNvGraphicFramePr>
              <a:graphicFrameLocks noChangeAspect="1"/>
            </wp:cNvGraphicFramePr>
            <a:graphic>
              <a:graphicData uri="http://schemas.openxmlformats.org/drawingml/2006/picture">
                <pic:pic>
                  <pic:nvPicPr>
                    <pic:cNvPr id="6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141174pt;margin-top:22.693945pt;width:26pt;height:575.9pt;mso-position-horizontal-relative:page;mso-position-vertical-relative:paragraph;z-index:25176166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15"/>
                      <w:sz w:val="39"/>
                    </w:rPr>
                    <w:t>Appendix </w:t>
                  </w:r>
                  <w:r>
                    <w:rPr>
                      <w:color w:val="FFFFFF"/>
                      <w:spacing w:val="7"/>
                      <w:w w:val="115"/>
                      <w:sz w:val="39"/>
                    </w:rPr>
                    <w:t>six </w:t>
                  </w:r>
                  <w:r>
                    <w:rPr>
                      <w:color w:val="FFFFFF"/>
                      <w:w w:val="115"/>
                      <w:sz w:val="39"/>
                    </w:rPr>
                    <w:t>– </w:t>
                  </w:r>
                  <w:r>
                    <w:rPr>
                      <w:rFonts w:ascii="Stone Sans II ITC Std Lt" w:hAnsi="Stone Sans II ITC Std Lt"/>
                      <w:b w:val="0"/>
                      <w:spacing w:val="9"/>
                      <w:w w:val="115"/>
                      <w:sz w:val="39"/>
                    </w:rPr>
                    <w:t>Safeguarding </w:t>
                  </w:r>
                  <w:r>
                    <w:rPr>
                      <w:rFonts w:ascii="Stone Sans II ITC Std Lt" w:hAnsi="Stone Sans II ITC Std Lt"/>
                      <w:b w:val="0"/>
                      <w:spacing w:val="10"/>
                      <w:w w:val="115"/>
                      <w:sz w:val="39"/>
                    </w:rPr>
                    <w:t>priorities </w:t>
                  </w:r>
                  <w:r>
                    <w:rPr>
                      <w:rFonts w:ascii="Stone Sans II ITC Std Lt" w:hAnsi="Stone Sans II ITC Std Lt"/>
                      <w:b w:val="0"/>
                      <w:spacing w:val="7"/>
                      <w:w w:val="115"/>
                      <w:sz w:val="39"/>
                    </w:rPr>
                    <w:t>and</w:t>
                  </w:r>
                  <w:r>
                    <w:rPr>
                      <w:rFonts w:ascii="Stone Sans II ITC Std Lt" w:hAnsi="Stone Sans II ITC Std Lt"/>
                      <w:b w:val="0"/>
                      <w:spacing w:val="128"/>
                      <w:w w:val="115"/>
                      <w:sz w:val="39"/>
                    </w:rPr>
                    <w:t> </w:t>
                  </w:r>
                  <w:r>
                    <w:rPr>
                      <w:rFonts w:ascii="Stone Sans II ITC Std Lt" w:hAnsi="Stone Sans II ITC Std Lt"/>
                      <w:b w:val="0"/>
                      <w:spacing w:val="9"/>
                      <w:w w:val="115"/>
                      <w:sz w:val="39"/>
                    </w:rPr>
                    <w:t>developments</w:t>
                  </w:r>
                </w:p>
              </w:txbxContent>
            </v:textbox>
            <w10:wrap type="none"/>
          </v:shape>
        </w:pict>
      </w:r>
      <w:r>
        <w:rPr>
          <w:color w:val="7EAABF"/>
          <w:w w:val="120"/>
          <w:sz w:val="26"/>
        </w:rPr>
        <w:t>Mission Council</w:t>
      </w:r>
    </w:p>
    <w:p>
      <w:pPr>
        <w:spacing w:line="196" w:lineRule="auto" w:before="268"/>
        <w:ind w:left="1284" w:right="1283" w:firstLine="0"/>
        <w:jc w:val="left"/>
        <w:rPr>
          <w:rFonts w:ascii="Stone Sans II ITC Std Bk"/>
          <w:b/>
          <w:sz w:val="29"/>
        </w:rPr>
      </w:pPr>
      <w:r>
        <w:rPr>
          <w:rFonts w:ascii="Stone Sans II ITC Std Bk"/>
          <w:b/>
          <w:w w:val="110"/>
          <w:sz w:val="29"/>
        </w:rPr>
        <w:t>The need to review Resolution 21, on vetting and barring (General Assembly 2010)</w:t>
      </w:r>
    </w:p>
    <w:p>
      <w:pPr>
        <w:pStyle w:val="Heading6"/>
        <w:spacing w:before="315"/>
        <w:ind w:left="1284"/>
      </w:pPr>
      <w:r>
        <w:rPr>
          <w:w w:val="110"/>
        </w:rPr>
        <w:t>Criminal records checking schemes</w:t>
      </w:r>
    </w:p>
    <w:p>
      <w:pPr>
        <w:pStyle w:val="ListParagraph"/>
        <w:numPr>
          <w:ilvl w:val="1"/>
          <w:numId w:val="25"/>
        </w:numPr>
        <w:tabs>
          <w:tab w:pos="1964" w:val="left" w:leader="none"/>
          <w:tab w:pos="1965" w:val="left" w:leader="none"/>
        </w:tabs>
        <w:spacing w:line="235" w:lineRule="auto" w:before="83" w:after="0"/>
        <w:ind w:left="1964" w:right="1605" w:hanging="681"/>
        <w:jc w:val="left"/>
        <w:rPr>
          <w:sz w:val="20"/>
        </w:rPr>
      </w:pPr>
      <w:r>
        <w:rPr>
          <w:w w:val="120"/>
          <w:sz w:val="20"/>
        </w:rPr>
        <w:t>The United Reformed Church uses the Disclosure and Barring Service (DBS)    in England and Wales and the Protecting Vulnerable Groups Scheme (PVG) in Scotland to help ensure that those working with vulnerable groups are safe  to do so. SAG, the ministries and </w:t>
      </w:r>
      <w:r>
        <w:rPr>
          <w:spacing w:val="-3"/>
          <w:w w:val="120"/>
          <w:sz w:val="20"/>
        </w:rPr>
        <w:t>children’s </w:t>
      </w:r>
      <w:r>
        <w:rPr>
          <w:w w:val="120"/>
          <w:sz w:val="20"/>
        </w:rPr>
        <w:t>and youth work committees and safeguarding professionals in the synods work together to support and guide local URC congregations, LEPs and the wider church in their</w:t>
      </w:r>
      <w:r>
        <w:rPr>
          <w:spacing w:val="48"/>
          <w:w w:val="120"/>
          <w:sz w:val="20"/>
        </w:rPr>
        <w:t> </w:t>
      </w:r>
      <w:r>
        <w:rPr>
          <w:w w:val="120"/>
          <w:sz w:val="20"/>
        </w:rPr>
        <w:t>duties.</w:t>
      </w:r>
    </w:p>
    <w:p>
      <w:pPr>
        <w:pStyle w:val="BodyText"/>
      </w:pPr>
    </w:p>
    <w:p>
      <w:pPr>
        <w:pStyle w:val="ListParagraph"/>
        <w:numPr>
          <w:ilvl w:val="1"/>
          <w:numId w:val="25"/>
        </w:numPr>
        <w:tabs>
          <w:tab w:pos="1964" w:val="left" w:leader="none"/>
          <w:tab w:pos="1965" w:val="left" w:leader="none"/>
        </w:tabs>
        <w:spacing w:line="235" w:lineRule="auto" w:before="0" w:after="0"/>
        <w:ind w:left="1964" w:right="1333" w:hanging="681"/>
        <w:jc w:val="left"/>
        <w:rPr>
          <w:sz w:val="20"/>
        </w:rPr>
      </w:pPr>
      <w:r>
        <w:rPr>
          <w:w w:val="120"/>
          <w:sz w:val="20"/>
        </w:rPr>
        <w:t>Criminal record checks are just one </w:t>
      </w:r>
      <w:r>
        <w:rPr>
          <w:spacing w:val="2"/>
          <w:w w:val="120"/>
          <w:sz w:val="20"/>
        </w:rPr>
        <w:t>part </w:t>
      </w:r>
      <w:r>
        <w:rPr>
          <w:w w:val="120"/>
          <w:sz w:val="20"/>
        </w:rPr>
        <w:t>of an effective recruitment process. They reveal any information held on central police databases such as cautions and convictions and any mention on government lists that bar individuals from working with children, young people or adults at risk. A check at enhanced level includes non-conviction data that will be disclosed where they are relevant to the role for which the person has</w:t>
      </w:r>
      <w:r>
        <w:rPr>
          <w:spacing w:val="15"/>
          <w:w w:val="120"/>
          <w:sz w:val="20"/>
        </w:rPr>
        <w:t> </w:t>
      </w:r>
      <w:r>
        <w:rPr>
          <w:w w:val="120"/>
          <w:sz w:val="20"/>
        </w:rPr>
        <w:t>applied.</w:t>
      </w:r>
    </w:p>
    <w:p>
      <w:pPr>
        <w:pStyle w:val="BodyText"/>
      </w:pPr>
    </w:p>
    <w:p>
      <w:pPr>
        <w:pStyle w:val="ListParagraph"/>
        <w:numPr>
          <w:ilvl w:val="1"/>
          <w:numId w:val="25"/>
        </w:numPr>
        <w:tabs>
          <w:tab w:pos="1964" w:val="left" w:leader="none"/>
          <w:tab w:pos="1965" w:val="left" w:leader="none"/>
        </w:tabs>
        <w:spacing w:line="235" w:lineRule="auto" w:before="0" w:after="0"/>
        <w:ind w:left="1964" w:right="1408" w:hanging="681"/>
        <w:jc w:val="left"/>
        <w:rPr>
          <w:sz w:val="20"/>
        </w:rPr>
      </w:pPr>
      <w:r>
        <w:rPr>
          <w:w w:val="120"/>
          <w:sz w:val="20"/>
        </w:rPr>
        <w:t>It is a criminal offence for anyone listed and barred by the DBS and PVG to work or apply to work in the UK with the protected groups for which they are listed and barred </w:t>
      </w:r>
      <w:r>
        <w:rPr>
          <w:spacing w:val="-3"/>
          <w:w w:val="120"/>
          <w:sz w:val="20"/>
        </w:rPr>
        <w:t>(either </w:t>
      </w:r>
      <w:r>
        <w:rPr>
          <w:w w:val="120"/>
          <w:sz w:val="20"/>
        </w:rPr>
        <w:t>children or </w:t>
      </w:r>
      <w:r>
        <w:rPr>
          <w:spacing w:val="-3"/>
          <w:w w:val="120"/>
          <w:sz w:val="20"/>
        </w:rPr>
        <w:t>adults). </w:t>
      </w:r>
      <w:r>
        <w:rPr>
          <w:w w:val="120"/>
          <w:sz w:val="20"/>
        </w:rPr>
        <w:t>It is also illegal for any URC church or synod knowingly to employ a listed or barred person to do work from which they are barred or</w:t>
      </w:r>
      <w:r>
        <w:rPr>
          <w:spacing w:val="7"/>
          <w:w w:val="120"/>
          <w:sz w:val="20"/>
        </w:rPr>
        <w:t> </w:t>
      </w:r>
      <w:r>
        <w:rPr>
          <w:w w:val="120"/>
          <w:sz w:val="20"/>
        </w:rPr>
        <w:t>listed.</w:t>
      </w:r>
    </w:p>
    <w:p>
      <w:pPr>
        <w:pStyle w:val="BodyText"/>
        <w:spacing w:before="1"/>
        <w:rPr>
          <w:sz w:val="19"/>
        </w:rPr>
      </w:pPr>
    </w:p>
    <w:p>
      <w:pPr>
        <w:pStyle w:val="Heading6"/>
        <w:ind w:left="1284"/>
      </w:pPr>
      <w:r>
        <w:rPr>
          <w:w w:val="110"/>
        </w:rPr>
        <w:t>Fair and transparent processing of criminal offence data</w:t>
      </w:r>
    </w:p>
    <w:p>
      <w:pPr>
        <w:pStyle w:val="ListParagraph"/>
        <w:numPr>
          <w:ilvl w:val="1"/>
          <w:numId w:val="25"/>
        </w:numPr>
        <w:tabs>
          <w:tab w:pos="1964" w:val="left" w:leader="none"/>
          <w:tab w:pos="1965" w:val="left" w:leader="none"/>
        </w:tabs>
        <w:spacing w:line="235" w:lineRule="auto" w:before="83" w:after="0"/>
        <w:ind w:left="1964" w:right="1258" w:hanging="681"/>
        <w:jc w:val="left"/>
        <w:rPr>
          <w:sz w:val="20"/>
        </w:rPr>
      </w:pPr>
      <w:r>
        <w:rPr>
          <w:w w:val="120"/>
          <w:sz w:val="20"/>
        </w:rPr>
        <w:t>Individuals and the self-employed cannot apply for a standards or enhanced check directly to the DBS. ‘Due Diligence Checking’ Limited has been contracted by</w:t>
      </w:r>
      <w:r>
        <w:rPr>
          <w:spacing w:val="6"/>
          <w:w w:val="120"/>
          <w:sz w:val="20"/>
        </w:rPr>
        <w:t> </w:t>
      </w:r>
      <w:r>
        <w:rPr>
          <w:w w:val="120"/>
          <w:sz w:val="20"/>
        </w:rPr>
        <w:t>the</w:t>
      </w:r>
      <w:r>
        <w:rPr>
          <w:spacing w:val="6"/>
          <w:w w:val="120"/>
          <w:sz w:val="20"/>
        </w:rPr>
        <w:t> </w:t>
      </w:r>
      <w:r>
        <w:rPr>
          <w:w w:val="120"/>
          <w:sz w:val="20"/>
        </w:rPr>
        <w:t>URC</w:t>
      </w:r>
      <w:r>
        <w:rPr>
          <w:spacing w:val="6"/>
          <w:w w:val="120"/>
          <w:sz w:val="20"/>
        </w:rPr>
        <w:t> </w:t>
      </w:r>
      <w:r>
        <w:rPr>
          <w:w w:val="120"/>
          <w:sz w:val="20"/>
        </w:rPr>
        <w:t>to</w:t>
      </w:r>
      <w:r>
        <w:rPr>
          <w:spacing w:val="7"/>
          <w:w w:val="120"/>
          <w:sz w:val="20"/>
        </w:rPr>
        <w:t> </w:t>
      </w:r>
      <w:r>
        <w:rPr>
          <w:w w:val="120"/>
          <w:sz w:val="20"/>
        </w:rPr>
        <w:t>provide</w:t>
      </w:r>
      <w:r>
        <w:rPr>
          <w:spacing w:val="6"/>
          <w:w w:val="120"/>
          <w:sz w:val="20"/>
        </w:rPr>
        <w:t> </w:t>
      </w:r>
      <w:r>
        <w:rPr>
          <w:w w:val="120"/>
          <w:sz w:val="20"/>
        </w:rPr>
        <w:t>criminal</w:t>
      </w:r>
      <w:r>
        <w:rPr>
          <w:spacing w:val="6"/>
          <w:w w:val="120"/>
          <w:sz w:val="20"/>
        </w:rPr>
        <w:t> </w:t>
      </w:r>
      <w:r>
        <w:rPr>
          <w:w w:val="120"/>
          <w:sz w:val="20"/>
        </w:rPr>
        <w:t>records</w:t>
      </w:r>
      <w:r>
        <w:rPr>
          <w:spacing w:val="6"/>
          <w:w w:val="120"/>
          <w:sz w:val="20"/>
        </w:rPr>
        <w:t> </w:t>
      </w:r>
      <w:r>
        <w:rPr>
          <w:w w:val="120"/>
          <w:sz w:val="20"/>
        </w:rPr>
        <w:t>checking</w:t>
      </w:r>
      <w:r>
        <w:rPr>
          <w:spacing w:val="7"/>
          <w:w w:val="120"/>
          <w:sz w:val="20"/>
        </w:rPr>
        <w:t> </w:t>
      </w:r>
      <w:r>
        <w:rPr>
          <w:w w:val="120"/>
          <w:sz w:val="20"/>
        </w:rPr>
        <w:t>services</w:t>
      </w:r>
      <w:r>
        <w:rPr>
          <w:spacing w:val="6"/>
          <w:w w:val="120"/>
          <w:sz w:val="20"/>
        </w:rPr>
        <w:t> </w:t>
      </w:r>
      <w:r>
        <w:rPr>
          <w:w w:val="120"/>
          <w:sz w:val="20"/>
        </w:rPr>
        <w:t>for</w:t>
      </w:r>
      <w:r>
        <w:rPr>
          <w:spacing w:val="6"/>
          <w:w w:val="120"/>
          <w:sz w:val="20"/>
        </w:rPr>
        <w:t> </w:t>
      </w:r>
      <w:r>
        <w:rPr>
          <w:w w:val="120"/>
          <w:sz w:val="20"/>
        </w:rPr>
        <w:t>Church</w:t>
      </w:r>
      <w:r>
        <w:rPr>
          <w:spacing w:val="6"/>
          <w:w w:val="120"/>
          <w:sz w:val="20"/>
        </w:rPr>
        <w:t> </w:t>
      </w:r>
      <w:r>
        <w:rPr>
          <w:w w:val="120"/>
          <w:sz w:val="20"/>
        </w:rPr>
        <w:t>House</w:t>
      </w:r>
    </w:p>
    <w:p>
      <w:pPr>
        <w:pStyle w:val="BodyText"/>
        <w:spacing w:line="235" w:lineRule="auto" w:before="2"/>
        <w:ind w:left="1964" w:right="1284"/>
      </w:pPr>
      <w:r>
        <w:rPr>
          <w:w w:val="120"/>
        </w:rPr>
        <w:t>and the churches and synods of the United Reformed Church. Checks for Ministers, Church Related Community Workers </w:t>
      </w:r>
      <w:r>
        <w:rPr>
          <w:spacing w:val="-5"/>
          <w:w w:val="120"/>
        </w:rPr>
        <w:t>(CRCWs),  </w:t>
      </w:r>
      <w:r>
        <w:rPr>
          <w:w w:val="120"/>
        </w:rPr>
        <w:t>Assembly  accredited lay preachers, and other relevant staff of the URC in England, Wales and Scotland and, are currently processed by the ministries office at Church</w:t>
      </w:r>
      <w:r>
        <w:rPr>
          <w:spacing w:val="22"/>
          <w:w w:val="120"/>
        </w:rPr>
        <w:t> </w:t>
      </w:r>
      <w:r>
        <w:rPr>
          <w:w w:val="120"/>
        </w:rPr>
        <w:t>House.</w:t>
      </w:r>
    </w:p>
    <w:p>
      <w:pPr>
        <w:pStyle w:val="BodyText"/>
        <w:spacing w:before="11"/>
        <w:rPr>
          <w:sz w:val="19"/>
        </w:rPr>
      </w:pPr>
    </w:p>
    <w:p>
      <w:pPr>
        <w:pStyle w:val="ListParagraph"/>
        <w:numPr>
          <w:ilvl w:val="1"/>
          <w:numId w:val="25"/>
        </w:numPr>
        <w:tabs>
          <w:tab w:pos="1964" w:val="left" w:leader="none"/>
          <w:tab w:pos="1965" w:val="left" w:leader="none"/>
        </w:tabs>
        <w:spacing w:line="235" w:lineRule="auto" w:before="0" w:after="0"/>
        <w:ind w:left="1964" w:right="1660" w:hanging="681"/>
        <w:jc w:val="left"/>
        <w:rPr>
          <w:sz w:val="20"/>
        </w:rPr>
      </w:pPr>
      <w:r>
        <w:rPr>
          <w:w w:val="120"/>
          <w:sz w:val="20"/>
        </w:rPr>
        <w:t>Once a decision for appointment has been made, a DBS or PVG check should always be carried out for successful applicants and only for job roles and positions which are eligible. Before someone acting on behalf of the URC considers asking an individual to apply for a criminal record check, they are legally responsible for ensuring that they are entitled to apply for the</w:t>
      </w:r>
      <w:r>
        <w:rPr>
          <w:spacing w:val="29"/>
          <w:w w:val="120"/>
          <w:sz w:val="20"/>
        </w:rPr>
        <w:t> </w:t>
      </w:r>
      <w:r>
        <w:rPr>
          <w:w w:val="120"/>
          <w:sz w:val="20"/>
        </w:rPr>
        <w:t>role.</w:t>
      </w:r>
    </w:p>
    <w:p>
      <w:pPr>
        <w:pStyle w:val="BodyText"/>
      </w:pPr>
    </w:p>
    <w:p>
      <w:pPr>
        <w:pStyle w:val="ListParagraph"/>
        <w:numPr>
          <w:ilvl w:val="1"/>
          <w:numId w:val="25"/>
        </w:numPr>
        <w:tabs>
          <w:tab w:pos="1964" w:val="left" w:leader="none"/>
          <w:tab w:pos="1965" w:val="left" w:leader="none"/>
        </w:tabs>
        <w:spacing w:line="235" w:lineRule="auto" w:before="0" w:after="0"/>
        <w:ind w:left="1964" w:right="1328" w:hanging="681"/>
        <w:jc w:val="left"/>
        <w:rPr>
          <w:sz w:val="20"/>
        </w:rPr>
      </w:pPr>
      <w:r>
        <w:rPr>
          <w:w w:val="120"/>
          <w:sz w:val="20"/>
        </w:rPr>
        <w:t>It is essential that criminal offence data obtained via checking schemes are obtained lawfully, fairly and transparently. Any application for a check should therefore be initiated with the consent of the applicant, to ensure protection of the rights of people who apply to work or volunteer for the URC. Personal data relating to criminal convictions and offences are not included in the definition of special category data, but similar </w:t>
      </w:r>
      <w:r>
        <w:rPr>
          <w:spacing w:val="2"/>
          <w:w w:val="120"/>
          <w:sz w:val="20"/>
        </w:rPr>
        <w:t>extra </w:t>
      </w:r>
      <w:r>
        <w:rPr>
          <w:w w:val="120"/>
          <w:sz w:val="20"/>
        </w:rPr>
        <w:t>safeguards are applied to processing of sensitive category</w:t>
      </w:r>
      <w:r>
        <w:rPr>
          <w:spacing w:val="4"/>
          <w:w w:val="120"/>
          <w:sz w:val="20"/>
        </w:rPr>
        <w:t> </w:t>
      </w:r>
      <w:r>
        <w:rPr>
          <w:w w:val="120"/>
          <w:sz w:val="20"/>
        </w:rPr>
        <w:t>data.</w:t>
      </w:r>
    </w:p>
    <w:p>
      <w:pPr>
        <w:pStyle w:val="BodyText"/>
        <w:spacing w:before="1"/>
      </w:pPr>
    </w:p>
    <w:p>
      <w:pPr>
        <w:pStyle w:val="ListParagraph"/>
        <w:numPr>
          <w:ilvl w:val="1"/>
          <w:numId w:val="25"/>
        </w:numPr>
        <w:tabs>
          <w:tab w:pos="1964" w:val="left" w:leader="none"/>
          <w:tab w:pos="1965" w:val="left" w:leader="none"/>
        </w:tabs>
        <w:spacing w:line="235" w:lineRule="auto" w:before="0" w:after="0"/>
        <w:ind w:left="1964" w:right="1559" w:hanging="681"/>
        <w:jc w:val="left"/>
        <w:rPr>
          <w:sz w:val="20"/>
        </w:rPr>
      </w:pPr>
      <w:r>
        <w:rPr>
          <w:w w:val="120"/>
          <w:sz w:val="20"/>
        </w:rPr>
        <w:t>The law indicates that certain General Assembly appointees and others undertaking roles for the URC, including ministers, will be deemed to be engaging in ‘Regulated Activity’ and therefore will require a criminal records check prior to undertaking such work. </w:t>
      </w:r>
      <w:r>
        <w:rPr>
          <w:spacing w:val="-7"/>
          <w:w w:val="120"/>
          <w:sz w:val="20"/>
        </w:rPr>
        <w:t>To  </w:t>
      </w:r>
      <w:r>
        <w:rPr>
          <w:w w:val="120"/>
          <w:sz w:val="20"/>
        </w:rPr>
        <w:t>identify which roles are eligible for   a DBS check, it is important to first be clear about what each role entails and produce a written job or role description (for a paid or volunteering </w:t>
      </w:r>
      <w:r>
        <w:rPr>
          <w:spacing w:val="-3"/>
          <w:w w:val="120"/>
          <w:sz w:val="20"/>
        </w:rPr>
        <w:t>position), </w:t>
      </w:r>
      <w:r>
        <w:rPr>
          <w:w w:val="120"/>
          <w:sz w:val="20"/>
        </w:rPr>
        <w:t>emphasising the specific requirements and duties of the post, the</w:t>
      </w:r>
      <w:r>
        <w:rPr>
          <w:spacing w:val="49"/>
          <w:w w:val="120"/>
          <w:sz w:val="20"/>
        </w:rPr>
        <w:t> </w:t>
      </w:r>
      <w:r>
        <w:rPr>
          <w:w w:val="120"/>
          <w:sz w:val="20"/>
        </w:rPr>
        <w:t>frequency</w:t>
      </w:r>
    </w:p>
    <w:p>
      <w:pPr>
        <w:pStyle w:val="BodyText"/>
        <w:spacing w:line="235" w:lineRule="auto" w:before="5"/>
        <w:ind w:left="1964" w:right="1283"/>
      </w:pPr>
      <w:r>
        <w:rPr>
          <w:w w:val="120"/>
        </w:rPr>
        <w:t>and period of time over which the work is to be done, and how the work will be supervised. The job or role description should say whether it is eligible for and requires a criminal records check, and if so the level of the check.</w:t>
      </w:r>
    </w:p>
    <w:p>
      <w:pPr>
        <w:spacing w:after="0" w:line="235" w:lineRule="auto"/>
        <w:sectPr>
          <w:headerReference w:type="default" r:id="rId130"/>
          <w:pgSz w:w="11910" w:h="16840"/>
          <w:pgMar w:header="0" w:footer="647" w:top="0" w:bottom="840" w:left="700" w:right="0"/>
        </w:sectPr>
      </w:pPr>
    </w:p>
    <w:p>
      <w:pPr>
        <w:pStyle w:val="BodyText"/>
      </w:pPr>
      <w:r>
        <w:rPr/>
        <w:drawing>
          <wp:anchor distT="0" distB="0" distL="0" distR="0" allowOverlap="1" layoutInCell="1" locked="0" behindDoc="1" simplePos="0" relativeHeight="235795456">
            <wp:simplePos x="0" y="0"/>
            <wp:positionH relativeFrom="page">
              <wp:posOffset>0</wp:posOffset>
            </wp:positionH>
            <wp:positionV relativeFrom="page">
              <wp:posOffset>0</wp:posOffset>
            </wp:positionV>
            <wp:extent cx="594067" cy="10692003"/>
            <wp:effectExtent l="0" t="0" r="0" b="0"/>
            <wp:wrapNone/>
            <wp:docPr id="65" name="image49.png"/>
            <wp:cNvGraphicFramePr>
              <a:graphicFrameLocks noChangeAspect="1"/>
            </wp:cNvGraphicFramePr>
            <a:graphic>
              <a:graphicData uri="http://schemas.openxmlformats.org/drawingml/2006/picture">
                <pic:pic>
                  <pic:nvPicPr>
                    <pic:cNvPr id="66"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575.9pt;mso-position-horizontal-relative:page;mso-position-vertical-relative:page;z-index:-26752000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15"/>
                      <w:sz w:val="39"/>
                    </w:rPr>
                    <w:t>Appendix </w:t>
                  </w:r>
                  <w:r>
                    <w:rPr>
                      <w:color w:val="FFFFFF"/>
                      <w:spacing w:val="7"/>
                      <w:w w:val="115"/>
                      <w:sz w:val="39"/>
                    </w:rPr>
                    <w:t>six </w:t>
                  </w:r>
                  <w:r>
                    <w:rPr>
                      <w:color w:val="FFFFFF"/>
                      <w:w w:val="115"/>
                      <w:sz w:val="39"/>
                    </w:rPr>
                    <w:t>– </w:t>
                  </w:r>
                  <w:r>
                    <w:rPr>
                      <w:rFonts w:ascii="Stone Sans II ITC Std Lt" w:hAnsi="Stone Sans II ITC Std Lt"/>
                      <w:b w:val="0"/>
                      <w:spacing w:val="9"/>
                      <w:w w:val="115"/>
                      <w:sz w:val="39"/>
                    </w:rPr>
                    <w:t>Safeguarding </w:t>
                  </w:r>
                  <w:r>
                    <w:rPr>
                      <w:rFonts w:ascii="Stone Sans II ITC Std Lt" w:hAnsi="Stone Sans II ITC Std Lt"/>
                      <w:b w:val="0"/>
                      <w:spacing w:val="10"/>
                      <w:w w:val="115"/>
                      <w:sz w:val="39"/>
                    </w:rPr>
                    <w:t>priorities </w:t>
                  </w:r>
                  <w:r>
                    <w:rPr>
                      <w:rFonts w:ascii="Stone Sans II ITC Std Lt" w:hAnsi="Stone Sans II ITC Std Lt"/>
                      <w:b w:val="0"/>
                      <w:spacing w:val="7"/>
                      <w:w w:val="115"/>
                      <w:sz w:val="39"/>
                    </w:rPr>
                    <w:t>and</w:t>
                  </w:r>
                  <w:r>
                    <w:rPr>
                      <w:rFonts w:ascii="Stone Sans II ITC Std Lt" w:hAnsi="Stone Sans II ITC Std Lt"/>
                      <w:b w:val="0"/>
                      <w:spacing w:val="128"/>
                      <w:w w:val="115"/>
                      <w:sz w:val="39"/>
                    </w:rPr>
                    <w:t> </w:t>
                  </w:r>
                  <w:r>
                    <w:rPr>
                      <w:rFonts w:ascii="Stone Sans II ITC Std Lt" w:hAnsi="Stone Sans II ITC Std Lt"/>
                      <w:b w:val="0"/>
                      <w:spacing w:val="9"/>
                      <w:w w:val="115"/>
                      <w:sz w:val="39"/>
                    </w:rPr>
                    <w:t>developments</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25"/>
        </w:numPr>
        <w:tabs>
          <w:tab w:pos="1227" w:val="left" w:leader="none"/>
          <w:tab w:pos="1228" w:val="left" w:leader="none"/>
        </w:tabs>
        <w:spacing w:line="235" w:lineRule="auto" w:before="222" w:after="0"/>
        <w:ind w:left="1227" w:right="2079" w:hanging="681"/>
        <w:jc w:val="left"/>
        <w:rPr>
          <w:sz w:val="20"/>
        </w:rPr>
      </w:pPr>
      <w:r>
        <w:rPr>
          <w:w w:val="120"/>
          <w:sz w:val="20"/>
        </w:rPr>
        <w:t>All local churches and synods must treat DBS and PVG check applicants who have a criminal record fairly and should not discriminate because of a conviction or other information revealed. DBS and PVG checks with convictions or offences do not automatically bar applicants from working with children or adults. The URC has clear guidelines and procedures to deal with concerns resulting from information revealed by the check </w:t>
      </w:r>
      <w:r>
        <w:rPr>
          <w:spacing w:val="-9"/>
          <w:w w:val="120"/>
          <w:sz w:val="20"/>
        </w:rPr>
        <w:t>(a </w:t>
      </w:r>
      <w:r>
        <w:rPr>
          <w:w w:val="120"/>
          <w:sz w:val="20"/>
        </w:rPr>
        <w:t>blemished </w:t>
      </w:r>
      <w:r>
        <w:rPr>
          <w:spacing w:val="-3"/>
          <w:w w:val="120"/>
          <w:sz w:val="20"/>
        </w:rPr>
        <w:t>disclosure), </w:t>
      </w:r>
      <w:r>
        <w:rPr>
          <w:w w:val="120"/>
          <w:sz w:val="20"/>
        </w:rPr>
        <w:t>in accordance with the Rehabilitation of Offenders Act </w:t>
      </w:r>
      <w:r>
        <w:rPr>
          <w:spacing w:val="-9"/>
          <w:w w:val="120"/>
          <w:sz w:val="20"/>
        </w:rPr>
        <w:t>1974.  </w:t>
      </w:r>
      <w:r>
        <w:rPr>
          <w:w w:val="120"/>
          <w:sz w:val="20"/>
        </w:rPr>
        <w:t>The safeguarding officers also provide a comprehensive support service in such circumstances, including assistance with completing risk assessments and setting up appropriate safeguards for DBS and PVG applicants and the local</w:t>
      </w:r>
      <w:r>
        <w:rPr>
          <w:spacing w:val="15"/>
          <w:w w:val="120"/>
          <w:sz w:val="20"/>
        </w:rPr>
        <w:t> </w:t>
      </w:r>
      <w:r>
        <w:rPr>
          <w:w w:val="120"/>
          <w:sz w:val="20"/>
        </w:rPr>
        <w:t>churches.</w:t>
      </w:r>
    </w:p>
    <w:p>
      <w:pPr>
        <w:pStyle w:val="BodyText"/>
        <w:spacing w:before="4"/>
        <w:rPr>
          <w:sz w:val="19"/>
        </w:rPr>
      </w:pPr>
    </w:p>
    <w:p>
      <w:pPr>
        <w:pStyle w:val="Heading6"/>
        <w:spacing w:before="1"/>
        <w:ind w:left="547"/>
      </w:pPr>
      <w:r>
        <w:rPr>
          <w:w w:val="110"/>
        </w:rPr>
        <w:t>Guidance</w:t>
      </w:r>
    </w:p>
    <w:p>
      <w:pPr>
        <w:pStyle w:val="ListParagraph"/>
        <w:numPr>
          <w:ilvl w:val="1"/>
          <w:numId w:val="25"/>
        </w:numPr>
        <w:tabs>
          <w:tab w:pos="1227" w:val="left" w:leader="none"/>
          <w:tab w:pos="1228" w:val="left" w:leader="none"/>
        </w:tabs>
        <w:spacing w:line="235" w:lineRule="auto" w:before="82" w:after="0"/>
        <w:ind w:left="547" w:right="2272" w:firstLine="0"/>
        <w:jc w:val="left"/>
        <w:rPr>
          <w:sz w:val="20"/>
        </w:rPr>
      </w:pPr>
      <w:r>
        <w:rPr>
          <w:w w:val="120"/>
          <w:sz w:val="20"/>
        </w:rPr>
        <w:t>In this area, we take guidance from the DBS, in its Guide to eligibility for DBS checks; the Safeguarding Vulnerable Groups Act 2006 </w:t>
      </w:r>
      <w:r>
        <w:rPr>
          <w:spacing w:val="-6"/>
          <w:w w:val="120"/>
          <w:sz w:val="20"/>
        </w:rPr>
        <w:t>(as </w:t>
      </w:r>
      <w:r>
        <w:rPr>
          <w:w w:val="120"/>
          <w:sz w:val="20"/>
        </w:rPr>
        <w:t>amended by Protection of Freedoms Act </w:t>
      </w:r>
      <w:r>
        <w:rPr>
          <w:spacing w:val="-7"/>
          <w:w w:val="120"/>
          <w:sz w:val="20"/>
        </w:rPr>
        <w:t>2012); </w:t>
      </w:r>
      <w:r>
        <w:rPr>
          <w:w w:val="120"/>
          <w:sz w:val="20"/>
        </w:rPr>
        <w:t>the Protection of Vulnerable Groups (Scotland) Act </w:t>
      </w:r>
      <w:r>
        <w:rPr>
          <w:spacing w:val="-4"/>
          <w:w w:val="120"/>
          <w:sz w:val="20"/>
        </w:rPr>
        <w:t>2007; </w:t>
      </w:r>
      <w:r>
        <w:rPr>
          <w:w w:val="120"/>
          <w:sz w:val="20"/>
        </w:rPr>
        <w:t>new legislation related to the General Data Protection Regulation </w:t>
      </w:r>
      <w:r>
        <w:rPr>
          <w:spacing w:val="-4"/>
          <w:w w:val="120"/>
          <w:sz w:val="20"/>
        </w:rPr>
        <w:t>(GDPR) </w:t>
      </w:r>
      <w:r>
        <w:rPr>
          <w:w w:val="120"/>
          <w:sz w:val="20"/>
        </w:rPr>
        <w:t>and relevant documents published by statutory agencies. Guidance about regulated activity with children has been published by the Department for Education (DfE). Information about regulated activity with adults is available from the Department of Health (DH). Guidance for both vulnerable groups as well as guidance about regulated work in Scotland are accessible on the URC</w:t>
      </w:r>
      <w:r>
        <w:rPr>
          <w:spacing w:val="12"/>
          <w:w w:val="120"/>
          <w:sz w:val="20"/>
        </w:rPr>
        <w:t> </w:t>
      </w:r>
      <w:r>
        <w:rPr>
          <w:w w:val="120"/>
          <w:sz w:val="20"/>
        </w:rPr>
        <w:t>website.</w:t>
      </w:r>
    </w:p>
    <w:p>
      <w:pPr>
        <w:pStyle w:val="BodyText"/>
        <w:spacing w:before="2"/>
      </w:pPr>
    </w:p>
    <w:p>
      <w:pPr>
        <w:pStyle w:val="ListParagraph"/>
        <w:numPr>
          <w:ilvl w:val="1"/>
          <w:numId w:val="25"/>
        </w:numPr>
        <w:tabs>
          <w:tab w:pos="1227" w:val="left" w:leader="none"/>
          <w:tab w:pos="1228" w:val="left" w:leader="none"/>
        </w:tabs>
        <w:spacing w:line="235" w:lineRule="auto" w:before="0" w:after="0"/>
        <w:ind w:left="547" w:right="2098" w:firstLine="0"/>
        <w:jc w:val="left"/>
        <w:rPr>
          <w:sz w:val="20"/>
        </w:rPr>
      </w:pPr>
      <w:r>
        <w:rPr>
          <w:w w:val="120"/>
          <w:sz w:val="20"/>
        </w:rPr>
        <w:t>Section seven of both the </w:t>
      </w:r>
      <w:r>
        <w:rPr>
          <w:i/>
          <w:w w:val="120"/>
          <w:sz w:val="20"/>
        </w:rPr>
        <w:t>Safeguarding Good Practice 4 </w:t>
      </w:r>
      <w:r>
        <w:rPr>
          <w:w w:val="120"/>
          <w:sz w:val="20"/>
        </w:rPr>
        <w:t>for synods and General Assembly and </w:t>
      </w:r>
      <w:r>
        <w:rPr>
          <w:i/>
          <w:w w:val="120"/>
          <w:sz w:val="20"/>
        </w:rPr>
        <w:t>The Handbook for Churches </w:t>
      </w:r>
      <w:r>
        <w:rPr>
          <w:w w:val="120"/>
          <w:sz w:val="20"/>
        </w:rPr>
        <w:t>contains clear and practical guidance on how to integrate criminal records checking schemes in the recruitment processes for paid and voluntary workers. DDC has set up a web page (</w:t>
      </w:r>
      <w:hyperlink r:id="rId134">
        <w:r>
          <w:rPr>
            <w:color w:val="006AB3"/>
            <w:w w:val="120"/>
            <w:sz w:val="20"/>
          </w:rPr>
          <w:t>www.ddc.uk.net/urc</w:t>
        </w:r>
        <w:r>
          <w:rPr>
            <w:w w:val="120"/>
            <w:sz w:val="20"/>
          </w:rPr>
          <w:t>) </w:t>
        </w:r>
      </w:hyperlink>
      <w:r>
        <w:rPr>
          <w:w w:val="120"/>
          <w:sz w:val="20"/>
        </w:rPr>
        <w:t>with further information and guidance for local churches, trustees, verifiers and other responsible staff to complete on-line and paper DBS and PVG applications for those working or volunteering with children and adults at risk. The government also provides an on-line tool to find out whether to check eligibility of roles for a Disclosure and Barring Service (DBS) check in England and Wales</w:t>
      </w:r>
      <w:r>
        <w:rPr>
          <w:spacing w:val="29"/>
          <w:w w:val="120"/>
          <w:sz w:val="20"/>
        </w:rPr>
        <w:t> </w:t>
      </w:r>
      <w:r>
        <w:rPr>
          <w:w w:val="120"/>
          <w:sz w:val="20"/>
        </w:rPr>
        <w:t>(</w:t>
      </w:r>
      <w:r>
        <w:rPr>
          <w:color w:val="006AB3"/>
          <w:w w:val="120"/>
          <w:sz w:val="20"/>
        </w:rPr>
        <w:t>https://</w:t>
      </w:r>
      <w:hyperlink r:id="rId135">
        <w:r>
          <w:rPr>
            <w:color w:val="006AB3"/>
            <w:w w:val="120"/>
            <w:sz w:val="20"/>
          </w:rPr>
          <w:t>www.gov.uk/find-out-dbs-check</w:t>
        </w:r>
        <w:r>
          <w:rPr>
            <w:w w:val="120"/>
            <w:sz w:val="20"/>
          </w:rPr>
          <w:t>).</w:t>
        </w:r>
      </w:hyperlink>
    </w:p>
    <w:p>
      <w:pPr>
        <w:pStyle w:val="BodyText"/>
        <w:spacing w:before="3"/>
      </w:pPr>
    </w:p>
    <w:p>
      <w:pPr>
        <w:pStyle w:val="ListParagraph"/>
        <w:numPr>
          <w:ilvl w:val="1"/>
          <w:numId w:val="25"/>
        </w:numPr>
        <w:tabs>
          <w:tab w:pos="1227" w:val="left" w:leader="none"/>
          <w:tab w:pos="1228" w:val="left" w:leader="none"/>
        </w:tabs>
        <w:spacing w:line="235" w:lineRule="auto" w:before="0" w:after="0"/>
        <w:ind w:left="547" w:right="1957" w:firstLine="0"/>
        <w:jc w:val="left"/>
        <w:rPr>
          <w:sz w:val="20"/>
        </w:rPr>
      </w:pPr>
      <w:r>
        <w:rPr>
          <w:w w:val="120"/>
          <w:sz w:val="20"/>
        </w:rPr>
        <w:t>The table on page </w:t>
      </w:r>
      <w:r>
        <w:rPr>
          <w:spacing w:val="-7"/>
          <w:w w:val="120"/>
          <w:sz w:val="20"/>
        </w:rPr>
        <w:t>37 </w:t>
      </w:r>
      <w:r>
        <w:rPr>
          <w:w w:val="120"/>
          <w:sz w:val="20"/>
        </w:rPr>
        <w:t>shows URC roles where the activity is seen to be eligible for criminal record checks. However, this list is indicative and not exhaustive as there will   be local variations in titles and roles. Further, it should be recognised that roles change over time and new roles are formed, and that some roles are not eligible, while others require certain types of check. </w:t>
      </w:r>
      <w:r>
        <w:rPr>
          <w:spacing w:val="3"/>
          <w:w w:val="120"/>
          <w:sz w:val="20"/>
        </w:rPr>
        <w:t>As </w:t>
      </w:r>
      <w:r>
        <w:rPr>
          <w:w w:val="120"/>
          <w:sz w:val="20"/>
        </w:rPr>
        <w:t>an example, those in self-help groups or family and friends’ arrangements are not eligible for an enhanced criminal record check. When a role is reviewed or a new one is created, those overseeing this process should consider whether the individual undertaking that role is going to undertake ‘regulated’ activity    or work with children or adults at</w:t>
      </w:r>
      <w:r>
        <w:rPr>
          <w:spacing w:val="13"/>
          <w:w w:val="120"/>
          <w:sz w:val="20"/>
        </w:rPr>
        <w:t> </w:t>
      </w:r>
      <w:r>
        <w:rPr>
          <w:w w:val="120"/>
          <w:sz w:val="20"/>
        </w:rPr>
        <w:t>risk.</w:t>
      </w:r>
    </w:p>
    <w:p>
      <w:pPr>
        <w:pStyle w:val="BodyText"/>
        <w:spacing w:before="2"/>
      </w:pPr>
    </w:p>
    <w:p>
      <w:pPr>
        <w:pStyle w:val="ListParagraph"/>
        <w:numPr>
          <w:ilvl w:val="1"/>
          <w:numId w:val="25"/>
        </w:numPr>
        <w:tabs>
          <w:tab w:pos="1227" w:val="left" w:leader="none"/>
          <w:tab w:pos="1228" w:val="left" w:leader="none"/>
        </w:tabs>
        <w:spacing w:line="235" w:lineRule="auto" w:before="0" w:after="0"/>
        <w:ind w:left="547" w:right="1960" w:firstLine="0"/>
        <w:jc w:val="left"/>
        <w:rPr>
          <w:sz w:val="20"/>
        </w:rPr>
      </w:pPr>
      <w:r>
        <w:rPr>
          <w:w w:val="120"/>
          <w:sz w:val="20"/>
        </w:rPr>
        <w:t>DBS checks must be renewed every five years. In Scotland, membership of the PVG scheme lasts forever. PVG scheme members are continuously checked, unless they decide to leave the scheme, and they should keep their record up to date if for example, they change jobs or move to a new</w:t>
      </w:r>
      <w:r>
        <w:rPr>
          <w:spacing w:val="17"/>
          <w:w w:val="120"/>
          <w:sz w:val="20"/>
        </w:rPr>
        <w:t> </w:t>
      </w:r>
      <w:r>
        <w:rPr>
          <w:w w:val="120"/>
          <w:sz w:val="20"/>
        </w:rPr>
        <w:t>house.</w:t>
      </w:r>
    </w:p>
    <w:p>
      <w:pPr>
        <w:pStyle w:val="BodyText"/>
        <w:spacing w:before="1"/>
        <w:rPr>
          <w:sz w:val="19"/>
        </w:rPr>
      </w:pPr>
    </w:p>
    <w:p>
      <w:pPr>
        <w:pStyle w:val="Heading6"/>
        <w:ind w:left="547"/>
      </w:pPr>
      <w:r>
        <w:rPr>
          <w:w w:val="110"/>
        </w:rPr>
        <w:t>Safer recruitment checks</w:t>
      </w:r>
    </w:p>
    <w:p>
      <w:pPr>
        <w:pStyle w:val="ListParagraph"/>
        <w:numPr>
          <w:ilvl w:val="1"/>
          <w:numId w:val="25"/>
        </w:numPr>
        <w:tabs>
          <w:tab w:pos="1227" w:val="left" w:leader="none"/>
          <w:tab w:pos="1228" w:val="left" w:leader="none"/>
        </w:tabs>
        <w:spacing w:line="235" w:lineRule="auto" w:before="83" w:after="0"/>
        <w:ind w:left="547" w:right="2681" w:firstLine="0"/>
        <w:jc w:val="left"/>
        <w:rPr>
          <w:sz w:val="20"/>
        </w:rPr>
      </w:pPr>
      <w:r>
        <w:rPr>
          <w:w w:val="120"/>
          <w:sz w:val="20"/>
        </w:rPr>
        <w:t>The </w:t>
      </w:r>
      <w:r>
        <w:rPr>
          <w:spacing w:val="2"/>
          <w:w w:val="120"/>
          <w:sz w:val="20"/>
        </w:rPr>
        <w:t>draft </w:t>
      </w:r>
      <w:r>
        <w:rPr>
          <w:w w:val="120"/>
          <w:sz w:val="20"/>
        </w:rPr>
        <w:t>resolution that SAG </w:t>
      </w:r>
      <w:r>
        <w:rPr>
          <w:spacing w:val="2"/>
          <w:w w:val="120"/>
          <w:sz w:val="20"/>
        </w:rPr>
        <w:t>expects </w:t>
      </w:r>
      <w:r>
        <w:rPr>
          <w:w w:val="120"/>
          <w:sz w:val="20"/>
        </w:rPr>
        <w:t>to put before Mission Council in the autumn will include the following</w:t>
      </w:r>
      <w:r>
        <w:rPr>
          <w:spacing w:val="11"/>
          <w:w w:val="120"/>
          <w:sz w:val="20"/>
        </w:rPr>
        <w:t> </w:t>
      </w:r>
      <w:r>
        <w:rPr>
          <w:w w:val="120"/>
          <w:sz w:val="20"/>
        </w:rPr>
        <w:t>clauses:</w:t>
      </w:r>
    </w:p>
    <w:p>
      <w:pPr>
        <w:pStyle w:val="ListParagraph"/>
        <w:numPr>
          <w:ilvl w:val="0"/>
          <w:numId w:val="21"/>
        </w:numPr>
        <w:tabs>
          <w:tab w:pos="1227" w:val="left" w:leader="none"/>
          <w:tab w:pos="1228" w:val="left" w:leader="none"/>
        </w:tabs>
        <w:spacing w:line="234" w:lineRule="exact" w:before="0" w:after="0"/>
        <w:ind w:left="1227" w:right="0" w:hanging="681"/>
        <w:jc w:val="left"/>
        <w:rPr>
          <w:sz w:val="20"/>
        </w:rPr>
      </w:pPr>
      <w:r>
        <w:rPr>
          <w:w w:val="120"/>
          <w:sz w:val="20"/>
        </w:rPr>
        <w:t>Reiteration of the United Reformed </w:t>
      </w:r>
      <w:r>
        <w:rPr>
          <w:spacing w:val="-3"/>
          <w:w w:val="120"/>
          <w:sz w:val="20"/>
        </w:rPr>
        <w:t>Church’s </w:t>
      </w:r>
      <w:r>
        <w:rPr>
          <w:w w:val="120"/>
          <w:sz w:val="20"/>
        </w:rPr>
        <w:t>commitment to being a Safe</w:t>
      </w:r>
      <w:r>
        <w:rPr>
          <w:spacing w:val="34"/>
          <w:w w:val="120"/>
          <w:sz w:val="20"/>
        </w:rPr>
        <w:t> </w:t>
      </w:r>
      <w:r>
        <w:rPr>
          <w:w w:val="120"/>
          <w:sz w:val="20"/>
        </w:rPr>
        <w:t>Church</w:t>
      </w:r>
    </w:p>
    <w:p>
      <w:pPr>
        <w:pStyle w:val="ListParagraph"/>
        <w:numPr>
          <w:ilvl w:val="0"/>
          <w:numId w:val="21"/>
        </w:numPr>
        <w:tabs>
          <w:tab w:pos="1227" w:val="left" w:leader="none"/>
          <w:tab w:pos="1228" w:val="left" w:leader="none"/>
        </w:tabs>
        <w:spacing w:line="235" w:lineRule="auto" w:before="0" w:after="0"/>
        <w:ind w:left="1227" w:right="2309" w:hanging="681"/>
        <w:jc w:val="left"/>
        <w:rPr>
          <w:sz w:val="20"/>
        </w:rPr>
      </w:pPr>
      <w:r>
        <w:rPr>
          <w:w w:val="120"/>
          <w:sz w:val="20"/>
        </w:rPr>
        <w:t>Encouragement to all local churches and synods to follow best practice on recruiting people who will work or volunteer with children and young people and adults at</w:t>
      </w:r>
      <w:r>
        <w:rPr>
          <w:spacing w:val="5"/>
          <w:w w:val="120"/>
          <w:sz w:val="20"/>
        </w:rPr>
        <w:t> </w:t>
      </w:r>
      <w:r>
        <w:rPr>
          <w:w w:val="120"/>
          <w:sz w:val="20"/>
        </w:rPr>
        <w:t>risk</w:t>
      </w:r>
    </w:p>
    <w:p>
      <w:pPr>
        <w:pStyle w:val="ListParagraph"/>
        <w:numPr>
          <w:ilvl w:val="0"/>
          <w:numId w:val="21"/>
        </w:numPr>
        <w:tabs>
          <w:tab w:pos="1227" w:val="left" w:leader="none"/>
          <w:tab w:pos="1228" w:val="left" w:leader="none"/>
        </w:tabs>
        <w:spacing w:line="235" w:lineRule="auto" w:before="0" w:after="0"/>
        <w:ind w:left="1227" w:right="2054" w:hanging="681"/>
        <w:jc w:val="left"/>
        <w:rPr>
          <w:sz w:val="20"/>
        </w:rPr>
      </w:pPr>
      <w:r>
        <w:rPr>
          <w:w w:val="120"/>
          <w:sz w:val="20"/>
        </w:rPr>
        <w:t>Reasserting the need the need for </w:t>
      </w:r>
      <w:r>
        <w:rPr>
          <w:spacing w:val="-3"/>
          <w:w w:val="120"/>
          <w:sz w:val="20"/>
        </w:rPr>
        <w:t>those </w:t>
      </w:r>
      <w:r>
        <w:rPr>
          <w:w w:val="120"/>
          <w:sz w:val="20"/>
        </w:rPr>
        <w:t>who </w:t>
      </w:r>
      <w:r>
        <w:rPr>
          <w:spacing w:val="-3"/>
          <w:w w:val="120"/>
          <w:sz w:val="20"/>
        </w:rPr>
        <w:t>make decisions </w:t>
      </w:r>
      <w:r>
        <w:rPr>
          <w:w w:val="120"/>
          <w:sz w:val="20"/>
        </w:rPr>
        <w:t>and act on behalf of the</w:t>
      </w:r>
      <w:r>
        <w:rPr>
          <w:spacing w:val="-8"/>
          <w:w w:val="120"/>
          <w:sz w:val="20"/>
        </w:rPr>
        <w:t> </w:t>
      </w:r>
      <w:r>
        <w:rPr>
          <w:spacing w:val="-3"/>
          <w:w w:val="120"/>
          <w:sz w:val="20"/>
        </w:rPr>
        <w:t>denomination</w:t>
      </w:r>
      <w:r>
        <w:rPr>
          <w:spacing w:val="-8"/>
          <w:w w:val="120"/>
          <w:sz w:val="20"/>
        </w:rPr>
        <w:t> </w:t>
      </w:r>
      <w:r>
        <w:rPr>
          <w:spacing w:val="-3"/>
          <w:w w:val="120"/>
          <w:sz w:val="20"/>
        </w:rPr>
        <w:t>to</w:t>
      </w:r>
      <w:r>
        <w:rPr>
          <w:spacing w:val="-7"/>
          <w:w w:val="120"/>
          <w:sz w:val="20"/>
        </w:rPr>
        <w:t> </w:t>
      </w:r>
      <w:r>
        <w:rPr>
          <w:w w:val="120"/>
          <w:sz w:val="20"/>
        </w:rPr>
        <w:t>request</w:t>
      </w:r>
      <w:r>
        <w:rPr>
          <w:spacing w:val="-8"/>
          <w:w w:val="120"/>
          <w:sz w:val="20"/>
        </w:rPr>
        <w:t> </w:t>
      </w:r>
      <w:r>
        <w:rPr>
          <w:w w:val="120"/>
          <w:sz w:val="20"/>
        </w:rPr>
        <w:t>criminal</w:t>
      </w:r>
      <w:r>
        <w:rPr>
          <w:spacing w:val="-7"/>
          <w:w w:val="120"/>
          <w:sz w:val="20"/>
        </w:rPr>
        <w:t> </w:t>
      </w:r>
      <w:r>
        <w:rPr>
          <w:spacing w:val="-3"/>
          <w:w w:val="120"/>
          <w:sz w:val="20"/>
        </w:rPr>
        <w:t>records</w:t>
      </w:r>
      <w:r>
        <w:rPr>
          <w:spacing w:val="-8"/>
          <w:w w:val="120"/>
          <w:sz w:val="20"/>
        </w:rPr>
        <w:t> </w:t>
      </w:r>
      <w:r>
        <w:rPr>
          <w:w w:val="120"/>
          <w:sz w:val="20"/>
        </w:rPr>
        <w:t>checks</w:t>
      </w:r>
      <w:r>
        <w:rPr>
          <w:spacing w:val="-8"/>
          <w:w w:val="120"/>
          <w:sz w:val="20"/>
        </w:rPr>
        <w:t> </w:t>
      </w:r>
      <w:r>
        <w:rPr>
          <w:w w:val="120"/>
          <w:sz w:val="20"/>
        </w:rPr>
        <w:t>as</w:t>
      </w:r>
      <w:r>
        <w:rPr>
          <w:spacing w:val="-7"/>
          <w:w w:val="120"/>
          <w:sz w:val="20"/>
        </w:rPr>
        <w:t> </w:t>
      </w:r>
      <w:r>
        <w:rPr>
          <w:w w:val="120"/>
          <w:sz w:val="20"/>
        </w:rPr>
        <w:t>part</w:t>
      </w:r>
      <w:r>
        <w:rPr>
          <w:spacing w:val="-8"/>
          <w:w w:val="120"/>
          <w:sz w:val="20"/>
        </w:rPr>
        <w:t> </w:t>
      </w:r>
      <w:r>
        <w:rPr>
          <w:w w:val="120"/>
          <w:sz w:val="20"/>
        </w:rPr>
        <w:t>of</w:t>
      </w:r>
      <w:r>
        <w:rPr>
          <w:spacing w:val="-8"/>
          <w:w w:val="120"/>
          <w:sz w:val="20"/>
        </w:rPr>
        <w:t> </w:t>
      </w:r>
      <w:r>
        <w:rPr>
          <w:w w:val="120"/>
          <w:sz w:val="20"/>
        </w:rPr>
        <w:t>robust</w:t>
      </w:r>
      <w:r>
        <w:rPr>
          <w:spacing w:val="-7"/>
          <w:w w:val="120"/>
          <w:sz w:val="20"/>
        </w:rPr>
        <w:t> </w:t>
      </w:r>
      <w:r>
        <w:rPr>
          <w:w w:val="120"/>
          <w:sz w:val="20"/>
        </w:rPr>
        <w:t>recruitment processes, and for specific roles that </w:t>
      </w:r>
      <w:r>
        <w:rPr>
          <w:spacing w:val="-3"/>
          <w:w w:val="120"/>
          <w:sz w:val="20"/>
        </w:rPr>
        <w:t>ministers, </w:t>
      </w:r>
      <w:r>
        <w:rPr>
          <w:w w:val="120"/>
          <w:sz w:val="20"/>
        </w:rPr>
        <w:t>workers and </w:t>
      </w:r>
      <w:r>
        <w:rPr>
          <w:spacing w:val="-3"/>
          <w:w w:val="120"/>
          <w:sz w:val="20"/>
        </w:rPr>
        <w:t>volunteers </w:t>
      </w:r>
      <w:r>
        <w:rPr>
          <w:w w:val="120"/>
          <w:sz w:val="20"/>
        </w:rPr>
        <w:t>undertake </w:t>
      </w:r>
      <w:r>
        <w:rPr>
          <w:spacing w:val="-3"/>
          <w:w w:val="120"/>
          <w:sz w:val="20"/>
        </w:rPr>
        <w:t>to </w:t>
      </w:r>
      <w:r>
        <w:rPr>
          <w:w w:val="120"/>
          <w:sz w:val="20"/>
        </w:rPr>
        <w:t>support and serve </w:t>
      </w:r>
      <w:r>
        <w:rPr>
          <w:spacing w:val="-3"/>
          <w:w w:val="120"/>
          <w:sz w:val="20"/>
        </w:rPr>
        <w:t>children, young </w:t>
      </w:r>
      <w:r>
        <w:rPr>
          <w:w w:val="120"/>
          <w:sz w:val="20"/>
        </w:rPr>
        <w:t>people and adults at</w:t>
      </w:r>
      <w:r>
        <w:rPr>
          <w:spacing w:val="-5"/>
          <w:w w:val="120"/>
          <w:sz w:val="20"/>
        </w:rPr>
        <w:t> </w:t>
      </w:r>
      <w:r>
        <w:rPr>
          <w:w w:val="120"/>
          <w:sz w:val="20"/>
        </w:rPr>
        <w:t>risk.</w:t>
      </w:r>
    </w:p>
    <w:p>
      <w:pPr>
        <w:spacing w:after="0" w:line="235" w:lineRule="auto"/>
        <w:jc w:val="left"/>
        <w:rPr>
          <w:sz w:val="20"/>
        </w:rPr>
        <w:sectPr>
          <w:headerReference w:type="even" r:id="rId131"/>
          <w:footerReference w:type="even" r:id="rId132"/>
          <w:footerReference w:type="default" r:id="rId133"/>
          <w:pgSz w:w="11910" w:h="16840"/>
          <w:pgMar w:header="0" w:footer="647" w:top="0" w:bottom="840" w:left="700" w:right="0"/>
          <w:pgNumType w:start="36"/>
        </w:sectPr>
      </w:pPr>
    </w:p>
    <w:p>
      <w:pPr>
        <w:pStyle w:val="BodyText"/>
      </w:pPr>
      <w:r>
        <w:rPr/>
        <w:drawing>
          <wp:anchor distT="0" distB="0" distL="0" distR="0" allowOverlap="1" layoutInCell="1" locked="0" behindDoc="0" simplePos="0" relativeHeight="251764736">
            <wp:simplePos x="0" y="0"/>
            <wp:positionH relativeFrom="page">
              <wp:posOffset>6974928</wp:posOffset>
            </wp:positionH>
            <wp:positionV relativeFrom="page">
              <wp:posOffset>0</wp:posOffset>
            </wp:positionV>
            <wp:extent cx="585076" cy="10692003"/>
            <wp:effectExtent l="0" t="0" r="0" b="0"/>
            <wp:wrapNone/>
            <wp:docPr id="67" name="image50.png"/>
            <wp:cNvGraphicFramePr>
              <a:graphicFrameLocks noChangeAspect="1"/>
            </wp:cNvGraphicFramePr>
            <a:graphic>
              <a:graphicData uri="http://schemas.openxmlformats.org/drawingml/2006/picture">
                <pic:pic>
                  <pic:nvPicPr>
                    <pic:cNvPr id="68"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575.9pt;mso-position-horizontal-relative:page;mso-position-vertical-relative:paragraph;z-index:25176678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15"/>
                      <w:sz w:val="39"/>
                    </w:rPr>
                    <w:t>Appendix </w:t>
                  </w:r>
                  <w:r>
                    <w:rPr>
                      <w:color w:val="FFFFFF"/>
                      <w:spacing w:val="7"/>
                      <w:w w:val="115"/>
                      <w:sz w:val="39"/>
                    </w:rPr>
                    <w:t>six </w:t>
                  </w:r>
                  <w:r>
                    <w:rPr>
                      <w:color w:val="FFFFFF"/>
                      <w:w w:val="115"/>
                      <w:sz w:val="39"/>
                    </w:rPr>
                    <w:t>– </w:t>
                  </w:r>
                  <w:r>
                    <w:rPr>
                      <w:rFonts w:ascii="Stone Sans II ITC Std Lt" w:hAnsi="Stone Sans II ITC Std Lt"/>
                      <w:b w:val="0"/>
                      <w:spacing w:val="9"/>
                      <w:w w:val="115"/>
                      <w:sz w:val="39"/>
                    </w:rPr>
                    <w:t>Safeguarding </w:t>
                  </w:r>
                  <w:r>
                    <w:rPr>
                      <w:rFonts w:ascii="Stone Sans II ITC Std Lt" w:hAnsi="Stone Sans II ITC Std Lt"/>
                      <w:b w:val="0"/>
                      <w:spacing w:val="10"/>
                      <w:w w:val="115"/>
                      <w:sz w:val="39"/>
                    </w:rPr>
                    <w:t>priorities </w:t>
                  </w:r>
                  <w:r>
                    <w:rPr>
                      <w:rFonts w:ascii="Stone Sans II ITC Std Lt" w:hAnsi="Stone Sans II ITC Std Lt"/>
                      <w:b w:val="0"/>
                      <w:spacing w:val="7"/>
                      <w:w w:val="115"/>
                      <w:sz w:val="39"/>
                    </w:rPr>
                    <w:t>and</w:t>
                  </w:r>
                  <w:r>
                    <w:rPr>
                      <w:rFonts w:ascii="Stone Sans II ITC Std Lt" w:hAnsi="Stone Sans II ITC Std Lt"/>
                      <w:b w:val="0"/>
                      <w:spacing w:val="128"/>
                      <w:w w:val="115"/>
                      <w:sz w:val="39"/>
                    </w:rPr>
                    <w:t> </w:t>
                  </w:r>
                  <w:r>
                    <w:rPr>
                      <w:rFonts w:ascii="Stone Sans II ITC Std Lt" w:hAnsi="Stone Sans II ITC Std Lt"/>
                      <w:b w:val="0"/>
                      <w:spacing w:val="9"/>
                      <w:w w:val="115"/>
                      <w:sz w:val="39"/>
                    </w:rPr>
                    <w:t>developments</w:t>
                  </w:r>
                </w:p>
              </w:txbxContent>
            </v:textbox>
            <w10:wrap type="none"/>
          </v:shape>
        </w:pict>
      </w:r>
      <w:r>
        <w:rPr>
          <w:color w:val="7EAABF"/>
          <w:w w:val="120"/>
        </w:rPr>
        <w:t>Mission Council</w:t>
      </w:r>
    </w:p>
    <w:p>
      <w:pPr>
        <w:pStyle w:val="ListParagraph"/>
        <w:numPr>
          <w:ilvl w:val="1"/>
          <w:numId w:val="25"/>
        </w:numPr>
        <w:tabs>
          <w:tab w:pos="1964" w:val="left" w:leader="none"/>
          <w:tab w:pos="1965" w:val="left" w:leader="none"/>
        </w:tabs>
        <w:spacing w:line="235" w:lineRule="auto" w:before="222" w:after="0"/>
        <w:ind w:left="1284" w:right="1244" w:firstLine="0"/>
        <w:jc w:val="left"/>
        <w:rPr>
          <w:sz w:val="20"/>
        </w:rPr>
      </w:pPr>
      <w:r>
        <w:rPr>
          <w:w w:val="120"/>
          <w:sz w:val="20"/>
        </w:rPr>
        <w:t>Mission Council will be asked to support this resolution as an indication of the </w:t>
      </w:r>
      <w:r>
        <w:rPr>
          <w:spacing w:val="-3"/>
          <w:w w:val="120"/>
          <w:sz w:val="20"/>
        </w:rPr>
        <w:t>Church’s </w:t>
      </w:r>
      <w:r>
        <w:rPr>
          <w:w w:val="120"/>
          <w:sz w:val="20"/>
        </w:rPr>
        <w:t>desire to have in place the best safer recruitment policies as well as procedures that will satisfy the demands of the law and the expectations of our insurers and ecumenical</w:t>
      </w:r>
      <w:r>
        <w:rPr>
          <w:spacing w:val="2"/>
          <w:w w:val="120"/>
          <w:sz w:val="20"/>
        </w:rPr>
        <w:t> </w:t>
      </w:r>
      <w:r>
        <w:rPr>
          <w:w w:val="120"/>
          <w:sz w:val="20"/>
        </w:rPr>
        <w:t>partners.</w:t>
      </w:r>
    </w:p>
    <w:p>
      <w:pPr>
        <w:pStyle w:val="BodyText"/>
      </w:pPr>
    </w:p>
    <w:p>
      <w:pPr>
        <w:pStyle w:val="BodyText"/>
        <w:spacing w:before="4"/>
        <w:rPr>
          <w:sz w:val="23"/>
        </w:rPr>
      </w:pPr>
    </w:p>
    <w:p>
      <w:pPr>
        <w:spacing w:line="196" w:lineRule="auto" w:before="144"/>
        <w:ind w:left="1369" w:right="2429" w:firstLine="0"/>
        <w:jc w:val="left"/>
        <w:rPr>
          <w:rFonts w:ascii="Stone Sans II ITC Std Bk"/>
          <w:b/>
          <w:sz w:val="29"/>
        </w:rPr>
      </w:pPr>
      <w:r>
        <w:rPr>
          <w:rFonts w:ascii="Stone Sans II ITC Std Bk"/>
          <w:b/>
          <w:spacing w:val="3"/>
          <w:w w:val="110"/>
          <w:sz w:val="29"/>
        </w:rPr>
        <w:t>URC Roles where </w:t>
      </w:r>
      <w:r>
        <w:rPr>
          <w:rFonts w:ascii="Stone Sans II ITC Std Bk"/>
          <w:b/>
          <w:spacing w:val="2"/>
          <w:w w:val="110"/>
          <w:sz w:val="29"/>
        </w:rPr>
        <w:t>the </w:t>
      </w:r>
      <w:r>
        <w:rPr>
          <w:rFonts w:ascii="Stone Sans II ITC Std Bk"/>
          <w:b/>
          <w:spacing w:val="5"/>
          <w:w w:val="110"/>
          <w:sz w:val="29"/>
        </w:rPr>
        <w:t>activity </w:t>
      </w:r>
      <w:r>
        <w:rPr>
          <w:rFonts w:ascii="Stone Sans II ITC Std Bk"/>
          <w:b/>
          <w:w w:val="110"/>
          <w:sz w:val="29"/>
        </w:rPr>
        <w:t>is </w:t>
      </w:r>
      <w:r>
        <w:rPr>
          <w:rFonts w:ascii="Stone Sans II ITC Std Bk"/>
          <w:b/>
          <w:spacing w:val="3"/>
          <w:w w:val="110"/>
          <w:sz w:val="29"/>
        </w:rPr>
        <w:t>seen </w:t>
      </w:r>
      <w:r>
        <w:rPr>
          <w:rFonts w:ascii="Stone Sans II ITC Std Bk"/>
          <w:b/>
          <w:w w:val="110"/>
          <w:sz w:val="29"/>
        </w:rPr>
        <w:t>to </w:t>
      </w:r>
      <w:r>
        <w:rPr>
          <w:rFonts w:ascii="Stone Sans II ITC Std Bk"/>
          <w:b/>
          <w:spacing w:val="3"/>
          <w:w w:val="110"/>
          <w:sz w:val="29"/>
        </w:rPr>
        <w:t>be </w:t>
      </w:r>
      <w:r>
        <w:rPr>
          <w:rFonts w:ascii="Stone Sans II ITC Std Bk"/>
          <w:b/>
          <w:spacing w:val="4"/>
          <w:w w:val="110"/>
          <w:sz w:val="29"/>
        </w:rPr>
        <w:t>eligible </w:t>
      </w:r>
      <w:r>
        <w:rPr>
          <w:rFonts w:ascii="Stone Sans II ITC Std Bk"/>
          <w:b/>
          <w:spacing w:val="3"/>
          <w:w w:val="110"/>
          <w:sz w:val="29"/>
        </w:rPr>
        <w:t>for </w:t>
      </w:r>
      <w:r>
        <w:rPr>
          <w:rFonts w:ascii="Stone Sans II ITC Std Bk"/>
          <w:b/>
          <w:w w:val="110"/>
          <w:sz w:val="29"/>
        </w:rPr>
        <w:t>a </w:t>
      </w:r>
      <w:r>
        <w:rPr>
          <w:rFonts w:ascii="Stone Sans II ITC Std Bk"/>
          <w:b/>
          <w:spacing w:val="3"/>
          <w:w w:val="110"/>
          <w:sz w:val="29"/>
        </w:rPr>
        <w:t>criminal record</w:t>
      </w:r>
      <w:r>
        <w:rPr>
          <w:rFonts w:ascii="Stone Sans II ITC Std Bk"/>
          <w:b/>
          <w:spacing w:val="58"/>
          <w:w w:val="110"/>
          <w:sz w:val="29"/>
        </w:rPr>
        <w:t> </w:t>
      </w:r>
      <w:r>
        <w:rPr>
          <w:rFonts w:ascii="Stone Sans II ITC Std Bk"/>
          <w:b/>
          <w:spacing w:val="4"/>
          <w:w w:val="110"/>
          <w:sz w:val="29"/>
        </w:rPr>
        <w:t>check</w:t>
      </w:r>
    </w:p>
    <w:p>
      <w:pPr>
        <w:pStyle w:val="BodyText"/>
        <w:spacing w:line="235" w:lineRule="auto" w:before="211"/>
        <w:ind w:left="1369" w:right="1283"/>
      </w:pPr>
      <w:r>
        <w:rPr/>
        <w:pict>
          <v:group style="position:absolute;margin-left:99.212601pt;margin-top:83.480927pt;width:450.25pt;height:19.7pt;mso-position-horizontal-relative:page;mso-position-vertical-relative:paragraph;z-index:-267517952" coordorigin="1984,1670" coordsize="9005,394">
            <v:shape style="position:absolute;left:1989;top:1674;width:8995;height:384" coordorigin="1989,1675" coordsize="8995,384" path="m6809,1675l1989,1675,1989,2058,6809,2058,6809,1675m8561,1675l7597,1675,6809,1675,6809,2058,7597,2058,8561,2058,8561,1675m9320,1675l8561,1675,8561,2058,9320,2058,9320,1675m10256,1675l9320,1675,9320,2058,10256,2058,10256,1675m10984,1675l10256,1675,10256,2058,10984,2058,10984,1675e" filled="true" fillcolor="#f1b400" stroked="false">
              <v:path arrowok="t"/>
              <v:fill type="solid"/>
            </v:shape>
            <v:line style="position:absolute" from="1984,1675" to="6809,1675" stroked="true" strokeweight=".5pt" strokecolor="#f1b400">
              <v:stroke dashstyle="solid"/>
            </v:line>
            <v:line style="position:absolute" from="10984,2053" to="10984,1680" stroked="true" strokeweight=".5pt" strokecolor="#f1b400">
              <v:stroke dashstyle="solid"/>
            </v:line>
            <v:line style="position:absolute" from="1984,2058" to="6809,2058" stroked="true" strokeweight=".5pt" strokecolor="#f1b400">
              <v:stroke dashstyle="solid"/>
            </v:line>
            <v:line style="position:absolute" from="6809,2058" to="7597,2058" stroked="true" strokeweight=".5pt" strokecolor="#f1b400">
              <v:stroke dashstyle="solid"/>
            </v:line>
            <v:line style="position:absolute" from="7597,2058" to="8561,2058" stroked="true" strokeweight=".5pt" strokecolor="#f1b400">
              <v:stroke dashstyle="solid"/>
            </v:line>
            <v:line style="position:absolute" from="8561,2058" to="9320,2058" stroked="true" strokeweight=".5pt" strokecolor="#f1b400">
              <v:stroke dashstyle="solid"/>
            </v:line>
            <v:line style="position:absolute" from="9320,2058" to="10256,2058" stroked="true" strokeweight=".5pt" strokecolor="#f1b400">
              <v:stroke dashstyle="solid"/>
            </v:line>
            <v:line style="position:absolute" from="10256,2058" to="10989,2058" stroked="true" strokeweight=".5pt" strokecolor="#f1b400">
              <v:stroke dashstyle="solid"/>
            </v:line>
            <v:line style="position:absolute" from="6809,1675" to="7597,1675" stroked="true" strokeweight=".5pt" strokecolor="#f1b400">
              <v:stroke dashstyle="solid"/>
            </v:line>
            <v:line style="position:absolute" from="7597,1675" to="8561,1675" stroked="true" strokeweight=".5pt" strokecolor="#f1b400">
              <v:stroke dashstyle="solid"/>
            </v:line>
            <v:line style="position:absolute" from="8561,1675" to="9320,1675" stroked="true" strokeweight=".5pt" strokecolor="#f1b400">
              <v:stroke dashstyle="solid"/>
            </v:line>
            <v:line style="position:absolute" from="9320,1675" to="10256,1675" stroked="true" strokeweight=".5pt" strokecolor="#f1b400">
              <v:stroke dashstyle="solid"/>
            </v:line>
            <v:line style="position:absolute" from="10256,1675" to="10989,1675" stroked="true" strokeweight=".5pt" strokecolor="#f1b400">
              <v:stroke dashstyle="solid"/>
            </v:line>
            <w10:wrap type="none"/>
          </v:group>
        </w:pict>
      </w:r>
      <w:r>
        <w:rPr>
          <w:w w:val="120"/>
        </w:rPr>
        <w:t>Anyone who wishes to raise questions of detail about this table is asked to contact the presenters of the report before we get to Nottingham.</w:t>
      </w:r>
    </w:p>
    <w:p>
      <w:pPr>
        <w:pStyle w:val="BodyText"/>
        <w:spacing w:before="7"/>
        <w:rPr>
          <w:sz w:val="21"/>
        </w:rPr>
      </w:pPr>
    </w:p>
    <w:tbl>
      <w:tblPr>
        <w:tblW w:w="0" w:type="auto"/>
        <w:jc w:val="left"/>
        <w:tblInd w:w="1296" w:type="dxa"/>
        <w:tblBorders>
          <w:top w:val="single" w:sz="4" w:space="0" w:color="F1B400"/>
          <w:left w:val="single" w:sz="4" w:space="0" w:color="F1B400"/>
          <w:bottom w:val="single" w:sz="4" w:space="0" w:color="F1B400"/>
          <w:right w:val="single" w:sz="4" w:space="0" w:color="F1B400"/>
          <w:insideH w:val="single" w:sz="4" w:space="0" w:color="F1B400"/>
          <w:insideV w:val="single" w:sz="4" w:space="0" w:color="F1B400"/>
        </w:tblBorders>
        <w:tblLayout w:type="fixed"/>
        <w:tblCellMar>
          <w:top w:w="0" w:type="dxa"/>
          <w:left w:w="0" w:type="dxa"/>
          <w:bottom w:w="0" w:type="dxa"/>
          <w:right w:w="0" w:type="dxa"/>
        </w:tblCellMar>
        <w:tblLook w:val="01E0"/>
      </w:tblPr>
      <w:tblGrid>
        <w:gridCol w:w="4820"/>
        <w:gridCol w:w="788"/>
        <w:gridCol w:w="964"/>
        <w:gridCol w:w="760"/>
        <w:gridCol w:w="936"/>
        <w:gridCol w:w="729"/>
      </w:tblGrid>
      <w:tr>
        <w:trPr>
          <w:trHeight w:val="701" w:hRule="atLeast"/>
        </w:trPr>
        <w:tc>
          <w:tcPr>
            <w:tcW w:w="4820" w:type="dxa"/>
            <w:vMerge w:val="restart"/>
            <w:tcBorders>
              <w:top w:val="nil"/>
              <w:left w:val="nil"/>
              <w:right w:val="single" w:sz="4" w:space="0" w:color="FFFFFF"/>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8"/>
              </w:rPr>
            </w:pPr>
          </w:p>
          <w:p>
            <w:pPr>
              <w:pStyle w:val="TableParagraph"/>
              <w:spacing w:line="295" w:lineRule="auto"/>
              <w:ind w:left="84" w:right="31"/>
              <w:rPr>
                <w:sz w:val="16"/>
              </w:rPr>
            </w:pPr>
            <w:r>
              <w:rPr>
                <w:w w:val="125"/>
                <w:sz w:val="16"/>
              </w:rPr>
              <w:t>Ministers, stipendiary/non-stipendiary and Church Related Community Workers – active</w:t>
            </w:r>
          </w:p>
        </w:tc>
        <w:tc>
          <w:tcPr>
            <w:tcW w:w="1752" w:type="dxa"/>
            <w:gridSpan w:val="2"/>
            <w:tcBorders>
              <w:bottom w:val="nil"/>
            </w:tcBorders>
          </w:tcPr>
          <w:p>
            <w:pPr>
              <w:pStyle w:val="TableParagraph"/>
              <w:spacing w:line="295" w:lineRule="auto" w:before="105"/>
              <w:ind w:left="80"/>
              <w:rPr>
                <w:sz w:val="16"/>
              </w:rPr>
            </w:pPr>
            <w:r>
              <w:rPr>
                <w:w w:val="120"/>
                <w:sz w:val="16"/>
              </w:rPr>
              <w:t>With barring information</w:t>
            </w:r>
          </w:p>
        </w:tc>
        <w:tc>
          <w:tcPr>
            <w:tcW w:w="1696" w:type="dxa"/>
            <w:gridSpan w:val="2"/>
            <w:tcBorders>
              <w:bottom w:val="nil"/>
            </w:tcBorders>
          </w:tcPr>
          <w:p>
            <w:pPr>
              <w:pStyle w:val="TableParagraph"/>
              <w:spacing w:line="295" w:lineRule="auto" w:before="105"/>
              <w:ind w:left="79" w:right="282"/>
              <w:rPr>
                <w:sz w:val="16"/>
              </w:rPr>
            </w:pPr>
            <w:r>
              <w:rPr>
                <w:w w:val="125"/>
                <w:sz w:val="16"/>
              </w:rPr>
              <w:t>Without barring information</w:t>
            </w:r>
          </w:p>
        </w:tc>
        <w:tc>
          <w:tcPr>
            <w:tcW w:w="729" w:type="dxa"/>
            <w:tcBorders>
              <w:bottom w:val="nil"/>
            </w:tcBorders>
          </w:tcPr>
          <w:p>
            <w:pPr>
              <w:pStyle w:val="TableParagraph"/>
              <w:spacing w:line="295" w:lineRule="auto" w:before="105"/>
              <w:ind w:left="78" w:right="78"/>
              <w:rPr>
                <w:sz w:val="16"/>
              </w:rPr>
            </w:pPr>
            <w:r>
              <w:rPr>
                <w:w w:val="125"/>
                <w:sz w:val="16"/>
              </w:rPr>
              <w:t>No checks</w:t>
            </w:r>
          </w:p>
        </w:tc>
      </w:tr>
      <w:tr>
        <w:trPr>
          <w:trHeight w:val="383" w:hRule="atLeast"/>
        </w:trPr>
        <w:tc>
          <w:tcPr>
            <w:tcW w:w="4820" w:type="dxa"/>
            <w:vMerge/>
            <w:tcBorders>
              <w:top w:val="nil"/>
              <w:left w:val="nil"/>
              <w:right w:val="single" w:sz="4" w:space="0" w:color="FFFFFF"/>
            </w:tcBorders>
          </w:tcPr>
          <w:p>
            <w:pPr>
              <w:rPr>
                <w:sz w:val="2"/>
                <w:szCs w:val="2"/>
              </w:rPr>
            </w:pPr>
          </w:p>
        </w:tc>
        <w:tc>
          <w:tcPr>
            <w:tcW w:w="788" w:type="dxa"/>
            <w:vMerge w:val="restart"/>
            <w:tcBorders>
              <w:top w:val="nil"/>
              <w:left w:val="single" w:sz="4" w:space="0" w:color="FFFFFF"/>
              <w:right w:val="single" w:sz="4" w:space="0" w:color="FFFFFF"/>
            </w:tcBorders>
          </w:tcPr>
          <w:p>
            <w:pPr>
              <w:pStyle w:val="TableParagraph"/>
              <w:spacing w:before="100"/>
              <w:ind w:left="107"/>
              <w:rPr>
                <w:rFonts w:ascii="Stone Sans II ITC Std Bk"/>
                <w:b/>
                <w:sz w:val="16"/>
              </w:rPr>
            </w:pPr>
            <w:r>
              <w:rPr>
                <w:rFonts w:ascii="Stone Sans II ITC Std Bk"/>
                <w:b/>
                <w:color w:val="FFFFFF"/>
                <w:w w:val="115"/>
                <w:sz w:val="16"/>
              </w:rPr>
              <w:t>Adults</w:t>
            </w:r>
          </w:p>
        </w:tc>
        <w:tc>
          <w:tcPr>
            <w:tcW w:w="964" w:type="dxa"/>
            <w:vMerge w:val="restart"/>
            <w:tcBorders>
              <w:top w:val="nil"/>
              <w:left w:val="single" w:sz="4" w:space="0" w:color="FFFFFF"/>
              <w:right w:val="single" w:sz="4" w:space="0" w:color="FFFFFF"/>
            </w:tcBorders>
          </w:tcPr>
          <w:p>
            <w:pPr>
              <w:pStyle w:val="TableParagraph"/>
              <w:spacing w:before="100"/>
              <w:ind w:left="75" w:right="67"/>
              <w:jc w:val="center"/>
              <w:rPr>
                <w:rFonts w:ascii="Stone Sans II ITC Std Bk"/>
                <w:b/>
                <w:sz w:val="16"/>
              </w:rPr>
            </w:pPr>
            <w:r>
              <w:rPr>
                <w:rFonts w:ascii="Stone Sans II ITC Std Bk"/>
                <w:b/>
                <w:color w:val="FFFFFF"/>
                <w:w w:val="115"/>
                <w:sz w:val="16"/>
              </w:rPr>
              <w:t>Children</w:t>
            </w:r>
          </w:p>
          <w:p>
            <w:pPr>
              <w:pStyle w:val="TableParagraph"/>
              <w:spacing w:before="178"/>
              <w:ind w:left="8"/>
              <w:jc w:val="center"/>
              <w:rPr>
                <w:sz w:val="18"/>
              </w:rPr>
            </w:pPr>
            <w:r>
              <w:rPr>
                <w:w w:val="134"/>
                <w:sz w:val="18"/>
              </w:rPr>
              <w:t>X</w:t>
            </w:r>
          </w:p>
        </w:tc>
        <w:tc>
          <w:tcPr>
            <w:tcW w:w="760" w:type="dxa"/>
            <w:vMerge w:val="restart"/>
            <w:tcBorders>
              <w:top w:val="nil"/>
              <w:left w:val="single" w:sz="4" w:space="0" w:color="FFFFFF"/>
              <w:right w:val="single" w:sz="4" w:space="0" w:color="FFFFFF"/>
            </w:tcBorders>
          </w:tcPr>
          <w:p>
            <w:pPr>
              <w:pStyle w:val="TableParagraph"/>
              <w:spacing w:before="100"/>
              <w:ind w:left="92"/>
              <w:rPr>
                <w:rFonts w:ascii="Stone Sans II ITC Std Bk"/>
                <w:b/>
                <w:sz w:val="16"/>
              </w:rPr>
            </w:pPr>
            <w:r>
              <w:rPr>
                <w:rFonts w:ascii="Stone Sans II ITC Std Bk"/>
                <w:b/>
                <w:color w:val="FFFFFF"/>
                <w:w w:val="115"/>
                <w:sz w:val="16"/>
              </w:rPr>
              <w:t>Adults</w:t>
            </w:r>
          </w:p>
        </w:tc>
        <w:tc>
          <w:tcPr>
            <w:tcW w:w="936" w:type="dxa"/>
            <w:vMerge w:val="restart"/>
            <w:tcBorders>
              <w:top w:val="nil"/>
              <w:left w:val="single" w:sz="4" w:space="0" w:color="FFFFFF"/>
              <w:right w:val="single" w:sz="4" w:space="0" w:color="FFFFFF"/>
            </w:tcBorders>
          </w:tcPr>
          <w:p>
            <w:pPr>
              <w:pStyle w:val="TableParagraph"/>
              <w:spacing w:before="100"/>
              <w:ind w:left="82"/>
              <w:rPr>
                <w:rFonts w:ascii="Stone Sans II ITC Std Bk"/>
                <w:b/>
                <w:sz w:val="16"/>
              </w:rPr>
            </w:pPr>
            <w:r>
              <w:rPr>
                <w:rFonts w:ascii="Stone Sans II ITC Std Bk"/>
                <w:b/>
                <w:color w:val="FFFFFF"/>
                <w:w w:val="115"/>
                <w:sz w:val="16"/>
              </w:rPr>
              <w:t>Children</w:t>
            </w:r>
          </w:p>
        </w:tc>
        <w:tc>
          <w:tcPr>
            <w:tcW w:w="729" w:type="dxa"/>
            <w:tcBorders>
              <w:top w:val="nil"/>
              <w:left w:val="single" w:sz="4" w:space="0" w:color="FFFFFF"/>
              <w:bottom w:val="nil"/>
              <w:right w:val="nil"/>
            </w:tcBorders>
            <w:shd w:val="clear" w:color="auto" w:fill="F1B400"/>
          </w:tcPr>
          <w:p>
            <w:pPr>
              <w:pStyle w:val="TableParagraph"/>
              <w:rPr>
                <w:rFonts w:ascii="Times New Roman"/>
                <w:sz w:val="20"/>
              </w:rPr>
            </w:pPr>
          </w:p>
        </w:tc>
      </w:tr>
      <w:tr>
        <w:trPr>
          <w:trHeight w:val="601" w:hRule="atLeast"/>
        </w:trPr>
        <w:tc>
          <w:tcPr>
            <w:tcW w:w="4820" w:type="dxa"/>
            <w:vMerge/>
            <w:tcBorders>
              <w:top w:val="nil"/>
              <w:left w:val="nil"/>
              <w:right w:val="single" w:sz="4" w:space="0" w:color="FFFFFF"/>
            </w:tcBorders>
          </w:tcPr>
          <w:p>
            <w:pPr>
              <w:rPr>
                <w:sz w:val="2"/>
                <w:szCs w:val="2"/>
              </w:rPr>
            </w:pPr>
          </w:p>
        </w:tc>
        <w:tc>
          <w:tcPr>
            <w:tcW w:w="788" w:type="dxa"/>
            <w:vMerge/>
            <w:tcBorders>
              <w:top w:val="nil"/>
              <w:left w:val="single" w:sz="4" w:space="0" w:color="FFFFFF"/>
              <w:right w:val="single" w:sz="4" w:space="0" w:color="FFFFFF"/>
            </w:tcBorders>
          </w:tcPr>
          <w:p>
            <w:pPr>
              <w:rPr>
                <w:sz w:val="2"/>
                <w:szCs w:val="2"/>
              </w:rPr>
            </w:pPr>
          </w:p>
        </w:tc>
        <w:tc>
          <w:tcPr>
            <w:tcW w:w="964" w:type="dxa"/>
            <w:vMerge/>
            <w:tcBorders>
              <w:top w:val="nil"/>
              <w:left w:val="single" w:sz="4" w:space="0" w:color="FFFFFF"/>
              <w:right w:val="single" w:sz="4" w:space="0" w:color="FFFFFF"/>
            </w:tcBorders>
          </w:tcPr>
          <w:p>
            <w:pPr>
              <w:rPr>
                <w:sz w:val="2"/>
                <w:szCs w:val="2"/>
              </w:rPr>
            </w:pPr>
          </w:p>
        </w:tc>
        <w:tc>
          <w:tcPr>
            <w:tcW w:w="760" w:type="dxa"/>
            <w:vMerge/>
            <w:tcBorders>
              <w:top w:val="nil"/>
              <w:left w:val="single" w:sz="4" w:space="0" w:color="FFFFFF"/>
              <w:right w:val="single" w:sz="4" w:space="0" w:color="FFFFFF"/>
            </w:tcBorders>
          </w:tcPr>
          <w:p>
            <w:pPr>
              <w:rPr>
                <w:sz w:val="2"/>
                <w:szCs w:val="2"/>
              </w:rPr>
            </w:pPr>
          </w:p>
        </w:tc>
        <w:tc>
          <w:tcPr>
            <w:tcW w:w="936" w:type="dxa"/>
            <w:vMerge/>
            <w:tcBorders>
              <w:top w:val="nil"/>
              <w:left w:val="single" w:sz="4" w:space="0" w:color="FFFFFF"/>
              <w:right w:val="single" w:sz="4" w:space="0" w:color="FFFFFF"/>
            </w:tcBorders>
          </w:tcPr>
          <w:p>
            <w:pPr>
              <w:rPr>
                <w:sz w:val="2"/>
                <w:szCs w:val="2"/>
              </w:rPr>
            </w:pPr>
          </w:p>
        </w:tc>
        <w:tc>
          <w:tcPr>
            <w:tcW w:w="729" w:type="dxa"/>
            <w:tcBorders>
              <w:top w:val="nil"/>
            </w:tcBorders>
          </w:tcPr>
          <w:p>
            <w:pPr>
              <w:pStyle w:val="TableParagraph"/>
              <w:rPr>
                <w:rFonts w:ascii="Times New Roman"/>
                <w:sz w:val="20"/>
              </w:rPr>
            </w:pPr>
          </w:p>
        </w:tc>
      </w:tr>
      <w:tr>
        <w:trPr>
          <w:trHeight w:val="606" w:hRule="atLeast"/>
        </w:trPr>
        <w:tc>
          <w:tcPr>
            <w:tcW w:w="4820" w:type="dxa"/>
          </w:tcPr>
          <w:p>
            <w:pPr>
              <w:pStyle w:val="TableParagraph"/>
              <w:spacing w:line="295" w:lineRule="auto" w:before="105"/>
              <w:ind w:left="80" w:right="300"/>
              <w:rPr>
                <w:sz w:val="16"/>
              </w:rPr>
            </w:pPr>
            <w:r>
              <w:rPr>
                <w:w w:val="125"/>
                <w:sz w:val="16"/>
              </w:rPr>
              <w:t>Ministers, stipendiary/non-stipendiary and Church Related Community Workers – non-active</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spacing w:before="106"/>
              <w:ind w:right="291"/>
              <w:jc w:val="right"/>
              <w:rPr>
                <w:sz w:val="18"/>
              </w:rPr>
            </w:pPr>
            <w:r>
              <w:rPr>
                <w:w w:val="134"/>
                <w:sz w:val="18"/>
              </w:rPr>
              <w:t>X</w:t>
            </w:r>
          </w:p>
        </w:tc>
      </w:tr>
      <w:tr>
        <w:trPr>
          <w:trHeight w:val="406" w:hRule="atLeast"/>
        </w:trPr>
        <w:tc>
          <w:tcPr>
            <w:tcW w:w="4820" w:type="dxa"/>
          </w:tcPr>
          <w:p>
            <w:pPr>
              <w:pStyle w:val="TableParagraph"/>
              <w:spacing w:before="146"/>
              <w:ind w:left="80"/>
              <w:rPr>
                <w:sz w:val="16"/>
              </w:rPr>
            </w:pPr>
            <w:r>
              <w:rPr>
                <w:w w:val="125"/>
                <w:sz w:val="16"/>
              </w:rPr>
              <w:t>Ministers of other denominations employed by the URC</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406" w:hRule="atLeast"/>
        </w:trPr>
        <w:tc>
          <w:tcPr>
            <w:tcW w:w="4820" w:type="dxa"/>
          </w:tcPr>
          <w:p>
            <w:pPr>
              <w:pStyle w:val="TableParagraph"/>
              <w:spacing w:before="146"/>
              <w:ind w:left="80"/>
              <w:rPr>
                <w:sz w:val="16"/>
              </w:rPr>
            </w:pPr>
            <w:r>
              <w:rPr>
                <w:w w:val="125"/>
                <w:sz w:val="16"/>
              </w:rPr>
              <w:t>Others in Special Category Ministry posts</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406" w:hRule="atLeast"/>
        </w:trPr>
        <w:tc>
          <w:tcPr>
            <w:tcW w:w="4820" w:type="dxa"/>
          </w:tcPr>
          <w:p>
            <w:pPr>
              <w:pStyle w:val="TableParagraph"/>
              <w:spacing w:before="146"/>
              <w:ind w:left="80"/>
              <w:rPr>
                <w:sz w:val="16"/>
              </w:rPr>
            </w:pPr>
            <w:r>
              <w:rPr>
                <w:w w:val="125"/>
                <w:sz w:val="16"/>
              </w:rPr>
              <w:t>Ministers and CRCWs in training</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406" w:hRule="atLeast"/>
        </w:trPr>
        <w:tc>
          <w:tcPr>
            <w:tcW w:w="4820" w:type="dxa"/>
          </w:tcPr>
          <w:p>
            <w:pPr>
              <w:pStyle w:val="TableParagraph"/>
              <w:spacing w:before="146"/>
              <w:ind w:left="80"/>
              <w:rPr>
                <w:sz w:val="16"/>
              </w:rPr>
            </w:pPr>
            <w:r>
              <w:rPr>
                <w:w w:val="125"/>
                <w:sz w:val="16"/>
              </w:rPr>
              <w:t>Children’s and youth work elders</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606" w:hRule="atLeast"/>
        </w:trPr>
        <w:tc>
          <w:tcPr>
            <w:tcW w:w="4820" w:type="dxa"/>
          </w:tcPr>
          <w:p>
            <w:pPr>
              <w:pStyle w:val="TableParagraph"/>
              <w:spacing w:line="295" w:lineRule="auto" w:before="105"/>
              <w:ind w:left="80" w:right="300"/>
              <w:rPr>
                <w:sz w:val="16"/>
              </w:rPr>
            </w:pPr>
            <w:r>
              <w:rPr>
                <w:w w:val="125"/>
                <w:sz w:val="16"/>
              </w:rPr>
              <w:t>URC Assembly accredited lay preachers, England and Wales</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spacing w:before="106"/>
              <w:ind w:left="8"/>
              <w:jc w:val="center"/>
              <w:rPr>
                <w:sz w:val="18"/>
              </w:rPr>
            </w:pPr>
            <w:r>
              <w:rPr>
                <w:w w:val="134"/>
                <w:sz w:val="18"/>
              </w:rPr>
              <w:t>X</w:t>
            </w:r>
          </w:p>
        </w:tc>
        <w:tc>
          <w:tcPr>
            <w:tcW w:w="936" w:type="dxa"/>
          </w:tcPr>
          <w:p>
            <w:pPr>
              <w:pStyle w:val="TableParagraph"/>
              <w:spacing w:before="106"/>
              <w:ind w:left="7"/>
              <w:jc w:val="center"/>
              <w:rPr>
                <w:sz w:val="18"/>
              </w:rPr>
            </w:pPr>
            <w:r>
              <w:rPr>
                <w:w w:val="134"/>
                <w:sz w:val="18"/>
              </w:rPr>
              <w:t>X</w:t>
            </w:r>
          </w:p>
        </w:tc>
        <w:tc>
          <w:tcPr>
            <w:tcW w:w="729" w:type="dxa"/>
          </w:tcPr>
          <w:p>
            <w:pPr>
              <w:pStyle w:val="TableParagraph"/>
              <w:rPr>
                <w:rFonts w:ascii="Times New Roman"/>
                <w:sz w:val="20"/>
              </w:rPr>
            </w:pPr>
          </w:p>
        </w:tc>
      </w:tr>
      <w:tr>
        <w:trPr>
          <w:trHeight w:val="406" w:hRule="atLeast"/>
        </w:trPr>
        <w:tc>
          <w:tcPr>
            <w:tcW w:w="4820" w:type="dxa"/>
          </w:tcPr>
          <w:p>
            <w:pPr>
              <w:pStyle w:val="TableParagraph"/>
              <w:spacing w:before="146"/>
              <w:ind w:left="80"/>
              <w:rPr>
                <w:sz w:val="16"/>
              </w:rPr>
            </w:pPr>
            <w:r>
              <w:rPr>
                <w:w w:val="125"/>
                <w:sz w:val="16"/>
              </w:rPr>
              <w:t>URC locally recognised lay preachers, England and Wales</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spacing w:before="106"/>
              <w:ind w:left="8"/>
              <w:jc w:val="center"/>
              <w:rPr>
                <w:sz w:val="18"/>
              </w:rPr>
            </w:pPr>
            <w:r>
              <w:rPr>
                <w:w w:val="134"/>
                <w:sz w:val="18"/>
              </w:rPr>
              <w:t>X</w:t>
            </w:r>
          </w:p>
        </w:tc>
        <w:tc>
          <w:tcPr>
            <w:tcW w:w="936" w:type="dxa"/>
          </w:tcPr>
          <w:p>
            <w:pPr>
              <w:pStyle w:val="TableParagraph"/>
              <w:spacing w:before="106"/>
              <w:ind w:left="7"/>
              <w:jc w:val="center"/>
              <w:rPr>
                <w:sz w:val="18"/>
              </w:rPr>
            </w:pPr>
            <w:r>
              <w:rPr>
                <w:w w:val="134"/>
                <w:sz w:val="18"/>
              </w:rPr>
              <w:t>X</w:t>
            </w:r>
          </w:p>
        </w:tc>
        <w:tc>
          <w:tcPr>
            <w:tcW w:w="729" w:type="dxa"/>
          </w:tcPr>
          <w:p>
            <w:pPr>
              <w:pStyle w:val="TableParagraph"/>
              <w:rPr>
                <w:rFonts w:ascii="Times New Roman"/>
                <w:sz w:val="20"/>
              </w:rPr>
            </w:pPr>
          </w:p>
        </w:tc>
      </w:tr>
      <w:tr>
        <w:trPr>
          <w:trHeight w:val="606" w:hRule="atLeast"/>
        </w:trPr>
        <w:tc>
          <w:tcPr>
            <w:tcW w:w="4820" w:type="dxa"/>
          </w:tcPr>
          <w:p>
            <w:pPr>
              <w:pStyle w:val="TableParagraph"/>
              <w:spacing w:line="295" w:lineRule="auto" w:before="105"/>
              <w:ind w:left="80" w:right="300"/>
              <w:rPr>
                <w:sz w:val="16"/>
              </w:rPr>
            </w:pPr>
            <w:r>
              <w:rPr>
                <w:w w:val="125"/>
                <w:sz w:val="16"/>
              </w:rPr>
              <w:t>URC Assembly accredited or locally authorised lay preachers, Scotland</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spacing w:before="106"/>
              <w:ind w:right="291"/>
              <w:jc w:val="right"/>
              <w:rPr>
                <w:sz w:val="18"/>
              </w:rPr>
            </w:pPr>
            <w:r>
              <w:rPr>
                <w:w w:val="134"/>
                <w:sz w:val="18"/>
              </w:rPr>
              <w:t>X</w:t>
            </w:r>
          </w:p>
        </w:tc>
      </w:tr>
      <w:tr>
        <w:trPr>
          <w:trHeight w:val="846" w:hRule="atLeast"/>
        </w:trPr>
        <w:tc>
          <w:tcPr>
            <w:tcW w:w="4820" w:type="dxa"/>
          </w:tcPr>
          <w:p>
            <w:pPr>
              <w:pStyle w:val="TableParagraph"/>
              <w:spacing w:line="295" w:lineRule="auto" w:before="105"/>
              <w:ind w:left="80" w:right="300"/>
              <w:rPr>
                <w:sz w:val="16"/>
              </w:rPr>
            </w:pPr>
            <w:r>
              <w:rPr>
                <w:w w:val="120"/>
                <w:sz w:val="16"/>
              </w:rPr>
              <w:t>Assembly appointed staff and Church House support staff who undertake regulated activity with children and/or adults</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846" w:hRule="atLeast"/>
        </w:trPr>
        <w:tc>
          <w:tcPr>
            <w:tcW w:w="4820" w:type="dxa"/>
          </w:tcPr>
          <w:p>
            <w:pPr>
              <w:pStyle w:val="TableParagraph"/>
              <w:spacing w:line="295" w:lineRule="auto" w:before="105"/>
              <w:ind w:left="80"/>
              <w:rPr>
                <w:sz w:val="16"/>
              </w:rPr>
            </w:pPr>
            <w:r>
              <w:rPr>
                <w:w w:val="125"/>
                <w:sz w:val="16"/>
              </w:rPr>
              <w:t>Safeguarding professionals and officers, including safeguarding coordinators and their deputies, and safe church advisers</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606" w:hRule="atLeast"/>
        </w:trPr>
        <w:tc>
          <w:tcPr>
            <w:tcW w:w="4820" w:type="dxa"/>
          </w:tcPr>
          <w:p>
            <w:pPr>
              <w:pStyle w:val="TableParagraph"/>
              <w:spacing w:line="295" w:lineRule="auto" w:before="105"/>
              <w:ind w:left="80" w:right="300"/>
              <w:rPr>
                <w:sz w:val="16"/>
              </w:rPr>
            </w:pPr>
            <w:r>
              <w:rPr>
                <w:w w:val="120"/>
                <w:sz w:val="16"/>
              </w:rPr>
              <w:t>Synod recognised lay pastors/local leaders/interim moderators/interim ministers</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spacing w:before="106"/>
              <w:ind w:right="291"/>
              <w:jc w:val="right"/>
              <w:rPr>
                <w:sz w:val="18"/>
              </w:rPr>
            </w:pPr>
            <w:r>
              <w:rPr>
                <w:w w:val="134"/>
                <w:sz w:val="18"/>
              </w:rPr>
              <w:t>X</w:t>
            </w:r>
          </w:p>
        </w:tc>
      </w:tr>
      <w:tr>
        <w:trPr>
          <w:trHeight w:val="1086" w:hRule="atLeast"/>
        </w:trPr>
        <w:tc>
          <w:tcPr>
            <w:tcW w:w="4820" w:type="dxa"/>
          </w:tcPr>
          <w:p>
            <w:pPr>
              <w:pStyle w:val="TableParagraph"/>
              <w:spacing w:line="295" w:lineRule="auto" w:before="105"/>
              <w:ind w:left="80" w:right="23"/>
              <w:rPr>
                <w:sz w:val="16"/>
              </w:rPr>
            </w:pPr>
            <w:r>
              <w:rPr>
                <w:w w:val="125"/>
                <w:sz w:val="16"/>
              </w:rPr>
              <w:t>Children and Youth Workers (paid/voluntary), managers of Children and Youth Workers, stewards and drivers</w:t>
            </w:r>
          </w:p>
          <w:p>
            <w:pPr>
              <w:pStyle w:val="TableParagraph"/>
              <w:spacing w:line="295" w:lineRule="auto"/>
              <w:ind w:left="80"/>
              <w:rPr>
                <w:sz w:val="16"/>
              </w:rPr>
            </w:pPr>
            <w:r>
              <w:rPr>
                <w:w w:val="125"/>
                <w:sz w:val="16"/>
              </w:rPr>
              <w:t>in settings with regulated work with children or young people</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rPr>
                <w:rFonts w:ascii="Times New Roman"/>
                <w:sz w:val="20"/>
              </w:rPr>
            </w:pP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1086" w:hRule="atLeast"/>
        </w:trPr>
        <w:tc>
          <w:tcPr>
            <w:tcW w:w="4820" w:type="dxa"/>
          </w:tcPr>
          <w:p>
            <w:pPr>
              <w:pStyle w:val="TableParagraph"/>
              <w:spacing w:line="240" w:lineRule="exact" w:before="65"/>
              <w:ind w:left="80"/>
              <w:rPr>
                <w:sz w:val="20"/>
              </w:rPr>
            </w:pPr>
            <w:r>
              <w:rPr>
                <w:w w:val="125"/>
                <w:sz w:val="16"/>
              </w:rPr>
              <w:t>Vulnerable adult workers (paid/voluntary), pastoral and personal care visitors where role includes direct feeding, physical care, assistance with financial matters or driving to medical or social care appointment</w:t>
            </w:r>
            <w:r>
              <w:rPr>
                <w:w w:val="125"/>
                <w:sz w:val="20"/>
              </w:rPr>
              <w:t>s</w:t>
            </w:r>
          </w:p>
        </w:tc>
        <w:tc>
          <w:tcPr>
            <w:tcW w:w="788" w:type="dxa"/>
          </w:tcPr>
          <w:p>
            <w:pPr>
              <w:pStyle w:val="TableParagraph"/>
              <w:rPr>
                <w:rFonts w:ascii="Times New Roman"/>
                <w:sz w:val="20"/>
              </w:rPr>
            </w:pP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r>
        <w:trPr>
          <w:trHeight w:val="406" w:hRule="atLeast"/>
        </w:trPr>
        <w:tc>
          <w:tcPr>
            <w:tcW w:w="4820" w:type="dxa"/>
          </w:tcPr>
          <w:p>
            <w:pPr>
              <w:pStyle w:val="TableParagraph"/>
              <w:spacing w:before="146"/>
              <w:ind w:left="80"/>
              <w:rPr>
                <w:sz w:val="16"/>
              </w:rPr>
            </w:pPr>
            <w:r>
              <w:rPr>
                <w:w w:val="120"/>
                <w:sz w:val="16"/>
              </w:rPr>
              <w:t>United Reformed Church Trustees</w:t>
            </w:r>
          </w:p>
        </w:tc>
        <w:tc>
          <w:tcPr>
            <w:tcW w:w="788" w:type="dxa"/>
          </w:tcPr>
          <w:p>
            <w:pPr>
              <w:pStyle w:val="TableParagraph"/>
              <w:rPr>
                <w:rFonts w:ascii="Times New Roman"/>
                <w:sz w:val="20"/>
              </w:rPr>
            </w:pPr>
          </w:p>
        </w:tc>
        <w:tc>
          <w:tcPr>
            <w:tcW w:w="964" w:type="dxa"/>
          </w:tcPr>
          <w:p>
            <w:pPr>
              <w:pStyle w:val="TableParagraph"/>
              <w:rPr>
                <w:rFonts w:ascii="Times New Roman"/>
                <w:sz w:val="20"/>
              </w:rPr>
            </w:pPr>
          </w:p>
        </w:tc>
        <w:tc>
          <w:tcPr>
            <w:tcW w:w="760" w:type="dxa"/>
          </w:tcPr>
          <w:p>
            <w:pPr>
              <w:pStyle w:val="TableParagraph"/>
              <w:spacing w:before="106"/>
              <w:ind w:left="8"/>
              <w:jc w:val="center"/>
              <w:rPr>
                <w:sz w:val="18"/>
              </w:rPr>
            </w:pPr>
            <w:r>
              <w:rPr>
                <w:w w:val="134"/>
                <w:sz w:val="18"/>
              </w:rPr>
              <w:t>X</w:t>
            </w:r>
          </w:p>
        </w:tc>
        <w:tc>
          <w:tcPr>
            <w:tcW w:w="936" w:type="dxa"/>
          </w:tcPr>
          <w:p>
            <w:pPr>
              <w:pStyle w:val="TableParagraph"/>
              <w:spacing w:before="106"/>
              <w:ind w:left="7"/>
              <w:jc w:val="center"/>
              <w:rPr>
                <w:sz w:val="18"/>
              </w:rPr>
            </w:pPr>
            <w:r>
              <w:rPr>
                <w:w w:val="134"/>
                <w:sz w:val="18"/>
              </w:rPr>
              <w:t>X</w:t>
            </w:r>
          </w:p>
        </w:tc>
        <w:tc>
          <w:tcPr>
            <w:tcW w:w="729" w:type="dxa"/>
          </w:tcPr>
          <w:p>
            <w:pPr>
              <w:pStyle w:val="TableParagraph"/>
              <w:rPr>
                <w:rFonts w:ascii="Times New Roman"/>
                <w:sz w:val="20"/>
              </w:rPr>
            </w:pPr>
          </w:p>
        </w:tc>
      </w:tr>
      <w:tr>
        <w:trPr>
          <w:trHeight w:val="606" w:hRule="atLeast"/>
        </w:trPr>
        <w:tc>
          <w:tcPr>
            <w:tcW w:w="4820" w:type="dxa"/>
          </w:tcPr>
          <w:p>
            <w:pPr>
              <w:pStyle w:val="TableParagraph"/>
              <w:spacing w:line="295" w:lineRule="auto" w:before="105"/>
              <w:ind w:left="80"/>
              <w:rPr>
                <w:sz w:val="16"/>
              </w:rPr>
            </w:pPr>
            <w:r>
              <w:rPr>
                <w:w w:val="125"/>
                <w:sz w:val="16"/>
              </w:rPr>
              <w:t>TLS students studying Gateways into Worship, Gateways into care or Stepwise development programme</w:t>
            </w:r>
          </w:p>
        </w:tc>
        <w:tc>
          <w:tcPr>
            <w:tcW w:w="788" w:type="dxa"/>
          </w:tcPr>
          <w:p>
            <w:pPr>
              <w:pStyle w:val="TableParagraph"/>
              <w:spacing w:before="106"/>
              <w:ind w:left="9"/>
              <w:jc w:val="center"/>
              <w:rPr>
                <w:sz w:val="18"/>
              </w:rPr>
            </w:pPr>
            <w:r>
              <w:rPr>
                <w:w w:val="134"/>
                <w:sz w:val="18"/>
              </w:rPr>
              <w:t>X</w:t>
            </w:r>
          </w:p>
        </w:tc>
        <w:tc>
          <w:tcPr>
            <w:tcW w:w="964" w:type="dxa"/>
          </w:tcPr>
          <w:p>
            <w:pPr>
              <w:pStyle w:val="TableParagraph"/>
              <w:spacing w:before="106"/>
              <w:ind w:left="8"/>
              <w:jc w:val="center"/>
              <w:rPr>
                <w:sz w:val="18"/>
              </w:rPr>
            </w:pPr>
            <w:r>
              <w:rPr>
                <w:w w:val="134"/>
                <w:sz w:val="18"/>
              </w:rPr>
              <w:t>X</w:t>
            </w:r>
          </w:p>
        </w:tc>
        <w:tc>
          <w:tcPr>
            <w:tcW w:w="760" w:type="dxa"/>
          </w:tcPr>
          <w:p>
            <w:pPr>
              <w:pStyle w:val="TableParagraph"/>
              <w:rPr>
                <w:rFonts w:ascii="Times New Roman"/>
                <w:sz w:val="20"/>
              </w:rPr>
            </w:pPr>
          </w:p>
        </w:tc>
        <w:tc>
          <w:tcPr>
            <w:tcW w:w="936" w:type="dxa"/>
          </w:tcPr>
          <w:p>
            <w:pPr>
              <w:pStyle w:val="TableParagraph"/>
              <w:rPr>
                <w:rFonts w:ascii="Times New Roman"/>
                <w:sz w:val="20"/>
              </w:rPr>
            </w:pPr>
          </w:p>
        </w:tc>
        <w:tc>
          <w:tcPr>
            <w:tcW w:w="729" w:type="dxa"/>
          </w:tcPr>
          <w:p>
            <w:pPr>
              <w:pStyle w:val="TableParagraph"/>
              <w:rPr>
                <w:rFonts w:ascii="Times New Roman"/>
                <w:sz w:val="20"/>
              </w:rPr>
            </w:pPr>
          </w:p>
        </w:tc>
      </w:tr>
    </w:tbl>
    <w:p>
      <w:pPr>
        <w:spacing w:after="0"/>
        <w:rPr>
          <w:rFonts w:ascii="Times New Roman"/>
          <w:sz w:val="20"/>
        </w:rPr>
        <w:sectPr>
          <w:headerReference w:type="default" r:id="rId136"/>
          <w:pgSz w:w="11910" w:h="16840"/>
          <w:pgMar w:header="0" w:footer="647" w:top="0" w:bottom="840" w:left="700" w:right="0"/>
        </w:sectPr>
      </w:pPr>
    </w:p>
    <w:p>
      <w:pPr>
        <w:pStyle w:val="BodyText"/>
      </w:pPr>
      <w:r>
        <w:rPr/>
        <w:pict>
          <v:shape style="position:absolute;margin-left:21.51910pt;margin-top:49.890015pt;width:24pt;height:250.75pt;mso-position-horizontal-relative:page;mso-position-vertical-relative:page;z-index:-267515904" type="#_x0000_t202" filled="false" stroked="false">
            <v:textbox inset="0,0,0,0">
              <w:txbxContent>
                <w:p>
                  <w:pPr>
                    <w:spacing w:line="105" w:lineRule="exact" w:before="0"/>
                    <w:ind w:left="0" w:right="0" w:firstLine="0"/>
                    <w:jc w:val="left"/>
                    <w:rPr>
                      <w:sz w:val="39"/>
                    </w:rPr>
                  </w:pPr>
                  <w:r>
                    <w:rPr>
                      <w:color w:val="FFFFFF"/>
                      <w:spacing w:val="11"/>
                      <w:w w:val="124"/>
                      <w:sz w:val="39"/>
                    </w:rPr>
                    <w:t>Nomination</w:t>
                  </w:r>
                </w:p>
                <w:p>
                  <w:pPr>
                    <w:spacing w:line="268" w:lineRule="auto" w:before="2095"/>
                    <w:ind w:left="0" w:right="0" w:firstLine="0"/>
                    <w:jc w:val="left"/>
                    <w:rPr>
                      <w:sz w:val="39"/>
                    </w:rPr>
                  </w:pPr>
                  <w:r>
                    <w:rPr>
                      <w:color w:val="FFFFFF"/>
                      <w:w w:val="125"/>
                      <w:sz w:val="39"/>
                    </w:rPr>
                    <w:t>of T</w:t>
                  </w:r>
                </w:p>
                <w:p>
                  <w:pPr>
                    <w:spacing w:line="18" w:lineRule="exact" w:before="0"/>
                    <w:ind w:left="0" w:right="0" w:firstLine="0"/>
                    <w:jc w:val="left"/>
                    <w:rPr>
                      <w:sz w:val="39"/>
                    </w:rPr>
                  </w:pPr>
                  <w:r>
                    <w:rPr>
                      <w:color w:val="FFFFFF"/>
                      <w:w w:val="117"/>
                      <w:sz w:val="39"/>
                    </w:rPr>
                    <w:t>r</w:t>
                  </w:r>
                </w:p>
                <w:p>
                  <w:pPr>
                    <w:spacing w:line="322" w:lineRule="exact" w:before="0"/>
                    <w:ind w:left="0" w:right="0" w:firstLine="0"/>
                    <w:jc w:val="left"/>
                    <w:rPr>
                      <w:sz w:val="39"/>
                    </w:rPr>
                  </w:pPr>
                  <w:r>
                    <w:rPr>
                      <w:color w:val="FFFFFF"/>
                      <w:spacing w:val="11"/>
                      <w:w w:val="119"/>
                      <w:sz w:val="39"/>
                    </w:rPr>
                    <w:t>easur</w:t>
                  </w:r>
                </w:p>
                <w:p>
                  <w:pPr>
                    <w:spacing w:before="621"/>
                    <w:ind w:left="0" w:right="0" w:firstLine="0"/>
                    <w:jc w:val="left"/>
                    <w:rPr>
                      <w:sz w:val="39"/>
                    </w:rPr>
                  </w:pPr>
                  <w:r>
                    <w:rPr>
                      <w:color w:val="FFFFFF"/>
                      <w:w w:val="120"/>
                      <w:sz w:val="39"/>
                    </w:rPr>
                    <w:t>er</w:t>
                  </w:r>
                </w:p>
              </w:txbxContent>
            </v:textbox>
            <w10:wrap type="none"/>
          </v:shape>
        </w:pict>
      </w:r>
      <w:r>
        <w:rPr/>
        <w:pict>
          <v:rect style="position:absolute;margin-left:46.777pt;margin-top:.000015pt;width:548.498pt;height:841.89pt;mso-position-horizontal-relative:page;mso-position-vertical-relative:page;z-index:-267514880" filled="true" fillcolor="#fef4df" stroked="false">
            <v:fill type="solid"/>
            <w10:wrap type="none"/>
          </v:rect>
        </w:pict>
      </w:r>
      <w:r>
        <w:rPr/>
        <w:pict>
          <v:group style="position:absolute;margin-left:0pt;margin-top:.000015pt;width:46.8pt;height:841.9pt;mso-position-horizontal-relative:page;mso-position-vertical-relative:page;z-index:-267513856" coordorigin="0,0" coordsize="936,16838">
            <v:shape style="position:absolute;left:0;top:0;width:936;height:16838" type="#_x0000_t75" stroked="false">
              <v:imagedata r:id="rId139" o:title=""/>
            </v:shape>
            <v:shape style="position:absolute;left:0;top:0;width:936;height:16838" type="#_x0000_t75" stroked="false">
              <v:imagedata r:id="rId79" o:title=""/>
            </v:shape>
            <w10:wrap type="none"/>
          </v:group>
        </w:pict>
      </w:r>
      <w:r>
        <w:rPr/>
        <w:pict>
          <v:shape style="position:absolute;margin-left:20.519100pt;margin-top:48.890015pt;width:26pt;height:350.75pt;mso-position-horizontal-relative:page;mso-position-vertical-relative:page;z-index:-26751283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ight="2112"/>
        <w:rPr>
          <w:b/>
        </w:rPr>
      </w:pPr>
      <w:bookmarkStart w:name="_bookmark8" w:id="9"/>
      <w:bookmarkEnd w:id="9"/>
      <w:r>
        <w:rPr>
          <w:b w:val="0"/>
        </w:rPr>
      </w:r>
      <w:r>
        <w:rPr>
          <w:b/>
          <w:color w:val="F1B400"/>
          <w:spacing w:val="-9"/>
          <w:w w:val="110"/>
        </w:rPr>
        <w:t>Mission </w:t>
      </w:r>
      <w:r>
        <w:rPr>
          <w:b/>
          <w:color w:val="F1B400"/>
          <w:spacing w:val="-10"/>
          <w:w w:val="110"/>
        </w:rPr>
        <w:t>Council </w:t>
      </w:r>
      <w:r>
        <w:rPr>
          <w:b/>
          <w:color w:val="F1B400"/>
          <w:spacing w:val="-9"/>
          <w:w w:val="110"/>
        </w:rPr>
        <w:t>appendix </w:t>
      </w:r>
      <w:r>
        <w:rPr>
          <w:b/>
          <w:color w:val="F1B400"/>
          <w:spacing w:val="-11"/>
          <w:w w:val="110"/>
        </w:rPr>
        <w:t>seven </w:t>
      </w:r>
      <w:r>
        <w:rPr>
          <w:b/>
          <w:spacing w:val="-10"/>
          <w:w w:val="110"/>
        </w:rPr>
        <w:t>Past </w:t>
      </w:r>
      <w:r>
        <w:rPr>
          <w:b/>
          <w:spacing w:val="-9"/>
          <w:w w:val="110"/>
        </w:rPr>
        <w:t>case </w:t>
      </w:r>
      <w:r>
        <w:rPr>
          <w:b/>
          <w:spacing w:val="-12"/>
          <w:w w:val="110"/>
        </w:rPr>
        <w:t>review: </w:t>
      </w:r>
      <w:r>
        <w:rPr>
          <w:b/>
          <w:spacing w:val="-11"/>
          <w:w w:val="110"/>
        </w:rPr>
        <w:t>recommendations </w:t>
      </w:r>
      <w:r>
        <w:rPr>
          <w:b/>
          <w:spacing w:val="-7"/>
          <w:w w:val="110"/>
        </w:rPr>
        <w:t>and </w:t>
      </w:r>
      <w:r>
        <w:rPr>
          <w:b/>
          <w:spacing w:val="-11"/>
          <w:w w:val="110"/>
        </w:rPr>
        <w:t>responses</w:t>
      </w:r>
    </w:p>
    <w:p>
      <w:pPr>
        <w:spacing w:before="352" w:after="10"/>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88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line="235" w:lineRule="auto" w:before="111"/>
              <w:ind w:left="79" w:right="1332"/>
              <w:rPr>
                <w:sz w:val="20"/>
              </w:rPr>
            </w:pPr>
            <w:r>
              <w:rPr>
                <w:w w:val="120"/>
                <w:sz w:val="20"/>
              </w:rPr>
              <w:t>Ioannis Athanasiou: </w:t>
            </w:r>
            <w:hyperlink r:id="rId124">
              <w:r>
                <w:rPr>
                  <w:color w:val="006AB3"/>
                  <w:w w:val="120"/>
                  <w:sz w:val="20"/>
                </w:rPr>
                <w:t>ioannis.athanasiou@urc.org.uk</w:t>
              </w:r>
            </w:hyperlink>
            <w:r>
              <w:rPr>
                <w:color w:val="006AB3"/>
                <w:w w:val="120"/>
                <w:sz w:val="20"/>
              </w:rPr>
              <w:t> </w:t>
            </w:r>
            <w:r>
              <w:rPr>
                <w:w w:val="120"/>
                <w:sz w:val="20"/>
              </w:rPr>
              <w:t>Richard Church: </w:t>
            </w:r>
            <w:hyperlink r:id="rId125">
              <w:r>
                <w:rPr>
                  <w:color w:val="006AB3"/>
                  <w:w w:val="120"/>
                  <w:sz w:val="20"/>
                </w:rPr>
                <w:t>richard.church@urc.org.uk</w:t>
              </w:r>
            </w:hyperlink>
            <w:r>
              <w:rPr>
                <w:color w:val="006AB3"/>
                <w:w w:val="120"/>
                <w:sz w:val="20"/>
              </w:rPr>
              <w:t> </w:t>
            </w:r>
            <w:r>
              <w:rPr>
                <w:w w:val="120"/>
                <w:sz w:val="20"/>
              </w:rPr>
              <w:t>Elizabeth Gray-King:</w:t>
            </w:r>
            <w:r>
              <w:rPr>
                <w:spacing w:val="-1"/>
                <w:w w:val="120"/>
                <w:sz w:val="20"/>
              </w:rPr>
              <w:t> </w:t>
            </w:r>
            <w:hyperlink r:id="rId140">
              <w:r>
                <w:rPr>
                  <w:color w:val="006AB3"/>
                  <w:w w:val="120"/>
                  <w:sz w:val="20"/>
                </w:rPr>
                <w:t>Elizabeth.gray-king@urc.org.uk</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7"/>
              <w:ind w:left="79"/>
              <w:rPr>
                <w:sz w:val="20"/>
              </w:rPr>
            </w:pPr>
            <w:r>
              <w:rPr>
                <w:w w:val="120"/>
                <w:sz w:val="20"/>
              </w:rPr>
              <w:t>For information.</w:t>
            </w:r>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spacing w:before="95"/>
              <w:ind w:left="79"/>
              <w:rPr>
                <w:rFonts w:ascii="Stone Sans II ITC Std Bk"/>
                <w:b/>
                <w:sz w:val="20"/>
              </w:rPr>
            </w:pPr>
            <w:r>
              <w:rPr>
                <w:rFonts w:ascii="Stone Sans II ITC Std Bk"/>
                <w:b/>
                <w:w w:val="110"/>
                <w:sz w:val="20"/>
              </w:rPr>
              <w:t>None.</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40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before="108"/>
              <w:ind w:left="79"/>
              <w:rPr>
                <w:sz w:val="20"/>
              </w:rPr>
            </w:pPr>
            <w:r>
              <w:rPr>
                <w:w w:val="120"/>
                <w:sz w:val="20"/>
              </w:rPr>
              <w:t>Reporting on what has been learned from the Past Case Review.</w:t>
            </w:r>
          </w:p>
        </w:tc>
      </w:tr>
      <w:tr>
        <w:trPr>
          <w:trHeight w:val="112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ight="281"/>
              <w:rPr>
                <w:sz w:val="20"/>
              </w:rPr>
            </w:pPr>
            <w:r>
              <w:rPr>
                <w:w w:val="120"/>
                <w:sz w:val="20"/>
              </w:rPr>
              <w:t>The Church needs to be more systematic, careful and attentive to matters of safeguarding, human resources, health and  safety and to nurture a culture where needs for protection and support are given due</w:t>
            </w:r>
            <w:r>
              <w:rPr>
                <w:spacing w:val="11"/>
                <w:w w:val="120"/>
                <w:sz w:val="20"/>
              </w:rPr>
              <w:t> </w:t>
            </w:r>
            <w:r>
              <w:rPr>
                <w:w w:val="120"/>
                <w:sz w:val="20"/>
              </w:rPr>
              <w:t>priority.</w:t>
            </w:r>
          </w:p>
        </w:tc>
      </w:tr>
      <w:tr>
        <w:trPr>
          <w:trHeight w:val="64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Pr>
                <w:sz w:val="20"/>
              </w:rPr>
            </w:pPr>
            <w:r>
              <w:rPr>
                <w:w w:val="120"/>
                <w:sz w:val="20"/>
              </w:rPr>
              <w:t>Noted in the report. Mission Council reports from March 2015 onwards</w:t>
            </w:r>
          </w:p>
        </w:tc>
      </w:tr>
      <w:tr>
        <w:trPr>
          <w:trHeight w:val="88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35" w:lineRule="auto" w:before="111"/>
              <w:ind w:left="79" w:right="3032"/>
              <w:rPr>
                <w:sz w:val="20"/>
              </w:rPr>
            </w:pPr>
            <w:r>
              <w:rPr>
                <w:w w:val="120"/>
                <w:sz w:val="20"/>
              </w:rPr>
              <w:t>The safeguarding advisory group The Methodist Church Independent specialists</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88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line="235" w:lineRule="auto" w:before="111"/>
              <w:ind w:left="79"/>
              <w:rPr>
                <w:sz w:val="20"/>
              </w:rPr>
            </w:pPr>
            <w:r>
              <w:rPr>
                <w:w w:val="120"/>
                <w:sz w:val="20"/>
              </w:rPr>
              <w:t>Resourcing external expertise and consultancy support from academia and specialist agencies to produce and share learning through the learning process.</w:t>
            </w:r>
          </w:p>
        </w:tc>
      </w:tr>
      <w:tr>
        <w:trPr>
          <w:trHeight w:val="64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rPr>
                <w:rFonts w:ascii="Times New Roman"/>
                <w:sz w:val="24"/>
              </w:rPr>
            </w:pP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5"/>
        <w:rPr>
          <w:rFonts w:ascii="Stone Sans II ITC Std Bk"/>
          <w:b/>
          <w:sz w:val="32"/>
        </w:rPr>
      </w:pPr>
    </w:p>
    <w:p>
      <w:pPr>
        <w:spacing w:before="0"/>
        <w:ind w:left="547" w:right="0" w:firstLine="0"/>
        <w:jc w:val="left"/>
        <w:rPr>
          <w:sz w:val="23"/>
        </w:rPr>
      </w:pPr>
      <w:r>
        <w:rPr>
          <w:rFonts w:ascii="Stone Sans II ITC Std X Bd" w:hAnsi="Stone Sans II ITC Std X Bd"/>
          <w:b/>
          <w:w w:val="110"/>
          <w:sz w:val="24"/>
        </w:rPr>
        <w:t>38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137"/>
          <w:footerReference w:type="even" r:id="rId138"/>
          <w:pgSz w:w="11910" w:h="16840"/>
          <w:pgMar w:header="0" w:footer="0" w:top="0" w:bottom="0" w:left="700" w:right="0"/>
        </w:sectPr>
      </w:pPr>
    </w:p>
    <w:p>
      <w:pPr>
        <w:pStyle w:val="BodyText"/>
      </w:pPr>
      <w:r>
        <w:rPr/>
        <w:drawing>
          <wp:anchor distT="0" distB="0" distL="0" distR="0" allowOverlap="1" layoutInCell="1" locked="0" behindDoc="0" simplePos="0" relativeHeight="251771904">
            <wp:simplePos x="0" y="0"/>
            <wp:positionH relativeFrom="page">
              <wp:posOffset>6974928</wp:posOffset>
            </wp:positionH>
            <wp:positionV relativeFrom="page">
              <wp:posOffset>0</wp:posOffset>
            </wp:positionV>
            <wp:extent cx="585076" cy="10692003"/>
            <wp:effectExtent l="0" t="0" r="0" b="0"/>
            <wp:wrapNone/>
            <wp:docPr id="69" name="image50.png"/>
            <wp:cNvGraphicFramePr>
              <a:graphicFrameLocks noChangeAspect="1"/>
            </wp:cNvGraphicFramePr>
            <a:graphic>
              <a:graphicData uri="http://schemas.openxmlformats.org/drawingml/2006/picture">
                <pic:pic>
                  <pic:nvPicPr>
                    <pic:cNvPr id="7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141174pt;margin-top:22.693945pt;width:26pt;height:350.75pt;mso-position-horizontal-relative:page;mso-position-vertical-relative:paragraph;z-index:251772928"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r>
        <w:rPr>
          <w:color w:val="7EAABF"/>
          <w:w w:val="120"/>
          <w:sz w:val="26"/>
        </w:rPr>
        <w:t>Mission Council</w:t>
      </w:r>
    </w:p>
    <w:p>
      <w:pPr>
        <w:spacing w:before="246"/>
        <w:ind w:left="1287" w:right="1271" w:firstLine="0"/>
        <w:jc w:val="center"/>
        <w:rPr>
          <w:rFonts w:ascii="Stone Sans II ITC Std Bk"/>
          <w:b/>
          <w:sz w:val="50"/>
        </w:rPr>
      </w:pPr>
      <w:r>
        <w:rPr>
          <w:rFonts w:ascii="Stone Sans II ITC Std Bk"/>
          <w:b/>
          <w:color w:val="0090D4"/>
          <w:w w:val="110"/>
          <w:sz w:val="50"/>
        </w:rPr>
        <w:t>Appendix seven</w:t>
      </w:r>
    </w:p>
    <w:p>
      <w:pPr>
        <w:spacing w:line="603" w:lineRule="exact" w:before="84"/>
        <w:ind w:left="1287" w:right="1279" w:firstLine="0"/>
        <w:jc w:val="center"/>
        <w:rPr>
          <w:rFonts w:ascii="Stone Sans II ITC Std X Bd"/>
          <w:b/>
          <w:sz w:val="50"/>
        </w:rPr>
      </w:pPr>
      <w:r>
        <w:rPr>
          <w:rFonts w:ascii="Stone Sans II ITC Std X Bd"/>
          <w:b/>
          <w:w w:val="110"/>
          <w:sz w:val="50"/>
        </w:rPr>
        <w:t>Past case review:</w:t>
      </w:r>
    </w:p>
    <w:p>
      <w:pPr>
        <w:spacing w:line="213" w:lineRule="auto" w:before="53"/>
        <w:ind w:left="4283" w:right="2429" w:hanging="1732"/>
        <w:jc w:val="left"/>
        <w:rPr>
          <w:rFonts w:ascii="Stone Sans II ITC Std X Bd"/>
          <w:b/>
          <w:sz w:val="50"/>
        </w:rPr>
      </w:pPr>
      <w:r>
        <w:rPr>
          <w:rFonts w:ascii="Stone Sans II ITC Std X Bd"/>
          <w:b/>
          <w:spacing w:val="-11"/>
          <w:w w:val="110"/>
          <w:sz w:val="50"/>
        </w:rPr>
        <w:t>recommendations </w:t>
      </w:r>
      <w:r>
        <w:rPr>
          <w:rFonts w:ascii="Stone Sans II ITC Std X Bd"/>
          <w:b/>
          <w:spacing w:val="-7"/>
          <w:w w:val="110"/>
          <w:sz w:val="50"/>
        </w:rPr>
        <w:t>and </w:t>
      </w:r>
      <w:r>
        <w:rPr>
          <w:rFonts w:ascii="Stone Sans II ITC Std X Bd"/>
          <w:b/>
          <w:spacing w:val="-11"/>
          <w:w w:val="110"/>
          <w:sz w:val="50"/>
        </w:rPr>
        <w:t>responses</w:t>
      </w:r>
    </w:p>
    <w:p>
      <w:pPr>
        <w:pStyle w:val="ListParagraph"/>
        <w:numPr>
          <w:ilvl w:val="0"/>
          <w:numId w:val="26"/>
        </w:numPr>
        <w:tabs>
          <w:tab w:pos="1950" w:val="left" w:leader="none"/>
          <w:tab w:pos="1951" w:val="left" w:leader="none"/>
        </w:tabs>
        <w:spacing w:line="240" w:lineRule="auto" w:before="411" w:after="0"/>
        <w:ind w:left="1950" w:right="0" w:hanging="681"/>
        <w:jc w:val="left"/>
        <w:rPr>
          <w:rFonts w:ascii="Stone Sans II ITC Std Bk"/>
          <w:b/>
          <w:sz w:val="29"/>
        </w:rPr>
      </w:pPr>
      <w:r>
        <w:rPr>
          <w:rFonts w:ascii="Stone Sans II ITC Std Bk"/>
          <w:b/>
          <w:spacing w:val="3"/>
          <w:w w:val="110"/>
          <w:sz w:val="29"/>
        </w:rPr>
        <w:t>Background</w:t>
      </w:r>
    </w:p>
    <w:p>
      <w:pPr>
        <w:pStyle w:val="ListParagraph"/>
        <w:numPr>
          <w:ilvl w:val="1"/>
          <w:numId w:val="26"/>
        </w:numPr>
        <w:tabs>
          <w:tab w:pos="1950" w:val="left" w:leader="none"/>
          <w:tab w:pos="1951" w:val="left" w:leader="none"/>
        </w:tabs>
        <w:spacing w:line="235" w:lineRule="auto" w:before="69" w:after="0"/>
        <w:ind w:left="1270" w:right="1362" w:firstLine="0"/>
        <w:jc w:val="left"/>
        <w:rPr>
          <w:sz w:val="20"/>
        </w:rPr>
      </w:pPr>
      <w:r>
        <w:rPr>
          <w:w w:val="120"/>
          <w:sz w:val="20"/>
        </w:rPr>
        <w:t>In May </w:t>
      </w:r>
      <w:r>
        <w:rPr>
          <w:spacing w:val="-7"/>
          <w:w w:val="120"/>
          <w:sz w:val="20"/>
        </w:rPr>
        <w:t>2015, </w:t>
      </w:r>
      <w:r>
        <w:rPr>
          <w:w w:val="120"/>
          <w:sz w:val="20"/>
        </w:rPr>
        <w:t>Mission Council authorised a Historic Case Review of previous ministerial practice over the life of the denomination. In response to the Independent Inquiry into Child Sexual Abuse (IICSA) enquiry, the Church conducted a review of all ministers’ files from </w:t>
      </w:r>
      <w:r>
        <w:rPr>
          <w:spacing w:val="-7"/>
          <w:w w:val="120"/>
          <w:sz w:val="20"/>
        </w:rPr>
        <w:t>1972 </w:t>
      </w:r>
      <w:r>
        <w:rPr>
          <w:w w:val="120"/>
          <w:sz w:val="20"/>
        </w:rPr>
        <w:t>onwards to ensure that any historic issues and concerns were dealt with appropriately. The Historic Case Review (later known as the past case review phase </w:t>
      </w:r>
      <w:r>
        <w:rPr>
          <w:spacing w:val="-4"/>
          <w:w w:val="120"/>
          <w:sz w:val="20"/>
        </w:rPr>
        <w:t>one) </w:t>
      </w:r>
      <w:r>
        <w:rPr>
          <w:w w:val="120"/>
          <w:sz w:val="20"/>
        </w:rPr>
        <w:t>was completed early in</w:t>
      </w:r>
      <w:r>
        <w:rPr>
          <w:spacing w:val="19"/>
          <w:w w:val="120"/>
          <w:sz w:val="20"/>
        </w:rPr>
        <w:t> </w:t>
      </w:r>
      <w:r>
        <w:rPr>
          <w:spacing w:val="-6"/>
          <w:w w:val="120"/>
          <w:sz w:val="20"/>
        </w:rPr>
        <w:t>2016.</w:t>
      </w:r>
    </w:p>
    <w:p>
      <w:pPr>
        <w:pStyle w:val="BodyText"/>
      </w:pPr>
    </w:p>
    <w:p>
      <w:pPr>
        <w:pStyle w:val="ListParagraph"/>
        <w:numPr>
          <w:ilvl w:val="1"/>
          <w:numId w:val="26"/>
        </w:numPr>
        <w:tabs>
          <w:tab w:pos="1950" w:val="left" w:leader="none"/>
          <w:tab w:pos="1951" w:val="left" w:leader="none"/>
        </w:tabs>
        <w:spacing w:line="235" w:lineRule="auto" w:before="0" w:after="0"/>
        <w:ind w:left="1270" w:right="1277" w:firstLine="0"/>
        <w:jc w:val="left"/>
        <w:rPr>
          <w:sz w:val="20"/>
        </w:rPr>
      </w:pPr>
      <w:r>
        <w:rPr>
          <w:w w:val="120"/>
          <w:sz w:val="20"/>
        </w:rPr>
        <w:t>Between October </w:t>
      </w:r>
      <w:r>
        <w:rPr>
          <w:spacing w:val="-7"/>
          <w:w w:val="120"/>
          <w:sz w:val="20"/>
        </w:rPr>
        <w:t>2015 </w:t>
      </w:r>
      <w:r>
        <w:rPr>
          <w:w w:val="120"/>
          <w:sz w:val="20"/>
        </w:rPr>
        <w:t>and January </w:t>
      </w:r>
      <w:r>
        <w:rPr>
          <w:spacing w:val="-6"/>
          <w:w w:val="120"/>
          <w:sz w:val="20"/>
        </w:rPr>
        <w:t>2016, </w:t>
      </w:r>
      <w:r>
        <w:rPr>
          <w:spacing w:val="-8"/>
          <w:w w:val="120"/>
          <w:sz w:val="20"/>
        </w:rPr>
        <w:t>1556  </w:t>
      </w:r>
      <w:r>
        <w:rPr>
          <w:w w:val="120"/>
          <w:sz w:val="20"/>
        </w:rPr>
        <w:t>files were identified and reviewed. This involved many hours of work by synod teams and individual members who volunteered to read the files, to whom we express our grateful thanks. </w:t>
      </w:r>
      <w:r>
        <w:rPr>
          <w:spacing w:val="3"/>
          <w:w w:val="120"/>
          <w:sz w:val="20"/>
        </w:rPr>
        <w:t>As </w:t>
      </w:r>
      <w:r>
        <w:rPr>
          <w:w w:val="120"/>
          <w:sz w:val="20"/>
        </w:rPr>
        <w:t>a result of an extensive and thorough assessment, 54 files were referred for independent review by external safeguarding consultant in four categories ranging from the most</w:t>
      </w:r>
      <w:r>
        <w:rPr>
          <w:spacing w:val="48"/>
          <w:w w:val="120"/>
          <w:sz w:val="20"/>
        </w:rPr>
        <w:t> </w:t>
      </w:r>
      <w:r>
        <w:rPr>
          <w:w w:val="120"/>
          <w:sz w:val="20"/>
        </w:rPr>
        <w:t>serious</w:t>
      </w:r>
    </w:p>
    <w:p>
      <w:pPr>
        <w:pStyle w:val="BodyText"/>
        <w:spacing w:line="235" w:lineRule="auto" w:before="3"/>
        <w:ind w:left="1270" w:right="1283"/>
      </w:pPr>
      <w:r>
        <w:rPr>
          <w:w w:val="120"/>
        </w:rPr>
        <w:t>(1) to the less significant (4). Both of the two category 1 cases were referred into the Church’s Ministerial Disciplinary Process.</w:t>
      </w:r>
    </w:p>
    <w:p>
      <w:pPr>
        <w:pStyle w:val="BodyText"/>
        <w:spacing w:before="10"/>
        <w:rPr>
          <w:sz w:val="19"/>
        </w:rPr>
      </w:pPr>
    </w:p>
    <w:p>
      <w:pPr>
        <w:pStyle w:val="ListParagraph"/>
        <w:numPr>
          <w:ilvl w:val="1"/>
          <w:numId w:val="26"/>
        </w:numPr>
        <w:tabs>
          <w:tab w:pos="1950" w:val="left" w:leader="none"/>
          <w:tab w:pos="1951" w:val="left" w:leader="none"/>
        </w:tabs>
        <w:spacing w:line="235" w:lineRule="auto" w:before="0" w:after="0"/>
        <w:ind w:left="1270" w:right="1260" w:firstLine="0"/>
        <w:jc w:val="left"/>
        <w:rPr>
          <w:sz w:val="20"/>
        </w:rPr>
      </w:pPr>
      <w:r>
        <w:rPr>
          <w:w w:val="120"/>
          <w:sz w:val="20"/>
        </w:rPr>
        <w:t>In October </w:t>
      </w:r>
      <w:r>
        <w:rPr>
          <w:spacing w:val="-6"/>
          <w:w w:val="120"/>
          <w:sz w:val="20"/>
        </w:rPr>
        <w:t>2016, </w:t>
      </w:r>
      <w:r>
        <w:rPr>
          <w:w w:val="120"/>
          <w:sz w:val="20"/>
        </w:rPr>
        <w:t>phase two was launched and opened for anyone to make a complaint or raise concerns about past actions or behaviour of people affiliated with the URC since its formation in </w:t>
      </w:r>
      <w:r>
        <w:rPr>
          <w:spacing w:val="-6"/>
          <w:w w:val="120"/>
          <w:sz w:val="20"/>
        </w:rPr>
        <w:t>1972. </w:t>
      </w:r>
      <w:r>
        <w:rPr>
          <w:w w:val="120"/>
          <w:sz w:val="20"/>
        </w:rPr>
        <w:t>The purpose of this phase was pastoral, in permitting those who had a complaint to be listened to and be taken seriously with further action taken to resolve it. Although the process was planned to conclude in March </w:t>
      </w:r>
      <w:r>
        <w:rPr>
          <w:spacing w:val="-12"/>
          <w:w w:val="120"/>
          <w:sz w:val="20"/>
        </w:rPr>
        <w:t>2017, </w:t>
      </w:r>
      <w:r>
        <w:rPr>
          <w:w w:val="120"/>
          <w:sz w:val="20"/>
        </w:rPr>
        <w:t>this was extended and continued until May </w:t>
      </w:r>
      <w:r>
        <w:rPr>
          <w:spacing w:val="-12"/>
          <w:w w:val="120"/>
          <w:sz w:val="20"/>
        </w:rPr>
        <w:t>2017,  </w:t>
      </w:r>
      <w:r>
        <w:rPr>
          <w:w w:val="120"/>
          <w:sz w:val="20"/>
        </w:rPr>
        <w:t>when the open call to anyone to </w:t>
      </w:r>
      <w:r>
        <w:rPr>
          <w:spacing w:val="2"/>
          <w:w w:val="120"/>
          <w:sz w:val="20"/>
        </w:rPr>
        <w:t>report </w:t>
      </w:r>
      <w:r>
        <w:rPr>
          <w:w w:val="120"/>
          <w:sz w:val="20"/>
        </w:rPr>
        <w:t>and share his/her concerns was</w:t>
      </w:r>
      <w:r>
        <w:rPr>
          <w:spacing w:val="8"/>
          <w:w w:val="120"/>
          <w:sz w:val="20"/>
        </w:rPr>
        <w:t> </w:t>
      </w:r>
      <w:r>
        <w:rPr>
          <w:w w:val="120"/>
          <w:sz w:val="20"/>
        </w:rPr>
        <w:t>closed.</w:t>
      </w:r>
    </w:p>
    <w:p>
      <w:pPr>
        <w:pStyle w:val="BodyText"/>
        <w:spacing w:before="1"/>
      </w:pPr>
    </w:p>
    <w:p>
      <w:pPr>
        <w:pStyle w:val="ListParagraph"/>
        <w:numPr>
          <w:ilvl w:val="1"/>
          <w:numId w:val="26"/>
        </w:numPr>
        <w:tabs>
          <w:tab w:pos="1950" w:val="left" w:leader="none"/>
          <w:tab w:pos="1951" w:val="left" w:leader="none"/>
        </w:tabs>
        <w:spacing w:line="235" w:lineRule="auto" w:before="0" w:after="0"/>
        <w:ind w:left="1270" w:right="1390" w:firstLine="0"/>
        <w:jc w:val="left"/>
        <w:rPr>
          <w:sz w:val="20"/>
        </w:rPr>
      </w:pPr>
      <w:r>
        <w:rPr>
          <w:w w:val="120"/>
          <w:sz w:val="20"/>
        </w:rPr>
        <w:t>During </w:t>
      </w:r>
      <w:r>
        <w:rPr>
          <w:spacing w:val="-3"/>
          <w:w w:val="120"/>
          <w:sz w:val="20"/>
        </w:rPr>
        <w:t>this </w:t>
      </w:r>
      <w:r>
        <w:rPr>
          <w:w w:val="120"/>
          <w:sz w:val="20"/>
        </w:rPr>
        <w:t>phase </w:t>
      </w:r>
      <w:r>
        <w:rPr>
          <w:spacing w:val="-8"/>
          <w:w w:val="120"/>
          <w:sz w:val="20"/>
        </w:rPr>
        <w:t>18 </w:t>
      </w:r>
      <w:r>
        <w:rPr>
          <w:w w:val="120"/>
          <w:sz w:val="20"/>
        </w:rPr>
        <w:t>cases were identified and assessed through the PCR process. </w:t>
      </w:r>
      <w:r>
        <w:rPr>
          <w:spacing w:val="-3"/>
          <w:w w:val="120"/>
          <w:sz w:val="20"/>
        </w:rPr>
        <w:t>We </w:t>
      </w:r>
      <w:r>
        <w:rPr>
          <w:w w:val="120"/>
          <w:sz w:val="20"/>
        </w:rPr>
        <w:t>are </w:t>
      </w:r>
      <w:r>
        <w:rPr>
          <w:spacing w:val="-3"/>
          <w:w w:val="120"/>
          <w:sz w:val="20"/>
        </w:rPr>
        <w:t>indebted to those </w:t>
      </w:r>
      <w:r>
        <w:rPr>
          <w:w w:val="120"/>
          <w:sz w:val="20"/>
        </w:rPr>
        <w:t>who had the courage </w:t>
      </w:r>
      <w:r>
        <w:rPr>
          <w:spacing w:val="-3"/>
          <w:w w:val="120"/>
          <w:sz w:val="20"/>
        </w:rPr>
        <w:t>to </w:t>
      </w:r>
      <w:r>
        <w:rPr>
          <w:w w:val="120"/>
          <w:sz w:val="20"/>
        </w:rPr>
        <w:t>speak up during </w:t>
      </w:r>
      <w:r>
        <w:rPr>
          <w:spacing w:val="-3"/>
          <w:w w:val="120"/>
          <w:sz w:val="20"/>
        </w:rPr>
        <w:t>this</w:t>
      </w:r>
      <w:r>
        <w:rPr>
          <w:spacing w:val="-20"/>
          <w:w w:val="120"/>
          <w:sz w:val="20"/>
        </w:rPr>
        <w:t> </w:t>
      </w:r>
      <w:r>
        <w:rPr>
          <w:w w:val="120"/>
          <w:sz w:val="20"/>
        </w:rPr>
        <w:t>process,</w:t>
      </w:r>
    </w:p>
    <w:p>
      <w:pPr>
        <w:pStyle w:val="BodyText"/>
        <w:spacing w:line="235" w:lineRule="auto" w:before="1"/>
        <w:ind w:left="1270" w:right="1257"/>
      </w:pPr>
      <w:r>
        <w:rPr>
          <w:w w:val="120"/>
        </w:rPr>
        <w:t>sometimes opening old wounds and sharing uncomfortable stories. The process was also enriched by the efforts of listeners drawn from all over the United Kingdom and those who served on the allegations panels and the allegations reference group.</w:t>
      </w:r>
    </w:p>
    <w:p>
      <w:pPr>
        <w:pStyle w:val="BodyText"/>
        <w:spacing w:before="10"/>
        <w:rPr>
          <w:sz w:val="19"/>
        </w:rPr>
      </w:pPr>
    </w:p>
    <w:p>
      <w:pPr>
        <w:pStyle w:val="ListParagraph"/>
        <w:numPr>
          <w:ilvl w:val="1"/>
          <w:numId w:val="26"/>
        </w:numPr>
        <w:tabs>
          <w:tab w:pos="1950" w:val="left" w:leader="none"/>
          <w:tab w:pos="1951" w:val="left" w:leader="none"/>
        </w:tabs>
        <w:spacing w:line="235" w:lineRule="auto" w:before="0" w:after="0"/>
        <w:ind w:left="1270" w:right="1377" w:firstLine="0"/>
        <w:jc w:val="left"/>
        <w:rPr>
          <w:sz w:val="20"/>
        </w:rPr>
      </w:pPr>
      <w:r>
        <w:rPr>
          <w:w w:val="120"/>
          <w:sz w:val="20"/>
        </w:rPr>
        <w:t>Both phases of the past case review revealed a similar range of issues. The cases that were identified related to concerns around professional boundaries, inappropriate relationships and behaviour, misconduct, inconsistency in keeping records, failure to follow procedures, domestic, emotional and other types of abuse, bullying, neglect, financial discrepancies, a lack of training and complaints</w:t>
      </w:r>
      <w:r>
        <w:rPr>
          <w:spacing w:val="21"/>
          <w:w w:val="120"/>
          <w:sz w:val="20"/>
        </w:rPr>
        <w:t> </w:t>
      </w:r>
      <w:r>
        <w:rPr>
          <w:w w:val="120"/>
          <w:sz w:val="20"/>
        </w:rPr>
        <w:t>policy.</w:t>
      </w:r>
    </w:p>
    <w:p>
      <w:pPr>
        <w:pStyle w:val="BodyText"/>
      </w:pPr>
    </w:p>
    <w:p>
      <w:pPr>
        <w:pStyle w:val="ListParagraph"/>
        <w:numPr>
          <w:ilvl w:val="1"/>
          <w:numId w:val="26"/>
        </w:numPr>
        <w:tabs>
          <w:tab w:pos="1950" w:val="left" w:leader="none"/>
          <w:tab w:pos="1951" w:val="left" w:leader="none"/>
        </w:tabs>
        <w:spacing w:line="235" w:lineRule="auto" w:before="0" w:after="0"/>
        <w:ind w:left="1270" w:right="1287" w:firstLine="0"/>
        <w:jc w:val="left"/>
        <w:rPr>
          <w:sz w:val="20"/>
        </w:rPr>
      </w:pPr>
      <w:r>
        <w:rPr>
          <w:w w:val="120"/>
          <w:sz w:val="20"/>
        </w:rPr>
        <w:t>All the cases have now been resolved, although not always with agreement on both sides. In some cases, the complaint had already been through the appropriate processes of the Church and was an attempt to reopen a closed enquiry, but sometimes involved the recommendation of the independent consultant, referrals to external agencies and specific actions of an individual synod officer. Whatever the</w:t>
      </w:r>
      <w:r>
        <w:rPr>
          <w:spacing w:val="25"/>
          <w:w w:val="120"/>
          <w:sz w:val="20"/>
        </w:rPr>
        <w:t> </w:t>
      </w:r>
      <w:r>
        <w:rPr>
          <w:w w:val="120"/>
          <w:sz w:val="20"/>
        </w:rPr>
        <w:t>outcome</w:t>
      </w:r>
    </w:p>
    <w:p>
      <w:pPr>
        <w:pStyle w:val="BodyText"/>
        <w:spacing w:line="235" w:lineRule="auto" w:before="3"/>
        <w:ind w:left="1270" w:right="1577"/>
        <w:jc w:val="both"/>
      </w:pPr>
      <w:r>
        <w:rPr>
          <w:w w:val="120"/>
        </w:rPr>
        <w:t>of the reviewing process and any consequential responses to concerns, churches and synods have taken action to provide a range of pastoral support and alternative care services by the URC and/or other relevant organisations.</w:t>
      </w:r>
    </w:p>
    <w:p>
      <w:pPr>
        <w:spacing w:after="0" w:line="235" w:lineRule="auto"/>
        <w:jc w:val="both"/>
        <w:sectPr>
          <w:headerReference w:type="default" r:id="rId141"/>
          <w:footerReference w:type="default" r:id="rId142"/>
          <w:footerReference w:type="even" r:id="rId143"/>
          <w:pgSz w:w="11910" w:h="16840"/>
          <w:pgMar w:header="0" w:footer="647" w:top="0" w:bottom="840" w:left="700" w:right="0"/>
          <w:pgNumType w:start="39"/>
        </w:sectPr>
      </w:pPr>
    </w:p>
    <w:p>
      <w:pPr>
        <w:pStyle w:val="BodyText"/>
      </w:pPr>
      <w:r>
        <w:rPr/>
        <w:drawing>
          <wp:anchor distT="0" distB="0" distL="0" distR="0" allowOverlap="1" layoutInCell="1" locked="0" behindDoc="1" simplePos="0" relativeHeight="235806720">
            <wp:simplePos x="0" y="0"/>
            <wp:positionH relativeFrom="page">
              <wp:posOffset>0</wp:posOffset>
            </wp:positionH>
            <wp:positionV relativeFrom="page">
              <wp:posOffset>0</wp:posOffset>
            </wp:positionV>
            <wp:extent cx="594067" cy="10692003"/>
            <wp:effectExtent l="0" t="0" r="0" b="0"/>
            <wp:wrapNone/>
            <wp:docPr id="71" name="image51.png"/>
            <wp:cNvGraphicFramePr>
              <a:graphicFrameLocks noChangeAspect="1"/>
            </wp:cNvGraphicFramePr>
            <a:graphic>
              <a:graphicData uri="http://schemas.openxmlformats.org/drawingml/2006/picture">
                <pic:pic>
                  <pic:nvPicPr>
                    <pic:cNvPr id="72"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50.75pt;mso-position-horizontal-relative:page;mso-position-vertical-relative:page;z-index:-26750873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p>
    <w:p>
      <w:pPr>
        <w:pStyle w:val="BodyText"/>
        <w:spacing w:before="5"/>
        <w:rPr>
          <w:sz w:val="21"/>
        </w:rPr>
      </w:pPr>
    </w:p>
    <w:p>
      <w:pPr>
        <w:spacing w:before="108"/>
        <w:ind w:left="547" w:right="0" w:firstLine="0"/>
        <w:jc w:val="left"/>
        <w:rPr>
          <w:sz w:val="26"/>
        </w:rPr>
      </w:pPr>
      <w:r>
        <w:rPr>
          <w:color w:val="7EAABF"/>
          <w:spacing w:val="-250"/>
          <w:w w:val="112"/>
          <w:sz w:val="26"/>
        </w:rPr>
        <w:t>M</w:t>
      </w:r>
      <w:r>
        <w:rPr>
          <w:color w:val="7EAABF"/>
          <w:w w:val="112"/>
          <w:sz w:val="26"/>
        </w:rPr>
        <w:t>M</w:t>
      </w:r>
      <w:r>
        <w:rPr>
          <w:color w:val="7EAABF"/>
          <w:spacing w:val="-72"/>
          <w:w w:val="119"/>
          <w:sz w:val="26"/>
        </w:rPr>
        <w:t>i</w:t>
      </w:r>
      <w:r>
        <w:rPr>
          <w:color w:val="7EAABF"/>
          <w:w w:val="119"/>
          <w:sz w:val="26"/>
        </w:rPr>
        <w:t>i</w:t>
      </w:r>
      <w:r>
        <w:rPr>
          <w:color w:val="7EAABF"/>
          <w:spacing w:val="-113"/>
          <w:w w:val="110"/>
          <w:sz w:val="26"/>
        </w:rPr>
        <w:t>s</w:t>
      </w:r>
      <w:r>
        <w:rPr>
          <w:color w:val="7EAABF"/>
          <w:w w:val="110"/>
          <w:sz w:val="26"/>
        </w:rPr>
        <w:t>s</w:t>
      </w:r>
      <w:r>
        <w:rPr>
          <w:color w:val="7EAABF"/>
          <w:spacing w:val="-113"/>
          <w:w w:val="110"/>
          <w:sz w:val="26"/>
        </w:rPr>
        <w:t>s</w:t>
      </w:r>
      <w:r>
        <w:rPr>
          <w:color w:val="7EAABF"/>
          <w:w w:val="110"/>
          <w:sz w:val="26"/>
        </w:rPr>
        <w:t>s</w:t>
      </w:r>
      <w:r>
        <w:rPr>
          <w:color w:val="7EAABF"/>
          <w:spacing w:val="-72"/>
          <w:w w:val="119"/>
          <w:sz w:val="26"/>
        </w:rPr>
        <w:t>i</w:t>
      </w:r>
      <w:r>
        <w:rPr>
          <w:color w:val="7EAABF"/>
          <w:w w:val="119"/>
          <w:sz w:val="26"/>
        </w:rPr>
        <w:t>i</w:t>
      </w:r>
      <w:r>
        <w:rPr>
          <w:color w:val="7EAABF"/>
          <w:spacing w:val="-164"/>
          <w:w w:val="119"/>
          <w:sz w:val="26"/>
        </w:rPr>
        <w:t>o</w:t>
      </w:r>
      <w:r>
        <w:rPr>
          <w:color w:val="7EAABF"/>
          <w:w w:val="119"/>
          <w:sz w:val="26"/>
        </w:rPr>
        <w:t>o</w:t>
      </w:r>
      <w:r>
        <w:rPr>
          <w:color w:val="7EAABF"/>
          <w:spacing w:val="-164"/>
          <w:w w:val="119"/>
          <w:sz w:val="26"/>
        </w:rPr>
        <w:t>n</w:t>
      </w:r>
      <w:r>
        <w:rPr>
          <w:color w:val="7EAABF"/>
          <w:w w:val="119"/>
          <w:sz w:val="26"/>
        </w:rPr>
        <w:t>n</w:t>
      </w:r>
      <w:r>
        <w:rPr>
          <w:color w:val="7EAABF"/>
          <w:spacing w:val="13"/>
          <w:sz w:val="26"/>
        </w:rPr>
        <w:t> </w:t>
      </w:r>
      <w:r>
        <w:rPr>
          <w:color w:val="7EAABF"/>
          <w:spacing w:val="-190"/>
          <w:w w:val="136"/>
          <w:sz w:val="26"/>
        </w:rPr>
        <w:t>C</w:t>
      </w:r>
      <w:r>
        <w:rPr>
          <w:color w:val="7EAABF"/>
          <w:w w:val="136"/>
          <w:sz w:val="26"/>
        </w:rPr>
        <w:t>C</w:t>
      </w:r>
      <w:r>
        <w:rPr>
          <w:color w:val="7EAABF"/>
          <w:spacing w:val="-164"/>
          <w:w w:val="119"/>
          <w:sz w:val="26"/>
        </w:rPr>
        <w:t>o</w:t>
      </w:r>
      <w:r>
        <w:rPr>
          <w:color w:val="7EAABF"/>
          <w:w w:val="119"/>
          <w:sz w:val="26"/>
        </w:rPr>
        <w:t>o</w:t>
      </w:r>
      <w:r>
        <w:rPr>
          <w:color w:val="7EAABF"/>
          <w:spacing w:val="-164"/>
          <w:w w:val="119"/>
          <w:sz w:val="26"/>
        </w:rPr>
        <w:t>u</w:t>
      </w:r>
      <w:r>
        <w:rPr>
          <w:color w:val="7EAABF"/>
          <w:w w:val="119"/>
          <w:sz w:val="26"/>
        </w:rPr>
        <w:t>u</w:t>
      </w:r>
      <w:r>
        <w:rPr>
          <w:color w:val="7EAABF"/>
          <w:spacing w:val="-164"/>
          <w:w w:val="119"/>
          <w:sz w:val="26"/>
        </w:rPr>
        <w:t>n</w:t>
      </w:r>
      <w:r>
        <w:rPr>
          <w:color w:val="7EAABF"/>
          <w:w w:val="119"/>
          <w:sz w:val="26"/>
        </w:rPr>
        <w:t>n</w:t>
      </w:r>
      <w:r>
        <w:rPr>
          <w:color w:val="7EAABF"/>
          <w:spacing w:val="-137"/>
          <w:w w:val="124"/>
          <w:sz w:val="26"/>
        </w:rPr>
        <w:t>c</w:t>
      </w:r>
      <w:r>
        <w:rPr>
          <w:color w:val="7EAABF"/>
          <w:w w:val="124"/>
          <w:sz w:val="26"/>
        </w:rPr>
        <w:t>c</w:t>
      </w:r>
      <w:r>
        <w:rPr>
          <w:color w:val="7EAABF"/>
          <w:spacing w:val="-72"/>
          <w:w w:val="119"/>
          <w:sz w:val="26"/>
        </w:rPr>
        <w:t>i</w:t>
      </w:r>
      <w:r>
        <w:rPr>
          <w:color w:val="7EAABF"/>
          <w:w w:val="119"/>
          <w:sz w:val="26"/>
        </w:rPr>
        <w:t>i</w:t>
      </w:r>
      <w:r>
        <w:rPr>
          <w:color w:val="7EAABF"/>
          <w:spacing w:val="-72"/>
          <w:w w:val="119"/>
          <w:sz w:val="26"/>
        </w:rPr>
        <w:t>l</w:t>
      </w:r>
      <w:r>
        <w:rPr>
          <w:color w:val="7EAABF"/>
          <w:w w:val="119"/>
          <w:sz w:val="26"/>
        </w:rPr>
        <w:t>l</w:t>
      </w:r>
    </w:p>
    <w:p>
      <w:pPr>
        <w:pStyle w:val="ListParagraph"/>
        <w:numPr>
          <w:ilvl w:val="1"/>
          <w:numId w:val="26"/>
        </w:numPr>
        <w:tabs>
          <w:tab w:pos="1227" w:val="left" w:leader="none"/>
          <w:tab w:pos="1228" w:val="left" w:leader="none"/>
        </w:tabs>
        <w:spacing w:line="235" w:lineRule="auto" w:before="222" w:after="0"/>
        <w:ind w:left="547" w:right="2049" w:firstLine="0"/>
        <w:jc w:val="left"/>
        <w:rPr>
          <w:sz w:val="20"/>
        </w:rPr>
      </w:pPr>
      <w:r>
        <w:rPr>
          <w:w w:val="120"/>
          <w:sz w:val="20"/>
        </w:rPr>
        <w:t>What follows is a </w:t>
      </w:r>
      <w:r>
        <w:rPr>
          <w:spacing w:val="2"/>
          <w:w w:val="120"/>
          <w:sz w:val="20"/>
        </w:rPr>
        <w:t>report </w:t>
      </w:r>
      <w:r>
        <w:rPr>
          <w:w w:val="120"/>
          <w:sz w:val="20"/>
        </w:rPr>
        <w:t>on the learning outcomes and the appropriate actions which have been proposed for our Church as a consequence of these two phases of the past case review</w:t>
      </w:r>
      <w:r>
        <w:rPr>
          <w:spacing w:val="5"/>
          <w:w w:val="120"/>
          <w:sz w:val="20"/>
        </w:rPr>
        <w:t> </w:t>
      </w:r>
      <w:r>
        <w:rPr>
          <w:w w:val="120"/>
          <w:sz w:val="20"/>
        </w:rPr>
        <w:t>process.</w:t>
      </w:r>
    </w:p>
    <w:p>
      <w:pPr>
        <w:pStyle w:val="BodyText"/>
        <w:spacing w:before="2"/>
        <w:rPr>
          <w:sz w:val="22"/>
        </w:rPr>
      </w:pPr>
    </w:p>
    <w:p>
      <w:pPr>
        <w:pStyle w:val="ListParagraph"/>
        <w:numPr>
          <w:ilvl w:val="0"/>
          <w:numId w:val="26"/>
        </w:numPr>
        <w:tabs>
          <w:tab w:pos="1227" w:val="left" w:leader="none"/>
          <w:tab w:pos="1228" w:val="left" w:leader="none"/>
        </w:tabs>
        <w:spacing w:line="240" w:lineRule="auto" w:before="0" w:after="0"/>
        <w:ind w:left="1227" w:right="0" w:hanging="681"/>
        <w:jc w:val="left"/>
        <w:rPr>
          <w:rFonts w:ascii="Stone Sans II ITC Std Bk"/>
          <w:b/>
          <w:sz w:val="29"/>
        </w:rPr>
      </w:pPr>
      <w:r>
        <w:rPr>
          <w:rFonts w:ascii="Stone Sans II ITC Std Bk"/>
          <w:b/>
          <w:spacing w:val="4"/>
          <w:w w:val="110"/>
          <w:sz w:val="29"/>
        </w:rPr>
        <w:t>Introduction</w:t>
      </w:r>
    </w:p>
    <w:p>
      <w:pPr>
        <w:pStyle w:val="ListParagraph"/>
        <w:numPr>
          <w:ilvl w:val="1"/>
          <w:numId w:val="26"/>
        </w:numPr>
        <w:tabs>
          <w:tab w:pos="1227" w:val="left" w:leader="none"/>
          <w:tab w:pos="1228" w:val="left" w:leader="none"/>
        </w:tabs>
        <w:spacing w:line="235" w:lineRule="auto" w:before="69" w:after="0"/>
        <w:ind w:left="547" w:right="1997" w:firstLine="0"/>
        <w:jc w:val="left"/>
        <w:rPr>
          <w:sz w:val="20"/>
        </w:rPr>
      </w:pPr>
      <w:r>
        <w:rPr>
          <w:w w:val="120"/>
          <w:sz w:val="20"/>
        </w:rPr>
        <w:t>This Past Case Review </w:t>
      </w:r>
      <w:r>
        <w:rPr>
          <w:spacing w:val="-3"/>
          <w:w w:val="120"/>
          <w:sz w:val="20"/>
        </w:rPr>
        <w:t>(PCR) </w:t>
      </w:r>
      <w:r>
        <w:rPr>
          <w:spacing w:val="2"/>
          <w:w w:val="120"/>
          <w:sz w:val="20"/>
        </w:rPr>
        <w:t>report </w:t>
      </w:r>
      <w:r>
        <w:rPr>
          <w:w w:val="120"/>
          <w:sz w:val="20"/>
        </w:rPr>
        <w:t>is focussed feedback and recommendations  to the URC from the internal and external </w:t>
      </w:r>
      <w:r>
        <w:rPr>
          <w:spacing w:val="2"/>
          <w:w w:val="120"/>
          <w:sz w:val="20"/>
        </w:rPr>
        <w:t>experts </w:t>
      </w:r>
      <w:r>
        <w:rPr>
          <w:w w:val="120"/>
          <w:sz w:val="20"/>
        </w:rPr>
        <w:t>appointed to review our PCR, and the actions which have been taken, or are in</w:t>
      </w:r>
      <w:r>
        <w:rPr>
          <w:spacing w:val="15"/>
          <w:w w:val="120"/>
          <w:sz w:val="20"/>
        </w:rPr>
        <w:t> </w:t>
      </w:r>
      <w:r>
        <w:rPr>
          <w:w w:val="120"/>
          <w:sz w:val="20"/>
        </w:rPr>
        <w:t>process.</w:t>
      </w:r>
    </w:p>
    <w:p>
      <w:pPr>
        <w:pStyle w:val="BodyText"/>
        <w:spacing w:before="10"/>
        <w:rPr>
          <w:sz w:val="19"/>
        </w:rPr>
      </w:pPr>
    </w:p>
    <w:p>
      <w:pPr>
        <w:pStyle w:val="ListParagraph"/>
        <w:numPr>
          <w:ilvl w:val="1"/>
          <w:numId w:val="26"/>
        </w:numPr>
        <w:tabs>
          <w:tab w:pos="1227" w:val="left" w:leader="none"/>
          <w:tab w:pos="1228" w:val="left" w:leader="none"/>
        </w:tabs>
        <w:spacing w:line="235" w:lineRule="auto" w:before="0" w:after="0"/>
        <w:ind w:left="547" w:right="2060" w:firstLine="0"/>
        <w:jc w:val="left"/>
        <w:rPr>
          <w:sz w:val="20"/>
        </w:rPr>
      </w:pPr>
      <w:r>
        <w:rPr>
          <w:w w:val="120"/>
          <w:sz w:val="20"/>
        </w:rPr>
        <w:t>This is a practical </w:t>
      </w:r>
      <w:r>
        <w:rPr>
          <w:spacing w:val="2"/>
          <w:w w:val="120"/>
          <w:sz w:val="20"/>
        </w:rPr>
        <w:t>report </w:t>
      </w:r>
      <w:r>
        <w:rPr>
          <w:w w:val="120"/>
          <w:sz w:val="20"/>
        </w:rPr>
        <w:t>which does not </w:t>
      </w:r>
      <w:r>
        <w:rPr>
          <w:spacing w:val="2"/>
          <w:w w:val="120"/>
          <w:sz w:val="20"/>
        </w:rPr>
        <w:t>report </w:t>
      </w:r>
      <w:r>
        <w:rPr>
          <w:w w:val="120"/>
          <w:sz w:val="20"/>
        </w:rPr>
        <w:t>higher level strategy, theological reflection, methodology, process reflection, or final recommendations from the Safeguarding Advisory Group </w:t>
      </w:r>
      <w:r>
        <w:rPr>
          <w:spacing w:val="-5"/>
          <w:w w:val="120"/>
          <w:sz w:val="20"/>
        </w:rPr>
        <w:t>(SAG);  </w:t>
      </w:r>
      <w:r>
        <w:rPr>
          <w:w w:val="120"/>
          <w:sz w:val="20"/>
        </w:rPr>
        <w:t>these will be addressed in the final </w:t>
      </w:r>
      <w:r>
        <w:rPr>
          <w:spacing w:val="2"/>
          <w:w w:val="120"/>
          <w:sz w:val="20"/>
        </w:rPr>
        <w:t>report </w:t>
      </w:r>
      <w:r>
        <w:rPr>
          <w:w w:val="120"/>
          <w:sz w:val="20"/>
        </w:rPr>
        <w:t>from   the PCR learning group. </w:t>
      </w:r>
      <w:r>
        <w:rPr>
          <w:spacing w:val="3"/>
          <w:w w:val="120"/>
          <w:sz w:val="20"/>
        </w:rPr>
        <w:t>As </w:t>
      </w:r>
      <w:r>
        <w:rPr>
          <w:w w:val="120"/>
          <w:sz w:val="20"/>
        </w:rPr>
        <w:t>the purpose of the PCR has been to hear in order to learn well and amend behaviours both structurally and personally, it seemed right to focus  on immediate changes which can bring safer practices and relationships for those in membership, governance, and leadership throughout the URC. It seemed appropriate to SAG, and to committees representing its constituent members, that actions to encourage safe church environments are taken as soon as possible, rather than at publication of a final learning</w:t>
      </w:r>
      <w:r>
        <w:rPr>
          <w:spacing w:val="12"/>
          <w:w w:val="120"/>
          <w:sz w:val="20"/>
        </w:rPr>
        <w:t> </w:t>
      </w:r>
      <w:r>
        <w:rPr>
          <w:w w:val="120"/>
          <w:sz w:val="20"/>
        </w:rPr>
        <w:t>document.</w:t>
      </w:r>
    </w:p>
    <w:p>
      <w:pPr>
        <w:pStyle w:val="BodyText"/>
        <w:spacing w:before="3"/>
      </w:pPr>
    </w:p>
    <w:p>
      <w:pPr>
        <w:pStyle w:val="ListParagraph"/>
        <w:numPr>
          <w:ilvl w:val="1"/>
          <w:numId w:val="26"/>
        </w:numPr>
        <w:tabs>
          <w:tab w:pos="1227" w:val="left" w:leader="none"/>
          <w:tab w:pos="1228" w:val="left" w:leader="none"/>
        </w:tabs>
        <w:spacing w:line="235" w:lineRule="auto" w:before="0" w:after="0"/>
        <w:ind w:left="547" w:right="2142" w:firstLine="0"/>
        <w:jc w:val="left"/>
        <w:rPr>
          <w:sz w:val="20"/>
        </w:rPr>
      </w:pPr>
      <w:r>
        <w:rPr>
          <w:w w:val="120"/>
          <w:sz w:val="20"/>
        </w:rPr>
        <w:t>In the following sections, this </w:t>
      </w:r>
      <w:r>
        <w:rPr>
          <w:spacing w:val="2"/>
          <w:w w:val="120"/>
          <w:sz w:val="20"/>
        </w:rPr>
        <w:t>report </w:t>
      </w:r>
      <w:r>
        <w:rPr>
          <w:w w:val="120"/>
          <w:sz w:val="20"/>
        </w:rPr>
        <w:t>outlines what </w:t>
      </w:r>
      <w:r>
        <w:rPr>
          <w:spacing w:val="2"/>
          <w:w w:val="120"/>
          <w:sz w:val="20"/>
        </w:rPr>
        <w:t>experts </w:t>
      </w:r>
      <w:r>
        <w:rPr>
          <w:w w:val="120"/>
          <w:sz w:val="20"/>
        </w:rPr>
        <w:t>consider to be the context and the learning objectives through the review process taken place between April </w:t>
      </w:r>
      <w:r>
        <w:rPr>
          <w:spacing w:val="-7"/>
          <w:w w:val="120"/>
          <w:sz w:val="20"/>
        </w:rPr>
        <w:t>2015 </w:t>
      </w:r>
      <w:r>
        <w:rPr>
          <w:w w:val="120"/>
          <w:sz w:val="20"/>
        </w:rPr>
        <w:t>to June </w:t>
      </w:r>
      <w:r>
        <w:rPr>
          <w:spacing w:val="-12"/>
          <w:w w:val="120"/>
          <w:sz w:val="20"/>
        </w:rPr>
        <w:t>2017. </w:t>
      </w:r>
      <w:r>
        <w:rPr>
          <w:w w:val="120"/>
          <w:sz w:val="20"/>
        </w:rPr>
        <w:t>The sections following outline the experts’ initial observations and recommendations and the </w:t>
      </w:r>
      <w:r>
        <w:rPr>
          <w:spacing w:val="-3"/>
          <w:w w:val="120"/>
          <w:sz w:val="20"/>
        </w:rPr>
        <w:t>URC’s </w:t>
      </w:r>
      <w:r>
        <w:rPr>
          <w:w w:val="120"/>
          <w:sz w:val="20"/>
        </w:rPr>
        <w:t>immediate and planned</w:t>
      </w:r>
      <w:r>
        <w:rPr>
          <w:spacing w:val="29"/>
          <w:w w:val="120"/>
          <w:sz w:val="20"/>
        </w:rPr>
        <w:t> </w:t>
      </w:r>
      <w:r>
        <w:rPr>
          <w:w w:val="120"/>
          <w:sz w:val="20"/>
        </w:rPr>
        <w:t>responses.</w:t>
      </w:r>
    </w:p>
    <w:p>
      <w:pPr>
        <w:pStyle w:val="BodyText"/>
        <w:spacing w:before="11"/>
        <w:rPr>
          <w:sz w:val="19"/>
        </w:rPr>
      </w:pPr>
    </w:p>
    <w:p>
      <w:pPr>
        <w:pStyle w:val="ListParagraph"/>
        <w:numPr>
          <w:ilvl w:val="1"/>
          <w:numId w:val="26"/>
        </w:numPr>
        <w:tabs>
          <w:tab w:pos="1227" w:val="left" w:leader="none"/>
          <w:tab w:pos="1228" w:val="left" w:leader="none"/>
        </w:tabs>
        <w:spacing w:line="235" w:lineRule="auto" w:before="0" w:after="0"/>
        <w:ind w:left="547" w:right="2228" w:firstLine="0"/>
        <w:jc w:val="left"/>
        <w:rPr>
          <w:sz w:val="20"/>
        </w:rPr>
      </w:pPr>
      <w:r>
        <w:rPr>
          <w:w w:val="120"/>
          <w:sz w:val="20"/>
        </w:rPr>
        <w:t>This document conflates feedback and recommendations from three groups of the internal and external</w:t>
      </w:r>
      <w:r>
        <w:rPr>
          <w:spacing w:val="7"/>
          <w:w w:val="120"/>
          <w:sz w:val="20"/>
        </w:rPr>
        <w:t> </w:t>
      </w:r>
      <w:r>
        <w:rPr>
          <w:w w:val="120"/>
          <w:sz w:val="20"/>
        </w:rPr>
        <w:t>experts:</w:t>
      </w:r>
    </w:p>
    <w:p>
      <w:pPr>
        <w:pStyle w:val="ListParagraph"/>
        <w:numPr>
          <w:ilvl w:val="0"/>
          <w:numId w:val="21"/>
        </w:numPr>
        <w:tabs>
          <w:tab w:pos="1227" w:val="left" w:leader="none"/>
          <w:tab w:pos="1228" w:val="left" w:leader="none"/>
        </w:tabs>
        <w:spacing w:line="232" w:lineRule="auto" w:before="0" w:after="0"/>
        <w:ind w:left="1227" w:right="2166" w:hanging="681"/>
        <w:jc w:val="left"/>
        <w:rPr>
          <w:sz w:val="20"/>
        </w:rPr>
      </w:pPr>
      <w:r>
        <w:rPr>
          <w:rFonts w:ascii="Stone Sans II ITC Std Bk" w:hAnsi="Stone Sans II ITC Std Bk"/>
          <w:b/>
          <w:w w:val="120"/>
          <w:sz w:val="20"/>
        </w:rPr>
        <w:t>External </w:t>
      </w:r>
      <w:r>
        <w:rPr>
          <w:rFonts w:ascii="Stone Sans II ITC Std Bk" w:hAnsi="Stone Sans II ITC Std Bk"/>
          <w:b/>
          <w:spacing w:val="2"/>
          <w:w w:val="120"/>
          <w:sz w:val="20"/>
        </w:rPr>
        <w:t>expert </w:t>
      </w:r>
      <w:r>
        <w:rPr>
          <w:rFonts w:ascii="Stone Sans II ITC Std Bk" w:hAnsi="Stone Sans II ITC Std Bk"/>
          <w:b/>
          <w:w w:val="120"/>
          <w:sz w:val="20"/>
        </w:rPr>
        <w:t>reader</w:t>
      </w:r>
      <w:r>
        <w:rPr>
          <w:w w:val="120"/>
          <w:sz w:val="20"/>
        </w:rPr>
        <w:t>, PCR phase one </w:t>
      </w:r>
      <w:r>
        <w:rPr>
          <w:spacing w:val="-4"/>
          <w:w w:val="120"/>
          <w:sz w:val="20"/>
        </w:rPr>
        <w:t>(A </w:t>
      </w:r>
      <w:r>
        <w:rPr>
          <w:w w:val="120"/>
          <w:sz w:val="20"/>
        </w:rPr>
        <w:t>nurse, midwife and health visitor with a Masters degree in child care law and practice, who has served on panels for 28 serious case reviews for children, domestic homicide reviews and serious case reviews for adults and produced independent management reviews to contribute to identifying good practices as well as failures in practice; Member of National Safeguarding Forum for NHS</w:t>
      </w:r>
      <w:r>
        <w:rPr>
          <w:spacing w:val="19"/>
          <w:w w:val="120"/>
          <w:sz w:val="20"/>
        </w:rPr>
        <w:t> </w:t>
      </w:r>
      <w:r>
        <w:rPr>
          <w:w w:val="120"/>
          <w:sz w:val="20"/>
        </w:rPr>
        <w:t>England)</w:t>
      </w:r>
    </w:p>
    <w:p>
      <w:pPr>
        <w:pStyle w:val="ListParagraph"/>
        <w:numPr>
          <w:ilvl w:val="0"/>
          <w:numId w:val="21"/>
        </w:numPr>
        <w:tabs>
          <w:tab w:pos="1227" w:val="left" w:leader="none"/>
          <w:tab w:pos="1228" w:val="left" w:leader="none"/>
        </w:tabs>
        <w:spacing w:line="230" w:lineRule="auto" w:before="0" w:after="0"/>
        <w:ind w:left="1227" w:right="2115" w:hanging="681"/>
        <w:jc w:val="left"/>
        <w:rPr>
          <w:sz w:val="20"/>
        </w:rPr>
      </w:pPr>
      <w:r>
        <w:rPr>
          <w:rFonts w:ascii="Stone Sans II ITC Std Bk" w:hAnsi="Stone Sans II ITC Std Bk"/>
          <w:b/>
          <w:w w:val="120"/>
          <w:sz w:val="20"/>
        </w:rPr>
        <w:t>Internal learning review team </w:t>
      </w:r>
      <w:r>
        <w:rPr>
          <w:w w:val="120"/>
          <w:sz w:val="20"/>
        </w:rPr>
        <w:t>who reflected on three significant cases identified through PCR Phase one (Safeguarding Officer, Secretary for Ministries and an external </w:t>
      </w:r>
      <w:r>
        <w:rPr>
          <w:spacing w:val="2"/>
          <w:w w:val="120"/>
          <w:sz w:val="20"/>
        </w:rPr>
        <w:t>expert, </w:t>
      </w:r>
      <w:r>
        <w:rPr>
          <w:w w:val="120"/>
          <w:sz w:val="20"/>
        </w:rPr>
        <w:t>consultant and ex-director of The Churches’ Child Protection Advisory Service</w:t>
      </w:r>
      <w:r>
        <w:rPr>
          <w:spacing w:val="9"/>
          <w:w w:val="120"/>
          <w:sz w:val="20"/>
        </w:rPr>
        <w:t> </w:t>
      </w:r>
      <w:r>
        <w:rPr>
          <w:spacing w:val="-5"/>
          <w:w w:val="120"/>
          <w:sz w:val="20"/>
        </w:rPr>
        <w:t>(CCPAS)</w:t>
      </w:r>
    </w:p>
    <w:p>
      <w:pPr>
        <w:pStyle w:val="ListParagraph"/>
        <w:numPr>
          <w:ilvl w:val="0"/>
          <w:numId w:val="21"/>
        </w:numPr>
        <w:tabs>
          <w:tab w:pos="1227" w:val="left" w:leader="none"/>
          <w:tab w:pos="1228" w:val="left" w:leader="none"/>
        </w:tabs>
        <w:spacing w:line="230" w:lineRule="auto" w:before="0" w:after="0"/>
        <w:ind w:left="1227" w:right="2344" w:hanging="681"/>
        <w:jc w:val="left"/>
        <w:rPr>
          <w:sz w:val="20"/>
        </w:rPr>
      </w:pPr>
      <w:r>
        <w:rPr>
          <w:rFonts w:ascii="Stone Sans II ITC Std Bk" w:hAnsi="Stone Sans II ITC Std Bk"/>
          <w:b/>
          <w:w w:val="120"/>
          <w:sz w:val="20"/>
        </w:rPr>
        <w:t>PCR</w:t>
      </w:r>
      <w:r>
        <w:rPr>
          <w:rFonts w:ascii="Stone Sans II ITC Std Bk" w:hAnsi="Stone Sans II ITC Std Bk"/>
          <w:b/>
          <w:spacing w:val="-16"/>
          <w:w w:val="120"/>
          <w:sz w:val="20"/>
        </w:rPr>
        <w:t> </w:t>
      </w:r>
      <w:r>
        <w:rPr>
          <w:rFonts w:ascii="Stone Sans II ITC Std Bk" w:hAnsi="Stone Sans II ITC Std Bk"/>
          <w:b/>
          <w:w w:val="120"/>
          <w:sz w:val="20"/>
        </w:rPr>
        <w:t>Learning</w:t>
      </w:r>
      <w:r>
        <w:rPr>
          <w:rFonts w:ascii="Stone Sans II ITC Std Bk" w:hAnsi="Stone Sans II ITC Std Bk"/>
          <w:b/>
          <w:spacing w:val="-16"/>
          <w:w w:val="120"/>
          <w:sz w:val="20"/>
        </w:rPr>
        <w:t> </w:t>
      </w:r>
      <w:r>
        <w:rPr>
          <w:rFonts w:ascii="Stone Sans II ITC Std Bk" w:hAnsi="Stone Sans II ITC Std Bk"/>
          <w:b/>
          <w:w w:val="120"/>
          <w:sz w:val="20"/>
        </w:rPr>
        <w:t>Group</w:t>
      </w:r>
      <w:r>
        <w:rPr>
          <w:w w:val="120"/>
          <w:sz w:val="20"/>
        </w:rPr>
        <w:t>,</w:t>
      </w:r>
      <w:r>
        <w:rPr>
          <w:spacing w:val="-7"/>
          <w:w w:val="120"/>
          <w:sz w:val="20"/>
        </w:rPr>
        <w:t> </w:t>
      </w:r>
      <w:r>
        <w:rPr>
          <w:w w:val="120"/>
          <w:sz w:val="20"/>
        </w:rPr>
        <w:t>comprise</w:t>
      </w:r>
      <w:r>
        <w:rPr>
          <w:spacing w:val="-8"/>
          <w:w w:val="120"/>
          <w:sz w:val="20"/>
        </w:rPr>
        <w:t> </w:t>
      </w:r>
      <w:r>
        <w:rPr>
          <w:w w:val="120"/>
          <w:sz w:val="20"/>
        </w:rPr>
        <w:t>of</w:t>
      </w:r>
      <w:r>
        <w:rPr>
          <w:spacing w:val="-8"/>
          <w:w w:val="120"/>
          <w:sz w:val="20"/>
        </w:rPr>
        <w:t> </w:t>
      </w:r>
      <w:r>
        <w:rPr>
          <w:w w:val="120"/>
          <w:sz w:val="20"/>
        </w:rPr>
        <w:t>two</w:t>
      </w:r>
      <w:r>
        <w:rPr>
          <w:spacing w:val="-8"/>
          <w:w w:val="120"/>
          <w:sz w:val="20"/>
        </w:rPr>
        <w:t> </w:t>
      </w:r>
      <w:r>
        <w:rPr>
          <w:w w:val="120"/>
          <w:sz w:val="20"/>
        </w:rPr>
        <w:t>URC</w:t>
      </w:r>
      <w:r>
        <w:rPr>
          <w:spacing w:val="-7"/>
          <w:w w:val="120"/>
          <w:sz w:val="20"/>
        </w:rPr>
        <w:t> </w:t>
      </w:r>
      <w:r>
        <w:rPr>
          <w:w w:val="120"/>
          <w:sz w:val="20"/>
        </w:rPr>
        <w:t>members</w:t>
      </w:r>
      <w:r>
        <w:rPr>
          <w:spacing w:val="-8"/>
          <w:w w:val="120"/>
          <w:sz w:val="20"/>
        </w:rPr>
        <w:t> </w:t>
      </w:r>
      <w:r>
        <w:rPr>
          <w:spacing w:val="-3"/>
          <w:w w:val="120"/>
          <w:sz w:val="20"/>
        </w:rPr>
        <w:t>(Church</w:t>
      </w:r>
      <w:r>
        <w:rPr>
          <w:spacing w:val="-8"/>
          <w:w w:val="120"/>
          <w:sz w:val="20"/>
        </w:rPr>
        <w:t> </w:t>
      </w:r>
      <w:r>
        <w:rPr>
          <w:w w:val="120"/>
          <w:sz w:val="20"/>
        </w:rPr>
        <w:t>historian</w:t>
      </w:r>
      <w:r>
        <w:rPr>
          <w:spacing w:val="-8"/>
          <w:w w:val="120"/>
          <w:sz w:val="20"/>
        </w:rPr>
        <w:t> </w:t>
      </w:r>
      <w:r>
        <w:rPr>
          <w:w w:val="120"/>
          <w:sz w:val="20"/>
        </w:rPr>
        <w:t>with significant senior roles in URC and ecumenically and an academic theologian) and two external members (colleague denomination national Safeguarding Officer and an academic researcher/expert in abuse</w:t>
      </w:r>
      <w:r>
        <w:rPr>
          <w:spacing w:val="8"/>
          <w:w w:val="120"/>
          <w:sz w:val="20"/>
        </w:rPr>
        <w:t> </w:t>
      </w:r>
      <w:r>
        <w:rPr>
          <w:w w:val="120"/>
          <w:sz w:val="20"/>
        </w:rPr>
        <w:t>studies)</w:t>
      </w:r>
    </w:p>
    <w:p>
      <w:pPr>
        <w:pStyle w:val="BodyText"/>
        <w:spacing w:before="3"/>
        <w:rPr>
          <w:sz w:val="21"/>
        </w:rPr>
      </w:pPr>
    </w:p>
    <w:p>
      <w:pPr>
        <w:pStyle w:val="Heading4"/>
        <w:numPr>
          <w:ilvl w:val="0"/>
          <w:numId w:val="26"/>
        </w:numPr>
        <w:tabs>
          <w:tab w:pos="1227" w:val="left" w:leader="none"/>
          <w:tab w:pos="1228" w:val="left" w:leader="none"/>
        </w:tabs>
        <w:spacing w:line="240" w:lineRule="auto" w:before="0" w:after="0"/>
        <w:ind w:left="1227" w:right="0" w:hanging="681"/>
        <w:jc w:val="left"/>
      </w:pPr>
      <w:r>
        <w:rPr>
          <w:spacing w:val="3"/>
          <w:w w:val="110"/>
        </w:rPr>
        <w:t>Context </w:t>
      </w:r>
      <w:r>
        <w:rPr>
          <w:w w:val="110"/>
        </w:rPr>
        <w:t>of </w:t>
      </w:r>
      <w:r>
        <w:rPr>
          <w:spacing w:val="2"/>
          <w:w w:val="110"/>
        </w:rPr>
        <w:t>this</w:t>
      </w:r>
      <w:r>
        <w:rPr>
          <w:spacing w:val="34"/>
          <w:w w:val="110"/>
        </w:rPr>
        <w:t> </w:t>
      </w:r>
      <w:r>
        <w:rPr>
          <w:spacing w:val="5"/>
          <w:w w:val="110"/>
        </w:rPr>
        <w:t>report</w:t>
      </w:r>
    </w:p>
    <w:p>
      <w:pPr>
        <w:pStyle w:val="ListParagraph"/>
        <w:numPr>
          <w:ilvl w:val="1"/>
          <w:numId w:val="26"/>
        </w:numPr>
        <w:tabs>
          <w:tab w:pos="1227" w:val="left" w:leader="none"/>
          <w:tab w:pos="1228" w:val="left" w:leader="none"/>
        </w:tabs>
        <w:spacing w:line="235" w:lineRule="auto" w:before="69" w:after="0"/>
        <w:ind w:left="547" w:right="2168" w:firstLine="0"/>
        <w:jc w:val="left"/>
        <w:rPr>
          <w:sz w:val="20"/>
        </w:rPr>
      </w:pPr>
      <w:r>
        <w:rPr>
          <w:w w:val="120"/>
          <w:sz w:val="20"/>
        </w:rPr>
        <w:t>The purpose of each </w:t>
      </w:r>
      <w:r>
        <w:rPr>
          <w:spacing w:val="2"/>
          <w:w w:val="120"/>
          <w:sz w:val="20"/>
        </w:rPr>
        <w:t>expert </w:t>
      </w:r>
      <w:r>
        <w:rPr>
          <w:w w:val="120"/>
          <w:sz w:val="20"/>
        </w:rPr>
        <w:t>group was not to investigate, but to review all cases, identify problems and challenges and, on the basis of a systematic review,   make recommendations, with the objective of supporting the URC towards a positive approach to safeguarding in the future and to more robust systems and procedures. However, no matter how robust our systems and procedures become, the internal learning review team reminds us that any system, including safeguarding systems,</w:t>
      </w:r>
      <w:r>
        <w:rPr>
          <w:spacing w:val="50"/>
          <w:w w:val="120"/>
          <w:sz w:val="20"/>
        </w:rPr>
        <w:t> </w:t>
      </w:r>
      <w:r>
        <w:rPr>
          <w:w w:val="120"/>
          <w:sz w:val="20"/>
        </w:rPr>
        <w:t>can</w:t>
      </w:r>
    </w:p>
    <w:p>
      <w:pPr>
        <w:pStyle w:val="BodyText"/>
        <w:spacing w:line="235" w:lineRule="auto" w:before="5"/>
        <w:ind w:left="547" w:right="1584"/>
      </w:pPr>
      <w:r>
        <w:rPr>
          <w:w w:val="120"/>
        </w:rPr>
        <w:t>only manage and reduce risk, not eliminate it. What the URC strives toward is far more a change of culture, rather than simply amended procedures.</w:t>
      </w:r>
    </w:p>
    <w:p>
      <w:pPr>
        <w:pStyle w:val="BodyText"/>
        <w:spacing w:before="9"/>
        <w:rPr>
          <w:sz w:val="19"/>
        </w:rPr>
      </w:pPr>
    </w:p>
    <w:p>
      <w:pPr>
        <w:pStyle w:val="ListParagraph"/>
        <w:numPr>
          <w:ilvl w:val="1"/>
          <w:numId w:val="26"/>
        </w:numPr>
        <w:tabs>
          <w:tab w:pos="1227" w:val="left" w:leader="none"/>
          <w:tab w:pos="1228" w:val="left" w:leader="none"/>
        </w:tabs>
        <w:spacing w:line="235" w:lineRule="auto" w:before="0" w:after="0"/>
        <w:ind w:left="547" w:right="2067" w:firstLine="0"/>
        <w:jc w:val="left"/>
        <w:rPr>
          <w:sz w:val="20"/>
        </w:rPr>
      </w:pPr>
      <w:r>
        <w:rPr>
          <w:w w:val="120"/>
          <w:sz w:val="20"/>
        </w:rPr>
        <w:t>The learning group tells us that we need to understand the historical and  cultural contexts in which initial decisions and recommendations on historic cases were made. The internal learning review team noted: ‘The passage of time has inevitably   had a bearing on the recommendations, comments and questions which have arisen from</w:t>
      </w:r>
      <w:r>
        <w:rPr>
          <w:spacing w:val="5"/>
          <w:w w:val="120"/>
          <w:sz w:val="20"/>
        </w:rPr>
        <w:t> </w:t>
      </w:r>
      <w:r>
        <w:rPr>
          <w:w w:val="120"/>
          <w:sz w:val="20"/>
        </w:rPr>
        <w:t>the</w:t>
      </w:r>
      <w:r>
        <w:rPr>
          <w:spacing w:val="6"/>
          <w:w w:val="120"/>
          <w:sz w:val="20"/>
        </w:rPr>
        <w:t> </w:t>
      </w:r>
      <w:r>
        <w:rPr>
          <w:w w:val="120"/>
          <w:sz w:val="20"/>
        </w:rPr>
        <w:t>review.</w:t>
      </w:r>
      <w:r>
        <w:rPr>
          <w:spacing w:val="5"/>
          <w:w w:val="120"/>
          <w:sz w:val="20"/>
        </w:rPr>
        <w:t> </w:t>
      </w:r>
      <w:r>
        <w:rPr>
          <w:w w:val="120"/>
          <w:sz w:val="20"/>
        </w:rPr>
        <w:t>How</w:t>
      </w:r>
      <w:r>
        <w:rPr>
          <w:spacing w:val="6"/>
          <w:w w:val="120"/>
          <w:sz w:val="20"/>
        </w:rPr>
        <w:t> </w:t>
      </w:r>
      <w:r>
        <w:rPr>
          <w:w w:val="120"/>
          <w:sz w:val="20"/>
        </w:rPr>
        <w:t>the</w:t>
      </w:r>
      <w:r>
        <w:rPr>
          <w:spacing w:val="6"/>
          <w:w w:val="120"/>
          <w:sz w:val="20"/>
        </w:rPr>
        <w:t> </w:t>
      </w:r>
      <w:r>
        <w:rPr>
          <w:w w:val="120"/>
          <w:sz w:val="20"/>
        </w:rPr>
        <w:t>Church</w:t>
      </w:r>
      <w:r>
        <w:rPr>
          <w:spacing w:val="5"/>
          <w:w w:val="120"/>
          <w:sz w:val="20"/>
        </w:rPr>
        <w:t> </w:t>
      </w:r>
      <w:r>
        <w:rPr>
          <w:w w:val="120"/>
          <w:sz w:val="20"/>
        </w:rPr>
        <w:t>handled</w:t>
      </w:r>
      <w:r>
        <w:rPr>
          <w:spacing w:val="6"/>
          <w:w w:val="120"/>
          <w:sz w:val="20"/>
        </w:rPr>
        <w:t> </w:t>
      </w:r>
      <w:r>
        <w:rPr>
          <w:w w:val="120"/>
          <w:sz w:val="20"/>
        </w:rPr>
        <w:t>matters</w:t>
      </w:r>
      <w:r>
        <w:rPr>
          <w:spacing w:val="6"/>
          <w:w w:val="120"/>
          <w:sz w:val="20"/>
        </w:rPr>
        <w:t> </w:t>
      </w:r>
      <w:r>
        <w:rPr>
          <w:w w:val="120"/>
          <w:sz w:val="20"/>
        </w:rPr>
        <w:t>in</w:t>
      </w:r>
      <w:r>
        <w:rPr>
          <w:spacing w:val="5"/>
          <w:w w:val="120"/>
          <w:sz w:val="20"/>
        </w:rPr>
        <w:t> </w:t>
      </w:r>
      <w:r>
        <w:rPr>
          <w:w w:val="120"/>
          <w:sz w:val="20"/>
        </w:rPr>
        <w:t>the</w:t>
      </w:r>
      <w:r>
        <w:rPr>
          <w:spacing w:val="6"/>
          <w:w w:val="120"/>
          <w:sz w:val="20"/>
        </w:rPr>
        <w:t> </w:t>
      </w:r>
      <w:r>
        <w:rPr>
          <w:spacing w:val="-3"/>
          <w:w w:val="120"/>
          <w:sz w:val="20"/>
        </w:rPr>
        <w:t>1980s,</w:t>
      </w:r>
      <w:r>
        <w:rPr>
          <w:spacing w:val="6"/>
          <w:w w:val="120"/>
          <w:sz w:val="20"/>
        </w:rPr>
        <w:t> </w:t>
      </w:r>
      <w:r>
        <w:rPr>
          <w:spacing w:val="-3"/>
          <w:w w:val="120"/>
          <w:sz w:val="20"/>
        </w:rPr>
        <w:t>1990s</w:t>
      </w:r>
      <w:r>
        <w:rPr>
          <w:spacing w:val="5"/>
          <w:w w:val="120"/>
          <w:sz w:val="20"/>
        </w:rPr>
        <w:t> </w:t>
      </w:r>
      <w:r>
        <w:rPr>
          <w:w w:val="120"/>
          <w:sz w:val="20"/>
        </w:rPr>
        <w:t>and</w:t>
      </w:r>
      <w:r>
        <w:rPr>
          <w:spacing w:val="6"/>
          <w:w w:val="120"/>
          <w:sz w:val="20"/>
        </w:rPr>
        <w:t> </w:t>
      </w:r>
      <w:r>
        <w:rPr>
          <w:spacing w:val="2"/>
          <w:w w:val="120"/>
          <w:sz w:val="20"/>
        </w:rPr>
        <w:t>2000s</w:t>
      </w:r>
    </w:p>
    <w:p>
      <w:pPr>
        <w:spacing w:after="0" w:line="235" w:lineRule="auto"/>
        <w:jc w:val="left"/>
        <w:rPr>
          <w:sz w:val="20"/>
        </w:rPr>
        <w:sectPr>
          <w:headerReference w:type="even" r:id="rId144"/>
          <w:pgSz w:w="11910" w:h="16840"/>
          <w:pgMar w:header="0" w:footer="647" w:top="0" w:bottom="840" w:left="700" w:right="0"/>
        </w:sectPr>
      </w:pPr>
    </w:p>
    <w:p>
      <w:pPr>
        <w:pStyle w:val="BodyText"/>
      </w:pPr>
      <w:r>
        <w:rPr/>
        <w:drawing>
          <wp:anchor distT="0" distB="0" distL="0" distR="0" allowOverlap="1" layoutInCell="1" locked="0" behindDoc="0" simplePos="0" relativeHeight="251776000">
            <wp:simplePos x="0" y="0"/>
            <wp:positionH relativeFrom="page">
              <wp:posOffset>6974928</wp:posOffset>
            </wp:positionH>
            <wp:positionV relativeFrom="page">
              <wp:posOffset>0</wp:posOffset>
            </wp:positionV>
            <wp:extent cx="585063" cy="10692003"/>
            <wp:effectExtent l="0" t="0" r="0" b="0"/>
            <wp:wrapNone/>
            <wp:docPr id="73" name="image24.png"/>
            <wp:cNvGraphicFramePr>
              <a:graphicFrameLocks noChangeAspect="1"/>
            </wp:cNvGraphicFramePr>
            <a:graphic>
              <a:graphicData uri="http://schemas.openxmlformats.org/drawingml/2006/picture">
                <pic:pic>
                  <pic:nvPicPr>
                    <pic:cNvPr id="74"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282898pt;margin-top:22.693945pt;width:26pt;height:350.75pt;mso-position-horizontal-relative:page;mso-position-vertical-relative:paragraph;z-index:25177702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r>
        <w:rPr>
          <w:color w:val="7EAABF"/>
          <w:w w:val="120"/>
        </w:rPr>
        <w:t>Mission Council</w:t>
      </w:r>
    </w:p>
    <w:p>
      <w:pPr>
        <w:pStyle w:val="BodyText"/>
        <w:spacing w:line="242" w:lineRule="exact" w:before="218"/>
        <w:ind w:left="1284"/>
      </w:pPr>
      <w:r>
        <w:rPr>
          <w:w w:val="120"/>
        </w:rPr>
        <w:t>may be different to how the Church currently responds to safeguarding concerns.</w:t>
      </w:r>
    </w:p>
    <w:p>
      <w:pPr>
        <w:pStyle w:val="BodyText"/>
        <w:spacing w:line="235" w:lineRule="auto" w:before="1"/>
        <w:ind w:left="1284" w:right="1283"/>
      </w:pPr>
      <w:r>
        <w:rPr>
          <w:w w:val="120"/>
        </w:rPr>
        <w:t>This is not to make excuses for any poor practice, at any time.’ However, the landscape of safeguarding has changed over the past twenty years. All experts report that these changes were taken into account within their reviews.</w:t>
      </w:r>
    </w:p>
    <w:p>
      <w:pPr>
        <w:pStyle w:val="BodyText"/>
        <w:spacing w:before="7"/>
        <w:rPr>
          <w:sz w:val="26"/>
        </w:rPr>
      </w:pPr>
    </w:p>
    <w:p>
      <w:pPr>
        <w:pStyle w:val="Heading4"/>
        <w:numPr>
          <w:ilvl w:val="0"/>
          <w:numId w:val="26"/>
        </w:numPr>
        <w:tabs>
          <w:tab w:pos="1964" w:val="left" w:leader="none"/>
          <w:tab w:pos="1965" w:val="left" w:leader="none"/>
        </w:tabs>
        <w:spacing w:line="196" w:lineRule="auto" w:before="0" w:after="0"/>
        <w:ind w:left="1964" w:right="2145" w:hanging="681"/>
        <w:jc w:val="left"/>
      </w:pPr>
      <w:r>
        <w:rPr>
          <w:w w:val="110"/>
        </w:rPr>
        <w:t>URC’s </w:t>
      </w:r>
      <w:r>
        <w:rPr>
          <w:spacing w:val="3"/>
          <w:w w:val="110"/>
        </w:rPr>
        <w:t>framework </w:t>
      </w:r>
      <w:r>
        <w:rPr>
          <w:w w:val="110"/>
        </w:rPr>
        <w:t>of </w:t>
      </w:r>
      <w:r>
        <w:rPr>
          <w:spacing w:val="4"/>
          <w:w w:val="110"/>
        </w:rPr>
        <w:t>safeguarding </w:t>
      </w:r>
      <w:r>
        <w:rPr>
          <w:spacing w:val="5"/>
          <w:w w:val="110"/>
        </w:rPr>
        <w:t>policy </w:t>
      </w:r>
      <w:r>
        <w:rPr>
          <w:spacing w:val="3"/>
          <w:w w:val="110"/>
        </w:rPr>
        <w:t>and </w:t>
      </w:r>
      <w:r>
        <w:rPr>
          <w:spacing w:val="4"/>
          <w:w w:val="110"/>
        </w:rPr>
        <w:t>Practice</w:t>
      </w:r>
    </w:p>
    <w:p>
      <w:pPr>
        <w:pStyle w:val="ListParagraph"/>
        <w:numPr>
          <w:ilvl w:val="1"/>
          <w:numId w:val="26"/>
        </w:numPr>
        <w:tabs>
          <w:tab w:pos="1964" w:val="left" w:leader="none"/>
          <w:tab w:pos="1965" w:val="left" w:leader="none"/>
        </w:tabs>
        <w:spacing w:line="235" w:lineRule="auto" w:before="85" w:after="0"/>
        <w:ind w:left="1284" w:right="1645" w:firstLine="0"/>
        <w:jc w:val="left"/>
        <w:rPr>
          <w:sz w:val="20"/>
        </w:rPr>
      </w:pPr>
      <w:r>
        <w:rPr>
          <w:w w:val="120"/>
          <w:sz w:val="20"/>
        </w:rPr>
        <w:t>The United Reformed Church is committed to learning through its revision of policy and practice, scrutiny and challenge of functions, and identification of areas for improvement. The URC has had a long record of commitment to safeguarding individuals</w:t>
      </w:r>
      <w:r>
        <w:rPr>
          <w:spacing w:val="11"/>
          <w:w w:val="120"/>
          <w:sz w:val="20"/>
        </w:rPr>
        <w:t> </w:t>
      </w:r>
      <w:r>
        <w:rPr>
          <w:w w:val="120"/>
          <w:sz w:val="20"/>
        </w:rPr>
        <w:t>in</w:t>
      </w:r>
      <w:r>
        <w:rPr>
          <w:spacing w:val="11"/>
          <w:w w:val="120"/>
          <w:sz w:val="20"/>
        </w:rPr>
        <w:t> </w:t>
      </w:r>
      <w:r>
        <w:rPr>
          <w:w w:val="120"/>
          <w:sz w:val="20"/>
        </w:rPr>
        <w:t>its</w:t>
      </w:r>
      <w:r>
        <w:rPr>
          <w:spacing w:val="11"/>
          <w:w w:val="120"/>
          <w:sz w:val="20"/>
        </w:rPr>
        <w:t> </w:t>
      </w:r>
      <w:r>
        <w:rPr>
          <w:w w:val="120"/>
          <w:sz w:val="20"/>
        </w:rPr>
        <w:t>care,</w:t>
      </w:r>
      <w:r>
        <w:rPr>
          <w:spacing w:val="11"/>
          <w:w w:val="120"/>
          <w:sz w:val="20"/>
        </w:rPr>
        <w:t> </w:t>
      </w:r>
      <w:r>
        <w:rPr>
          <w:w w:val="120"/>
          <w:sz w:val="20"/>
        </w:rPr>
        <w:t>alongside</w:t>
      </w:r>
      <w:r>
        <w:rPr>
          <w:spacing w:val="11"/>
          <w:w w:val="120"/>
          <w:sz w:val="20"/>
        </w:rPr>
        <w:t> </w:t>
      </w:r>
      <w:r>
        <w:rPr>
          <w:w w:val="120"/>
          <w:sz w:val="20"/>
        </w:rPr>
        <w:t>a</w:t>
      </w:r>
      <w:r>
        <w:rPr>
          <w:spacing w:val="11"/>
          <w:w w:val="120"/>
          <w:sz w:val="20"/>
        </w:rPr>
        <w:t> </w:t>
      </w:r>
      <w:r>
        <w:rPr>
          <w:w w:val="120"/>
          <w:sz w:val="20"/>
        </w:rPr>
        <w:t>growing</w:t>
      </w:r>
      <w:r>
        <w:rPr>
          <w:spacing w:val="11"/>
          <w:w w:val="120"/>
          <w:sz w:val="20"/>
        </w:rPr>
        <w:t> </w:t>
      </w:r>
      <w:r>
        <w:rPr>
          <w:w w:val="120"/>
          <w:sz w:val="20"/>
        </w:rPr>
        <w:t>public</w:t>
      </w:r>
      <w:r>
        <w:rPr>
          <w:spacing w:val="11"/>
          <w:w w:val="120"/>
          <w:sz w:val="20"/>
        </w:rPr>
        <w:t> </w:t>
      </w:r>
      <w:r>
        <w:rPr>
          <w:w w:val="120"/>
          <w:sz w:val="20"/>
        </w:rPr>
        <w:t>interest</w:t>
      </w:r>
      <w:r>
        <w:rPr>
          <w:spacing w:val="11"/>
          <w:w w:val="120"/>
          <w:sz w:val="20"/>
        </w:rPr>
        <w:t> </w:t>
      </w:r>
      <w:r>
        <w:rPr>
          <w:w w:val="120"/>
          <w:sz w:val="20"/>
        </w:rPr>
        <w:t>in</w:t>
      </w:r>
      <w:r>
        <w:rPr>
          <w:spacing w:val="11"/>
          <w:w w:val="120"/>
          <w:sz w:val="20"/>
        </w:rPr>
        <w:t> </w:t>
      </w:r>
      <w:r>
        <w:rPr>
          <w:w w:val="120"/>
          <w:sz w:val="20"/>
        </w:rPr>
        <w:t>protecting</w:t>
      </w:r>
      <w:r>
        <w:rPr>
          <w:spacing w:val="11"/>
          <w:w w:val="120"/>
          <w:sz w:val="20"/>
        </w:rPr>
        <w:t> </w:t>
      </w:r>
      <w:r>
        <w:rPr>
          <w:w w:val="120"/>
          <w:sz w:val="20"/>
        </w:rPr>
        <w:t>vulnerable</w:t>
      </w:r>
    </w:p>
    <w:p>
      <w:pPr>
        <w:pStyle w:val="BodyText"/>
        <w:spacing w:line="235" w:lineRule="auto" w:before="3"/>
        <w:ind w:left="1284" w:right="1283"/>
      </w:pPr>
      <w:r>
        <w:rPr>
          <w:w w:val="120"/>
        </w:rPr>
        <w:t>people, particularly children. In 1991, the Children Act became law. Subsequent to the Children’s Act, there was a growing awareness that in addition to preventing potential victimisation of children, and then adults at risk, there needed to be awareness to prevent abuse, harm and neglect.</w:t>
      </w:r>
    </w:p>
    <w:p>
      <w:pPr>
        <w:pStyle w:val="BodyText"/>
        <w:spacing w:before="11"/>
        <w:rPr>
          <w:sz w:val="19"/>
        </w:rPr>
      </w:pPr>
    </w:p>
    <w:p>
      <w:pPr>
        <w:pStyle w:val="ListParagraph"/>
        <w:numPr>
          <w:ilvl w:val="1"/>
          <w:numId w:val="26"/>
        </w:numPr>
        <w:tabs>
          <w:tab w:pos="1964" w:val="left" w:leader="none"/>
          <w:tab w:pos="1965" w:val="left" w:leader="none"/>
        </w:tabs>
        <w:spacing w:line="235" w:lineRule="auto" w:before="0" w:after="0"/>
        <w:ind w:left="1284" w:right="1829" w:firstLine="0"/>
        <w:jc w:val="left"/>
        <w:rPr>
          <w:sz w:val="20"/>
        </w:rPr>
      </w:pPr>
      <w:r>
        <w:rPr>
          <w:w w:val="120"/>
          <w:sz w:val="20"/>
        </w:rPr>
        <w:t>From </w:t>
      </w:r>
      <w:r>
        <w:rPr>
          <w:spacing w:val="-5"/>
          <w:w w:val="120"/>
          <w:sz w:val="20"/>
        </w:rPr>
        <w:t>1994 </w:t>
      </w:r>
      <w:r>
        <w:rPr>
          <w:w w:val="120"/>
          <w:sz w:val="20"/>
        </w:rPr>
        <w:t>onwards, the URC created a range of policies and procedures to prevent abuse and to protect potential victims in every area of the </w:t>
      </w:r>
      <w:r>
        <w:rPr>
          <w:spacing w:val="-3"/>
          <w:w w:val="120"/>
          <w:sz w:val="20"/>
        </w:rPr>
        <w:t>Church’s</w:t>
      </w:r>
      <w:r>
        <w:rPr>
          <w:spacing w:val="37"/>
          <w:w w:val="120"/>
          <w:sz w:val="20"/>
        </w:rPr>
        <w:t> </w:t>
      </w:r>
      <w:r>
        <w:rPr>
          <w:w w:val="120"/>
          <w:sz w:val="20"/>
        </w:rPr>
        <w:t>life.</w:t>
      </w:r>
    </w:p>
    <w:p>
      <w:pPr>
        <w:pStyle w:val="ListParagraph"/>
        <w:numPr>
          <w:ilvl w:val="0"/>
          <w:numId w:val="27"/>
        </w:numPr>
        <w:tabs>
          <w:tab w:pos="1964" w:val="left" w:leader="none"/>
          <w:tab w:pos="1965" w:val="left" w:leader="none"/>
        </w:tabs>
        <w:spacing w:line="235" w:lineRule="auto" w:before="2" w:after="0"/>
        <w:ind w:left="1964" w:right="1584" w:hanging="681"/>
        <w:jc w:val="left"/>
        <w:rPr>
          <w:sz w:val="20"/>
        </w:rPr>
      </w:pPr>
      <w:r>
        <w:rPr>
          <w:spacing w:val="-5"/>
          <w:w w:val="120"/>
          <w:sz w:val="20"/>
        </w:rPr>
        <w:t>1994 </w:t>
      </w:r>
      <w:r>
        <w:rPr>
          <w:i/>
          <w:w w:val="120"/>
          <w:sz w:val="20"/>
        </w:rPr>
        <w:t>Good Practice in safeguarding children and young people </w:t>
      </w:r>
      <w:r>
        <w:rPr>
          <w:spacing w:val="-8"/>
          <w:w w:val="120"/>
          <w:sz w:val="20"/>
        </w:rPr>
        <w:t>(GP1) </w:t>
      </w:r>
      <w:r>
        <w:rPr>
          <w:w w:val="120"/>
          <w:sz w:val="20"/>
        </w:rPr>
        <w:t>produced, supported by training; this was followed by GP2 </w:t>
      </w:r>
      <w:r>
        <w:rPr>
          <w:spacing w:val="-6"/>
          <w:w w:val="120"/>
          <w:sz w:val="20"/>
        </w:rPr>
        <w:t>(2001), </w:t>
      </w:r>
      <w:r>
        <w:rPr>
          <w:w w:val="120"/>
          <w:sz w:val="20"/>
        </w:rPr>
        <w:t>GP3 </w:t>
      </w:r>
      <w:r>
        <w:rPr>
          <w:spacing w:val="-3"/>
          <w:w w:val="120"/>
          <w:sz w:val="20"/>
        </w:rPr>
        <w:t>(2004), </w:t>
      </w:r>
      <w:r>
        <w:rPr>
          <w:w w:val="120"/>
          <w:sz w:val="20"/>
        </w:rPr>
        <w:t>and </w:t>
      </w:r>
      <w:r>
        <w:rPr>
          <w:spacing w:val="-2"/>
          <w:w w:val="120"/>
          <w:sz w:val="20"/>
        </w:rPr>
        <w:t>GP4 </w:t>
      </w:r>
      <w:r>
        <w:rPr>
          <w:spacing w:val="-8"/>
          <w:w w:val="120"/>
          <w:sz w:val="20"/>
        </w:rPr>
        <w:t>(2015) </w:t>
      </w:r>
      <w:r>
        <w:rPr>
          <w:w w:val="120"/>
          <w:sz w:val="20"/>
        </w:rPr>
        <w:t>which included good practice for adults at</w:t>
      </w:r>
      <w:r>
        <w:rPr>
          <w:spacing w:val="44"/>
          <w:w w:val="120"/>
          <w:sz w:val="20"/>
        </w:rPr>
        <w:t> </w:t>
      </w:r>
      <w:r>
        <w:rPr>
          <w:w w:val="120"/>
          <w:sz w:val="20"/>
        </w:rPr>
        <w:t>risk.</w:t>
      </w:r>
    </w:p>
    <w:p>
      <w:pPr>
        <w:pStyle w:val="ListParagraph"/>
        <w:numPr>
          <w:ilvl w:val="0"/>
          <w:numId w:val="27"/>
        </w:numPr>
        <w:tabs>
          <w:tab w:pos="1964" w:val="left" w:leader="none"/>
          <w:tab w:pos="1965" w:val="left" w:leader="none"/>
        </w:tabs>
        <w:spacing w:line="235" w:lineRule="auto" w:before="2" w:after="0"/>
        <w:ind w:left="1964" w:right="1314" w:hanging="681"/>
        <w:jc w:val="left"/>
        <w:rPr>
          <w:sz w:val="20"/>
        </w:rPr>
      </w:pPr>
      <w:r>
        <w:rPr>
          <w:w w:val="120"/>
          <w:sz w:val="20"/>
        </w:rPr>
        <w:t>2005 Declaration of a Safe Church was passed by Assembly, addressing the issue of sexual abuse; This was followed by the Declaration towards a </w:t>
      </w:r>
      <w:r>
        <w:rPr>
          <w:spacing w:val="-4"/>
          <w:w w:val="120"/>
          <w:sz w:val="20"/>
        </w:rPr>
        <w:t>Safe(r) </w:t>
      </w:r>
      <w:r>
        <w:rPr>
          <w:w w:val="120"/>
          <w:sz w:val="20"/>
        </w:rPr>
        <w:t>Church </w:t>
      </w:r>
      <w:r>
        <w:rPr>
          <w:spacing w:val="-3"/>
          <w:w w:val="120"/>
          <w:sz w:val="20"/>
        </w:rPr>
        <w:t>(2008).</w:t>
      </w:r>
    </w:p>
    <w:p>
      <w:pPr>
        <w:pStyle w:val="ListParagraph"/>
        <w:numPr>
          <w:ilvl w:val="0"/>
          <w:numId w:val="27"/>
        </w:numPr>
        <w:tabs>
          <w:tab w:pos="1964" w:val="left" w:leader="none"/>
          <w:tab w:pos="1965" w:val="left" w:leader="none"/>
        </w:tabs>
        <w:spacing w:line="235" w:lineRule="auto" w:before="2" w:after="0"/>
        <w:ind w:left="1964" w:right="1673" w:hanging="681"/>
        <w:jc w:val="left"/>
        <w:rPr>
          <w:sz w:val="20"/>
        </w:rPr>
      </w:pPr>
      <w:r>
        <w:rPr>
          <w:w w:val="115"/>
          <w:sz w:val="20"/>
        </w:rPr>
        <w:t>2006</w:t>
      </w:r>
      <w:r>
        <w:rPr>
          <w:spacing w:val="-14"/>
          <w:w w:val="115"/>
          <w:sz w:val="20"/>
        </w:rPr>
        <w:t> </w:t>
      </w:r>
      <w:r>
        <w:rPr>
          <w:i/>
          <w:w w:val="115"/>
          <w:sz w:val="20"/>
        </w:rPr>
        <w:t>Preserving</w:t>
      </w:r>
      <w:r>
        <w:rPr>
          <w:i/>
          <w:spacing w:val="-17"/>
          <w:w w:val="115"/>
          <w:sz w:val="20"/>
        </w:rPr>
        <w:t> </w:t>
      </w:r>
      <w:r>
        <w:rPr>
          <w:i/>
          <w:w w:val="115"/>
          <w:sz w:val="20"/>
        </w:rPr>
        <w:t>the</w:t>
      </w:r>
      <w:r>
        <w:rPr>
          <w:i/>
          <w:spacing w:val="-16"/>
          <w:w w:val="115"/>
          <w:sz w:val="20"/>
        </w:rPr>
        <w:t> </w:t>
      </w:r>
      <w:r>
        <w:rPr>
          <w:i/>
          <w:w w:val="115"/>
          <w:sz w:val="20"/>
        </w:rPr>
        <w:t>Integrity</w:t>
      </w:r>
      <w:r>
        <w:rPr>
          <w:i/>
          <w:spacing w:val="-16"/>
          <w:w w:val="115"/>
          <w:sz w:val="20"/>
        </w:rPr>
        <w:t> </w:t>
      </w:r>
      <w:r>
        <w:rPr>
          <w:i/>
          <w:w w:val="115"/>
          <w:sz w:val="20"/>
        </w:rPr>
        <w:t>of</w:t>
      </w:r>
      <w:r>
        <w:rPr>
          <w:i/>
          <w:spacing w:val="-16"/>
          <w:w w:val="115"/>
          <w:sz w:val="20"/>
        </w:rPr>
        <w:t> </w:t>
      </w:r>
      <w:r>
        <w:rPr>
          <w:i/>
          <w:w w:val="115"/>
          <w:sz w:val="20"/>
        </w:rPr>
        <w:t>the</w:t>
      </w:r>
      <w:r>
        <w:rPr>
          <w:i/>
          <w:spacing w:val="-16"/>
          <w:w w:val="115"/>
          <w:sz w:val="20"/>
        </w:rPr>
        <w:t> </w:t>
      </w:r>
      <w:r>
        <w:rPr>
          <w:i/>
          <w:w w:val="115"/>
          <w:sz w:val="20"/>
        </w:rPr>
        <w:t>Body:</w:t>
      </w:r>
      <w:r>
        <w:rPr>
          <w:i/>
          <w:spacing w:val="-16"/>
          <w:w w:val="115"/>
          <w:sz w:val="20"/>
        </w:rPr>
        <w:t> </w:t>
      </w:r>
      <w:r>
        <w:rPr>
          <w:i/>
          <w:w w:val="115"/>
          <w:sz w:val="20"/>
        </w:rPr>
        <w:t>sexual</w:t>
      </w:r>
      <w:r>
        <w:rPr>
          <w:i/>
          <w:spacing w:val="-16"/>
          <w:w w:val="115"/>
          <w:sz w:val="20"/>
        </w:rPr>
        <w:t> </w:t>
      </w:r>
      <w:r>
        <w:rPr>
          <w:i/>
          <w:w w:val="115"/>
          <w:sz w:val="20"/>
        </w:rPr>
        <w:t>ethics</w:t>
      </w:r>
      <w:r>
        <w:rPr>
          <w:i/>
          <w:spacing w:val="-16"/>
          <w:w w:val="115"/>
          <w:sz w:val="20"/>
        </w:rPr>
        <w:t> </w:t>
      </w:r>
      <w:r>
        <w:rPr>
          <w:i/>
          <w:w w:val="115"/>
          <w:sz w:val="20"/>
        </w:rPr>
        <w:t>within</w:t>
      </w:r>
      <w:r>
        <w:rPr>
          <w:i/>
          <w:spacing w:val="-16"/>
          <w:w w:val="115"/>
          <w:sz w:val="20"/>
        </w:rPr>
        <w:t> </w:t>
      </w:r>
      <w:r>
        <w:rPr>
          <w:i/>
          <w:w w:val="115"/>
          <w:sz w:val="20"/>
        </w:rPr>
        <w:t>the</w:t>
      </w:r>
      <w:r>
        <w:rPr>
          <w:i/>
          <w:spacing w:val="-16"/>
          <w:w w:val="115"/>
          <w:sz w:val="20"/>
        </w:rPr>
        <w:t> </w:t>
      </w:r>
      <w:r>
        <w:rPr>
          <w:i/>
          <w:w w:val="115"/>
          <w:sz w:val="20"/>
        </w:rPr>
        <w:t>United</w:t>
      </w:r>
      <w:r>
        <w:rPr>
          <w:i/>
          <w:spacing w:val="-16"/>
          <w:w w:val="115"/>
          <w:sz w:val="20"/>
        </w:rPr>
        <w:t> </w:t>
      </w:r>
      <w:r>
        <w:rPr>
          <w:i/>
          <w:w w:val="115"/>
          <w:sz w:val="20"/>
        </w:rPr>
        <w:t>Reformed </w:t>
      </w:r>
      <w:r>
        <w:rPr>
          <w:i/>
          <w:w w:val="115"/>
          <w:sz w:val="20"/>
        </w:rPr>
        <w:t>Church</w:t>
      </w:r>
      <w:r>
        <w:rPr>
          <w:w w:val="115"/>
          <w:sz w:val="20"/>
        </w:rPr>
        <w:t>, was published by the</w:t>
      </w:r>
      <w:r>
        <w:rPr>
          <w:spacing w:val="30"/>
          <w:w w:val="115"/>
          <w:sz w:val="20"/>
        </w:rPr>
        <w:t> </w:t>
      </w:r>
      <w:r>
        <w:rPr>
          <w:w w:val="115"/>
          <w:sz w:val="20"/>
        </w:rPr>
        <w:t>URC.</w:t>
      </w:r>
    </w:p>
    <w:p>
      <w:pPr>
        <w:pStyle w:val="ListParagraph"/>
        <w:numPr>
          <w:ilvl w:val="0"/>
          <w:numId w:val="27"/>
        </w:numPr>
        <w:tabs>
          <w:tab w:pos="1964" w:val="left" w:leader="none"/>
          <w:tab w:pos="1965" w:val="left" w:leader="none"/>
        </w:tabs>
        <w:spacing w:line="235" w:lineRule="auto" w:before="1" w:after="0"/>
        <w:ind w:left="1964" w:right="1797" w:hanging="681"/>
        <w:jc w:val="left"/>
        <w:rPr>
          <w:sz w:val="20"/>
        </w:rPr>
      </w:pPr>
      <w:r>
        <w:rPr>
          <w:w w:val="115"/>
          <w:sz w:val="20"/>
        </w:rPr>
        <w:t>2006 </w:t>
      </w:r>
      <w:r>
        <w:rPr>
          <w:i/>
          <w:w w:val="115"/>
          <w:sz w:val="20"/>
        </w:rPr>
        <w:t>Relating </w:t>
      </w:r>
      <w:r>
        <w:rPr>
          <w:i/>
          <w:spacing w:val="-4"/>
          <w:w w:val="115"/>
          <w:sz w:val="20"/>
        </w:rPr>
        <w:t>Together</w:t>
      </w:r>
      <w:r>
        <w:rPr>
          <w:spacing w:val="-4"/>
          <w:w w:val="115"/>
          <w:sz w:val="20"/>
        </w:rPr>
        <w:t>, </w:t>
      </w:r>
      <w:r>
        <w:rPr>
          <w:i/>
          <w:w w:val="115"/>
          <w:sz w:val="20"/>
        </w:rPr>
        <w:t>Life Together </w:t>
      </w:r>
      <w:r>
        <w:rPr>
          <w:w w:val="115"/>
          <w:sz w:val="20"/>
        </w:rPr>
        <w:t>and </w:t>
      </w:r>
      <w:r>
        <w:rPr>
          <w:i/>
          <w:w w:val="115"/>
          <w:sz w:val="20"/>
        </w:rPr>
        <w:t>Worshipping </w:t>
      </w:r>
      <w:r>
        <w:rPr>
          <w:i/>
          <w:spacing w:val="-4"/>
          <w:w w:val="115"/>
          <w:sz w:val="20"/>
        </w:rPr>
        <w:t>Together</w:t>
      </w:r>
      <w:r>
        <w:rPr>
          <w:spacing w:val="-4"/>
          <w:w w:val="115"/>
          <w:sz w:val="20"/>
        </w:rPr>
        <w:t>, </w:t>
      </w:r>
      <w:r>
        <w:rPr>
          <w:w w:val="115"/>
          <w:sz w:val="20"/>
        </w:rPr>
        <w:t>booklets were distributed to</w:t>
      </w:r>
      <w:r>
        <w:rPr>
          <w:spacing w:val="10"/>
          <w:w w:val="115"/>
          <w:sz w:val="20"/>
        </w:rPr>
        <w:t> </w:t>
      </w:r>
      <w:r>
        <w:rPr>
          <w:w w:val="115"/>
          <w:sz w:val="20"/>
        </w:rPr>
        <w:t>churches.</w:t>
      </w:r>
    </w:p>
    <w:p>
      <w:pPr>
        <w:pStyle w:val="ListParagraph"/>
        <w:numPr>
          <w:ilvl w:val="0"/>
          <w:numId w:val="27"/>
        </w:numPr>
        <w:tabs>
          <w:tab w:pos="1964" w:val="left" w:leader="none"/>
          <w:tab w:pos="1965" w:val="left" w:leader="none"/>
        </w:tabs>
        <w:spacing w:line="235" w:lineRule="auto" w:before="2" w:after="0"/>
        <w:ind w:left="1964" w:right="1579" w:hanging="681"/>
        <w:jc w:val="left"/>
        <w:rPr>
          <w:sz w:val="20"/>
        </w:rPr>
      </w:pPr>
      <w:r>
        <w:rPr>
          <w:w w:val="115"/>
          <w:sz w:val="20"/>
        </w:rPr>
        <w:t>2008 </w:t>
      </w:r>
      <w:r>
        <w:rPr>
          <w:i/>
          <w:w w:val="115"/>
          <w:sz w:val="20"/>
        </w:rPr>
        <w:t>Safeguarding – It’s a whole Church responsibility </w:t>
      </w:r>
      <w:r>
        <w:rPr>
          <w:w w:val="115"/>
          <w:sz w:val="20"/>
        </w:rPr>
        <w:t>was produced, distributed and supported by</w:t>
      </w:r>
      <w:r>
        <w:rPr>
          <w:spacing w:val="17"/>
          <w:w w:val="115"/>
          <w:sz w:val="20"/>
        </w:rPr>
        <w:t> </w:t>
      </w:r>
      <w:r>
        <w:rPr>
          <w:w w:val="115"/>
          <w:sz w:val="20"/>
        </w:rPr>
        <w:t>training.</w:t>
      </w:r>
    </w:p>
    <w:p>
      <w:pPr>
        <w:pStyle w:val="ListParagraph"/>
        <w:numPr>
          <w:ilvl w:val="0"/>
          <w:numId w:val="27"/>
        </w:numPr>
        <w:tabs>
          <w:tab w:pos="1964" w:val="left" w:leader="none"/>
          <w:tab w:pos="1965" w:val="left" w:leader="none"/>
        </w:tabs>
        <w:spacing w:line="235" w:lineRule="auto" w:before="1" w:after="0"/>
        <w:ind w:left="1964" w:right="1427" w:hanging="681"/>
        <w:jc w:val="left"/>
        <w:rPr>
          <w:sz w:val="20"/>
        </w:rPr>
      </w:pPr>
      <w:r>
        <w:rPr>
          <w:spacing w:val="-7"/>
          <w:w w:val="120"/>
          <w:sz w:val="20"/>
        </w:rPr>
        <w:t>2014 </w:t>
      </w:r>
      <w:r>
        <w:rPr>
          <w:w w:val="120"/>
          <w:sz w:val="20"/>
        </w:rPr>
        <w:t>General Assembly resolved that some training was to be mandatory for ministers, and in </w:t>
      </w:r>
      <w:r>
        <w:rPr>
          <w:spacing w:val="-7"/>
          <w:w w:val="120"/>
          <w:sz w:val="20"/>
        </w:rPr>
        <w:t>2015, </w:t>
      </w:r>
      <w:r>
        <w:rPr>
          <w:w w:val="120"/>
          <w:sz w:val="20"/>
        </w:rPr>
        <w:t>Mission Council agreed that the first mandatory training was to be ‘Safer Sacred </w:t>
      </w:r>
      <w:r>
        <w:rPr>
          <w:spacing w:val="-4"/>
          <w:w w:val="120"/>
          <w:sz w:val="20"/>
        </w:rPr>
        <w:t>Space’, </w:t>
      </w:r>
      <w:r>
        <w:rPr>
          <w:w w:val="120"/>
          <w:sz w:val="20"/>
        </w:rPr>
        <w:t>training in safe boundaries for</w:t>
      </w:r>
      <w:r>
        <w:rPr>
          <w:spacing w:val="24"/>
          <w:w w:val="120"/>
          <w:sz w:val="20"/>
        </w:rPr>
        <w:t> </w:t>
      </w:r>
      <w:r>
        <w:rPr>
          <w:w w:val="120"/>
          <w:sz w:val="20"/>
        </w:rPr>
        <w:t>ministers.</w:t>
      </w:r>
    </w:p>
    <w:p>
      <w:pPr>
        <w:pStyle w:val="ListParagraph"/>
        <w:numPr>
          <w:ilvl w:val="0"/>
          <w:numId w:val="27"/>
        </w:numPr>
        <w:tabs>
          <w:tab w:pos="1964" w:val="left" w:leader="none"/>
          <w:tab w:pos="1965" w:val="left" w:leader="none"/>
        </w:tabs>
        <w:spacing w:line="235" w:lineRule="auto" w:before="2" w:after="0"/>
        <w:ind w:left="1964" w:right="1412" w:hanging="681"/>
        <w:jc w:val="left"/>
        <w:rPr>
          <w:sz w:val="20"/>
        </w:rPr>
      </w:pPr>
      <w:r>
        <w:rPr>
          <w:spacing w:val="-7"/>
          <w:w w:val="120"/>
          <w:sz w:val="20"/>
        </w:rPr>
        <w:t>2015 </w:t>
      </w:r>
      <w:r>
        <w:rPr>
          <w:w w:val="120"/>
          <w:sz w:val="20"/>
        </w:rPr>
        <w:t>Mission Council called the Past Case Review to further understand its own practice and to align the URC with the independent inquiry into Child Sexual Abuse</w:t>
      </w:r>
      <w:r>
        <w:rPr>
          <w:spacing w:val="2"/>
          <w:w w:val="120"/>
          <w:sz w:val="20"/>
        </w:rPr>
        <w:t> </w:t>
      </w:r>
      <w:r>
        <w:rPr>
          <w:w w:val="120"/>
          <w:sz w:val="20"/>
        </w:rPr>
        <w:t>(IICSA).</w:t>
      </w:r>
    </w:p>
    <w:p>
      <w:pPr>
        <w:pStyle w:val="BodyText"/>
        <w:spacing w:before="10"/>
        <w:rPr>
          <w:sz w:val="19"/>
        </w:rPr>
      </w:pPr>
    </w:p>
    <w:p>
      <w:pPr>
        <w:pStyle w:val="ListParagraph"/>
        <w:numPr>
          <w:ilvl w:val="1"/>
          <w:numId w:val="26"/>
        </w:numPr>
        <w:tabs>
          <w:tab w:pos="1964" w:val="left" w:leader="none"/>
          <w:tab w:pos="1965" w:val="left" w:leader="none"/>
        </w:tabs>
        <w:spacing w:line="235" w:lineRule="auto" w:before="1" w:after="0"/>
        <w:ind w:left="1284" w:right="1262" w:firstLine="0"/>
        <w:jc w:val="left"/>
        <w:rPr>
          <w:sz w:val="20"/>
        </w:rPr>
      </w:pPr>
      <w:r>
        <w:rPr>
          <w:w w:val="120"/>
          <w:sz w:val="20"/>
        </w:rPr>
        <w:t>The good practice approach to safeguarding led to the  appointment  of  the </w:t>
      </w:r>
      <w:r>
        <w:rPr>
          <w:spacing w:val="-3"/>
          <w:w w:val="120"/>
          <w:sz w:val="20"/>
        </w:rPr>
        <w:t>URC’s </w:t>
      </w:r>
      <w:r>
        <w:rPr>
          <w:w w:val="120"/>
          <w:sz w:val="20"/>
        </w:rPr>
        <w:t>first Safeguarding Officer in </w:t>
      </w:r>
      <w:r>
        <w:rPr>
          <w:spacing w:val="-7"/>
          <w:w w:val="120"/>
          <w:sz w:val="20"/>
        </w:rPr>
        <w:t>2013. </w:t>
      </w:r>
      <w:r>
        <w:rPr>
          <w:w w:val="120"/>
          <w:sz w:val="20"/>
        </w:rPr>
        <w:t>The role is now full time, with the Safeguarding Officer advising on all matters of safeguarding within the URC. SAG maintains an overview of all safeguarding policies, practices and systems within the URC and the current strategic plan </w:t>
      </w:r>
      <w:r>
        <w:rPr>
          <w:spacing w:val="-9"/>
          <w:w w:val="120"/>
          <w:sz w:val="20"/>
        </w:rPr>
        <w:t>(2017 </w:t>
      </w:r>
      <w:r>
        <w:rPr>
          <w:w w:val="120"/>
          <w:sz w:val="20"/>
        </w:rPr>
        <w:t>to </w:t>
      </w:r>
      <w:r>
        <w:rPr>
          <w:spacing w:val="-4"/>
          <w:w w:val="120"/>
          <w:sz w:val="20"/>
        </w:rPr>
        <w:t>2022). </w:t>
      </w:r>
      <w:r>
        <w:rPr>
          <w:w w:val="120"/>
          <w:sz w:val="20"/>
        </w:rPr>
        <w:t>Its membership is the </w:t>
      </w:r>
      <w:r>
        <w:rPr>
          <w:spacing w:val="-3"/>
          <w:w w:val="120"/>
          <w:sz w:val="20"/>
        </w:rPr>
        <w:t>URC’s </w:t>
      </w:r>
      <w:r>
        <w:rPr>
          <w:w w:val="120"/>
          <w:sz w:val="20"/>
        </w:rPr>
        <w:t>Safeguarding Officer, the Secretary for Children and </w:t>
      </w:r>
      <w:r>
        <w:rPr>
          <w:spacing w:val="-3"/>
          <w:w w:val="120"/>
          <w:sz w:val="20"/>
        </w:rPr>
        <w:t>Youth </w:t>
      </w:r>
      <w:r>
        <w:rPr>
          <w:w w:val="120"/>
          <w:sz w:val="20"/>
        </w:rPr>
        <w:t>Work, the Secretary for Ministries, the Deputy General Secretary </w:t>
      </w:r>
      <w:r>
        <w:rPr>
          <w:spacing w:val="-3"/>
          <w:w w:val="120"/>
          <w:sz w:val="20"/>
        </w:rPr>
        <w:t>(Discipleship),  </w:t>
      </w:r>
      <w:r>
        <w:rPr>
          <w:w w:val="120"/>
          <w:sz w:val="20"/>
        </w:rPr>
        <w:t>the Education and Learning Programme Officer, and   up to three co-opted members with relevant</w:t>
      </w:r>
      <w:r>
        <w:rPr>
          <w:spacing w:val="17"/>
          <w:w w:val="120"/>
          <w:sz w:val="20"/>
        </w:rPr>
        <w:t> </w:t>
      </w:r>
      <w:r>
        <w:rPr>
          <w:w w:val="120"/>
          <w:sz w:val="20"/>
        </w:rPr>
        <w:t>experience.</w:t>
      </w:r>
    </w:p>
    <w:p>
      <w:pPr>
        <w:pStyle w:val="BodyText"/>
        <w:spacing w:before="1"/>
      </w:pPr>
    </w:p>
    <w:p>
      <w:pPr>
        <w:pStyle w:val="ListParagraph"/>
        <w:numPr>
          <w:ilvl w:val="1"/>
          <w:numId w:val="26"/>
        </w:numPr>
        <w:tabs>
          <w:tab w:pos="1964" w:val="left" w:leader="none"/>
          <w:tab w:pos="1965" w:val="left" w:leader="none"/>
        </w:tabs>
        <w:spacing w:line="235" w:lineRule="auto" w:before="0" w:after="0"/>
        <w:ind w:left="1284" w:right="1371" w:firstLine="0"/>
        <w:jc w:val="left"/>
        <w:rPr>
          <w:sz w:val="20"/>
        </w:rPr>
      </w:pPr>
      <w:r>
        <w:rPr>
          <w:w w:val="120"/>
          <w:sz w:val="20"/>
        </w:rPr>
        <w:t>Local churches are required to appoint a safeguarding coordinator and produce a safeguarding policy with relevant procedures, and all synods have safeguarding designated officers. Most synods have a single point of contact for</w:t>
      </w:r>
      <w:r>
        <w:rPr>
          <w:spacing w:val="36"/>
          <w:w w:val="120"/>
          <w:sz w:val="20"/>
        </w:rPr>
        <w:t> </w:t>
      </w:r>
      <w:r>
        <w:rPr>
          <w:w w:val="120"/>
          <w:sz w:val="20"/>
        </w:rPr>
        <w:t>safeguarding.</w:t>
      </w:r>
    </w:p>
    <w:p>
      <w:pPr>
        <w:pStyle w:val="BodyText"/>
        <w:spacing w:before="10"/>
        <w:rPr>
          <w:sz w:val="19"/>
        </w:rPr>
      </w:pPr>
    </w:p>
    <w:p>
      <w:pPr>
        <w:pStyle w:val="ListParagraph"/>
        <w:numPr>
          <w:ilvl w:val="1"/>
          <w:numId w:val="26"/>
        </w:numPr>
        <w:tabs>
          <w:tab w:pos="1964" w:val="left" w:leader="none"/>
          <w:tab w:pos="1965" w:val="left" w:leader="none"/>
        </w:tabs>
        <w:spacing w:line="235" w:lineRule="auto" w:before="0" w:after="0"/>
        <w:ind w:left="1284" w:right="1387" w:firstLine="0"/>
        <w:jc w:val="left"/>
        <w:rPr>
          <w:sz w:val="20"/>
        </w:rPr>
      </w:pPr>
      <w:r>
        <w:rPr>
          <w:w w:val="120"/>
          <w:sz w:val="20"/>
        </w:rPr>
        <w:t>The URC also contracts external agencies in support of safeguarding work, including Due Diligence Checking Ltd (DDC) which is the umbrella organisation for Criminal Record Checks </w:t>
      </w:r>
      <w:r>
        <w:rPr>
          <w:spacing w:val="-3"/>
          <w:w w:val="120"/>
          <w:sz w:val="20"/>
        </w:rPr>
        <w:t>(DBS/PVG). </w:t>
      </w:r>
      <w:r>
        <w:rPr>
          <w:w w:val="120"/>
          <w:sz w:val="20"/>
        </w:rPr>
        <w:t>The URC is a member of the Christian Forum for Safeguarding </w:t>
      </w:r>
      <w:r>
        <w:rPr>
          <w:spacing w:val="-5"/>
          <w:w w:val="120"/>
          <w:sz w:val="20"/>
        </w:rPr>
        <w:t>(CFS) </w:t>
      </w:r>
      <w:r>
        <w:rPr>
          <w:w w:val="120"/>
          <w:sz w:val="20"/>
        </w:rPr>
        <w:t>to ensure that the </w:t>
      </w:r>
      <w:r>
        <w:rPr>
          <w:spacing w:val="-3"/>
          <w:w w:val="120"/>
          <w:sz w:val="20"/>
        </w:rPr>
        <w:t>church’s </w:t>
      </w:r>
      <w:r>
        <w:rPr>
          <w:w w:val="120"/>
          <w:sz w:val="20"/>
        </w:rPr>
        <w:t>views are represented in the wider field of</w:t>
      </w:r>
      <w:r>
        <w:rPr>
          <w:spacing w:val="2"/>
          <w:w w:val="120"/>
          <w:sz w:val="20"/>
        </w:rPr>
        <w:t> </w:t>
      </w:r>
      <w:r>
        <w:rPr>
          <w:w w:val="120"/>
          <w:sz w:val="20"/>
        </w:rPr>
        <w:t>safeguarding.</w:t>
      </w:r>
    </w:p>
    <w:p>
      <w:pPr>
        <w:spacing w:after="0" w:line="235" w:lineRule="auto"/>
        <w:jc w:val="left"/>
        <w:rPr>
          <w:sz w:val="20"/>
        </w:rPr>
        <w:sectPr>
          <w:headerReference w:type="default" r:id="rId145"/>
          <w:footerReference w:type="default" r:id="rId146"/>
          <w:footerReference w:type="even" r:id="rId147"/>
          <w:pgSz w:w="11910" w:h="16840"/>
          <w:pgMar w:header="0" w:footer="647" w:top="0" w:bottom="840" w:left="700" w:right="0"/>
          <w:pgNumType w:start="41"/>
        </w:sectPr>
      </w:pPr>
    </w:p>
    <w:p>
      <w:pPr>
        <w:pStyle w:val="BodyText"/>
      </w:pPr>
      <w:r>
        <w:rPr/>
        <w:drawing>
          <wp:anchor distT="0" distB="0" distL="0" distR="0" allowOverlap="1" layoutInCell="1" locked="0" behindDoc="1" simplePos="0" relativeHeight="235810816">
            <wp:simplePos x="0" y="0"/>
            <wp:positionH relativeFrom="page">
              <wp:posOffset>0</wp:posOffset>
            </wp:positionH>
            <wp:positionV relativeFrom="page">
              <wp:posOffset>0</wp:posOffset>
            </wp:positionV>
            <wp:extent cx="594067" cy="10692003"/>
            <wp:effectExtent l="0" t="0" r="0" b="0"/>
            <wp:wrapNone/>
            <wp:docPr id="75" name="image51.png"/>
            <wp:cNvGraphicFramePr>
              <a:graphicFrameLocks noChangeAspect="1"/>
            </wp:cNvGraphicFramePr>
            <a:graphic>
              <a:graphicData uri="http://schemas.openxmlformats.org/drawingml/2006/picture">
                <pic:pic>
                  <pic:nvPicPr>
                    <pic:cNvPr id="76"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19.101801pt;margin-top:48.890015pt;width:26pt;height:350.75pt;mso-position-horizontal-relative:page;mso-position-vertical-relative:page;z-index:-26750464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0"/>
          <w:numId w:val="26"/>
        </w:numPr>
        <w:tabs>
          <w:tab w:pos="1213" w:val="left" w:leader="none"/>
          <w:tab w:pos="1214" w:val="left" w:leader="none"/>
        </w:tabs>
        <w:spacing w:line="240" w:lineRule="auto" w:before="215" w:after="0"/>
        <w:ind w:left="1213" w:right="0" w:hanging="681"/>
        <w:jc w:val="left"/>
        <w:rPr>
          <w:rFonts w:ascii="Stone Sans II ITC Std Bk"/>
          <w:b/>
          <w:sz w:val="29"/>
        </w:rPr>
      </w:pPr>
      <w:r>
        <w:rPr>
          <w:rFonts w:ascii="Stone Sans II ITC Std Bk"/>
          <w:b/>
          <w:spacing w:val="3"/>
          <w:w w:val="110"/>
          <w:sz w:val="29"/>
        </w:rPr>
        <w:t>Recommendations and</w:t>
      </w:r>
      <w:r>
        <w:rPr>
          <w:rFonts w:ascii="Stone Sans II ITC Std Bk"/>
          <w:b/>
          <w:spacing w:val="23"/>
          <w:w w:val="110"/>
          <w:sz w:val="29"/>
        </w:rPr>
        <w:t> </w:t>
      </w:r>
      <w:r>
        <w:rPr>
          <w:rFonts w:ascii="Stone Sans II ITC Std Bk"/>
          <w:b/>
          <w:spacing w:val="3"/>
          <w:w w:val="110"/>
          <w:sz w:val="29"/>
        </w:rPr>
        <w:t>responses</w:t>
      </w:r>
    </w:p>
    <w:p>
      <w:pPr>
        <w:pStyle w:val="BodyText"/>
        <w:spacing w:line="235" w:lineRule="auto" w:before="69"/>
        <w:ind w:left="533" w:right="2582"/>
      </w:pPr>
      <w:r>
        <w:rPr>
          <w:w w:val="120"/>
        </w:rPr>
        <w:t>In each of the following sections observations and recommendations from the three areas of expertise have been conflated to main themes and their set of recommendations. However, to keep a link between the recommendation and the</w:t>
      </w:r>
    </w:p>
    <w:p>
      <w:pPr>
        <w:pStyle w:val="BodyText"/>
        <w:spacing w:line="235" w:lineRule="auto" w:before="3"/>
        <w:ind w:left="533" w:right="2269"/>
      </w:pPr>
      <w:r>
        <w:rPr>
          <w:w w:val="120"/>
        </w:rPr>
        <w:t>reviewer, there is a reference. EEx indicates the external expert, LG indicates the PCR learning group, and ILR indicates the internal learning review team.</w:t>
      </w:r>
    </w:p>
    <w:p>
      <w:pPr>
        <w:pStyle w:val="BodyText"/>
        <w:spacing w:before="1"/>
        <w:rPr>
          <w:sz w:val="22"/>
        </w:rPr>
      </w:pPr>
    </w:p>
    <w:p>
      <w:pPr>
        <w:pStyle w:val="Heading4"/>
        <w:numPr>
          <w:ilvl w:val="0"/>
          <w:numId w:val="26"/>
        </w:numPr>
        <w:tabs>
          <w:tab w:pos="1213" w:val="left" w:leader="none"/>
          <w:tab w:pos="1214" w:val="left" w:leader="none"/>
        </w:tabs>
        <w:spacing w:line="240" w:lineRule="auto" w:before="0" w:after="0"/>
        <w:ind w:left="1213" w:right="0" w:hanging="681"/>
        <w:jc w:val="left"/>
      </w:pPr>
      <w:r>
        <w:rPr>
          <w:spacing w:val="3"/>
          <w:w w:val="110"/>
        </w:rPr>
        <w:t>Recording and filling data and</w:t>
      </w:r>
      <w:r>
        <w:rPr>
          <w:spacing w:val="54"/>
          <w:w w:val="110"/>
        </w:rPr>
        <w:t> </w:t>
      </w:r>
      <w:r>
        <w:rPr>
          <w:spacing w:val="3"/>
          <w:w w:val="110"/>
        </w:rPr>
        <w:t>information</w:t>
      </w:r>
    </w:p>
    <w:p>
      <w:pPr>
        <w:pStyle w:val="ListParagraph"/>
        <w:numPr>
          <w:ilvl w:val="1"/>
          <w:numId w:val="26"/>
        </w:numPr>
        <w:tabs>
          <w:tab w:pos="1213" w:val="left" w:leader="none"/>
          <w:tab w:pos="1214" w:val="left" w:leader="none"/>
        </w:tabs>
        <w:spacing w:line="235" w:lineRule="auto" w:before="70" w:after="0"/>
        <w:ind w:left="533" w:right="1971" w:firstLine="0"/>
        <w:jc w:val="left"/>
        <w:rPr>
          <w:sz w:val="20"/>
        </w:rPr>
      </w:pPr>
      <w:r>
        <w:rPr>
          <w:w w:val="120"/>
          <w:sz w:val="20"/>
        </w:rPr>
        <w:t>A review of the files illustrated many instances of insufficient information, with record keeping often inconsistent, incomplete, with detailed financial records yet sparse allegations notes, not always following from allegation to conclusion. The records are  not always dated or signed and do not always contain information of who they relate </w:t>
      </w:r>
      <w:r>
        <w:rPr>
          <w:spacing w:val="-3"/>
          <w:w w:val="120"/>
          <w:sz w:val="20"/>
        </w:rPr>
        <w:t>to. </w:t>
      </w:r>
      <w:r>
        <w:rPr>
          <w:w w:val="120"/>
          <w:sz w:val="20"/>
        </w:rPr>
        <w:t>There was no evidence of how many different files were kept about the same minister. There were incidences of missing information in files and occasions where it is unclear what the outcome of an investigation was. There was occasionally documentation about the same individual records but with differing records of the outcomes of investigations. The use of language and terminology was a concern across some files. On one occasion, a safeguarding concern was referred to as a </w:t>
      </w:r>
      <w:r>
        <w:rPr>
          <w:spacing w:val="-5"/>
          <w:w w:val="120"/>
          <w:sz w:val="20"/>
        </w:rPr>
        <w:t>‘hiccup’. </w:t>
      </w:r>
      <w:r>
        <w:rPr>
          <w:w w:val="120"/>
          <w:sz w:val="20"/>
        </w:rPr>
        <w:t>This clearly minimises behaviour.  On other occasions terminology was ambiguous and so ascertaining what had actually happened was</w:t>
      </w:r>
      <w:r>
        <w:rPr>
          <w:spacing w:val="4"/>
          <w:w w:val="120"/>
          <w:sz w:val="20"/>
        </w:rPr>
        <w:t> </w:t>
      </w:r>
      <w:r>
        <w:rPr>
          <w:w w:val="120"/>
          <w:sz w:val="20"/>
        </w:rPr>
        <w:t>difficult.</w:t>
      </w:r>
    </w:p>
    <w:p>
      <w:pPr>
        <w:pStyle w:val="BodyText"/>
        <w:rPr>
          <w:sz w:val="19"/>
        </w:rPr>
      </w:pPr>
    </w:p>
    <w:p>
      <w:pPr>
        <w:pStyle w:val="Heading8"/>
        <w:numPr>
          <w:ilvl w:val="2"/>
          <w:numId w:val="28"/>
        </w:numPr>
        <w:tabs>
          <w:tab w:pos="1214" w:val="left" w:leader="none"/>
        </w:tabs>
        <w:spacing w:line="261" w:lineRule="exact" w:before="0" w:after="0"/>
        <w:ind w:left="1213" w:right="0" w:hanging="681"/>
        <w:jc w:val="left"/>
      </w:pPr>
      <w:r>
        <w:rPr>
          <w:w w:val="110"/>
        </w:rPr>
        <w:t>Recommendations from</w:t>
      </w:r>
      <w:r>
        <w:rPr>
          <w:spacing w:val="-1"/>
          <w:w w:val="110"/>
        </w:rPr>
        <w:t> </w:t>
      </w:r>
      <w:r>
        <w:rPr>
          <w:spacing w:val="2"/>
          <w:w w:val="110"/>
        </w:rPr>
        <w:t>experts</w:t>
      </w:r>
    </w:p>
    <w:p>
      <w:pPr>
        <w:pStyle w:val="ListParagraph"/>
        <w:numPr>
          <w:ilvl w:val="0"/>
          <w:numId w:val="29"/>
        </w:numPr>
        <w:tabs>
          <w:tab w:pos="1213" w:val="left" w:leader="none"/>
          <w:tab w:pos="1214" w:val="left" w:leader="none"/>
        </w:tabs>
        <w:spacing w:line="235" w:lineRule="auto" w:before="0" w:after="0"/>
        <w:ind w:left="1213" w:right="2118" w:hanging="681"/>
        <w:jc w:val="left"/>
        <w:rPr>
          <w:sz w:val="20"/>
        </w:rPr>
      </w:pPr>
      <w:r>
        <w:rPr>
          <w:w w:val="120"/>
          <w:sz w:val="20"/>
        </w:rPr>
        <w:t>Systems should be put into place to standardise record keeping, with standardised structure to files </w:t>
      </w:r>
      <w:r>
        <w:rPr>
          <w:spacing w:val="-3"/>
          <w:w w:val="120"/>
          <w:sz w:val="20"/>
        </w:rPr>
        <w:t>(EEx). </w:t>
      </w:r>
      <w:r>
        <w:rPr>
          <w:w w:val="120"/>
          <w:sz w:val="20"/>
        </w:rPr>
        <w:t>Moderators need to check files for an individual who is moving synods to determine if there are concerns. Therefore, there must be a comprehensive and structured data recording system, which ensures all material is accessible. Records need to be carefully constructed using clear and unambiguous terminology</w:t>
      </w:r>
      <w:r>
        <w:rPr>
          <w:spacing w:val="14"/>
          <w:w w:val="120"/>
          <w:sz w:val="20"/>
        </w:rPr>
        <w:t> </w:t>
      </w:r>
      <w:r>
        <w:rPr>
          <w:spacing w:val="-5"/>
          <w:w w:val="120"/>
          <w:sz w:val="20"/>
        </w:rPr>
        <w:t>(LG).</w:t>
      </w:r>
    </w:p>
    <w:p>
      <w:pPr>
        <w:pStyle w:val="ListParagraph"/>
        <w:numPr>
          <w:ilvl w:val="0"/>
          <w:numId w:val="29"/>
        </w:numPr>
        <w:tabs>
          <w:tab w:pos="1213" w:val="left" w:leader="none"/>
          <w:tab w:pos="1214" w:val="left" w:leader="none"/>
        </w:tabs>
        <w:spacing w:line="235" w:lineRule="auto" w:before="0" w:after="0"/>
        <w:ind w:left="1213" w:right="2153" w:hanging="681"/>
        <w:jc w:val="left"/>
        <w:rPr>
          <w:sz w:val="20"/>
        </w:rPr>
      </w:pPr>
      <w:r>
        <w:rPr>
          <w:w w:val="120"/>
          <w:sz w:val="20"/>
        </w:rPr>
        <w:t>Allegations should be recorded on specific records so that they are easily identified and have an audit trial </w:t>
      </w:r>
      <w:r>
        <w:rPr>
          <w:spacing w:val="-3"/>
          <w:w w:val="120"/>
          <w:sz w:val="20"/>
        </w:rPr>
        <w:t>(EEx). </w:t>
      </w:r>
      <w:r>
        <w:rPr>
          <w:w w:val="120"/>
          <w:sz w:val="20"/>
        </w:rPr>
        <w:t>Cases need to be documented in detail, providing as much information as possible. Files need to contain all the relevant information and documents</w:t>
      </w:r>
      <w:r>
        <w:rPr>
          <w:spacing w:val="8"/>
          <w:w w:val="120"/>
          <w:sz w:val="20"/>
        </w:rPr>
        <w:t> </w:t>
      </w:r>
      <w:r>
        <w:rPr>
          <w:spacing w:val="-5"/>
          <w:w w:val="120"/>
          <w:sz w:val="20"/>
        </w:rPr>
        <w:t>(LG).</w:t>
      </w:r>
    </w:p>
    <w:p>
      <w:pPr>
        <w:pStyle w:val="ListParagraph"/>
        <w:numPr>
          <w:ilvl w:val="0"/>
          <w:numId w:val="29"/>
        </w:numPr>
        <w:tabs>
          <w:tab w:pos="1213" w:val="left" w:leader="none"/>
          <w:tab w:pos="1214" w:val="left" w:leader="none"/>
        </w:tabs>
        <w:spacing w:line="241" w:lineRule="exact" w:before="0" w:after="0"/>
        <w:ind w:left="1213" w:right="0" w:hanging="681"/>
        <w:jc w:val="left"/>
        <w:rPr>
          <w:sz w:val="20"/>
        </w:rPr>
      </w:pPr>
      <w:r>
        <w:rPr>
          <w:w w:val="120"/>
          <w:sz w:val="20"/>
        </w:rPr>
        <w:t>All information must be securely filed</w:t>
      </w:r>
      <w:r>
        <w:rPr>
          <w:spacing w:val="14"/>
          <w:w w:val="120"/>
          <w:sz w:val="20"/>
        </w:rPr>
        <w:t> </w:t>
      </w:r>
      <w:r>
        <w:rPr>
          <w:spacing w:val="-5"/>
          <w:w w:val="120"/>
          <w:sz w:val="20"/>
        </w:rPr>
        <w:t>(LG).</w:t>
      </w:r>
    </w:p>
    <w:p>
      <w:pPr>
        <w:pStyle w:val="ListParagraph"/>
        <w:numPr>
          <w:ilvl w:val="0"/>
          <w:numId w:val="29"/>
        </w:numPr>
        <w:tabs>
          <w:tab w:pos="1213" w:val="left" w:leader="none"/>
          <w:tab w:pos="1214" w:val="left" w:leader="none"/>
        </w:tabs>
        <w:spacing w:line="235" w:lineRule="auto" w:before="1" w:after="0"/>
        <w:ind w:left="1213" w:right="2026" w:hanging="681"/>
        <w:jc w:val="left"/>
        <w:rPr>
          <w:sz w:val="20"/>
        </w:rPr>
      </w:pPr>
      <w:r>
        <w:rPr>
          <w:w w:val="120"/>
          <w:sz w:val="20"/>
        </w:rPr>
        <w:t>All records and telephone conversations should be dated and timed and labelled with the name of the person that they relate </w:t>
      </w:r>
      <w:r>
        <w:rPr>
          <w:spacing w:val="-3"/>
          <w:w w:val="120"/>
          <w:sz w:val="20"/>
        </w:rPr>
        <w:t>to. </w:t>
      </w:r>
      <w:r>
        <w:rPr>
          <w:w w:val="120"/>
          <w:sz w:val="20"/>
        </w:rPr>
        <w:t>Records should be written up within </w:t>
      </w:r>
      <w:r>
        <w:rPr>
          <w:spacing w:val="-5"/>
          <w:w w:val="120"/>
          <w:sz w:val="20"/>
        </w:rPr>
        <w:t>24 </w:t>
      </w:r>
      <w:r>
        <w:rPr>
          <w:w w:val="120"/>
          <w:sz w:val="20"/>
        </w:rPr>
        <w:t>hours of the conversation</w:t>
      </w:r>
      <w:r>
        <w:rPr>
          <w:spacing w:val="19"/>
          <w:w w:val="120"/>
          <w:sz w:val="20"/>
        </w:rPr>
        <w:t> </w:t>
      </w:r>
      <w:r>
        <w:rPr>
          <w:spacing w:val="-3"/>
          <w:w w:val="120"/>
          <w:sz w:val="20"/>
        </w:rPr>
        <w:t>(EEx).</w:t>
      </w:r>
    </w:p>
    <w:p>
      <w:pPr>
        <w:pStyle w:val="ListParagraph"/>
        <w:numPr>
          <w:ilvl w:val="0"/>
          <w:numId w:val="29"/>
        </w:numPr>
        <w:tabs>
          <w:tab w:pos="1213" w:val="left" w:leader="none"/>
          <w:tab w:pos="1214" w:val="left" w:leader="none"/>
        </w:tabs>
        <w:spacing w:line="235" w:lineRule="auto" w:before="2" w:after="0"/>
        <w:ind w:left="1213" w:right="2656" w:hanging="681"/>
        <w:jc w:val="left"/>
        <w:rPr>
          <w:sz w:val="20"/>
        </w:rPr>
      </w:pPr>
      <w:r>
        <w:rPr>
          <w:w w:val="120"/>
          <w:sz w:val="20"/>
        </w:rPr>
        <w:t>Record audits should be carried out to ensure that the records are of good quality</w:t>
      </w:r>
      <w:r>
        <w:rPr>
          <w:spacing w:val="2"/>
          <w:w w:val="120"/>
          <w:sz w:val="20"/>
        </w:rPr>
        <w:t> </w:t>
      </w:r>
      <w:r>
        <w:rPr>
          <w:spacing w:val="-3"/>
          <w:w w:val="120"/>
          <w:sz w:val="20"/>
        </w:rPr>
        <w:t>(EEx).</w:t>
      </w:r>
    </w:p>
    <w:p>
      <w:pPr>
        <w:pStyle w:val="ListParagraph"/>
        <w:numPr>
          <w:ilvl w:val="0"/>
          <w:numId w:val="29"/>
        </w:numPr>
        <w:tabs>
          <w:tab w:pos="1213" w:val="left" w:leader="none"/>
          <w:tab w:pos="1214" w:val="left" w:leader="none"/>
        </w:tabs>
        <w:spacing w:line="240" w:lineRule="exact" w:before="0" w:after="0"/>
        <w:ind w:left="1213" w:right="0" w:hanging="681"/>
        <w:jc w:val="left"/>
        <w:rPr>
          <w:sz w:val="20"/>
        </w:rPr>
      </w:pPr>
      <w:r>
        <w:rPr>
          <w:w w:val="120"/>
          <w:sz w:val="20"/>
        </w:rPr>
        <w:t>There should be one single record kept</w:t>
      </w:r>
      <w:r>
        <w:rPr>
          <w:spacing w:val="19"/>
          <w:w w:val="120"/>
          <w:sz w:val="20"/>
        </w:rPr>
        <w:t> </w:t>
      </w:r>
      <w:r>
        <w:rPr>
          <w:spacing w:val="-3"/>
          <w:w w:val="120"/>
          <w:sz w:val="20"/>
        </w:rPr>
        <w:t>(EEx).</w:t>
      </w:r>
    </w:p>
    <w:p>
      <w:pPr>
        <w:pStyle w:val="ListParagraph"/>
        <w:numPr>
          <w:ilvl w:val="0"/>
          <w:numId w:val="29"/>
        </w:numPr>
        <w:tabs>
          <w:tab w:pos="1213" w:val="left" w:leader="none"/>
          <w:tab w:pos="1214" w:val="left" w:leader="none"/>
        </w:tabs>
        <w:spacing w:line="235" w:lineRule="auto" w:before="2" w:after="0"/>
        <w:ind w:left="1213" w:right="2066" w:hanging="681"/>
        <w:jc w:val="left"/>
        <w:rPr>
          <w:sz w:val="20"/>
        </w:rPr>
      </w:pPr>
      <w:r>
        <w:rPr>
          <w:w w:val="120"/>
          <w:sz w:val="20"/>
        </w:rPr>
        <w:t>There must be clarity about outcomes of investigations and whether follow up is required</w:t>
      </w:r>
      <w:r>
        <w:rPr>
          <w:spacing w:val="2"/>
          <w:w w:val="120"/>
          <w:sz w:val="20"/>
        </w:rPr>
        <w:t> </w:t>
      </w:r>
      <w:r>
        <w:rPr>
          <w:spacing w:val="-5"/>
          <w:w w:val="120"/>
          <w:sz w:val="20"/>
        </w:rPr>
        <w:t>(LG).</w:t>
      </w:r>
    </w:p>
    <w:p>
      <w:pPr>
        <w:pStyle w:val="ListParagraph"/>
        <w:numPr>
          <w:ilvl w:val="0"/>
          <w:numId w:val="29"/>
        </w:numPr>
        <w:tabs>
          <w:tab w:pos="1213" w:val="left" w:leader="none"/>
          <w:tab w:pos="1214" w:val="left" w:leader="none"/>
        </w:tabs>
        <w:spacing w:line="235" w:lineRule="auto" w:before="1" w:after="0"/>
        <w:ind w:left="1213" w:right="2108" w:hanging="681"/>
        <w:jc w:val="left"/>
        <w:rPr>
          <w:sz w:val="20"/>
        </w:rPr>
      </w:pPr>
      <w:r>
        <w:rPr>
          <w:w w:val="120"/>
          <w:sz w:val="20"/>
        </w:rPr>
        <w:t>Ministers should be aware of the information that is held on file about them and that this will be shared with any synod to which the minister moves</w:t>
      </w:r>
      <w:r>
        <w:rPr>
          <w:spacing w:val="50"/>
          <w:w w:val="120"/>
          <w:sz w:val="20"/>
        </w:rPr>
        <w:t> </w:t>
      </w:r>
      <w:r>
        <w:rPr>
          <w:spacing w:val="-5"/>
          <w:w w:val="120"/>
          <w:sz w:val="20"/>
        </w:rPr>
        <w:t>(LG).</w:t>
      </w:r>
    </w:p>
    <w:p>
      <w:pPr>
        <w:pStyle w:val="BodyText"/>
        <w:spacing w:before="9"/>
        <w:rPr>
          <w:sz w:val="19"/>
        </w:rPr>
      </w:pPr>
    </w:p>
    <w:p>
      <w:pPr>
        <w:pStyle w:val="ListParagraph"/>
        <w:numPr>
          <w:ilvl w:val="2"/>
          <w:numId w:val="28"/>
        </w:numPr>
        <w:tabs>
          <w:tab w:pos="1214" w:val="left" w:leader="none"/>
        </w:tabs>
        <w:spacing w:line="235" w:lineRule="auto" w:before="1" w:after="0"/>
        <w:ind w:left="533" w:right="2014" w:firstLine="0"/>
        <w:jc w:val="left"/>
        <w:rPr>
          <w:sz w:val="20"/>
        </w:rPr>
      </w:pPr>
      <w:r>
        <w:rPr>
          <w:w w:val="120"/>
          <w:sz w:val="20"/>
        </w:rPr>
        <w:t>The learning group recommend that over the next five years the URC move towards a centralised electronic recording system. </w:t>
      </w:r>
      <w:r>
        <w:rPr>
          <w:spacing w:val="3"/>
          <w:w w:val="120"/>
          <w:sz w:val="20"/>
        </w:rPr>
        <w:t>As </w:t>
      </w:r>
      <w:r>
        <w:rPr>
          <w:w w:val="120"/>
          <w:sz w:val="20"/>
        </w:rPr>
        <w:t>a centralised system allows for records which demonstrate unfounded allegations and appropriate ministerial conduct, this information may be very helpful for those seeking to move positions and needing   to demonstrate that any concerns which may have been raised were investigated fully without the need for any further action. The learning group noted that it is essential  that the URC become compliant with the General Data Protection Regulation </w:t>
      </w:r>
      <w:r>
        <w:rPr>
          <w:spacing w:val="-5"/>
          <w:w w:val="120"/>
          <w:sz w:val="20"/>
        </w:rPr>
        <w:t>(GDPR), </w:t>
      </w:r>
      <w:r>
        <w:rPr>
          <w:w w:val="120"/>
          <w:sz w:val="20"/>
        </w:rPr>
        <w:t>and that all material on file is kept in accordance with this new regulation, with the exception of child protection cases there must be a clear date at which material on file will be</w:t>
      </w:r>
      <w:r>
        <w:rPr>
          <w:spacing w:val="4"/>
          <w:w w:val="120"/>
          <w:sz w:val="20"/>
        </w:rPr>
        <w:t> </w:t>
      </w:r>
      <w:r>
        <w:rPr>
          <w:w w:val="120"/>
          <w:sz w:val="20"/>
        </w:rPr>
        <w:t>destroyed.</w:t>
      </w:r>
    </w:p>
    <w:p>
      <w:pPr>
        <w:pStyle w:val="BodyText"/>
        <w:spacing w:before="10"/>
        <w:rPr>
          <w:sz w:val="18"/>
        </w:rPr>
      </w:pPr>
    </w:p>
    <w:p>
      <w:pPr>
        <w:pStyle w:val="Heading8"/>
        <w:numPr>
          <w:ilvl w:val="1"/>
          <w:numId w:val="30"/>
        </w:numPr>
        <w:tabs>
          <w:tab w:pos="1213" w:val="left" w:leader="none"/>
          <w:tab w:pos="1214" w:val="left" w:leader="none"/>
        </w:tabs>
        <w:spacing w:line="261" w:lineRule="exact" w:before="1" w:after="0"/>
        <w:ind w:left="1213" w:right="0" w:hanging="681"/>
        <w:jc w:val="left"/>
      </w:pPr>
      <w:r>
        <w:rPr>
          <w:w w:val="110"/>
        </w:rPr>
        <w:t>Response</w:t>
      </w:r>
    </w:p>
    <w:p>
      <w:pPr>
        <w:pStyle w:val="ListParagraph"/>
        <w:numPr>
          <w:ilvl w:val="2"/>
          <w:numId w:val="30"/>
        </w:numPr>
        <w:tabs>
          <w:tab w:pos="1214" w:val="left" w:leader="none"/>
        </w:tabs>
        <w:spacing w:line="235" w:lineRule="auto" w:before="0" w:after="0"/>
        <w:ind w:left="533" w:right="1967" w:firstLine="0"/>
        <w:jc w:val="left"/>
        <w:rPr>
          <w:sz w:val="20"/>
        </w:rPr>
      </w:pPr>
      <w:r>
        <w:rPr>
          <w:w w:val="120"/>
          <w:sz w:val="20"/>
        </w:rPr>
        <w:t>SAG has listened to all the experiences of the readers, the reviewers, and all key staff who have handled files in the PCR. Alongside this, the Church House</w:t>
      </w:r>
      <w:r>
        <w:rPr>
          <w:spacing w:val="1"/>
          <w:w w:val="120"/>
          <w:sz w:val="20"/>
        </w:rPr>
        <w:t> </w:t>
      </w:r>
      <w:r>
        <w:rPr>
          <w:w w:val="120"/>
          <w:sz w:val="20"/>
        </w:rPr>
        <w:t>administration</w:t>
      </w:r>
    </w:p>
    <w:p>
      <w:pPr>
        <w:spacing w:after="0" w:line="235" w:lineRule="auto"/>
        <w:jc w:val="left"/>
        <w:rPr>
          <w:sz w:val="20"/>
        </w:rPr>
        <w:sectPr>
          <w:headerReference w:type="even" r:id="rId148"/>
          <w:pgSz w:w="11910" w:h="16840"/>
          <w:pgMar w:header="0" w:footer="647" w:top="0" w:bottom="840" w:left="700" w:right="0"/>
        </w:sectPr>
      </w:pPr>
    </w:p>
    <w:p>
      <w:pPr>
        <w:pStyle w:val="BodyText"/>
      </w:pPr>
      <w:r>
        <w:rPr/>
        <w:drawing>
          <wp:anchor distT="0" distB="0" distL="0" distR="0" allowOverlap="1" layoutInCell="1" locked="0" behindDoc="0" simplePos="0" relativeHeight="251780096">
            <wp:simplePos x="0" y="0"/>
            <wp:positionH relativeFrom="page">
              <wp:posOffset>6974928</wp:posOffset>
            </wp:positionH>
            <wp:positionV relativeFrom="page">
              <wp:posOffset>0</wp:posOffset>
            </wp:positionV>
            <wp:extent cx="585063" cy="10692003"/>
            <wp:effectExtent l="0" t="0" r="0" b="0"/>
            <wp:wrapNone/>
            <wp:docPr id="77" name="image24.png"/>
            <wp:cNvGraphicFramePr>
              <a:graphicFrameLocks noChangeAspect="1"/>
            </wp:cNvGraphicFramePr>
            <a:graphic>
              <a:graphicData uri="http://schemas.openxmlformats.org/drawingml/2006/picture">
                <pic:pic>
                  <pic:nvPicPr>
                    <pic:cNvPr id="78"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1245" w:firstLine="0"/>
        <w:jc w:val="right"/>
        <w:rPr>
          <w:sz w:val="26"/>
        </w:rPr>
      </w:pPr>
      <w:r>
        <w:rPr/>
        <w:pict>
          <v:shape style="position:absolute;margin-left:554.282898pt;margin-top:22.693945pt;width:26pt;height:350.75pt;mso-position-horizontal-relative:page;mso-position-vertical-relative:paragraph;z-index:251781120"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r>
        <w:rPr>
          <w:color w:val="7EAABF"/>
          <w:w w:val="120"/>
          <w:sz w:val="26"/>
        </w:rPr>
        <w:t>Mission Council</w:t>
      </w:r>
    </w:p>
    <w:p>
      <w:pPr>
        <w:pStyle w:val="BodyText"/>
        <w:spacing w:line="235" w:lineRule="auto" w:before="222"/>
        <w:ind w:left="1284" w:right="1367"/>
      </w:pPr>
      <w:r>
        <w:rPr>
          <w:w w:val="120"/>
        </w:rPr>
        <w:t>and resources department has been working closely with Ministries Secretary and Safeguarding Officer on the new database for Church House. The new database now has extended capacity to consistently record personal data and information and functions to indicate where files of a particular minister will be securely kept. Though the recommendation of central electronic records is not dismissed, it will take time and much discussion if it is to be achieved. What has been designed for immediate use will allow the necessary information to be known whilst also being securely held. These actions respond to recommendations </w:t>
      </w:r>
      <w:r>
        <w:rPr>
          <w:spacing w:val="-4"/>
          <w:w w:val="120"/>
        </w:rPr>
        <w:t>6.2.1 </w:t>
      </w:r>
      <w:r>
        <w:rPr>
          <w:spacing w:val="-7"/>
          <w:w w:val="120"/>
        </w:rPr>
        <w:t>a), c), </w:t>
      </w:r>
      <w:r>
        <w:rPr>
          <w:w w:val="120"/>
        </w:rPr>
        <w:t>and</w:t>
      </w:r>
      <w:r>
        <w:rPr>
          <w:spacing w:val="45"/>
          <w:w w:val="120"/>
        </w:rPr>
        <w:t> </w:t>
      </w:r>
      <w:r>
        <w:rPr>
          <w:w w:val="120"/>
        </w:rPr>
        <w:t>f).</w:t>
      </w:r>
    </w:p>
    <w:p>
      <w:pPr>
        <w:pStyle w:val="BodyText"/>
        <w:spacing w:before="1"/>
      </w:pPr>
    </w:p>
    <w:p>
      <w:pPr>
        <w:pStyle w:val="ListParagraph"/>
        <w:numPr>
          <w:ilvl w:val="2"/>
          <w:numId w:val="30"/>
        </w:numPr>
        <w:tabs>
          <w:tab w:pos="1965" w:val="left" w:leader="none"/>
        </w:tabs>
        <w:spacing w:line="235" w:lineRule="auto" w:before="0" w:after="0"/>
        <w:ind w:left="1284" w:right="1410" w:firstLine="0"/>
        <w:jc w:val="left"/>
        <w:rPr>
          <w:sz w:val="20"/>
        </w:rPr>
      </w:pPr>
      <w:r>
        <w:rPr>
          <w:w w:val="120"/>
          <w:sz w:val="20"/>
        </w:rPr>
        <w:t>A new cover sheet for ministers’ physical files has now been agreed, supported by guidance on why such information is kept. This cover sheet has been circulated to synods to include in minsters’ files and will give a record of every document in the file, dated and signed by the person who included it in the file. When a minister moves pastorate or project, there is clear guidance on how a file moves, and what synod files should be destroyed. These actions respond to recommendation </w:t>
      </w:r>
      <w:r>
        <w:rPr>
          <w:spacing w:val="-4"/>
          <w:w w:val="120"/>
          <w:sz w:val="20"/>
        </w:rPr>
        <w:t>6.2.1</w:t>
      </w:r>
      <w:r>
        <w:rPr>
          <w:spacing w:val="41"/>
          <w:w w:val="120"/>
          <w:sz w:val="20"/>
        </w:rPr>
        <w:t> </w:t>
      </w:r>
      <w:r>
        <w:rPr>
          <w:spacing w:val="-7"/>
          <w:w w:val="120"/>
          <w:sz w:val="20"/>
        </w:rPr>
        <w:t>a)</w:t>
      </w:r>
    </w:p>
    <w:p>
      <w:pPr>
        <w:pStyle w:val="BodyText"/>
      </w:pPr>
    </w:p>
    <w:p>
      <w:pPr>
        <w:pStyle w:val="ListParagraph"/>
        <w:numPr>
          <w:ilvl w:val="2"/>
          <w:numId w:val="30"/>
        </w:numPr>
        <w:tabs>
          <w:tab w:pos="1965" w:val="left" w:leader="none"/>
        </w:tabs>
        <w:spacing w:line="235" w:lineRule="auto" w:before="0" w:after="0"/>
        <w:ind w:left="1284" w:right="1284" w:firstLine="0"/>
        <w:jc w:val="left"/>
        <w:rPr>
          <w:sz w:val="20"/>
        </w:rPr>
      </w:pPr>
      <w:r>
        <w:rPr>
          <w:w w:val="120"/>
          <w:sz w:val="20"/>
        </w:rPr>
        <w:t>In the light of the new legislation and recent guidance by Charity Commission, safeguarding is also one of the priority areas for a working group at the Church House focused on the new GDPR. </w:t>
      </w:r>
      <w:r>
        <w:rPr>
          <w:spacing w:val="-7"/>
          <w:w w:val="120"/>
          <w:sz w:val="20"/>
        </w:rPr>
        <w:t>To </w:t>
      </w:r>
      <w:r>
        <w:rPr>
          <w:w w:val="120"/>
          <w:sz w:val="20"/>
        </w:rPr>
        <w:t>meet the requirements of the new legislation that come into force in May </w:t>
      </w:r>
      <w:r>
        <w:rPr>
          <w:spacing w:val="-5"/>
          <w:w w:val="120"/>
          <w:sz w:val="20"/>
        </w:rPr>
        <w:t>2018, </w:t>
      </w:r>
      <w:r>
        <w:rPr>
          <w:w w:val="120"/>
          <w:sz w:val="20"/>
        </w:rPr>
        <w:t>the Safeguarding is now </w:t>
      </w:r>
      <w:r>
        <w:rPr>
          <w:spacing w:val="2"/>
          <w:w w:val="120"/>
          <w:sz w:val="20"/>
        </w:rPr>
        <w:t>part </w:t>
      </w:r>
      <w:r>
        <w:rPr>
          <w:w w:val="120"/>
          <w:sz w:val="20"/>
        </w:rPr>
        <w:t>of this working group to introduce updated guidance for processing, sharing and retaining often highly sensitive personal information. It is also anticipated that a records management and retention schedule will be produced, picking up the recommendations at </w:t>
      </w:r>
      <w:r>
        <w:rPr>
          <w:spacing w:val="-4"/>
          <w:w w:val="120"/>
          <w:sz w:val="20"/>
        </w:rPr>
        <w:t>6.2.1 </w:t>
      </w:r>
      <w:r>
        <w:rPr>
          <w:spacing w:val="-8"/>
          <w:w w:val="120"/>
          <w:sz w:val="20"/>
        </w:rPr>
        <w:t>b), </w:t>
      </w:r>
      <w:r>
        <w:rPr>
          <w:spacing w:val="-4"/>
          <w:w w:val="120"/>
          <w:sz w:val="20"/>
        </w:rPr>
        <w:t>d), </w:t>
      </w:r>
      <w:r>
        <w:rPr>
          <w:spacing w:val="-8"/>
          <w:w w:val="120"/>
          <w:sz w:val="20"/>
        </w:rPr>
        <w:t>e), </w:t>
      </w:r>
      <w:r>
        <w:rPr>
          <w:w w:val="120"/>
          <w:sz w:val="20"/>
        </w:rPr>
        <w:t>and</w:t>
      </w:r>
      <w:r>
        <w:rPr>
          <w:spacing w:val="49"/>
          <w:w w:val="120"/>
          <w:sz w:val="20"/>
        </w:rPr>
        <w:t> </w:t>
      </w:r>
      <w:r>
        <w:rPr>
          <w:spacing w:val="-5"/>
          <w:w w:val="120"/>
          <w:sz w:val="20"/>
        </w:rPr>
        <w:t>g).</w:t>
      </w:r>
    </w:p>
    <w:p>
      <w:pPr>
        <w:pStyle w:val="BodyText"/>
        <w:spacing w:before="6"/>
        <w:rPr>
          <w:sz w:val="22"/>
        </w:rPr>
      </w:pPr>
    </w:p>
    <w:p>
      <w:pPr>
        <w:pStyle w:val="Heading4"/>
        <w:numPr>
          <w:ilvl w:val="0"/>
          <w:numId w:val="26"/>
        </w:numPr>
        <w:tabs>
          <w:tab w:pos="1964" w:val="left" w:leader="none"/>
          <w:tab w:pos="1965" w:val="left" w:leader="none"/>
        </w:tabs>
        <w:spacing w:line="240" w:lineRule="auto" w:before="0" w:after="0"/>
        <w:ind w:left="1964" w:right="0" w:hanging="681"/>
        <w:jc w:val="left"/>
      </w:pPr>
      <w:r>
        <w:rPr>
          <w:spacing w:val="4"/>
          <w:w w:val="110"/>
        </w:rPr>
        <w:t>Allegation </w:t>
      </w:r>
      <w:r>
        <w:rPr>
          <w:spacing w:val="3"/>
          <w:w w:val="110"/>
        </w:rPr>
        <w:t>and investigation</w:t>
      </w:r>
      <w:r>
        <w:rPr>
          <w:spacing w:val="31"/>
          <w:w w:val="110"/>
        </w:rPr>
        <w:t> </w:t>
      </w:r>
      <w:r>
        <w:rPr>
          <w:spacing w:val="3"/>
          <w:w w:val="110"/>
        </w:rPr>
        <w:t>process</w:t>
      </w:r>
    </w:p>
    <w:p>
      <w:pPr>
        <w:pStyle w:val="ListParagraph"/>
        <w:numPr>
          <w:ilvl w:val="2"/>
          <w:numId w:val="31"/>
        </w:numPr>
        <w:tabs>
          <w:tab w:pos="1964" w:val="left" w:leader="none"/>
          <w:tab w:pos="1965" w:val="left" w:leader="none"/>
        </w:tabs>
        <w:spacing w:line="235" w:lineRule="auto" w:before="69" w:after="0"/>
        <w:ind w:left="1284" w:right="1395" w:firstLine="0"/>
        <w:jc w:val="left"/>
        <w:rPr>
          <w:sz w:val="20"/>
        </w:rPr>
      </w:pPr>
      <w:r>
        <w:rPr>
          <w:w w:val="120"/>
          <w:sz w:val="20"/>
        </w:rPr>
        <w:t>There were allegations which had been made by relatives, members of the church and other vulnerable victims which have not been appropriately investigated.   It should be noted that a decision of the police not to proceed with investigation or criminal charges does not mitigate the risk posed to the public. There is little evidence of information sharing with statutory agencies or using their skills and expertise.</w:t>
      </w:r>
      <w:r>
        <w:rPr>
          <w:spacing w:val="43"/>
          <w:w w:val="120"/>
          <w:sz w:val="20"/>
        </w:rPr>
        <w:t> </w:t>
      </w:r>
      <w:r>
        <w:rPr>
          <w:w w:val="120"/>
          <w:sz w:val="20"/>
        </w:rPr>
        <w:t>There</w:t>
      </w:r>
    </w:p>
    <w:p>
      <w:pPr>
        <w:pStyle w:val="BodyText"/>
        <w:spacing w:line="235" w:lineRule="auto" w:before="4"/>
        <w:ind w:left="1284" w:right="1357"/>
      </w:pPr>
      <w:r>
        <w:rPr>
          <w:w w:val="120"/>
        </w:rPr>
        <w:t>is evidence that the </w:t>
      </w:r>
      <w:r>
        <w:rPr>
          <w:spacing w:val="-3"/>
          <w:w w:val="120"/>
        </w:rPr>
        <w:t>URC’s </w:t>
      </w:r>
      <w:r>
        <w:rPr>
          <w:w w:val="120"/>
        </w:rPr>
        <w:t>reinstatement policy was not followed. A theme which needs to be highlighted is the number of resignations that are offered and accepted at the   first sign of an allegation. The URC has a duty of care to ensure that they mitigate any risk to the public. There was no evidence of any minister being referred to the DBS for consideration following</w:t>
      </w:r>
      <w:r>
        <w:rPr>
          <w:spacing w:val="4"/>
          <w:w w:val="120"/>
        </w:rPr>
        <w:t> </w:t>
      </w:r>
      <w:r>
        <w:rPr>
          <w:w w:val="120"/>
        </w:rPr>
        <w:t>resignation.</w:t>
      </w:r>
    </w:p>
    <w:p>
      <w:pPr>
        <w:pStyle w:val="BodyText"/>
        <w:spacing w:before="11"/>
        <w:rPr>
          <w:sz w:val="19"/>
        </w:rPr>
      </w:pPr>
    </w:p>
    <w:p>
      <w:pPr>
        <w:pStyle w:val="ListParagraph"/>
        <w:numPr>
          <w:ilvl w:val="2"/>
          <w:numId w:val="31"/>
        </w:numPr>
        <w:tabs>
          <w:tab w:pos="1964" w:val="left" w:leader="none"/>
          <w:tab w:pos="1965" w:val="left" w:leader="none"/>
        </w:tabs>
        <w:spacing w:line="235" w:lineRule="auto" w:before="1" w:after="0"/>
        <w:ind w:left="1284" w:right="1491" w:firstLine="0"/>
        <w:jc w:val="left"/>
        <w:rPr>
          <w:sz w:val="20"/>
        </w:rPr>
      </w:pPr>
      <w:r>
        <w:rPr>
          <w:w w:val="120"/>
          <w:sz w:val="20"/>
        </w:rPr>
        <w:t>There were times at which the reputation of the URC or individual church appeared to be prioritised over the safeguarding of the individual. The files contain many examples of repeated patterns of behaviour which have failed to be addressed when first identified. Thus, a complaint is raised but not actioned or a decision is made that action is not required, then subsequent examples of the same behaviour </w:t>
      </w:r>
      <w:r>
        <w:rPr>
          <w:spacing w:val="-3"/>
          <w:w w:val="120"/>
          <w:sz w:val="20"/>
        </w:rPr>
        <w:t>occur. </w:t>
      </w:r>
      <w:r>
        <w:rPr>
          <w:w w:val="120"/>
          <w:sz w:val="20"/>
        </w:rPr>
        <w:t>In some cases, there seemed to be a need for more investigation and critical thinking on concerns and more exploration and questioning was required. Some of the independent readers have noted that synod moderators have written to</w:t>
      </w:r>
      <w:r>
        <w:rPr>
          <w:spacing w:val="13"/>
          <w:w w:val="120"/>
          <w:sz w:val="20"/>
        </w:rPr>
        <w:t> </w:t>
      </w:r>
      <w:r>
        <w:rPr>
          <w:w w:val="120"/>
          <w:sz w:val="20"/>
        </w:rPr>
        <w:t>ministers</w:t>
      </w:r>
    </w:p>
    <w:p>
      <w:pPr>
        <w:pStyle w:val="BodyText"/>
        <w:spacing w:line="235" w:lineRule="auto" w:before="5"/>
        <w:ind w:left="1284" w:right="1259"/>
      </w:pPr>
      <w:r>
        <w:rPr>
          <w:w w:val="120"/>
        </w:rPr>
        <w:t>and requested a response but there is no record of a response being given. It is unclear what the process is for checking that responses have been received or to flag where  they have not. A reading of multiple cases provides some evidence of concerns raised  by women being dismissed or minimised. The synod structure presents challenges for effective communication and information sharing. However, these are central aspects of a robust safeguarding</w:t>
      </w:r>
      <w:r>
        <w:rPr>
          <w:spacing w:val="6"/>
          <w:w w:val="120"/>
        </w:rPr>
        <w:t> </w:t>
      </w:r>
      <w:r>
        <w:rPr>
          <w:w w:val="120"/>
        </w:rPr>
        <w:t>system.</w:t>
      </w:r>
    </w:p>
    <w:p>
      <w:pPr>
        <w:pStyle w:val="BodyText"/>
      </w:pPr>
    </w:p>
    <w:p>
      <w:pPr>
        <w:pStyle w:val="ListParagraph"/>
        <w:numPr>
          <w:ilvl w:val="2"/>
          <w:numId w:val="31"/>
        </w:numPr>
        <w:tabs>
          <w:tab w:pos="1964" w:val="left" w:leader="none"/>
          <w:tab w:pos="1965" w:val="left" w:leader="none"/>
        </w:tabs>
        <w:spacing w:line="235" w:lineRule="auto" w:before="0" w:after="0"/>
        <w:ind w:left="1284" w:right="1324" w:firstLine="0"/>
        <w:jc w:val="left"/>
        <w:rPr>
          <w:sz w:val="20"/>
        </w:rPr>
      </w:pPr>
      <w:r>
        <w:rPr>
          <w:w w:val="120"/>
          <w:sz w:val="20"/>
        </w:rPr>
        <w:t>Other challenges related to information sharing were identified in cases where individuals had moved denominations. It was clear in some cases that more detailed checks and follow up work was required to ascertain why an individual was moving   and to be assured that there were no outstanding safeguarding concerns. Similarly, there are cases on record of individuals moving from the URC when concerns had been expressed and going to work for other external organisations. It was not clear what,</w:t>
      </w:r>
      <w:r>
        <w:rPr>
          <w:spacing w:val="34"/>
          <w:w w:val="120"/>
          <w:sz w:val="20"/>
        </w:rPr>
        <w:t> </w:t>
      </w:r>
      <w:r>
        <w:rPr>
          <w:w w:val="120"/>
          <w:sz w:val="20"/>
        </w:rPr>
        <w:t>if</w:t>
      </w:r>
    </w:p>
    <w:p>
      <w:pPr>
        <w:pStyle w:val="BodyText"/>
        <w:spacing w:line="235" w:lineRule="auto" w:before="5"/>
        <w:ind w:left="1284" w:right="1230"/>
      </w:pPr>
      <w:r>
        <w:rPr>
          <w:w w:val="120"/>
        </w:rPr>
        <w:t>any, action had been taken to share relevant information in these cases. There was some evidence of cases where references were not checked. There were other examples of</w:t>
      </w:r>
    </w:p>
    <w:p>
      <w:pPr>
        <w:spacing w:after="0" w:line="235" w:lineRule="auto"/>
        <w:sectPr>
          <w:headerReference w:type="default" r:id="rId149"/>
          <w:footerReference w:type="default" r:id="rId150"/>
          <w:footerReference w:type="even" r:id="rId151"/>
          <w:pgSz w:w="11910" w:h="16840"/>
          <w:pgMar w:header="0" w:footer="647" w:top="0" w:bottom="840" w:left="700" w:right="0"/>
          <w:pgNumType w:start="43"/>
        </w:sectPr>
      </w:pPr>
    </w:p>
    <w:p>
      <w:pPr>
        <w:pStyle w:val="BodyText"/>
      </w:pPr>
      <w:r>
        <w:rPr/>
        <w:drawing>
          <wp:anchor distT="0" distB="0" distL="0" distR="0" allowOverlap="1" layoutInCell="1" locked="0" behindDoc="1" simplePos="0" relativeHeight="235814912">
            <wp:simplePos x="0" y="0"/>
            <wp:positionH relativeFrom="page">
              <wp:posOffset>0</wp:posOffset>
            </wp:positionH>
            <wp:positionV relativeFrom="page">
              <wp:posOffset>0</wp:posOffset>
            </wp:positionV>
            <wp:extent cx="594067" cy="10692003"/>
            <wp:effectExtent l="0" t="0" r="0" b="0"/>
            <wp:wrapNone/>
            <wp:docPr id="79" name="image51.png"/>
            <wp:cNvGraphicFramePr>
              <a:graphicFrameLocks noChangeAspect="1"/>
            </wp:cNvGraphicFramePr>
            <a:graphic>
              <a:graphicData uri="http://schemas.openxmlformats.org/drawingml/2006/picture">
                <pic:pic>
                  <pic:nvPicPr>
                    <pic:cNvPr id="80"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19.101801pt;margin-top:48.890015pt;width:26pt;height:350.75pt;mso-position-horizontal-relative:page;mso-position-vertical-relative:page;z-index:-267500544"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p>
    <w:p>
      <w:pPr>
        <w:pStyle w:val="BodyText"/>
        <w:spacing w:before="5"/>
        <w:rPr>
          <w:sz w:val="21"/>
        </w:rPr>
      </w:pPr>
    </w:p>
    <w:p>
      <w:pPr>
        <w:pStyle w:val="Heading5"/>
        <w:ind w:left="547"/>
      </w:pPr>
      <w:r>
        <w:rPr>
          <w:color w:val="7EAABF"/>
          <w:w w:val="120"/>
        </w:rPr>
        <w:t>Mission Council</w:t>
      </w:r>
    </w:p>
    <w:p>
      <w:pPr>
        <w:pStyle w:val="BodyText"/>
        <w:spacing w:line="235" w:lineRule="auto" w:before="222"/>
        <w:ind w:left="547" w:right="2269"/>
      </w:pPr>
      <w:r>
        <w:rPr>
          <w:w w:val="120"/>
        </w:rPr>
        <w:t>cases where individuals’ own explanations of behaviour appeared to have been taken as factual, rather than being explored or investigated. Concerns were raised by those in the learning group that members of mandated groups might lack the knowledge and experience of working on safeguarding cases and this could impact the quality of decision making and the safeguarding</w:t>
      </w:r>
      <w:r>
        <w:rPr>
          <w:spacing w:val="14"/>
          <w:w w:val="120"/>
        </w:rPr>
        <w:t> </w:t>
      </w:r>
      <w:r>
        <w:rPr>
          <w:w w:val="120"/>
        </w:rPr>
        <w:t>process.</w:t>
      </w:r>
    </w:p>
    <w:p>
      <w:pPr>
        <w:pStyle w:val="BodyText"/>
        <w:spacing w:before="7"/>
        <w:rPr>
          <w:sz w:val="18"/>
        </w:rPr>
      </w:pPr>
    </w:p>
    <w:p>
      <w:pPr>
        <w:pStyle w:val="Heading8"/>
        <w:numPr>
          <w:ilvl w:val="2"/>
          <w:numId w:val="32"/>
        </w:numPr>
        <w:tabs>
          <w:tab w:pos="1227" w:val="left" w:leader="none"/>
          <w:tab w:pos="1228" w:val="left" w:leader="none"/>
        </w:tabs>
        <w:spacing w:line="261" w:lineRule="exact" w:before="0" w:after="0"/>
        <w:ind w:left="1227" w:right="0" w:hanging="681"/>
        <w:jc w:val="left"/>
      </w:pPr>
      <w:r>
        <w:rPr>
          <w:w w:val="110"/>
        </w:rPr>
        <w:t>Recommendations from</w:t>
      </w:r>
      <w:r>
        <w:rPr>
          <w:spacing w:val="-1"/>
          <w:w w:val="110"/>
        </w:rPr>
        <w:t> </w:t>
      </w:r>
      <w:r>
        <w:rPr>
          <w:spacing w:val="2"/>
          <w:w w:val="110"/>
        </w:rPr>
        <w:t>Experts</w:t>
      </w:r>
    </w:p>
    <w:p>
      <w:pPr>
        <w:pStyle w:val="ListParagraph"/>
        <w:numPr>
          <w:ilvl w:val="0"/>
          <w:numId w:val="33"/>
        </w:numPr>
        <w:tabs>
          <w:tab w:pos="1227" w:val="left" w:leader="none"/>
          <w:tab w:pos="1228" w:val="left" w:leader="none"/>
        </w:tabs>
        <w:spacing w:line="235" w:lineRule="auto" w:before="0" w:after="0"/>
        <w:ind w:left="1227" w:right="2416" w:hanging="681"/>
        <w:jc w:val="left"/>
        <w:rPr>
          <w:sz w:val="20"/>
        </w:rPr>
      </w:pPr>
      <w:r>
        <w:rPr>
          <w:w w:val="120"/>
          <w:sz w:val="20"/>
        </w:rPr>
        <w:t>References must be taken up and checked </w:t>
      </w:r>
      <w:r>
        <w:rPr>
          <w:spacing w:val="-5"/>
          <w:w w:val="120"/>
          <w:sz w:val="20"/>
        </w:rPr>
        <w:t>(LG). </w:t>
      </w:r>
      <w:r>
        <w:rPr>
          <w:w w:val="120"/>
          <w:sz w:val="20"/>
        </w:rPr>
        <w:t>Where a ministry candidate has worked either in the church or in secular employment, references should be sought from the most recent employer. The process for this should not jeopardise current employment</w:t>
      </w:r>
      <w:r>
        <w:rPr>
          <w:spacing w:val="7"/>
          <w:w w:val="120"/>
          <w:sz w:val="20"/>
        </w:rPr>
        <w:t> </w:t>
      </w:r>
      <w:r>
        <w:rPr>
          <w:spacing w:val="-3"/>
          <w:w w:val="120"/>
          <w:sz w:val="20"/>
        </w:rPr>
        <w:t>(ILR).</w:t>
      </w:r>
    </w:p>
    <w:p>
      <w:pPr>
        <w:pStyle w:val="ListParagraph"/>
        <w:numPr>
          <w:ilvl w:val="0"/>
          <w:numId w:val="33"/>
        </w:numPr>
        <w:tabs>
          <w:tab w:pos="1227" w:val="left" w:leader="none"/>
          <w:tab w:pos="1228" w:val="left" w:leader="none"/>
        </w:tabs>
        <w:spacing w:line="235" w:lineRule="auto" w:before="0" w:after="0"/>
        <w:ind w:left="1227" w:right="1981" w:hanging="681"/>
        <w:jc w:val="left"/>
        <w:rPr>
          <w:sz w:val="20"/>
        </w:rPr>
      </w:pPr>
      <w:r>
        <w:rPr>
          <w:w w:val="120"/>
          <w:sz w:val="20"/>
        </w:rPr>
        <w:t>All cases where safeguarding is suspected should be referred through to the URC safeguarding lead for guidance</w:t>
      </w:r>
      <w:r>
        <w:rPr>
          <w:spacing w:val="11"/>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0" w:after="0"/>
        <w:ind w:left="1227" w:right="2383" w:hanging="681"/>
        <w:jc w:val="left"/>
        <w:rPr>
          <w:sz w:val="20"/>
        </w:rPr>
      </w:pPr>
      <w:r>
        <w:rPr>
          <w:w w:val="120"/>
          <w:sz w:val="20"/>
        </w:rPr>
        <w:t>All allegations which are possible criminal offences should be reported to the police</w:t>
      </w:r>
      <w:r>
        <w:rPr>
          <w:spacing w:val="2"/>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1" w:after="0"/>
        <w:ind w:left="1227" w:right="2000" w:hanging="681"/>
        <w:jc w:val="left"/>
        <w:rPr>
          <w:sz w:val="20"/>
        </w:rPr>
      </w:pPr>
      <w:r>
        <w:rPr>
          <w:w w:val="120"/>
          <w:sz w:val="20"/>
        </w:rPr>
        <w:t>Where a minister is convicted of specific criminal offences this should lead to an immediate removal from the Roll of Ministers, in a similar way that the conviction of specific offences leads to an immediate barring for working with children or vulnerable adults/adults at risk </w:t>
      </w:r>
      <w:r>
        <w:rPr>
          <w:spacing w:val="-3"/>
          <w:w w:val="120"/>
          <w:sz w:val="20"/>
        </w:rPr>
        <w:t>(what </w:t>
      </w:r>
      <w:r>
        <w:rPr>
          <w:w w:val="120"/>
          <w:sz w:val="20"/>
        </w:rPr>
        <w:t>is known as auto-bar offences)</w:t>
      </w:r>
      <w:r>
        <w:rPr>
          <w:spacing w:val="16"/>
          <w:w w:val="120"/>
          <w:sz w:val="20"/>
        </w:rPr>
        <w:t> </w:t>
      </w:r>
      <w:r>
        <w:rPr>
          <w:spacing w:val="-3"/>
          <w:w w:val="120"/>
          <w:sz w:val="20"/>
        </w:rPr>
        <w:t>(ILR).</w:t>
      </w:r>
    </w:p>
    <w:p>
      <w:pPr>
        <w:pStyle w:val="ListParagraph"/>
        <w:numPr>
          <w:ilvl w:val="0"/>
          <w:numId w:val="33"/>
        </w:numPr>
        <w:tabs>
          <w:tab w:pos="1227" w:val="left" w:leader="none"/>
          <w:tab w:pos="1228" w:val="left" w:leader="none"/>
        </w:tabs>
        <w:spacing w:line="235" w:lineRule="auto" w:before="3" w:after="0"/>
        <w:ind w:left="1227" w:right="2318" w:hanging="681"/>
        <w:jc w:val="left"/>
        <w:rPr>
          <w:sz w:val="20"/>
        </w:rPr>
      </w:pPr>
      <w:r>
        <w:rPr>
          <w:w w:val="120"/>
          <w:sz w:val="20"/>
        </w:rPr>
        <w:t>Disciplinary procedures should be followed to conclusion even in the event    of resignation </w:t>
      </w:r>
      <w:r>
        <w:rPr>
          <w:spacing w:val="-3"/>
          <w:w w:val="120"/>
          <w:sz w:val="20"/>
        </w:rPr>
        <w:t>(EEx). </w:t>
      </w:r>
      <w:r>
        <w:rPr>
          <w:w w:val="120"/>
          <w:sz w:val="20"/>
        </w:rPr>
        <w:t>Once disciplinary procedures have been instigated there should</w:t>
      </w:r>
      <w:r>
        <w:rPr>
          <w:spacing w:val="7"/>
          <w:w w:val="120"/>
          <w:sz w:val="20"/>
        </w:rPr>
        <w:t> </w:t>
      </w:r>
      <w:r>
        <w:rPr>
          <w:w w:val="120"/>
          <w:sz w:val="20"/>
        </w:rPr>
        <w:t>be</w:t>
      </w:r>
      <w:r>
        <w:rPr>
          <w:spacing w:val="7"/>
          <w:w w:val="120"/>
          <w:sz w:val="20"/>
        </w:rPr>
        <w:t> </w:t>
      </w:r>
      <w:r>
        <w:rPr>
          <w:w w:val="120"/>
          <w:sz w:val="20"/>
        </w:rPr>
        <w:t>a</w:t>
      </w:r>
      <w:r>
        <w:rPr>
          <w:spacing w:val="8"/>
          <w:w w:val="120"/>
          <w:sz w:val="20"/>
        </w:rPr>
        <w:t> </w:t>
      </w:r>
      <w:r>
        <w:rPr>
          <w:w w:val="120"/>
          <w:sz w:val="20"/>
        </w:rPr>
        <w:t>full</w:t>
      </w:r>
      <w:r>
        <w:rPr>
          <w:spacing w:val="7"/>
          <w:w w:val="120"/>
          <w:sz w:val="20"/>
        </w:rPr>
        <w:t> </w:t>
      </w:r>
      <w:r>
        <w:rPr>
          <w:w w:val="120"/>
          <w:sz w:val="20"/>
        </w:rPr>
        <w:t>completion</w:t>
      </w:r>
      <w:r>
        <w:rPr>
          <w:spacing w:val="7"/>
          <w:w w:val="120"/>
          <w:sz w:val="20"/>
        </w:rPr>
        <w:t> </w:t>
      </w:r>
      <w:r>
        <w:rPr>
          <w:w w:val="120"/>
          <w:sz w:val="20"/>
        </w:rPr>
        <w:t>of</w:t>
      </w:r>
      <w:r>
        <w:rPr>
          <w:spacing w:val="8"/>
          <w:w w:val="120"/>
          <w:sz w:val="20"/>
        </w:rPr>
        <w:t> </w:t>
      </w:r>
      <w:r>
        <w:rPr>
          <w:w w:val="120"/>
          <w:sz w:val="20"/>
        </w:rPr>
        <w:t>process</w:t>
      </w:r>
      <w:r>
        <w:rPr>
          <w:spacing w:val="7"/>
          <w:w w:val="120"/>
          <w:sz w:val="20"/>
        </w:rPr>
        <w:t> </w:t>
      </w:r>
      <w:r>
        <w:rPr>
          <w:w w:val="120"/>
          <w:sz w:val="20"/>
        </w:rPr>
        <w:t>irrespective</w:t>
      </w:r>
      <w:r>
        <w:rPr>
          <w:spacing w:val="8"/>
          <w:w w:val="120"/>
          <w:sz w:val="20"/>
        </w:rPr>
        <w:t> </w:t>
      </w:r>
      <w:r>
        <w:rPr>
          <w:w w:val="120"/>
          <w:sz w:val="20"/>
        </w:rPr>
        <w:t>of</w:t>
      </w:r>
      <w:r>
        <w:rPr>
          <w:spacing w:val="7"/>
          <w:w w:val="120"/>
          <w:sz w:val="20"/>
        </w:rPr>
        <w:t> </w:t>
      </w:r>
      <w:r>
        <w:rPr>
          <w:w w:val="120"/>
          <w:sz w:val="20"/>
        </w:rPr>
        <w:t>any</w:t>
      </w:r>
      <w:r>
        <w:rPr>
          <w:spacing w:val="7"/>
          <w:w w:val="120"/>
          <w:sz w:val="20"/>
        </w:rPr>
        <w:t> </w:t>
      </w:r>
      <w:r>
        <w:rPr>
          <w:w w:val="120"/>
          <w:sz w:val="20"/>
        </w:rPr>
        <w:t>legal</w:t>
      </w:r>
      <w:r>
        <w:rPr>
          <w:spacing w:val="8"/>
          <w:w w:val="120"/>
          <w:sz w:val="20"/>
        </w:rPr>
        <w:t> </w:t>
      </w:r>
      <w:r>
        <w:rPr>
          <w:w w:val="120"/>
          <w:sz w:val="20"/>
        </w:rPr>
        <w:t>outcome</w:t>
      </w:r>
      <w:r>
        <w:rPr>
          <w:spacing w:val="7"/>
          <w:w w:val="120"/>
          <w:sz w:val="20"/>
        </w:rPr>
        <w:t> </w:t>
      </w:r>
      <w:r>
        <w:rPr>
          <w:spacing w:val="-3"/>
          <w:w w:val="120"/>
          <w:sz w:val="20"/>
        </w:rPr>
        <w:t>(ILR).</w:t>
      </w:r>
    </w:p>
    <w:p>
      <w:pPr>
        <w:pStyle w:val="ListParagraph"/>
        <w:numPr>
          <w:ilvl w:val="0"/>
          <w:numId w:val="33"/>
        </w:numPr>
        <w:tabs>
          <w:tab w:pos="1227" w:val="left" w:leader="none"/>
          <w:tab w:pos="1228" w:val="left" w:leader="none"/>
        </w:tabs>
        <w:spacing w:line="235" w:lineRule="auto" w:before="2" w:after="0"/>
        <w:ind w:left="1227" w:right="2219" w:hanging="681"/>
        <w:jc w:val="left"/>
        <w:rPr>
          <w:sz w:val="20"/>
        </w:rPr>
      </w:pPr>
      <w:r>
        <w:rPr>
          <w:spacing w:val="-3"/>
          <w:w w:val="120"/>
          <w:sz w:val="20"/>
        </w:rPr>
        <w:t>URC’s </w:t>
      </w:r>
      <w:r>
        <w:rPr>
          <w:w w:val="120"/>
          <w:sz w:val="20"/>
        </w:rPr>
        <w:t>policies and procedures should be followed </w:t>
      </w:r>
      <w:r>
        <w:rPr>
          <w:spacing w:val="-3"/>
          <w:w w:val="120"/>
          <w:sz w:val="20"/>
        </w:rPr>
        <w:t>(EEx). </w:t>
      </w:r>
      <w:r>
        <w:rPr>
          <w:w w:val="120"/>
          <w:sz w:val="20"/>
        </w:rPr>
        <w:t>It is important that all concerns</w:t>
      </w:r>
      <w:r>
        <w:rPr>
          <w:spacing w:val="11"/>
          <w:w w:val="120"/>
          <w:sz w:val="20"/>
        </w:rPr>
        <w:t> </w:t>
      </w:r>
      <w:r>
        <w:rPr>
          <w:w w:val="120"/>
          <w:sz w:val="20"/>
        </w:rPr>
        <w:t>raised</w:t>
      </w:r>
      <w:r>
        <w:rPr>
          <w:spacing w:val="12"/>
          <w:w w:val="120"/>
          <w:sz w:val="20"/>
        </w:rPr>
        <w:t> </w:t>
      </w:r>
      <w:r>
        <w:rPr>
          <w:w w:val="120"/>
          <w:sz w:val="20"/>
        </w:rPr>
        <w:t>are</w:t>
      </w:r>
      <w:r>
        <w:rPr>
          <w:spacing w:val="12"/>
          <w:w w:val="120"/>
          <w:sz w:val="20"/>
        </w:rPr>
        <w:t> </w:t>
      </w:r>
      <w:r>
        <w:rPr>
          <w:w w:val="120"/>
          <w:sz w:val="20"/>
        </w:rPr>
        <w:t>investigated</w:t>
      </w:r>
      <w:r>
        <w:rPr>
          <w:spacing w:val="11"/>
          <w:w w:val="120"/>
          <w:sz w:val="20"/>
        </w:rPr>
        <w:t> </w:t>
      </w:r>
      <w:r>
        <w:rPr>
          <w:w w:val="120"/>
          <w:sz w:val="20"/>
        </w:rPr>
        <w:t>thoroughly</w:t>
      </w:r>
      <w:r>
        <w:rPr>
          <w:spacing w:val="12"/>
          <w:w w:val="120"/>
          <w:sz w:val="20"/>
        </w:rPr>
        <w:t> </w:t>
      </w:r>
      <w:r>
        <w:rPr>
          <w:w w:val="120"/>
          <w:sz w:val="20"/>
        </w:rPr>
        <w:t>and</w:t>
      </w:r>
      <w:r>
        <w:rPr>
          <w:spacing w:val="12"/>
          <w:w w:val="120"/>
          <w:sz w:val="20"/>
        </w:rPr>
        <w:t> </w:t>
      </w:r>
      <w:r>
        <w:rPr>
          <w:w w:val="120"/>
          <w:sz w:val="20"/>
        </w:rPr>
        <w:t>responded</w:t>
      </w:r>
      <w:r>
        <w:rPr>
          <w:spacing w:val="12"/>
          <w:w w:val="120"/>
          <w:sz w:val="20"/>
        </w:rPr>
        <w:t> </w:t>
      </w:r>
      <w:r>
        <w:rPr>
          <w:w w:val="120"/>
          <w:sz w:val="20"/>
        </w:rPr>
        <w:t>to</w:t>
      </w:r>
      <w:r>
        <w:rPr>
          <w:spacing w:val="11"/>
          <w:w w:val="120"/>
          <w:sz w:val="20"/>
        </w:rPr>
        <w:t> </w:t>
      </w:r>
      <w:r>
        <w:rPr>
          <w:w w:val="120"/>
          <w:sz w:val="20"/>
        </w:rPr>
        <w:t>effectively</w:t>
      </w:r>
      <w:r>
        <w:rPr>
          <w:spacing w:val="12"/>
          <w:w w:val="120"/>
          <w:sz w:val="20"/>
        </w:rPr>
        <w:t> </w:t>
      </w:r>
      <w:r>
        <w:rPr>
          <w:spacing w:val="-5"/>
          <w:w w:val="120"/>
          <w:sz w:val="20"/>
        </w:rPr>
        <w:t>(LG).</w:t>
      </w:r>
    </w:p>
    <w:p>
      <w:pPr>
        <w:pStyle w:val="ListParagraph"/>
        <w:numPr>
          <w:ilvl w:val="0"/>
          <w:numId w:val="33"/>
        </w:numPr>
        <w:tabs>
          <w:tab w:pos="1227" w:val="left" w:leader="none"/>
          <w:tab w:pos="1228" w:val="left" w:leader="none"/>
        </w:tabs>
        <w:spacing w:line="240" w:lineRule="exact" w:before="0" w:after="0"/>
        <w:ind w:left="1227" w:right="0" w:hanging="681"/>
        <w:jc w:val="left"/>
        <w:rPr>
          <w:sz w:val="20"/>
        </w:rPr>
      </w:pPr>
      <w:r>
        <w:rPr>
          <w:w w:val="120"/>
          <w:sz w:val="20"/>
        </w:rPr>
        <w:t>URC to share information and make referrals to </w:t>
      </w:r>
      <w:r>
        <w:rPr>
          <w:spacing w:val="4"/>
          <w:w w:val="120"/>
          <w:sz w:val="20"/>
        </w:rPr>
        <w:t>LADO </w:t>
      </w:r>
      <w:r>
        <w:rPr>
          <w:w w:val="120"/>
          <w:sz w:val="20"/>
        </w:rPr>
        <w:t>as appropriate</w:t>
      </w:r>
      <w:r>
        <w:rPr>
          <w:spacing w:val="19"/>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1" w:after="0"/>
        <w:ind w:left="1227" w:right="2321" w:hanging="681"/>
        <w:jc w:val="left"/>
        <w:rPr>
          <w:sz w:val="20"/>
        </w:rPr>
      </w:pPr>
      <w:r>
        <w:rPr>
          <w:w w:val="120"/>
          <w:sz w:val="20"/>
        </w:rPr>
        <w:t>Mandated groups should be improved: any investigations should be carried out by a team who have no other contact with the minister and their family</w:t>
      </w:r>
      <w:r>
        <w:rPr>
          <w:spacing w:val="6"/>
          <w:w w:val="120"/>
          <w:sz w:val="20"/>
        </w:rPr>
        <w:t> </w:t>
      </w:r>
      <w:r>
        <w:rPr>
          <w:w w:val="120"/>
          <w:sz w:val="20"/>
        </w:rPr>
        <w:t>to</w:t>
      </w:r>
    </w:p>
    <w:p>
      <w:pPr>
        <w:pStyle w:val="BodyText"/>
        <w:spacing w:line="235" w:lineRule="auto" w:before="2"/>
        <w:ind w:left="1227" w:right="2069"/>
      </w:pPr>
      <w:r>
        <w:rPr>
          <w:w w:val="120"/>
        </w:rPr>
        <w:t>prevent a conflict of roles (EEx). There should be a selection process for those on mandated groups (LG). There should be  comprehensive  safeguarding  training for all individuals on mandated groups (LG). Whenever there is a disciplinary hearing that involves a safeguarding matter, the hearing should comprise of</w:t>
      </w:r>
    </w:p>
    <w:p>
      <w:pPr>
        <w:pStyle w:val="BodyText"/>
        <w:spacing w:line="235" w:lineRule="auto" w:before="3"/>
        <w:ind w:left="1227" w:right="2112"/>
      </w:pPr>
      <w:r>
        <w:rPr>
          <w:w w:val="120"/>
        </w:rPr>
        <w:t>one safeguarding specialist to assist in the process, especially as the hearing consists of lay people who may not have any direct experience of safeguarding </w:t>
      </w:r>
      <w:r>
        <w:rPr>
          <w:spacing w:val="-3"/>
          <w:w w:val="120"/>
        </w:rPr>
        <w:t>(ILR). </w:t>
      </w:r>
      <w:r>
        <w:rPr>
          <w:w w:val="120"/>
        </w:rPr>
        <w:t>Those on mandated groups should have the opportunity to operate in this role more regularly to build up experience </w:t>
      </w:r>
      <w:r>
        <w:rPr>
          <w:spacing w:val="-5"/>
          <w:w w:val="120"/>
        </w:rPr>
        <w:t>(LG). </w:t>
      </w:r>
      <w:r>
        <w:rPr>
          <w:w w:val="120"/>
        </w:rPr>
        <w:t>Review of the mandated group should occur periodically, where the disciplinary process is lengthy to ensure current availability, including whether any specialist would be required to be </w:t>
      </w:r>
      <w:r>
        <w:rPr>
          <w:spacing w:val="2"/>
          <w:w w:val="120"/>
        </w:rPr>
        <w:t>part </w:t>
      </w:r>
      <w:r>
        <w:rPr>
          <w:w w:val="120"/>
        </w:rPr>
        <w:t>of the mandated group</w:t>
      </w:r>
      <w:r>
        <w:rPr>
          <w:spacing w:val="10"/>
          <w:w w:val="120"/>
        </w:rPr>
        <w:t> </w:t>
      </w:r>
      <w:r>
        <w:rPr>
          <w:spacing w:val="-3"/>
          <w:w w:val="120"/>
        </w:rPr>
        <w:t>(ILR).</w:t>
      </w:r>
    </w:p>
    <w:p>
      <w:pPr>
        <w:pStyle w:val="ListParagraph"/>
        <w:numPr>
          <w:ilvl w:val="0"/>
          <w:numId w:val="33"/>
        </w:numPr>
        <w:tabs>
          <w:tab w:pos="1227" w:val="left" w:leader="none"/>
          <w:tab w:pos="1228" w:val="left" w:leader="none"/>
        </w:tabs>
        <w:spacing w:line="235" w:lineRule="auto" w:before="5" w:after="0"/>
        <w:ind w:left="1227" w:right="2554" w:hanging="681"/>
        <w:jc w:val="left"/>
        <w:rPr>
          <w:sz w:val="20"/>
        </w:rPr>
      </w:pPr>
      <w:r>
        <w:rPr>
          <w:w w:val="120"/>
          <w:sz w:val="20"/>
        </w:rPr>
        <w:t>Vulnerable witnesses and complainants should be provided with additional support at Hearings</w:t>
      </w:r>
      <w:r>
        <w:rPr>
          <w:spacing w:val="7"/>
          <w:w w:val="120"/>
          <w:sz w:val="20"/>
        </w:rPr>
        <w:t> </w:t>
      </w:r>
      <w:r>
        <w:rPr>
          <w:spacing w:val="-3"/>
          <w:w w:val="120"/>
          <w:sz w:val="20"/>
        </w:rPr>
        <w:t>(ILR).</w:t>
      </w:r>
    </w:p>
    <w:p>
      <w:pPr>
        <w:pStyle w:val="ListParagraph"/>
        <w:numPr>
          <w:ilvl w:val="0"/>
          <w:numId w:val="33"/>
        </w:numPr>
        <w:tabs>
          <w:tab w:pos="1227" w:val="left" w:leader="none"/>
          <w:tab w:pos="1228" w:val="left" w:leader="none"/>
        </w:tabs>
        <w:spacing w:line="240" w:lineRule="exact" w:before="0" w:after="0"/>
        <w:ind w:left="1227" w:right="0" w:hanging="681"/>
        <w:jc w:val="left"/>
        <w:rPr>
          <w:sz w:val="20"/>
        </w:rPr>
      </w:pPr>
      <w:r>
        <w:rPr>
          <w:w w:val="120"/>
          <w:sz w:val="20"/>
        </w:rPr>
        <w:t>There should always be at least 2 investigators</w:t>
      </w:r>
      <w:r>
        <w:rPr>
          <w:spacing w:val="17"/>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1" w:after="0"/>
        <w:ind w:left="1227" w:right="2264" w:hanging="681"/>
        <w:jc w:val="left"/>
        <w:rPr>
          <w:sz w:val="20"/>
        </w:rPr>
      </w:pPr>
      <w:r>
        <w:rPr>
          <w:w w:val="120"/>
          <w:sz w:val="20"/>
        </w:rPr>
        <w:t>There needs to be a universal process for checking that responses to requests have</w:t>
      </w:r>
      <w:r>
        <w:rPr>
          <w:spacing w:val="8"/>
          <w:w w:val="120"/>
          <w:sz w:val="20"/>
        </w:rPr>
        <w:t> </w:t>
      </w:r>
      <w:r>
        <w:rPr>
          <w:w w:val="120"/>
          <w:sz w:val="20"/>
        </w:rPr>
        <w:t>been</w:t>
      </w:r>
      <w:r>
        <w:rPr>
          <w:spacing w:val="8"/>
          <w:w w:val="120"/>
          <w:sz w:val="20"/>
        </w:rPr>
        <w:t> </w:t>
      </w:r>
      <w:r>
        <w:rPr>
          <w:w w:val="120"/>
          <w:sz w:val="20"/>
        </w:rPr>
        <w:t>received</w:t>
      </w:r>
      <w:r>
        <w:rPr>
          <w:spacing w:val="8"/>
          <w:w w:val="120"/>
          <w:sz w:val="20"/>
        </w:rPr>
        <w:t> </w:t>
      </w:r>
      <w:r>
        <w:rPr>
          <w:w w:val="120"/>
          <w:sz w:val="20"/>
        </w:rPr>
        <w:t>and</w:t>
      </w:r>
      <w:r>
        <w:rPr>
          <w:spacing w:val="8"/>
          <w:w w:val="120"/>
          <w:sz w:val="20"/>
        </w:rPr>
        <w:t> </w:t>
      </w:r>
      <w:r>
        <w:rPr>
          <w:w w:val="120"/>
          <w:sz w:val="20"/>
        </w:rPr>
        <w:t>for</w:t>
      </w:r>
      <w:r>
        <w:rPr>
          <w:spacing w:val="8"/>
          <w:w w:val="120"/>
          <w:sz w:val="20"/>
        </w:rPr>
        <w:t> </w:t>
      </w:r>
      <w:r>
        <w:rPr>
          <w:w w:val="120"/>
          <w:sz w:val="20"/>
        </w:rPr>
        <w:t>follow-up</w:t>
      </w:r>
      <w:r>
        <w:rPr>
          <w:spacing w:val="8"/>
          <w:w w:val="120"/>
          <w:sz w:val="20"/>
        </w:rPr>
        <w:t> </w:t>
      </w:r>
      <w:r>
        <w:rPr>
          <w:w w:val="120"/>
          <w:sz w:val="20"/>
        </w:rPr>
        <w:t>action</w:t>
      </w:r>
      <w:r>
        <w:rPr>
          <w:spacing w:val="9"/>
          <w:w w:val="120"/>
          <w:sz w:val="20"/>
        </w:rPr>
        <w:t> </w:t>
      </w:r>
      <w:r>
        <w:rPr>
          <w:w w:val="120"/>
          <w:sz w:val="20"/>
        </w:rPr>
        <w:t>where</w:t>
      </w:r>
      <w:r>
        <w:rPr>
          <w:spacing w:val="8"/>
          <w:w w:val="120"/>
          <w:sz w:val="20"/>
        </w:rPr>
        <w:t> </w:t>
      </w:r>
      <w:r>
        <w:rPr>
          <w:w w:val="120"/>
          <w:sz w:val="20"/>
        </w:rPr>
        <w:t>this</w:t>
      </w:r>
      <w:r>
        <w:rPr>
          <w:spacing w:val="8"/>
          <w:w w:val="120"/>
          <w:sz w:val="20"/>
        </w:rPr>
        <w:t> </w:t>
      </w:r>
      <w:r>
        <w:rPr>
          <w:w w:val="120"/>
          <w:sz w:val="20"/>
        </w:rPr>
        <w:t>has</w:t>
      </w:r>
      <w:r>
        <w:rPr>
          <w:spacing w:val="8"/>
          <w:w w:val="120"/>
          <w:sz w:val="20"/>
        </w:rPr>
        <w:t> </w:t>
      </w:r>
      <w:r>
        <w:rPr>
          <w:w w:val="120"/>
          <w:sz w:val="20"/>
        </w:rPr>
        <w:t>not</w:t>
      </w:r>
      <w:r>
        <w:rPr>
          <w:spacing w:val="8"/>
          <w:w w:val="120"/>
          <w:sz w:val="20"/>
        </w:rPr>
        <w:t> </w:t>
      </w:r>
      <w:r>
        <w:rPr>
          <w:w w:val="120"/>
          <w:sz w:val="20"/>
        </w:rPr>
        <w:t>occurred</w:t>
      </w:r>
      <w:r>
        <w:rPr>
          <w:spacing w:val="8"/>
          <w:w w:val="120"/>
          <w:sz w:val="20"/>
        </w:rPr>
        <w:t> </w:t>
      </w:r>
      <w:r>
        <w:rPr>
          <w:spacing w:val="-5"/>
          <w:w w:val="120"/>
          <w:sz w:val="20"/>
        </w:rPr>
        <w:t>(LG).</w:t>
      </w:r>
    </w:p>
    <w:p>
      <w:pPr>
        <w:pStyle w:val="ListParagraph"/>
        <w:numPr>
          <w:ilvl w:val="0"/>
          <w:numId w:val="33"/>
        </w:numPr>
        <w:tabs>
          <w:tab w:pos="1227" w:val="left" w:leader="none"/>
          <w:tab w:pos="1228" w:val="left" w:leader="none"/>
        </w:tabs>
        <w:spacing w:line="235" w:lineRule="auto" w:before="2" w:after="0"/>
        <w:ind w:left="1227" w:right="2993" w:hanging="681"/>
        <w:jc w:val="left"/>
        <w:rPr>
          <w:sz w:val="20"/>
        </w:rPr>
      </w:pPr>
      <w:r>
        <w:rPr>
          <w:w w:val="120"/>
          <w:sz w:val="20"/>
        </w:rPr>
        <w:t>Disciplinary procedures should be followed to conclusion regardless of resignation</w:t>
      </w:r>
      <w:r>
        <w:rPr>
          <w:spacing w:val="2"/>
          <w:w w:val="120"/>
          <w:sz w:val="20"/>
        </w:rPr>
        <w:t> </w:t>
      </w:r>
      <w:r>
        <w:rPr>
          <w:spacing w:val="-3"/>
          <w:w w:val="120"/>
          <w:sz w:val="20"/>
        </w:rPr>
        <w:t>(EEx).</w:t>
      </w:r>
    </w:p>
    <w:p>
      <w:pPr>
        <w:pStyle w:val="ListParagraph"/>
        <w:numPr>
          <w:ilvl w:val="0"/>
          <w:numId w:val="33"/>
        </w:numPr>
        <w:tabs>
          <w:tab w:pos="1227" w:val="left" w:leader="none"/>
          <w:tab w:pos="1228" w:val="left" w:leader="none"/>
        </w:tabs>
        <w:spacing w:line="240" w:lineRule="exact" w:before="0" w:after="0"/>
        <w:ind w:left="1227" w:right="0" w:hanging="681"/>
        <w:jc w:val="left"/>
        <w:rPr>
          <w:sz w:val="20"/>
        </w:rPr>
      </w:pPr>
      <w:r>
        <w:rPr>
          <w:w w:val="120"/>
          <w:sz w:val="20"/>
        </w:rPr>
        <w:t>Consideration should be given to cases for referral to DBS</w:t>
      </w:r>
      <w:r>
        <w:rPr>
          <w:spacing w:val="26"/>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2" w:after="0"/>
        <w:ind w:left="1227" w:right="2000" w:hanging="681"/>
        <w:jc w:val="left"/>
        <w:rPr>
          <w:sz w:val="20"/>
        </w:rPr>
      </w:pPr>
      <w:r>
        <w:rPr>
          <w:w w:val="120"/>
          <w:sz w:val="20"/>
        </w:rPr>
        <w:t>All policies and procedures should be version controlled and dated and regularly reviewed</w:t>
      </w:r>
      <w:r>
        <w:rPr>
          <w:spacing w:val="2"/>
          <w:w w:val="120"/>
          <w:sz w:val="20"/>
        </w:rPr>
        <w:t> </w:t>
      </w:r>
      <w:r>
        <w:rPr>
          <w:spacing w:val="-3"/>
          <w:w w:val="120"/>
          <w:sz w:val="20"/>
        </w:rPr>
        <w:t>(EEx).</w:t>
      </w:r>
    </w:p>
    <w:p>
      <w:pPr>
        <w:pStyle w:val="ListParagraph"/>
        <w:numPr>
          <w:ilvl w:val="0"/>
          <w:numId w:val="33"/>
        </w:numPr>
        <w:tabs>
          <w:tab w:pos="1227" w:val="left" w:leader="none"/>
          <w:tab w:pos="1228" w:val="left" w:leader="none"/>
        </w:tabs>
        <w:spacing w:line="235" w:lineRule="auto" w:before="1" w:after="0"/>
        <w:ind w:left="1227" w:right="2186" w:hanging="681"/>
        <w:jc w:val="left"/>
        <w:rPr>
          <w:sz w:val="20"/>
        </w:rPr>
      </w:pPr>
      <w:r>
        <w:rPr>
          <w:w w:val="120"/>
          <w:sz w:val="20"/>
        </w:rPr>
        <w:t>It is important to build up dialogue with other denominations and to check the reasons why an individual has moved cross-denominationally</w:t>
      </w:r>
      <w:r>
        <w:rPr>
          <w:spacing w:val="29"/>
          <w:w w:val="120"/>
          <w:sz w:val="20"/>
        </w:rPr>
        <w:t> </w:t>
      </w:r>
      <w:r>
        <w:rPr>
          <w:spacing w:val="-5"/>
          <w:w w:val="120"/>
          <w:sz w:val="20"/>
        </w:rPr>
        <w:t>(LG).</w:t>
      </w:r>
    </w:p>
    <w:p>
      <w:pPr>
        <w:pStyle w:val="ListParagraph"/>
        <w:numPr>
          <w:ilvl w:val="0"/>
          <w:numId w:val="33"/>
        </w:numPr>
        <w:tabs>
          <w:tab w:pos="1227" w:val="left" w:leader="none"/>
          <w:tab w:pos="1228" w:val="left" w:leader="none"/>
        </w:tabs>
        <w:spacing w:line="235" w:lineRule="auto" w:before="2" w:after="0"/>
        <w:ind w:left="1227" w:right="2189" w:hanging="681"/>
        <w:jc w:val="left"/>
        <w:rPr>
          <w:sz w:val="20"/>
        </w:rPr>
      </w:pPr>
      <w:r>
        <w:rPr>
          <w:w w:val="120"/>
          <w:sz w:val="20"/>
        </w:rPr>
        <w:t>A framework for information sharing external to the URC should be developed, which complies with the new data protection regulations</w:t>
      </w:r>
      <w:r>
        <w:rPr>
          <w:spacing w:val="37"/>
          <w:w w:val="120"/>
          <w:sz w:val="20"/>
        </w:rPr>
        <w:t> </w:t>
      </w:r>
      <w:r>
        <w:rPr>
          <w:spacing w:val="-5"/>
          <w:w w:val="120"/>
          <w:sz w:val="20"/>
        </w:rPr>
        <w:t>(LG).</w:t>
      </w:r>
    </w:p>
    <w:p>
      <w:pPr>
        <w:pStyle w:val="ListParagraph"/>
        <w:numPr>
          <w:ilvl w:val="0"/>
          <w:numId w:val="33"/>
        </w:numPr>
        <w:tabs>
          <w:tab w:pos="1227" w:val="left" w:leader="none"/>
          <w:tab w:pos="1228" w:val="left" w:leader="none"/>
        </w:tabs>
        <w:spacing w:line="235" w:lineRule="auto" w:before="1" w:after="0"/>
        <w:ind w:left="1227" w:right="2031" w:hanging="681"/>
        <w:jc w:val="left"/>
        <w:rPr>
          <w:sz w:val="20"/>
        </w:rPr>
      </w:pPr>
      <w:r>
        <w:rPr>
          <w:w w:val="120"/>
          <w:sz w:val="20"/>
        </w:rPr>
        <w:t>The URC review the current safeguarding policy and disciplinary policy to incorporate critical safeguarding incident protocols, and specifically where there are allegations made against a minister or church officer</w:t>
      </w:r>
      <w:r>
        <w:rPr>
          <w:spacing w:val="18"/>
          <w:w w:val="120"/>
          <w:sz w:val="20"/>
        </w:rPr>
        <w:t> </w:t>
      </w:r>
      <w:r>
        <w:rPr>
          <w:spacing w:val="-3"/>
          <w:w w:val="120"/>
          <w:sz w:val="20"/>
        </w:rPr>
        <w:t>(ILR).</w:t>
      </w:r>
    </w:p>
    <w:p>
      <w:pPr>
        <w:pStyle w:val="ListParagraph"/>
        <w:numPr>
          <w:ilvl w:val="0"/>
          <w:numId w:val="33"/>
        </w:numPr>
        <w:tabs>
          <w:tab w:pos="1227" w:val="left" w:leader="none"/>
          <w:tab w:pos="1228" w:val="left" w:leader="none"/>
        </w:tabs>
        <w:spacing w:line="235" w:lineRule="auto" w:before="2" w:after="0"/>
        <w:ind w:left="1227" w:right="2129" w:hanging="681"/>
        <w:jc w:val="left"/>
        <w:rPr>
          <w:sz w:val="20"/>
        </w:rPr>
      </w:pPr>
      <w:r>
        <w:rPr>
          <w:w w:val="120"/>
          <w:sz w:val="20"/>
        </w:rPr>
        <w:t>A review of the procedures and process of Section P should be undertaken to see if it ‘fits’ the purpose it was designed </w:t>
      </w:r>
      <w:r>
        <w:rPr>
          <w:spacing w:val="-3"/>
          <w:w w:val="120"/>
          <w:sz w:val="20"/>
        </w:rPr>
        <w:t>for. </w:t>
      </w:r>
      <w:r>
        <w:rPr>
          <w:w w:val="120"/>
          <w:sz w:val="20"/>
        </w:rPr>
        <w:t>Particularly whether it is can be used where the incapacity relates to a minister’s ability to exercise the function of minister of religion whilst experiencing mental health issues and whether the process can proceed fairly if this is the case</w:t>
      </w:r>
      <w:r>
        <w:rPr>
          <w:spacing w:val="19"/>
          <w:w w:val="120"/>
          <w:sz w:val="20"/>
        </w:rPr>
        <w:t> </w:t>
      </w:r>
      <w:r>
        <w:rPr>
          <w:spacing w:val="-3"/>
          <w:w w:val="120"/>
          <w:sz w:val="20"/>
        </w:rPr>
        <w:t>(ILR).</w:t>
      </w:r>
    </w:p>
    <w:p>
      <w:pPr>
        <w:spacing w:after="0" w:line="235" w:lineRule="auto"/>
        <w:jc w:val="left"/>
        <w:rPr>
          <w:sz w:val="20"/>
        </w:rPr>
        <w:sectPr>
          <w:headerReference w:type="even" r:id="rId152"/>
          <w:pgSz w:w="11910" w:h="16840"/>
          <w:pgMar w:header="0" w:footer="647" w:top="0" w:bottom="840" w:left="700" w:right="0"/>
        </w:sectPr>
      </w:pPr>
    </w:p>
    <w:p>
      <w:pPr>
        <w:pStyle w:val="BodyText"/>
      </w:pPr>
      <w:r>
        <w:rPr/>
        <w:drawing>
          <wp:anchor distT="0" distB="0" distL="0" distR="0" allowOverlap="1" layoutInCell="1" locked="0" behindDoc="0" simplePos="0" relativeHeight="251784192">
            <wp:simplePos x="0" y="0"/>
            <wp:positionH relativeFrom="page">
              <wp:posOffset>6974928</wp:posOffset>
            </wp:positionH>
            <wp:positionV relativeFrom="page">
              <wp:posOffset>0</wp:posOffset>
            </wp:positionV>
            <wp:extent cx="585063" cy="10692003"/>
            <wp:effectExtent l="0" t="0" r="0" b="0"/>
            <wp:wrapNone/>
            <wp:docPr id="81" name="image24.png"/>
            <wp:cNvGraphicFramePr>
              <a:graphicFrameLocks noChangeAspect="1"/>
            </wp:cNvGraphicFramePr>
            <a:graphic>
              <a:graphicData uri="http://schemas.openxmlformats.org/drawingml/2006/picture">
                <pic:pic>
                  <pic:nvPicPr>
                    <pic:cNvPr id="82"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282898pt;margin-top:22.693945pt;width:26pt;height:350.75pt;mso-position-horizontal-relative:page;mso-position-vertical-relative:paragraph;z-index:251785216"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r>
        <w:rPr>
          <w:color w:val="7EAABF"/>
          <w:w w:val="120"/>
        </w:rPr>
        <w:t>Mission Council</w:t>
      </w:r>
    </w:p>
    <w:p>
      <w:pPr>
        <w:pStyle w:val="ListParagraph"/>
        <w:numPr>
          <w:ilvl w:val="0"/>
          <w:numId w:val="33"/>
        </w:numPr>
        <w:tabs>
          <w:tab w:pos="1964" w:val="left" w:leader="none"/>
          <w:tab w:pos="1965" w:val="left" w:leader="none"/>
        </w:tabs>
        <w:spacing w:line="235" w:lineRule="auto" w:before="222" w:after="0"/>
        <w:ind w:left="1964" w:right="1381" w:hanging="681"/>
        <w:jc w:val="both"/>
        <w:rPr>
          <w:sz w:val="20"/>
        </w:rPr>
      </w:pPr>
      <w:r>
        <w:rPr>
          <w:w w:val="120"/>
          <w:sz w:val="20"/>
        </w:rPr>
        <w:t>Where there have been a number of churches and other groups who have been involved with or had to manage their interaction with a case, there needs to be structured pastoral response</w:t>
      </w:r>
      <w:r>
        <w:rPr>
          <w:spacing w:val="6"/>
          <w:w w:val="120"/>
          <w:sz w:val="20"/>
        </w:rPr>
        <w:t> </w:t>
      </w:r>
      <w:r>
        <w:rPr>
          <w:spacing w:val="-3"/>
          <w:w w:val="120"/>
          <w:sz w:val="20"/>
        </w:rPr>
        <w:t>(ILR).</w:t>
      </w:r>
    </w:p>
    <w:p>
      <w:pPr>
        <w:pStyle w:val="BodyText"/>
        <w:spacing w:before="10"/>
        <w:rPr>
          <w:sz w:val="19"/>
        </w:rPr>
      </w:pPr>
    </w:p>
    <w:p>
      <w:pPr>
        <w:pStyle w:val="ListParagraph"/>
        <w:numPr>
          <w:ilvl w:val="2"/>
          <w:numId w:val="32"/>
        </w:numPr>
        <w:tabs>
          <w:tab w:pos="1965" w:val="left" w:leader="none"/>
        </w:tabs>
        <w:spacing w:line="235" w:lineRule="auto" w:before="0" w:after="0"/>
        <w:ind w:left="1284" w:right="1512" w:firstLine="0"/>
        <w:jc w:val="left"/>
        <w:rPr>
          <w:sz w:val="20"/>
        </w:rPr>
      </w:pPr>
      <w:r>
        <w:rPr>
          <w:w w:val="120"/>
          <w:sz w:val="20"/>
        </w:rPr>
        <w:t>Overall, safeguarding of an individual must take priority over the reputation   of the URC or local church </w:t>
      </w:r>
      <w:r>
        <w:rPr>
          <w:spacing w:val="-5"/>
          <w:w w:val="120"/>
          <w:sz w:val="20"/>
        </w:rPr>
        <w:t>(LG), </w:t>
      </w:r>
      <w:r>
        <w:rPr>
          <w:w w:val="120"/>
          <w:sz w:val="20"/>
        </w:rPr>
        <w:t>and there is a need to put respectful uncertainty into practice through thorough investigation and critical reflection </w:t>
      </w:r>
      <w:r>
        <w:rPr>
          <w:spacing w:val="-5"/>
          <w:w w:val="120"/>
          <w:sz w:val="20"/>
        </w:rPr>
        <w:t>(LG). </w:t>
      </w:r>
      <w:r>
        <w:rPr>
          <w:w w:val="120"/>
          <w:sz w:val="20"/>
        </w:rPr>
        <w:t>Gender should  not be a factor in judging whether a concern is legitimate </w:t>
      </w:r>
      <w:r>
        <w:rPr>
          <w:spacing w:val="-5"/>
          <w:w w:val="120"/>
          <w:sz w:val="20"/>
        </w:rPr>
        <w:t>(LG),  </w:t>
      </w:r>
      <w:r>
        <w:rPr>
          <w:w w:val="120"/>
          <w:sz w:val="20"/>
        </w:rPr>
        <w:t>and thought should  be</w:t>
      </w:r>
      <w:r>
        <w:rPr>
          <w:spacing w:val="9"/>
          <w:w w:val="120"/>
          <w:sz w:val="20"/>
        </w:rPr>
        <w:t> </w:t>
      </w:r>
      <w:r>
        <w:rPr>
          <w:w w:val="120"/>
          <w:sz w:val="20"/>
        </w:rPr>
        <w:t>given</w:t>
      </w:r>
      <w:r>
        <w:rPr>
          <w:spacing w:val="10"/>
          <w:w w:val="120"/>
          <w:sz w:val="20"/>
        </w:rPr>
        <w:t> </w:t>
      </w:r>
      <w:r>
        <w:rPr>
          <w:w w:val="120"/>
          <w:sz w:val="20"/>
        </w:rPr>
        <w:t>as</w:t>
      </w:r>
      <w:r>
        <w:rPr>
          <w:spacing w:val="9"/>
          <w:w w:val="120"/>
          <w:sz w:val="20"/>
        </w:rPr>
        <w:t> </w:t>
      </w:r>
      <w:r>
        <w:rPr>
          <w:w w:val="120"/>
          <w:sz w:val="20"/>
        </w:rPr>
        <w:t>to</w:t>
      </w:r>
      <w:r>
        <w:rPr>
          <w:spacing w:val="10"/>
          <w:w w:val="120"/>
          <w:sz w:val="20"/>
        </w:rPr>
        <w:t> </w:t>
      </w:r>
      <w:r>
        <w:rPr>
          <w:w w:val="120"/>
          <w:sz w:val="20"/>
        </w:rPr>
        <w:t>how</w:t>
      </w:r>
      <w:r>
        <w:rPr>
          <w:spacing w:val="10"/>
          <w:w w:val="120"/>
          <w:sz w:val="20"/>
        </w:rPr>
        <w:t> </w:t>
      </w:r>
      <w:r>
        <w:rPr>
          <w:w w:val="120"/>
          <w:sz w:val="20"/>
        </w:rPr>
        <w:t>to</w:t>
      </w:r>
      <w:r>
        <w:rPr>
          <w:spacing w:val="9"/>
          <w:w w:val="120"/>
          <w:sz w:val="20"/>
        </w:rPr>
        <w:t> </w:t>
      </w:r>
      <w:r>
        <w:rPr>
          <w:w w:val="120"/>
          <w:sz w:val="20"/>
        </w:rPr>
        <w:t>develop</w:t>
      </w:r>
      <w:r>
        <w:rPr>
          <w:spacing w:val="10"/>
          <w:w w:val="120"/>
          <w:sz w:val="20"/>
        </w:rPr>
        <w:t> </w:t>
      </w:r>
      <w:r>
        <w:rPr>
          <w:w w:val="120"/>
          <w:sz w:val="20"/>
        </w:rPr>
        <w:t>more</w:t>
      </w:r>
      <w:r>
        <w:rPr>
          <w:spacing w:val="10"/>
          <w:w w:val="120"/>
          <w:sz w:val="20"/>
        </w:rPr>
        <w:t> </w:t>
      </w:r>
      <w:r>
        <w:rPr>
          <w:w w:val="120"/>
          <w:sz w:val="20"/>
        </w:rPr>
        <w:t>effective</w:t>
      </w:r>
      <w:r>
        <w:rPr>
          <w:spacing w:val="9"/>
          <w:w w:val="120"/>
          <w:sz w:val="20"/>
        </w:rPr>
        <w:t> </w:t>
      </w:r>
      <w:r>
        <w:rPr>
          <w:w w:val="120"/>
          <w:sz w:val="20"/>
        </w:rPr>
        <w:t>communication</w:t>
      </w:r>
      <w:r>
        <w:rPr>
          <w:spacing w:val="10"/>
          <w:w w:val="120"/>
          <w:sz w:val="20"/>
        </w:rPr>
        <w:t> </w:t>
      </w:r>
      <w:r>
        <w:rPr>
          <w:w w:val="120"/>
          <w:sz w:val="20"/>
        </w:rPr>
        <w:t>between</w:t>
      </w:r>
      <w:r>
        <w:rPr>
          <w:spacing w:val="10"/>
          <w:w w:val="120"/>
          <w:sz w:val="20"/>
        </w:rPr>
        <w:t> </w:t>
      </w:r>
      <w:r>
        <w:rPr>
          <w:w w:val="120"/>
          <w:sz w:val="20"/>
        </w:rPr>
        <w:t>synods</w:t>
      </w:r>
      <w:r>
        <w:rPr>
          <w:spacing w:val="9"/>
          <w:w w:val="120"/>
          <w:sz w:val="20"/>
        </w:rPr>
        <w:t> </w:t>
      </w:r>
      <w:r>
        <w:rPr>
          <w:spacing w:val="-5"/>
          <w:w w:val="120"/>
          <w:sz w:val="20"/>
        </w:rPr>
        <w:t>(LG).</w:t>
      </w:r>
    </w:p>
    <w:p>
      <w:pPr>
        <w:pStyle w:val="BodyText"/>
        <w:spacing w:line="235" w:lineRule="auto" w:before="3"/>
        <w:ind w:left="1284" w:right="1283"/>
      </w:pPr>
      <w:r>
        <w:rPr>
          <w:w w:val="120"/>
        </w:rPr>
        <w:t>It is important not to ‘take the word’ of someone about what happened but to ensure information is checked and appropriate exploration takes place (LG).</w:t>
      </w:r>
    </w:p>
    <w:p>
      <w:pPr>
        <w:pStyle w:val="BodyText"/>
        <w:spacing w:before="5"/>
        <w:rPr>
          <w:sz w:val="18"/>
        </w:rPr>
      </w:pPr>
    </w:p>
    <w:p>
      <w:pPr>
        <w:pStyle w:val="Heading8"/>
        <w:numPr>
          <w:ilvl w:val="2"/>
          <w:numId w:val="34"/>
        </w:numPr>
        <w:tabs>
          <w:tab w:pos="1964" w:val="left" w:leader="none"/>
          <w:tab w:pos="1965" w:val="left" w:leader="none"/>
        </w:tabs>
        <w:spacing w:line="261" w:lineRule="exact" w:before="1" w:after="0"/>
        <w:ind w:left="1964" w:right="0" w:hanging="681"/>
        <w:jc w:val="left"/>
      </w:pPr>
      <w:r>
        <w:rPr>
          <w:w w:val="110"/>
        </w:rPr>
        <w:t>Response</w:t>
      </w:r>
    </w:p>
    <w:p>
      <w:pPr>
        <w:pStyle w:val="BodyText"/>
        <w:spacing w:line="235" w:lineRule="auto"/>
        <w:ind w:left="1284" w:right="1381"/>
      </w:pPr>
      <w:r>
        <w:rPr>
          <w:w w:val="120"/>
        </w:rPr>
        <w:t>Since the appointment of a full time Safeguarding Officer, there is now clear safeguarding oversight, in partnership with SAG and its representative committees, with a deeper working relationship with all synod safeguarding officers. Many of the recommendations from the </w:t>
      </w:r>
      <w:r>
        <w:rPr>
          <w:spacing w:val="2"/>
          <w:w w:val="120"/>
        </w:rPr>
        <w:t>expert </w:t>
      </w:r>
      <w:r>
        <w:rPr>
          <w:w w:val="120"/>
        </w:rPr>
        <w:t>groups are about clear policies and protocols, many of which were not in place in the historic context of many of the referred cases. The </w:t>
      </w:r>
      <w:r>
        <w:rPr>
          <w:spacing w:val="-3"/>
          <w:w w:val="120"/>
        </w:rPr>
        <w:t>URC’s </w:t>
      </w:r>
      <w:r>
        <w:rPr>
          <w:w w:val="120"/>
        </w:rPr>
        <w:t>practice is improving and was noted by the external </w:t>
      </w:r>
      <w:r>
        <w:rPr>
          <w:spacing w:val="2"/>
          <w:w w:val="120"/>
        </w:rPr>
        <w:t>expert </w:t>
      </w:r>
      <w:r>
        <w:rPr>
          <w:w w:val="120"/>
        </w:rPr>
        <w:t>when reading more recent</w:t>
      </w:r>
      <w:r>
        <w:rPr>
          <w:spacing w:val="1"/>
          <w:w w:val="120"/>
        </w:rPr>
        <w:t> </w:t>
      </w:r>
      <w:r>
        <w:rPr>
          <w:w w:val="120"/>
        </w:rPr>
        <w:t>files.</w:t>
      </w:r>
    </w:p>
    <w:p>
      <w:pPr>
        <w:pStyle w:val="BodyText"/>
        <w:spacing w:before="7"/>
        <w:rPr>
          <w:sz w:val="19"/>
        </w:rPr>
      </w:pPr>
    </w:p>
    <w:p>
      <w:pPr>
        <w:pStyle w:val="ListParagraph"/>
        <w:numPr>
          <w:ilvl w:val="2"/>
          <w:numId w:val="34"/>
        </w:numPr>
        <w:tabs>
          <w:tab w:pos="1964" w:val="left" w:leader="none"/>
          <w:tab w:pos="1965" w:val="left" w:leader="none"/>
        </w:tabs>
        <w:spacing w:line="235" w:lineRule="auto" w:before="1" w:after="0"/>
        <w:ind w:left="1284" w:right="1394" w:firstLine="0"/>
        <w:jc w:val="left"/>
        <w:rPr>
          <w:sz w:val="20"/>
        </w:rPr>
      </w:pPr>
      <w:r>
        <w:rPr>
          <w:w w:val="120"/>
          <w:sz w:val="20"/>
        </w:rPr>
        <w:t>Section O processes and disciplinary processes are currently under review, yet Section O has already been amended to prevent the resignation of a minister without completion of a case, and to refer relevant cases to the DBS. In </w:t>
      </w:r>
      <w:r>
        <w:rPr>
          <w:spacing w:val="-12"/>
          <w:w w:val="120"/>
          <w:sz w:val="20"/>
        </w:rPr>
        <w:t>2017, </w:t>
      </w:r>
      <w:r>
        <w:rPr>
          <w:w w:val="120"/>
          <w:sz w:val="20"/>
        </w:rPr>
        <w:t>it was agreed that synod safeguarding officers, alongside the </w:t>
      </w:r>
      <w:r>
        <w:rPr>
          <w:spacing w:val="-3"/>
          <w:w w:val="120"/>
          <w:sz w:val="20"/>
        </w:rPr>
        <w:t>URC’s </w:t>
      </w:r>
      <w:r>
        <w:rPr>
          <w:w w:val="120"/>
          <w:sz w:val="20"/>
        </w:rPr>
        <w:t>Safeguarding Officer may now advise with the Section O</w:t>
      </w:r>
      <w:r>
        <w:rPr>
          <w:spacing w:val="9"/>
          <w:w w:val="120"/>
          <w:sz w:val="20"/>
        </w:rPr>
        <w:t> </w:t>
      </w:r>
      <w:r>
        <w:rPr>
          <w:w w:val="120"/>
          <w:sz w:val="20"/>
        </w:rPr>
        <w:t>process.</w:t>
      </w:r>
    </w:p>
    <w:p>
      <w:pPr>
        <w:pStyle w:val="BodyText"/>
        <w:spacing w:before="11"/>
        <w:rPr>
          <w:sz w:val="19"/>
        </w:rPr>
      </w:pPr>
    </w:p>
    <w:p>
      <w:pPr>
        <w:pStyle w:val="ListParagraph"/>
        <w:numPr>
          <w:ilvl w:val="2"/>
          <w:numId w:val="34"/>
        </w:numPr>
        <w:tabs>
          <w:tab w:pos="1964" w:val="left" w:leader="none"/>
          <w:tab w:pos="1965" w:val="left" w:leader="none"/>
        </w:tabs>
        <w:spacing w:line="235" w:lineRule="auto" w:before="0" w:after="0"/>
        <w:ind w:left="1284" w:right="1446" w:firstLine="0"/>
        <w:jc w:val="left"/>
        <w:rPr>
          <w:sz w:val="20"/>
        </w:rPr>
      </w:pPr>
      <w:r>
        <w:rPr>
          <w:w w:val="120"/>
          <w:sz w:val="20"/>
        </w:rPr>
        <w:t>SAG adopted a strategic plan </w:t>
      </w:r>
      <w:r>
        <w:rPr>
          <w:spacing w:val="-9"/>
          <w:w w:val="120"/>
          <w:sz w:val="20"/>
        </w:rPr>
        <w:t>(2017 </w:t>
      </w:r>
      <w:r>
        <w:rPr>
          <w:w w:val="120"/>
          <w:sz w:val="20"/>
        </w:rPr>
        <w:t>to </w:t>
      </w:r>
      <w:r>
        <w:rPr>
          <w:spacing w:val="-5"/>
          <w:w w:val="120"/>
          <w:sz w:val="20"/>
        </w:rPr>
        <w:t>2022), </w:t>
      </w:r>
      <w:r>
        <w:rPr>
          <w:w w:val="120"/>
          <w:sz w:val="20"/>
        </w:rPr>
        <w:t>shared with synod safeguarding officers, where areas and protocols are identified for further development and implementation. The Safeguarding Officer has highlighted safer recruitment guidance as a key priority for the whole Church and is committed to producing this guidance to reflect new laws and regulatory requirements (including GDPR) by the end of </w:t>
      </w:r>
      <w:r>
        <w:rPr>
          <w:spacing w:val="-5"/>
          <w:w w:val="120"/>
          <w:sz w:val="20"/>
        </w:rPr>
        <w:t>2018. </w:t>
      </w:r>
      <w:r>
        <w:rPr>
          <w:w w:val="120"/>
          <w:sz w:val="20"/>
        </w:rPr>
        <w:t>With comprehensive guidance and support, it is expected that churches will be safe and trusted environments for ministers, staff, and volunteers in the years to</w:t>
      </w:r>
      <w:r>
        <w:rPr>
          <w:spacing w:val="-16"/>
          <w:w w:val="120"/>
          <w:sz w:val="20"/>
        </w:rPr>
        <w:t> </w:t>
      </w:r>
      <w:r>
        <w:rPr>
          <w:w w:val="120"/>
          <w:sz w:val="20"/>
        </w:rPr>
        <w:t>come.</w:t>
      </w:r>
    </w:p>
    <w:p>
      <w:pPr>
        <w:pStyle w:val="BodyText"/>
        <w:spacing w:before="1"/>
      </w:pPr>
    </w:p>
    <w:p>
      <w:pPr>
        <w:pStyle w:val="ListParagraph"/>
        <w:numPr>
          <w:ilvl w:val="2"/>
          <w:numId w:val="34"/>
        </w:numPr>
        <w:tabs>
          <w:tab w:pos="1964" w:val="left" w:leader="none"/>
          <w:tab w:pos="1965" w:val="left" w:leader="none"/>
        </w:tabs>
        <w:spacing w:line="235" w:lineRule="auto" w:before="0" w:after="0"/>
        <w:ind w:left="1284" w:right="1286" w:firstLine="0"/>
        <w:jc w:val="left"/>
        <w:rPr>
          <w:sz w:val="20"/>
        </w:rPr>
      </w:pPr>
      <w:r>
        <w:rPr>
          <w:w w:val="120"/>
          <w:sz w:val="20"/>
        </w:rPr>
        <w:t>It will take some while to adopt consistent practice across every synod, and  there is frequently resistance to markedly robust process. However, there is a significant piece of work to complete to ensure that the URC has a trusted and clear</w:t>
      </w:r>
      <w:r>
        <w:rPr>
          <w:spacing w:val="20"/>
          <w:w w:val="120"/>
          <w:sz w:val="20"/>
        </w:rPr>
        <w:t> </w:t>
      </w:r>
      <w:r>
        <w:rPr>
          <w:w w:val="120"/>
          <w:sz w:val="20"/>
        </w:rPr>
        <w:t>allegation</w:t>
      </w:r>
    </w:p>
    <w:p>
      <w:pPr>
        <w:pStyle w:val="BodyText"/>
        <w:spacing w:line="235" w:lineRule="auto" w:before="2"/>
        <w:ind w:left="1284" w:right="1283"/>
      </w:pPr>
      <w:r>
        <w:rPr>
          <w:w w:val="120"/>
        </w:rPr>
        <w:t>and investigation process, including pastoral care for any victims. The PCR phase two introduced a range of steps for such future processes and SAG and all safeguarding officers are committed to the publication of clear process guidelines by the time of General Assembly 2020.</w:t>
      </w:r>
    </w:p>
    <w:p>
      <w:pPr>
        <w:pStyle w:val="BodyText"/>
        <w:spacing w:before="9"/>
        <w:rPr>
          <w:sz w:val="26"/>
        </w:rPr>
      </w:pPr>
    </w:p>
    <w:p>
      <w:pPr>
        <w:pStyle w:val="Heading4"/>
        <w:numPr>
          <w:ilvl w:val="0"/>
          <w:numId w:val="26"/>
        </w:numPr>
        <w:tabs>
          <w:tab w:pos="1965" w:val="left" w:leader="none"/>
        </w:tabs>
        <w:spacing w:line="196" w:lineRule="auto" w:before="0" w:after="0"/>
        <w:ind w:left="1964" w:right="1337" w:hanging="681"/>
        <w:jc w:val="both"/>
      </w:pPr>
      <w:r>
        <w:rPr>
          <w:spacing w:val="4"/>
          <w:w w:val="110"/>
        </w:rPr>
        <w:t>The </w:t>
      </w:r>
      <w:r>
        <w:rPr>
          <w:spacing w:val="2"/>
          <w:w w:val="110"/>
        </w:rPr>
        <w:t>link </w:t>
      </w:r>
      <w:r>
        <w:rPr>
          <w:spacing w:val="4"/>
          <w:w w:val="110"/>
        </w:rPr>
        <w:t>between </w:t>
      </w:r>
      <w:r>
        <w:rPr>
          <w:spacing w:val="2"/>
          <w:w w:val="110"/>
        </w:rPr>
        <w:t>the </w:t>
      </w:r>
      <w:r>
        <w:rPr>
          <w:spacing w:val="3"/>
          <w:w w:val="110"/>
        </w:rPr>
        <w:t>discipline and </w:t>
      </w:r>
      <w:r>
        <w:rPr>
          <w:spacing w:val="4"/>
          <w:w w:val="110"/>
        </w:rPr>
        <w:t>safeguarding </w:t>
      </w:r>
      <w:r>
        <w:rPr>
          <w:spacing w:val="3"/>
          <w:w w:val="110"/>
        </w:rPr>
        <w:t>processes</w:t>
      </w:r>
    </w:p>
    <w:p>
      <w:pPr>
        <w:pStyle w:val="ListParagraph"/>
        <w:numPr>
          <w:ilvl w:val="1"/>
          <w:numId w:val="26"/>
        </w:numPr>
        <w:tabs>
          <w:tab w:pos="1964" w:val="left" w:leader="none"/>
          <w:tab w:pos="1965" w:val="left" w:leader="none"/>
        </w:tabs>
        <w:spacing w:line="235" w:lineRule="auto" w:before="85" w:after="0"/>
        <w:ind w:left="1284" w:right="1259" w:firstLine="0"/>
        <w:jc w:val="left"/>
        <w:rPr>
          <w:sz w:val="20"/>
        </w:rPr>
      </w:pPr>
      <w:r>
        <w:rPr>
          <w:w w:val="120"/>
          <w:sz w:val="20"/>
        </w:rPr>
        <w:t>Reading the files showed some disconnection between the discipline process   and consideration of matters as safeguarding issues. At times, the discipline process seemed to be prioritised. There was also some confusion at times as to what constituted a safeguarding issue. It is important that the URC does not adopt a ‘bunker mentality’ where it assumes that DBS checks are sufficient to ensure safety of those working</w:t>
      </w:r>
      <w:r>
        <w:rPr>
          <w:spacing w:val="-13"/>
          <w:w w:val="120"/>
          <w:sz w:val="20"/>
        </w:rPr>
        <w:t> </w:t>
      </w:r>
      <w:r>
        <w:rPr>
          <w:w w:val="120"/>
          <w:sz w:val="20"/>
        </w:rPr>
        <w:t>in</w:t>
      </w:r>
    </w:p>
    <w:p>
      <w:pPr>
        <w:pStyle w:val="BodyText"/>
        <w:ind w:left="1284"/>
      </w:pPr>
      <w:r>
        <w:rPr>
          <w:w w:val="120"/>
        </w:rPr>
        <w:t>its contexts.</w:t>
      </w:r>
    </w:p>
    <w:p>
      <w:pPr>
        <w:pStyle w:val="BodyText"/>
        <w:spacing w:before="3"/>
        <w:rPr>
          <w:sz w:val="18"/>
        </w:rPr>
      </w:pPr>
    </w:p>
    <w:p>
      <w:pPr>
        <w:pStyle w:val="Heading8"/>
        <w:numPr>
          <w:ilvl w:val="1"/>
          <w:numId w:val="26"/>
        </w:numPr>
        <w:tabs>
          <w:tab w:pos="1964" w:val="left" w:leader="none"/>
          <w:tab w:pos="1965" w:val="left" w:leader="none"/>
        </w:tabs>
        <w:spacing w:line="261" w:lineRule="exact" w:before="0" w:after="0"/>
        <w:ind w:left="1964" w:right="0" w:hanging="681"/>
        <w:jc w:val="left"/>
      </w:pPr>
      <w:r>
        <w:rPr>
          <w:w w:val="110"/>
        </w:rPr>
        <w:t>Recommendations</w:t>
      </w:r>
    </w:p>
    <w:p>
      <w:pPr>
        <w:pStyle w:val="ListParagraph"/>
        <w:numPr>
          <w:ilvl w:val="0"/>
          <w:numId w:val="35"/>
        </w:numPr>
        <w:tabs>
          <w:tab w:pos="1964" w:val="left" w:leader="none"/>
          <w:tab w:pos="1965" w:val="left" w:leader="none"/>
        </w:tabs>
        <w:spacing w:line="233" w:lineRule="exact" w:before="0" w:after="0"/>
        <w:ind w:left="1964" w:right="0" w:hanging="681"/>
        <w:jc w:val="left"/>
        <w:rPr>
          <w:sz w:val="20"/>
        </w:rPr>
      </w:pPr>
      <w:r>
        <w:rPr>
          <w:w w:val="120"/>
          <w:sz w:val="20"/>
        </w:rPr>
        <w:t>Safeguarding needs to be prioritised across the discipline process</w:t>
      </w:r>
      <w:r>
        <w:rPr>
          <w:spacing w:val="33"/>
          <w:w w:val="120"/>
          <w:sz w:val="20"/>
        </w:rPr>
        <w:t> </w:t>
      </w:r>
      <w:r>
        <w:rPr>
          <w:spacing w:val="-3"/>
          <w:w w:val="120"/>
          <w:sz w:val="20"/>
        </w:rPr>
        <w:t>(EEx).</w:t>
      </w:r>
    </w:p>
    <w:p>
      <w:pPr>
        <w:pStyle w:val="ListParagraph"/>
        <w:numPr>
          <w:ilvl w:val="0"/>
          <w:numId w:val="35"/>
        </w:numPr>
        <w:tabs>
          <w:tab w:pos="1964" w:val="left" w:leader="none"/>
          <w:tab w:pos="1965" w:val="left" w:leader="none"/>
        </w:tabs>
        <w:spacing w:line="235" w:lineRule="auto" w:before="2" w:after="0"/>
        <w:ind w:left="1964" w:right="1479" w:hanging="681"/>
        <w:jc w:val="left"/>
        <w:rPr>
          <w:sz w:val="20"/>
        </w:rPr>
      </w:pPr>
      <w:r>
        <w:rPr>
          <w:w w:val="120"/>
          <w:sz w:val="20"/>
        </w:rPr>
        <w:t>There needs to be clear guidance on what constitutes a safeguarding issue and when behaviour crosses the threshold</w:t>
      </w:r>
      <w:r>
        <w:rPr>
          <w:spacing w:val="12"/>
          <w:w w:val="120"/>
          <w:sz w:val="20"/>
        </w:rPr>
        <w:t> </w:t>
      </w:r>
      <w:r>
        <w:rPr>
          <w:spacing w:val="-3"/>
          <w:w w:val="120"/>
          <w:sz w:val="20"/>
        </w:rPr>
        <w:t>(EEx).</w:t>
      </w:r>
    </w:p>
    <w:p>
      <w:pPr>
        <w:pStyle w:val="ListParagraph"/>
        <w:numPr>
          <w:ilvl w:val="0"/>
          <w:numId w:val="35"/>
        </w:numPr>
        <w:tabs>
          <w:tab w:pos="1964" w:val="left" w:leader="none"/>
          <w:tab w:pos="1965" w:val="left" w:leader="none"/>
        </w:tabs>
        <w:spacing w:line="242" w:lineRule="exact" w:before="0" w:after="0"/>
        <w:ind w:left="1964" w:right="0" w:hanging="681"/>
        <w:jc w:val="left"/>
        <w:rPr>
          <w:sz w:val="20"/>
        </w:rPr>
      </w:pPr>
      <w:r>
        <w:rPr>
          <w:w w:val="120"/>
          <w:sz w:val="20"/>
        </w:rPr>
        <w:t>A safeguarding culture needs to continue to grow and develop</w:t>
      </w:r>
      <w:r>
        <w:rPr>
          <w:spacing w:val="38"/>
          <w:w w:val="120"/>
          <w:sz w:val="20"/>
        </w:rPr>
        <w:t> </w:t>
      </w:r>
      <w:r>
        <w:rPr>
          <w:spacing w:val="-3"/>
          <w:w w:val="120"/>
          <w:sz w:val="20"/>
        </w:rPr>
        <w:t>(EEx).</w:t>
      </w:r>
    </w:p>
    <w:p>
      <w:pPr>
        <w:spacing w:after="0" w:line="242" w:lineRule="exact"/>
        <w:jc w:val="left"/>
        <w:rPr>
          <w:sz w:val="20"/>
        </w:rPr>
        <w:sectPr>
          <w:headerReference w:type="default" r:id="rId153"/>
          <w:footerReference w:type="default" r:id="rId154"/>
          <w:footerReference w:type="even" r:id="rId155"/>
          <w:pgSz w:w="11910" w:h="16840"/>
          <w:pgMar w:header="0" w:footer="647" w:top="0" w:bottom="840" w:left="700" w:right="0"/>
          <w:pgNumType w:start="45"/>
        </w:sectPr>
      </w:pPr>
    </w:p>
    <w:p>
      <w:pPr>
        <w:pStyle w:val="BodyText"/>
      </w:pPr>
      <w:r>
        <w:rPr/>
        <w:drawing>
          <wp:anchor distT="0" distB="0" distL="0" distR="0" allowOverlap="1" layoutInCell="1" locked="0" behindDoc="1" simplePos="0" relativeHeight="235819008">
            <wp:simplePos x="0" y="0"/>
            <wp:positionH relativeFrom="page">
              <wp:posOffset>0</wp:posOffset>
            </wp:positionH>
            <wp:positionV relativeFrom="page">
              <wp:posOffset>0</wp:posOffset>
            </wp:positionV>
            <wp:extent cx="594067" cy="10692003"/>
            <wp:effectExtent l="0" t="0" r="0" b="0"/>
            <wp:wrapNone/>
            <wp:docPr id="83" name="image51.png"/>
            <wp:cNvGraphicFramePr>
              <a:graphicFrameLocks noChangeAspect="1"/>
            </wp:cNvGraphicFramePr>
            <a:graphic>
              <a:graphicData uri="http://schemas.openxmlformats.org/drawingml/2006/picture">
                <pic:pic>
                  <pic:nvPicPr>
                    <pic:cNvPr id="84"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19.101801pt;margin-top:48.890015pt;width:26pt;height:350.75pt;mso-position-horizontal-relative:page;mso-position-vertical-relative:page;z-index:-267496448"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p>
    <w:p>
      <w:pPr>
        <w:pStyle w:val="BodyText"/>
        <w:spacing w:before="5"/>
        <w:rPr>
          <w:sz w:val="21"/>
        </w:rPr>
      </w:pPr>
    </w:p>
    <w:p>
      <w:pPr>
        <w:spacing w:before="108"/>
        <w:ind w:left="547" w:right="0" w:firstLine="0"/>
        <w:jc w:val="left"/>
        <w:rPr>
          <w:sz w:val="26"/>
        </w:rPr>
      </w:pPr>
      <w:r>
        <w:rPr>
          <w:color w:val="7EAABF"/>
          <w:w w:val="120"/>
          <w:sz w:val="26"/>
        </w:rPr>
        <w:t>Mission Council</w:t>
      </w:r>
    </w:p>
    <w:p>
      <w:pPr>
        <w:spacing w:line="261" w:lineRule="exact" w:before="205"/>
        <w:ind w:left="547" w:right="0" w:firstLine="0"/>
        <w:jc w:val="left"/>
        <w:rPr>
          <w:rFonts w:ascii="Stone Sans II ITC Std Bk"/>
          <w:b/>
          <w:sz w:val="20"/>
        </w:rPr>
      </w:pPr>
      <w:r>
        <w:rPr>
          <w:w w:val="120"/>
          <w:sz w:val="20"/>
        </w:rPr>
        <w:t>8.2.3 </w:t>
      </w:r>
      <w:r>
        <w:rPr>
          <w:rFonts w:ascii="Stone Sans II ITC Std Bk"/>
          <w:b/>
          <w:w w:val="120"/>
          <w:sz w:val="20"/>
        </w:rPr>
        <w:t>Response</w:t>
      </w:r>
    </w:p>
    <w:p>
      <w:pPr>
        <w:pStyle w:val="BodyText"/>
        <w:spacing w:line="235" w:lineRule="auto"/>
        <w:ind w:left="547" w:right="2069"/>
      </w:pPr>
      <w:r>
        <w:rPr>
          <w:w w:val="120"/>
        </w:rPr>
        <w:t>SAG has agreed a strategic plan (2017-2022) to address the recommended cultural changes. The plan will be further developed in consultation with synod moderators, synod safeguarding officers and external experts. A joint meeting with the safeguarding officers and members of SAG in June 2018 and the final approval by the next Mission Council will put the plan and its specific objectives into action. There is emphasis</w:t>
      </w:r>
    </w:p>
    <w:p>
      <w:pPr>
        <w:pStyle w:val="BodyText"/>
        <w:spacing w:line="235" w:lineRule="auto"/>
        <w:ind w:left="547" w:right="2062"/>
      </w:pPr>
      <w:r>
        <w:rPr>
          <w:w w:val="120"/>
        </w:rPr>
        <w:t>on safeguarding awareness and training, recording systems and processes for safe recruitment, key commitments of the Safeguarding Officer (appointed December 2017). The ministries committee is presently revising all discipline processes. We acknowledge that it will take time to change culture but are committed to the changes needed.</w:t>
      </w:r>
    </w:p>
    <w:p>
      <w:pPr>
        <w:pStyle w:val="BodyText"/>
        <w:spacing w:before="2"/>
        <w:rPr>
          <w:sz w:val="22"/>
        </w:rPr>
      </w:pPr>
    </w:p>
    <w:p>
      <w:pPr>
        <w:pStyle w:val="Heading4"/>
        <w:numPr>
          <w:ilvl w:val="0"/>
          <w:numId w:val="26"/>
        </w:numPr>
        <w:tabs>
          <w:tab w:pos="1227" w:val="left" w:leader="none"/>
          <w:tab w:pos="1228" w:val="left" w:leader="none"/>
        </w:tabs>
        <w:spacing w:line="240" w:lineRule="auto" w:before="0" w:after="0"/>
        <w:ind w:left="1227" w:right="0" w:hanging="681"/>
        <w:jc w:val="left"/>
      </w:pPr>
      <w:r>
        <w:rPr>
          <w:spacing w:val="2"/>
          <w:w w:val="110"/>
        </w:rPr>
        <w:t>Coercive control </w:t>
      </w:r>
      <w:r>
        <w:rPr>
          <w:spacing w:val="3"/>
          <w:w w:val="110"/>
        </w:rPr>
        <w:t>and financial</w:t>
      </w:r>
      <w:r>
        <w:rPr>
          <w:spacing w:val="45"/>
          <w:w w:val="110"/>
        </w:rPr>
        <w:t> </w:t>
      </w:r>
      <w:r>
        <w:rPr>
          <w:spacing w:val="3"/>
          <w:w w:val="110"/>
        </w:rPr>
        <w:t>abuse</w:t>
      </w:r>
    </w:p>
    <w:p>
      <w:pPr>
        <w:pStyle w:val="ListParagraph"/>
        <w:numPr>
          <w:ilvl w:val="1"/>
          <w:numId w:val="26"/>
        </w:numPr>
        <w:tabs>
          <w:tab w:pos="1227" w:val="left" w:leader="none"/>
          <w:tab w:pos="1228" w:val="left" w:leader="none"/>
        </w:tabs>
        <w:spacing w:line="235" w:lineRule="auto" w:before="69" w:after="0"/>
        <w:ind w:left="547" w:right="2084" w:firstLine="0"/>
        <w:jc w:val="left"/>
        <w:rPr>
          <w:sz w:val="20"/>
        </w:rPr>
      </w:pPr>
      <w:r>
        <w:rPr>
          <w:w w:val="120"/>
          <w:sz w:val="20"/>
        </w:rPr>
        <w:t>The learning group identified a significant number of cases where bullying behaviour or coercive control was evident. In a number of these cases such behaviour seemed to be minimised or dismissed. In one such case the allegation was shared with the individual accused without the knowledge of the person making the disclosure. Understandings of spiritual abuse </w:t>
      </w:r>
      <w:r>
        <w:rPr>
          <w:spacing w:val="-3"/>
          <w:w w:val="120"/>
          <w:sz w:val="20"/>
        </w:rPr>
        <w:t>(coercive </w:t>
      </w:r>
      <w:r>
        <w:rPr>
          <w:w w:val="120"/>
          <w:sz w:val="20"/>
        </w:rPr>
        <w:t>control in a religious context) are developing together with recognition of the importance of addressing such behaviour. In other cases, there are signs of financial abuse or control through the lending or receiving of finance. This issue seems to be overlooked in many cases or minimised. There is a growing understanding and body of work about financial abuse and it is important that this is not minimised in </w:t>
      </w:r>
      <w:r>
        <w:rPr>
          <w:spacing w:val="2"/>
          <w:w w:val="120"/>
          <w:sz w:val="20"/>
        </w:rPr>
        <w:t>reports </w:t>
      </w:r>
      <w:r>
        <w:rPr>
          <w:w w:val="120"/>
          <w:sz w:val="20"/>
        </w:rPr>
        <w:t>of concerning</w:t>
      </w:r>
      <w:r>
        <w:rPr>
          <w:spacing w:val="20"/>
          <w:w w:val="120"/>
          <w:sz w:val="20"/>
        </w:rPr>
        <w:t> </w:t>
      </w:r>
      <w:r>
        <w:rPr>
          <w:w w:val="120"/>
          <w:sz w:val="20"/>
        </w:rPr>
        <w:t>behaviour.</w:t>
      </w:r>
    </w:p>
    <w:p>
      <w:pPr>
        <w:pStyle w:val="BodyText"/>
        <w:spacing w:before="11"/>
        <w:rPr>
          <w:sz w:val="18"/>
        </w:rPr>
      </w:pPr>
    </w:p>
    <w:p>
      <w:pPr>
        <w:pStyle w:val="Heading8"/>
        <w:numPr>
          <w:ilvl w:val="1"/>
          <w:numId w:val="26"/>
        </w:numPr>
        <w:tabs>
          <w:tab w:pos="1227" w:val="left" w:leader="none"/>
          <w:tab w:pos="1228" w:val="left" w:leader="none"/>
        </w:tabs>
        <w:spacing w:line="261" w:lineRule="exact" w:before="0" w:after="0"/>
        <w:ind w:left="1227" w:right="0" w:hanging="681"/>
        <w:jc w:val="left"/>
      </w:pPr>
      <w:r>
        <w:rPr>
          <w:w w:val="110"/>
        </w:rPr>
        <w:t>Recommendations</w:t>
      </w:r>
    </w:p>
    <w:p>
      <w:pPr>
        <w:pStyle w:val="ListParagraph"/>
        <w:numPr>
          <w:ilvl w:val="0"/>
          <w:numId w:val="36"/>
        </w:numPr>
        <w:tabs>
          <w:tab w:pos="1227" w:val="left" w:leader="none"/>
          <w:tab w:pos="1228" w:val="left" w:leader="none"/>
        </w:tabs>
        <w:spacing w:line="235" w:lineRule="auto" w:before="0" w:after="0"/>
        <w:ind w:left="1227" w:right="2023" w:hanging="681"/>
        <w:jc w:val="left"/>
        <w:rPr>
          <w:sz w:val="20"/>
        </w:rPr>
      </w:pPr>
      <w:r>
        <w:rPr>
          <w:w w:val="125"/>
          <w:sz w:val="20"/>
        </w:rPr>
        <w:t>The</w:t>
      </w:r>
      <w:r>
        <w:rPr>
          <w:spacing w:val="-18"/>
          <w:w w:val="125"/>
          <w:sz w:val="20"/>
        </w:rPr>
        <w:t> </w:t>
      </w:r>
      <w:r>
        <w:rPr>
          <w:w w:val="125"/>
          <w:sz w:val="20"/>
        </w:rPr>
        <w:t>URC</w:t>
      </w:r>
      <w:r>
        <w:rPr>
          <w:spacing w:val="-18"/>
          <w:w w:val="125"/>
          <w:sz w:val="20"/>
        </w:rPr>
        <w:t> </w:t>
      </w:r>
      <w:r>
        <w:rPr>
          <w:w w:val="125"/>
          <w:sz w:val="20"/>
        </w:rPr>
        <w:t>needs</w:t>
      </w:r>
      <w:r>
        <w:rPr>
          <w:spacing w:val="-18"/>
          <w:w w:val="125"/>
          <w:sz w:val="20"/>
        </w:rPr>
        <w:t> </w:t>
      </w:r>
      <w:r>
        <w:rPr>
          <w:w w:val="125"/>
          <w:sz w:val="20"/>
        </w:rPr>
        <w:t>to</w:t>
      </w:r>
      <w:r>
        <w:rPr>
          <w:spacing w:val="-17"/>
          <w:w w:val="125"/>
          <w:sz w:val="20"/>
        </w:rPr>
        <w:t> </w:t>
      </w:r>
      <w:r>
        <w:rPr>
          <w:w w:val="125"/>
          <w:sz w:val="20"/>
        </w:rPr>
        <w:t>ensure</w:t>
      </w:r>
      <w:r>
        <w:rPr>
          <w:spacing w:val="-18"/>
          <w:w w:val="125"/>
          <w:sz w:val="20"/>
        </w:rPr>
        <w:t> </w:t>
      </w:r>
      <w:r>
        <w:rPr>
          <w:w w:val="125"/>
          <w:sz w:val="20"/>
        </w:rPr>
        <w:t>that</w:t>
      </w:r>
      <w:r>
        <w:rPr>
          <w:spacing w:val="-18"/>
          <w:w w:val="125"/>
          <w:sz w:val="20"/>
        </w:rPr>
        <w:t> </w:t>
      </w:r>
      <w:r>
        <w:rPr>
          <w:w w:val="125"/>
          <w:sz w:val="20"/>
        </w:rPr>
        <w:t>bullying</w:t>
      </w:r>
      <w:r>
        <w:rPr>
          <w:spacing w:val="-17"/>
          <w:w w:val="125"/>
          <w:sz w:val="20"/>
        </w:rPr>
        <w:t> </w:t>
      </w:r>
      <w:r>
        <w:rPr>
          <w:w w:val="125"/>
          <w:sz w:val="20"/>
        </w:rPr>
        <w:t>or</w:t>
      </w:r>
      <w:r>
        <w:rPr>
          <w:spacing w:val="-18"/>
          <w:w w:val="125"/>
          <w:sz w:val="20"/>
        </w:rPr>
        <w:t> </w:t>
      </w:r>
      <w:r>
        <w:rPr>
          <w:w w:val="125"/>
          <w:sz w:val="20"/>
        </w:rPr>
        <w:t>controlling</w:t>
      </w:r>
      <w:r>
        <w:rPr>
          <w:spacing w:val="-18"/>
          <w:w w:val="125"/>
          <w:sz w:val="20"/>
        </w:rPr>
        <w:t> </w:t>
      </w:r>
      <w:r>
        <w:rPr>
          <w:w w:val="125"/>
          <w:sz w:val="20"/>
        </w:rPr>
        <w:t>behaviour</w:t>
      </w:r>
      <w:r>
        <w:rPr>
          <w:spacing w:val="-17"/>
          <w:w w:val="125"/>
          <w:sz w:val="20"/>
        </w:rPr>
        <w:t> </w:t>
      </w:r>
      <w:r>
        <w:rPr>
          <w:w w:val="125"/>
          <w:sz w:val="20"/>
        </w:rPr>
        <w:t>is</w:t>
      </w:r>
      <w:r>
        <w:rPr>
          <w:spacing w:val="-18"/>
          <w:w w:val="125"/>
          <w:sz w:val="20"/>
        </w:rPr>
        <w:t> </w:t>
      </w:r>
      <w:r>
        <w:rPr>
          <w:w w:val="125"/>
          <w:sz w:val="20"/>
        </w:rPr>
        <w:t>addressed</w:t>
      </w:r>
      <w:r>
        <w:rPr>
          <w:spacing w:val="-18"/>
          <w:w w:val="125"/>
          <w:sz w:val="20"/>
        </w:rPr>
        <w:t> </w:t>
      </w:r>
      <w:r>
        <w:rPr>
          <w:w w:val="125"/>
          <w:sz w:val="20"/>
        </w:rPr>
        <w:t>and not minimised</w:t>
      </w:r>
      <w:r>
        <w:rPr>
          <w:spacing w:val="-1"/>
          <w:w w:val="125"/>
          <w:sz w:val="20"/>
        </w:rPr>
        <w:t> </w:t>
      </w:r>
      <w:r>
        <w:rPr>
          <w:spacing w:val="-5"/>
          <w:w w:val="125"/>
          <w:sz w:val="20"/>
        </w:rPr>
        <w:t>(LG).</w:t>
      </w:r>
    </w:p>
    <w:p>
      <w:pPr>
        <w:pStyle w:val="ListParagraph"/>
        <w:numPr>
          <w:ilvl w:val="0"/>
          <w:numId w:val="36"/>
        </w:numPr>
        <w:tabs>
          <w:tab w:pos="1227" w:val="left" w:leader="none"/>
          <w:tab w:pos="1228" w:val="left" w:leader="none"/>
        </w:tabs>
        <w:spacing w:line="235" w:lineRule="auto" w:before="0" w:after="0"/>
        <w:ind w:left="1227" w:right="2151" w:hanging="681"/>
        <w:jc w:val="left"/>
        <w:rPr>
          <w:sz w:val="20"/>
        </w:rPr>
      </w:pPr>
      <w:r>
        <w:rPr>
          <w:w w:val="120"/>
          <w:sz w:val="20"/>
        </w:rPr>
        <w:t>Developing an understanding of spiritual abuse would be beneficial to the URC </w:t>
      </w:r>
      <w:r>
        <w:rPr>
          <w:spacing w:val="-5"/>
          <w:w w:val="120"/>
          <w:sz w:val="20"/>
        </w:rPr>
        <w:t>(LG).</w:t>
      </w:r>
    </w:p>
    <w:p>
      <w:pPr>
        <w:pStyle w:val="ListParagraph"/>
        <w:numPr>
          <w:ilvl w:val="0"/>
          <w:numId w:val="36"/>
        </w:numPr>
        <w:tabs>
          <w:tab w:pos="1227" w:val="left" w:leader="none"/>
          <w:tab w:pos="1228" w:val="left" w:leader="none"/>
        </w:tabs>
        <w:spacing w:line="235" w:lineRule="auto" w:before="0" w:after="0"/>
        <w:ind w:left="1227" w:right="1985" w:hanging="681"/>
        <w:jc w:val="left"/>
        <w:rPr>
          <w:sz w:val="20"/>
        </w:rPr>
      </w:pPr>
      <w:r>
        <w:rPr>
          <w:spacing w:val="3"/>
          <w:w w:val="120"/>
          <w:sz w:val="20"/>
        </w:rPr>
        <w:t>As </w:t>
      </w:r>
      <w:r>
        <w:rPr>
          <w:w w:val="120"/>
          <w:sz w:val="20"/>
        </w:rPr>
        <w:t>with other forms of abusive behaviour allegations should not be shared with an individual who is accused without the knowledge of the individual who raised the complaint.</w:t>
      </w:r>
      <w:r>
        <w:rPr>
          <w:spacing w:val="5"/>
          <w:w w:val="120"/>
          <w:sz w:val="20"/>
        </w:rPr>
        <w:t> </w:t>
      </w:r>
      <w:r>
        <w:rPr>
          <w:spacing w:val="-5"/>
          <w:w w:val="120"/>
          <w:sz w:val="20"/>
        </w:rPr>
        <w:t>(LG).</w:t>
      </w:r>
    </w:p>
    <w:p>
      <w:pPr>
        <w:pStyle w:val="ListParagraph"/>
        <w:numPr>
          <w:ilvl w:val="0"/>
          <w:numId w:val="36"/>
        </w:numPr>
        <w:tabs>
          <w:tab w:pos="1227" w:val="left" w:leader="none"/>
          <w:tab w:pos="1228" w:val="left" w:leader="none"/>
        </w:tabs>
        <w:spacing w:line="235" w:lineRule="auto" w:before="0" w:after="0"/>
        <w:ind w:left="1227" w:right="2262" w:hanging="681"/>
        <w:jc w:val="left"/>
        <w:rPr>
          <w:sz w:val="20"/>
        </w:rPr>
      </w:pPr>
      <w:r>
        <w:rPr>
          <w:w w:val="120"/>
          <w:sz w:val="20"/>
        </w:rPr>
        <w:t>The URC needs to ensure that financial abuse or the use of finance to control is addressed and not minimised</w:t>
      </w:r>
      <w:r>
        <w:rPr>
          <w:spacing w:val="11"/>
          <w:w w:val="120"/>
          <w:sz w:val="20"/>
        </w:rPr>
        <w:t> </w:t>
      </w:r>
      <w:r>
        <w:rPr>
          <w:spacing w:val="-5"/>
          <w:w w:val="120"/>
          <w:sz w:val="20"/>
        </w:rPr>
        <w:t>(LG).</w:t>
      </w:r>
    </w:p>
    <w:p>
      <w:pPr>
        <w:pStyle w:val="ListParagraph"/>
        <w:numPr>
          <w:ilvl w:val="0"/>
          <w:numId w:val="36"/>
        </w:numPr>
        <w:tabs>
          <w:tab w:pos="1227" w:val="left" w:leader="none"/>
          <w:tab w:pos="1228" w:val="left" w:leader="none"/>
        </w:tabs>
        <w:spacing w:line="235" w:lineRule="auto" w:before="2" w:after="0"/>
        <w:ind w:left="1227" w:right="2126" w:hanging="681"/>
        <w:jc w:val="left"/>
        <w:rPr>
          <w:sz w:val="20"/>
        </w:rPr>
      </w:pPr>
      <w:r>
        <w:rPr>
          <w:w w:val="120"/>
          <w:sz w:val="20"/>
        </w:rPr>
        <w:t>Developing an understanding of financial abuse would be beneficial to the URC </w:t>
      </w:r>
      <w:r>
        <w:rPr>
          <w:spacing w:val="-5"/>
          <w:w w:val="120"/>
          <w:sz w:val="20"/>
        </w:rPr>
        <w:t>(LG).</w:t>
      </w:r>
    </w:p>
    <w:p>
      <w:pPr>
        <w:pStyle w:val="BodyText"/>
        <w:spacing w:before="5"/>
        <w:rPr>
          <w:sz w:val="18"/>
        </w:rPr>
      </w:pPr>
    </w:p>
    <w:p>
      <w:pPr>
        <w:pStyle w:val="Heading8"/>
        <w:numPr>
          <w:ilvl w:val="1"/>
          <w:numId w:val="26"/>
        </w:numPr>
        <w:tabs>
          <w:tab w:pos="1227" w:val="left" w:leader="none"/>
          <w:tab w:pos="1228" w:val="left" w:leader="none"/>
        </w:tabs>
        <w:spacing w:line="261" w:lineRule="exact" w:before="0" w:after="0"/>
        <w:ind w:left="1227" w:right="0" w:hanging="681"/>
        <w:jc w:val="left"/>
      </w:pPr>
      <w:r>
        <w:rPr>
          <w:w w:val="110"/>
        </w:rPr>
        <w:t>Response</w:t>
      </w:r>
    </w:p>
    <w:p>
      <w:pPr>
        <w:pStyle w:val="BodyText"/>
        <w:spacing w:line="235" w:lineRule="auto"/>
        <w:ind w:left="547" w:right="2112"/>
      </w:pPr>
      <w:r>
        <w:rPr>
          <w:w w:val="120"/>
        </w:rPr>
        <w:t>SAG will address the specific types of abuse detailed in 9, then, through the safeguarding office, will work with synods to understand and address specific abuses. Training in boundaries, with material commissioned by the education and learning committee and now available in each synod and Resource Centre for Learning, asks participants to discuss boundary violation in a range of scenarios, including the abuses listed in 9. Recommendation 9.2 c) will feed into revised disclosure guidance.</w:t>
      </w:r>
    </w:p>
    <w:p>
      <w:pPr>
        <w:pStyle w:val="BodyText"/>
        <w:rPr>
          <w:sz w:val="22"/>
        </w:rPr>
      </w:pPr>
    </w:p>
    <w:p>
      <w:pPr>
        <w:pStyle w:val="Heading4"/>
        <w:numPr>
          <w:ilvl w:val="0"/>
          <w:numId w:val="26"/>
        </w:numPr>
        <w:tabs>
          <w:tab w:pos="1228" w:val="left" w:leader="none"/>
        </w:tabs>
        <w:spacing w:line="240" w:lineRule="auto" w:before="0" w:after="0"/>
        <w:ind w:left="1227" w:right="0" w:hanging="681"/>
        <w:jc w:val="left"/>
      </w:pPr>
      <w:r>
        <w:rPr>
          <w:spacing w:val="4"/>
          <w:w w:val="110"/>
        </w:rPr>
        <w:t>Specific </w:t>
      </w:r>
      <w:r>
        <w:rPr>
          <w:spacing w:val="3"/>
          <w:w w:val="110"/>
        </w:rPr>
        <w:t>ministerial</w:t>
      </w:r>
      <w:r>
        <w:rPr>
          <w:spacing w:val="21"/>
          <w:w w:val="110"/>
        </w:rPr>
        <w:t> </w:t>
      </w:r>
      <w:r>
        <w:rPr>
          <w:spacing w:val="3"/>
          <w:w w:val="110"/>
        </w:rPr>
        <w:t>issues</w:t>
      </w:r>
    </w:p>
    <w:p>
      <w:pPr>
        <w:pStyle w:val="ListParagraph"/>
        <w:numPr>
          <w:ilvl w:val="1"/>
          <w:numId w:val="26"/>
        </w:numPr>
        <w:tabs>
          <w:tab w:pos="1227" w:val="left" w:leader="none"/>
          <w:tab w:pos="1228" w:val="left" w:leader="none"/>
        </w:tabs>
        <w:spacing w:line="235" w:lineRule="auto" w:before="69" w:after="0"/>
        <w:ind w:left="547" w:right="2030" w:firstLine="0"/>
        <w:jc w:val="left"/>
        <w:rPr>
          <w:sz w:val="20"/>
        </w:rPr>
      </w:pPr>
      <w:r>
        <w:rPr>
          <w:w w:val="120"/>
          <w:sz w:val="20"/>
        </w:rPr>
        <w:t>Many cases on file recorded those who were victims of abuse as being members of United Reformed churches abused by those in ministerial or pastoral positions. There were also records of those in ministerial and pastoral appointments being subject to abuse. Evidence shows that abuse of ministers and pastoral workers is often hidden and difficult to disclose. There were a significant number of issues associated with ministers who had retired. These seemed to divide into cases where there was ongoing concern  of a safeguarding nature for other individuals and cases where ministers appeared to struggle with the retirement process and separation from their local church.</w:t>
      </w:r>
      <w:r>
        <w:rPr>
          <w:spacing w:val="39"/>
          <w:w w:val="120"/>
          <w:sz w:val="20"/>
        </w:rPr>
        <w:t> </w:t>
      </w:r>
      <w:r>
        <w:rPr>
          <w:w w:val="120"/>
          <w:sz w:val="20"/>
        </w:rPr>
        <w:t>There</w:t>
      </w:r>
    </w:p>
    <w:p>
      <w:pPr>
        <w:pStyle w:val="BodyText"/>
        <w:spacing w:line="235" w:lineRule="auto" w:before="6"/>
        <w:ind w:left="547" w:right="2269"/>
      </w:pPr>
      <w:r>
        <w:rPr>
          <w:w w:val="120"/>
        </w:rPr>
        <w:t>is evidence in a number of records that there have been difficulties with professional boundaries and putting ministers in difficult positions and placing church members at risk. There is also evidence in the records that ministers who work within prisons are particularly at risk to allegations, but incomplete records made it difficult to identify if the allegations had been proven or disproved.</w:t>
      </w:r>
    </w:p>
    <w:p>
      <w:pPr>
        <w:spacing w:after="0" w:line="235" w:lineRule="auto"/>
        <w:sectPr>
          <w:headerReference w:type="even" r:id="rId156"/>
          <w:pgSz w:w="11910" w:h="16840"/>
          <w:pgMar w:header="0" w:footer="647" w:top="0" w:bottom="840" w:left="700" w:right="0"/>
        </w:sectPr>
      </w:pPr>
    </w:p>
    <w:p>
      <w:pPr>
        <w:pStyle w:val="BodyText"/>
      </w:pPr>
    </w:p>
    <w:p>
      <w:pPr>
        <w:pStyle w:val="BodyText"/>
        <w:spacing w:before="5"/>
        <w:rPr>
          <w:sz w:val="21"/>
        </w:rPr>
      </w:pPr>
    </w:p>
    <w:p>
      <w:pPr>
        <w:spacing w:after="0"/>
        <w:rPr>
          <w:sz w:val="21"/>
        </w:rPr>
        <w:sectPr>
          <w:headerReference w:type="default" r:id="rId157"/>
          <w:footerReference w:type="default" r:id="rId158"/>
          <w:pgSz w:w="11910" w:h="16840"/>
          <w:pgMar w:header="0" w:footer="647" w:top="0" w:bottom="840" w:left="700" w:right="0"/>
          <w:pgNumType w:start="47"/>
        </w:sectPr>
      </w:pPr>
    </w:p>
    <w:p>
      <w:pPr>
        <w:pStyle w:val="BodyText"/>
        <w:rPr>
          <w:sz w:val="24"/>
        </w:rPr>
      </w:pPr>
    </w:p>
    <w:p>
      <w:pPr>
        <w:pStyle w:val="BodyText"/>
        <w:spacing w:before="8"/>
        <w:rPr>
          <w:sz w:val="27"/>
        </w:rPr>
      </w:pPr>
    </w:p>
    <w:p>
      <w:pPr>
        <w:pStyle w:val="Heading8"/>
        <w:numPr>
          <w:ilvl w:val="1"/>
          <w:numId w:val="26"/>
        </w:numPr>
        <w:tabs>
          <w:tab w:pos="1964" w:val="left" w:leader="none"/>
          <w:tab w:pos="1965" w:val="left" w:leader="none"/>
        </w:tabs>
        <w:spacing w:line="253" w:lineRule="exact" w:before="0" w:after="0"/>
        <w:ind w:left="1964" w:right="0" w:hanging="681"/>
        <w:jc w:val="left"/>
      </w:pPr>
      <w:r>
        <w:rPr/>
        <w:pict>
          <v:shape style="position:absolute;margin-left:554.141174pt;margin-top:-8.818079pt;width:26pt;height:350.75pt;mso-position-horizontal-relative:page;mso-position-vertical-relative:paragraph;z-index:25178931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6"/>
                      <w:w w:val="120"/>
                      <w:sz w:val="39"/>
                    </w:rPr>
                    <w:t>seven </w:t>
                  </w:r>
                  <w:r>
                    <w:rPr>
                      <w:color w:val="FFFFFF"/>
                      <w:w w:val="120"/>
                      <w:sz w:val="39"/>
                    </w:rPr>
                    <w:t>– </w:t>
                  </w:r>
                  <w:r>
                    <w:rPr>
                      <w:rFonts w:ascii="Stone Sans II ITC Std Lt" w:hAnsi="Stone Sans II ITC Std Lt"/>
                      <w:b w:val="0"/>
                      <w:spacing w:val="6"/>
                      <w:w w:val="120"/>
                      <w:sz w:val="39"/>
                    </w:rPr>
                    <w:t>Past </w:t>
                  </w:r>
                  <w:r>
                    <w:rPr>
                      <w:rFonts w:ascii="Stone Sans II ITC Std Lt" w:hAnsi="Stone Sans II ITC Std Lt"/>
                      <w:b w:val="0"/>
                      <w:spacing w:val="8"/>
                      <w:w w:val="120"/>
                      <w:sz w:val="39"/>
                    </w:rPr>
                    <w:t>case</w:t>
                  </w:r>
                  <w:r>
                    <w:rPr>
                      <w:rFonts w:ascii="Stone Sans II ITC Std Lt" w:hAnsi="Stone Sans II ITC Std Lt"/>
                      <w:b w:val="0"/>
                      <w:spacing w:val="70"/>
                      <w:w w:val="120"/>
                      <w:sz w:val="39"/>
                    </w:rPr>
                    <w:t> </w:t>
                  </w:r>
                  <w:r>
                    <w:rPr>
                      <w:rFonts w:ascii="Stone Sans II ITC Std Lt" w:hAnsi="Stone Sans II ITC Std Lt"/>
                      <w:b w:val="0"/>
                      <w:spacing w:val="6"/>
                      <w:w w:val="120"/>
                      <w:sz w:val="39"/>
                    </w:rPr>
                    <w:t>review</w:t>
                  </w:r>
                </w:p>
              </w:txbxContent>
            </v:textbox>
            <w10:wrap type="none"/>
          </v:shape>
        </w:pict>
      </w:r>
      <w:r>
        <w:rPr>
          <w:w w:val="110"/>
        </w:rPr>
        <w:t>Recommendations</w:t>
      </w:r>
    </w:p>
    <w:p>
      <w:pPr>
        <w:spacing w:before="108"/>
        <w:ind w:left="1284" w:right="0" w:firstLine="0"/>
        <w:jc w:val="left"/>
        <w:rPr>
          <w:sz w:val="26"/>
        </w:rPr>
      </w:pPr>
      <w:r>
        <w:rPr/>
        <w:br w:type="column"/>
      </w:r>
      <w:r>
        <w:rPr>
          <w:color w:val="7EAABF"/>
          <w:w w:val="120"/>
          <w:sz w:val="26"/>
        </w:rPr>
        <w:t>Mission Council</w:t>
      </w:r>
    </w:p>
    <w:p>
      <w:pPr>
        <w:spacing w:after="0"/>
        <w:jc w:val="left"/>
        <w:rPr>
          <w:sz w:val="26"/>
        </w:rPr>
        <w:sectPr>
          <w:type w:val="continuous"/>
          <w:pgSz w:w="11910" w:h="16840"/>
          <w:pgMar w:top="1580" w:bottom="280" w:left="700" w:right="0"/>
          <w:cols w:num="2" w:equalWidth="0">
            <w:col w:w="4002" w:space="2695"/>
            <w:col w:w="4513"/>
          </w:cols>
        </w:sectPr>
      </w:pPr>
    </w:p>
    <w:p>
      <w:pPr>
        <w:pStyle w:val="ListParagraph"/>
        <w:numPr>
          <w:ilvl w:val="0"/>
          <w:numId w:val="37"/>
        </w:numPr>
        <w:tabs>
          <w:tab w:pos="1964" w:val="left" w:leader="none"/>
          <w:tab w:pos="1965" w:val="left" w:leader="none"/>
        </w:tabs>
        <w:spacing w:line="235" w:lineRule="auto" w:before="4" w:after="0"/>
        <w:ind w:left="1964" w:right="1661" w:hanging="681"/>
        <w:jc w:val="left"/>
        <w:rPr>
          <w:sz w:val="20"/>
        </w:rPr>
      </w:pPr>
      <w:r>
        <w:rPr/>
        <w:drawing>
          <wp:anchor distT="0" distB="0" distL="0" distR="0" allowOverlap="1" layoutInCell="1" locked="0" behindDoc="0" simplePos="0" relativeHeight="251788288">
            <wp:simplePos x="0" y="0"/>
            <wp:positionH relativeFrom="page">
              <wp:posOffset>6974928</wp:posOffset>
            </wp:positionH>
            <wp:positionV relativeFrom="page">
              <wp:posOffset>0</wp:posOffset>
            </wp:positionV>
            <wp:extent cx="585063" cy="10692003"/>
            <wp:effectExtent l="0" t="0" r="0" b="0"/>
            <wp:wrapNone/>
            <wp:docPr id="85" name="image24.png"/>
            <wp:cNvGraphicFramePr>
              <a:graphicFrameLocks noChangeAspect="1"/>
            </wp:cNvGraphicFramePr>
            <a:graphic>
              <a:graphicData uri="http://schemas.openxmlformats.org/drawingml/2006/picture">
                <pic:pic>
                  <pic:nvPicPr>
                    <pic:cNvPr id="86" name="image24.png"/>
                    <pic:cNvPicPr/>
                  </pic:nvPicPr>
                  <pic:blipFill>
                    <a:blip r:embed="rId31" cstate="print"/>
                    <a:stretch>
                      <a:fillRect/>
                    </a:stretch>
                  </pic:blipFill>
                  <pic:spPr>
                    <a:xfrm>
                      <a:off x="0" y="0"/>
                      <a:ext cx="585063" cy="10692003"/>
                    </a:xfrm>
                    <a:prstGeom prst="rect">
                      <a:avLst/>
                    </a:prstGeom>
                  </pic:spPr>
                </pic:pic>
              </a:graphicData>
            </a:graphic>
          </wp:anchor>
        </w:drawing>
      </w:r>
      <w:r>
        <w:rPr>
          <w:w w:val="120"/>
          <w:sz w:val="20"/>
        </w:rPr>
        <w:t>The issue of power and its use in the perpetration of abuse must be explored and understood within leadership training and monitoring</w:t>
      </w:r>
      <w:r>
        <w:rPr>
          <w:spacing w:val="46"/>
          <w:w w:val="120"/>
          <w:sz w:val="20"/>
        </w:rPr>
        <w:t> </w:t>
      </w:r>
      <w:r>
        <w:rPr>
          <w:spacing w:val="-5"/>
          <w:w w:val="120"/>
          <w:sz w:val="20"/>
        </w:rPr>
        <w:t>(LG).</w:t>
      </w:r>
    </w:p>
    <w:p>
      <w:pPr>
        <w:pStyle w:val="ListParagraph"/>
        <w:numPr>
          <w:ilvl w:val="0"/>
          <w:numId w:val="37"/>
        </w:numPr>
        <w:tabs>
          <w:tab w:pos="1964" w:val="left" w:leader="none"/>
          <w:tab w:pos="1965" w:val="left" w:leader="none"/>
        </w:tabs>
        <w:spacing w:line="235" w:lineRule="auto" w:before="1" w:after="0"/>
        <w:ind w:left="1964" w:right="1299" w:hanging="681"/>
        <w:jc w:val="left"/>
        <w:rPr>
          <w:sz w:val="20"/>
        </w:rPr>
      </w:pPr>
      <w:r>
        <w:rPr>
          <w:w w:val="120"/>
          <w:sz w:val="20"/>
        </w:rPr>
        <w:t>Consideration should be given to how to support ministers and pastoral workers who experience abuse and whether a whistle blowing procedure should be developed for this purpose</w:t>
      </w:r>
      <w:r>
        <w:rPr>
          <w:spacing w:val="11"/>
          <w:w w:val="120"/>
          <w:sz w:val="20"/>
        </w:rPr>
        <w:t> </w:t>
      </w:r>
      <w:r>
        <w:rPr>
          <w:spacing w:val="-5"/>
          <w:w w:val="120"/>
          <w:sz w:val="20"/>
        </w:rPr>
        <w:t>(LG).</w:t>
      </w:r>
    </w:p>
    <w:p>
      <w:pPr>
        <w:pStyle w:val="ListParagraph"/>
        <w:numPr>
          <w:ilvl w:val="0"/>
          <w:numId w:val="37"/>
        </w:numPr>
        <w:tabs>
          <w:tab w:pos="1964" w:val="left" w:leader="none"/>
          <w:tab w:pos="1965" w:val="left" w:leader="none"/>
        </w:tabs>
        <w:spacing w:line="235" w:lineRule="auto" w:before="2" w:after="0"/>
        <w:ind w:left="1964" w:right="1687" w:hanging="681"/>
        <w:jc w:val="left"/>
        <w:rPr>
          <w:sz w:val="20"/>
        </w:rPr>
      </w:pPr>
      <w:r>
        <w:rPr>
          <w:w w:val="120"/>
          <w:sz w:val="20"/>
        </w:rPr>
        <w:t>Retired ministers who may continue to pose a safeguarding concern must be monitored effectively</w:t>
      </w:r>
      <w:r>
        <w:rPr>
          <w:spacing w:val="5"/>
          <w:w w:val="120"/>
          <w:sz w:val="20"/>
        </w:rPr>
        <w:t> </w:t>
      </w:r>
      <w:r>
        <w:rPr>
          <w:spacing w:val="-5"/>
          <w:w w:val="120"/>
          <w:sz w:val="20"/>
        </w:rPr>
        <w:t>(LG).</w:t>
      </w:r>
    </w:p>
    <w:p>
      <w:pPr>
        <w:pStyle w:val="ListParagraph"/>
        <w:numPr>
          <w:ilvl w:val="0"/>
          <w:numId w:val="37"/>
        </w:numPr>
        <w:tabs>
          <w:tab w:pos="1964" w:val="left" w:leader="none"/>
          <w:tab w:pos="1965" w:val="left" w:leader="none"/>
        </w:tabs>
        <w:spacing w:line="235" w:lineRule="auto" w:before="2" w:after="0"/>
        <w:ind w:left="1964" w:right="1491" w:hanging="681"/>
        <w:jc w:val="left"/>
        <w:rPr>
          <w:sz w:val="20"/>
        </w:rPr>
      </w:pPr>
      <w:r>
        <w:rPr>
          <w:w w:val="120"/>
          <w:sz w:val="20"/>
        </w:rPr>
        <w:t>Thought should be given to how to support retired ministers in the process of retirement</w:t>
      </w:r>
      <w:r>
        <w:rPr>
          <w:spacing w:val="8"/>
          <w:w w:val="120"/>
          <w:sz w:val="20"/>
        </w:rPr>
        <w:t> </w:t>
      </w:r>
      <w:r>
        <w:rPr>
          <w:w w:val="120"/>
          <w:sz w:val="20"/>
        </w:rPr>
        <w:t>and</w:t>
      </w:r>
      <w:r>
        <w:rPr>
          <w:spacing w:val="9"/>
          <w:w w:val="120"/>
          <w:sz w:val="20"/>
        </w:rPr>
        <w:t> </w:t>
      </w:r>
      <w:r>
        <w:rPr>
          <w:w w:val="120"/>
          <w:sz w:val="20"/>
        </w:rPr>
        <w:t>how</w:t>
      </w:r>
      <w:r>
        <w:rPr>
          <w:spacing w:val="9"/>
          <w:w w:val="120"/>
          <w:sz w:val="20"/>
        </w:rPr>
        <w:t> </w:t>
      </w:r>
      <w:r>
        <w:rPr>
          <w:w w:val="120"/>
          <w:sz w:val="20"/>
        </w:rPr>
        <w:t>to</w:t>
      </w:r>
      <w:r>
        <w:rPr>
          <w:spacing w:val="8"/>
          <w:w w:val="120"/>
          <w:sz w:val="20"/>
        </w:rPr>
        <w:t> </w:t>
      </w:r>
      <w:r>
        <w:rPr>
          <w:w w:val="120"/>
          <w:sz w:val="20"/>
        </w:rPr>
        <w:t>manage</w:t>
      </w:r>
      <w:r>
        <w:rPr>
          <w:spacing w:val="9"/>
          <w:w w:val="120"/>
          <w:sz w:val="20"/>
        </w:rPr>
        <w:t> </w:t>
      </w:r>
      <w:r>
        <w:rPr>
          <w:w w:val="120"/>
          <w:sz w:val="20"/>
        </w:rPr>
        <w:t>the</w:t>
      </w:r>
      <w:r>
        <w:rPr>
          <w:spacing w:val="9"/>
          <w:w w:val="120"/>
          <w:sz w:val="20"/>
        </w:rPr>
        <w:t> </w:t>
      </w:r>
      <w:r>
        <w:rPr>
          <w:w w:val="120"/>
          <w:sz w:val="20"/>
        </w:rPr>
        <w:t>process</w:t>
      </w:r>
      <w:r>
        <w:rPr>
          <w:spacing w:val="8"/>
          <w:w w:val="120"/>
          <w:sz w:val="20"/>
        </w:rPr>
        <w:t> </w:t>
      </w:r>
      <w:r>
        <w:rPr>
          <w:w w:val="120"/>
          <w:sz w:val="20"/>
        </w:rPr>
        <w:t>so</w:t>
      </w:r>
      <w:r>
        <w:rPr>
          <w:spacing w:val="9"/>
          <w:w w:val="120"/>
          <w:sz w:val="20"/>
        </w:rPr>
        <w:t> </w:t>
      </w:r>
      <w:r>
        <w:rPr>
          <w:w w:val="120"/>
          <w:sz w:val="20"/>
        </w:rPr>
        <w:t>that</w:t>
      </w:r>
      <w:r>
        <w:rPr>
          <w:spacing w:val="9"/>
          <w:w w:val="120"/>
          <w:sz w:val="20"/>
        </w:rPr>
        <w:t> </w:t>
      </w:r>
      <w:r>
        <w:rPr>
          <w:w w:val="120"/>
          <w:sz w:val="20"/>
        </w:rPr>
        <w:t>‘letting</w:t>
      </w:r>
      <w:r>
        <w:rPr>
          <w:spacing w:val="8"/>
          <w:w w:val="120"/>
          <w:sz w:val="20"/>
        </w:rPr>
        <w:t> </w:t>
      </w:r>
      <w:r>
        <w:rPr>
          <w:w w:val="120"/>
          <w:sz w:val="20"/>
        </w:rPr>
        <w:t>go’</w:t>
      </w:r>
      <w:r>
        <w:rPr>
          <w:spacing w:val="9"/>
          <w:w w:val="120"/>
          <w:sz w:val="20"/>
        </w:rPr>
        <w:t> </w:t>
      </w:r>
      <w:r>
        <w:rPr>
          <w:w w:val="120"/>
          <w:sz w:val="20"/>
        </w:rPr>
        <w:t>is</w:t>
      </w:r>
      <w:r>
        <w:rPr>
          <w:spacing w:val="9"/>
          <w:w w:val="120"/>
          <w:sz w:val="20"/>
        </w:rPr>
        <w:t> </w:t>
      </w:r>
      <w:r>
        <w:rPr>
          <w:w w:val="120"/>
          <w:sz w:val="20"/>
        </w:rPr>
        <w:t>enabled</w:t>
      </w:r>
      <w:r>
        <w:rPr>
          <w:spacing w:val="9"/>
          <w:w w:val="120"/>
          <w:sz w:val="20"/>
        </w:rPr>
        <w:t> </w:t>
      </w:r>
      <w:r>
        <w:rPr>
          <w:spacing w:val="-5"/>
          <w:w w:val="120"/>
          <w:sz w:val="20"/>
        </w:rPr>
        <w:t>(LG).</w:t>
      </w:r>
    </w:p>
    <w:p>
      <w:pPr>
        <w:pStyle w:val="ListParagraph"/>
        <w:numPr>
          <w:ilvl w:val="0"/>
          <w:numId w:val="37"/>
        </w:numPr>
        <w:tabs>
          <w:tab w:pos="1964" w:val="left" w:leader="none"/>
          <w:tab w:pos="1965" w:val="left" w:leader="none"/>
        </w:tabs>
        <w:spacing w:line="240" w:lineRule="exact" w:before="0" w:after="0"/>
        <w:ind w:left="1964" w:right="0" w:hanging="681"/>
        <w:jc w:val="left"/>
        <w:rPr>
          <w:sz w:val="20"/>
        </w:rPr>
      </w:pPr>
      <w:r>
        <w:rPr>
          <w:w w:val="120"/>
          <w:sz w:val="20"/>
        </w:rPr>
        <w:t>Clear policies in place around professional boundaries</w:t>
      </w:r>
      <w:r>
        <w:rPr>
          <w:spacing w:val="21"/>
          <w:w w:val="120"/>
          <w:sz w:val="20"/>
        </w:rPr>
        <w:t> </w:t>
      </w:r>
      <w:r>
        <w:rPr>
          <w:spacing w:val="-3"/>
          <w:w w:val="120"/>
          <w:sz w:val="20"/>
        </w:rPr>
        <w:t>(EEx).</w:t>
      </w:r>
    </w:p>
    <w:p>
      <w:pPr>
        <w:pStyle w:val="ListParagraph"/>
        <w:numPr>
          <w:ilvl w:val="0"/>
          <w:numId w:val="37"/>
        </w:numPr>
        <w:tabs>
          <w:tab w:pos="1964" w:val="left" w:leader="none"/>
          <w:tab w:pos="1965" w:val="left" w:leader="none"/>
        </w:tabs>
        <w:spacing w:line="235" w:lineRule="auto" w:before="1" w:after="0"/>
        <w:ind w:left="1964" w:right="1271" w:hanging="681"/>
        <w:jc w:val="left"/>
        <w:rPr>
          <w:sz w:val="20"/>
        </w:rPr>
      </w:pPr>
      <w:r>
        <w:rPr>
          <w:w w:val="120"/>
          <w:sz w:val="20"/>
        </w:rPr>
        <w:t>Use of ‘professional supervision’ where ministers discuss cases with a ‘supervisor’ which will have a helicopter view to challenge involvement and re enforce boundaries</w:t>
      </w:r>
      <w:r>
        <w:rPr>
          <w:spacing w:val="2"/>
          <w:w w:val="120"/>
          <w:sz w:val="20"/>
        </w:rPr>
        <w:t> </w:t>
      </w:r>
      <w:r>
        <w:rPr>
          <w:spacing w:val="-3"/>
          <w:w w:val="120"/>
          <w:sz w:val="20"/>
        </w:rPr>
        <w:t>(EEx).</w:t>
      </w:r>
    </w:p>
    <w:p>
      <w:pPr>
        <w:pStyle w:val="ListParagraph"/>
        <w:numPr>
          <w:ilvl w:val="0"/>
          <w:numId w:val="37"/>
        </w:numPr>
        <w:tabs>
          <w:tab w:pos="1964" w:val="left" w:leader="none"/>
          <w:tab w:pos="1965" w:val="left" w:leader="none"/>
        </w:tabs>
        <w:spacing w:line="242" w:lineRule="exact" w:before="0" w:after="0"/>
        <w:ind w:left="1964" w:right="0" w:hanging="681"/>
        <w:jc w:val="left"/>
        <w:rPr>
          <w:sz w:val="20"/>
        </w:rPr>
      </w:pPr>
      <w:r>
        <w:rPr>
          <w:w w:val="120"/>
          <w:sz w:val="20"/>
        </w:rPr>
        <w:t>Importance of professional boundaries to be re-enforced with all ministers</w:t>
      </w:r>
      <w:r>
        <w:rPr>
          <w:spacing w:val="29"/>
          <w:w w:val="120"/>
          <w:sz w:val="20"/>
        </w:rPr>
        <w:t> </w:t>
      </w:r>
      <w:r>
        <w:rPr>
          <w:spacing w:val="-3"/>
          <w:w w:val="120"/>
          <w:sz w:val="20"/>
        </w:rPr>
        <w:t>(EEx).</w:t>
      </w:r>
    </w:p>
    <w:p>
      <w:pPr>
        <w:pStyle w:val="BodyText"/>
        <w:spacing w:before="4"/>
        <w:rPr>
          <w:sz w:val="18"/>
        </w:rPr>
      </w:pPr>
    </w:p>
    <w:p>
      <w:pPr>
        <w:pStyle w:val="Heading8"/>
        <w:numPr>
          <w:ilvl w:val="1"/>
          <w:numId w:val="26"/>
        </w:numPr>
        <w:tabs>
          <w:tab w:pos="1964" w:val="left" w:leader="none"/>
          <w:tab w:pos="1965" w:val="left" w:leader="none"/>
        </w:tabs>
        <w:spacing w:line="261" w:lineRule="exact" w:before="0" w:after="0"/>
        <w:ind w:left="1964" w:right="0" w:hanging="681"/>
        <w:jc w:val="left"/>
      </w:pPr>
      <w:r>
        <w:rPr>
          <w:w w:val="110"/>
        </w:rPr>
        <w:t>Response</w:t>
      </w:r>
    </w:p>
    <w:p>
      <w:pPr>
        <w:pStyle w:val="BodyText"/>
        <w:spacing w:line="235" w:lineRule="auto"/>
        <w:ind w:left="1284" w:right="1465"/>
      </w:pPr>
      <w:r>
        <w:rPr>
          <w:w w:val="120"/>
        </w:rPr>
        <w:t>The issue of power is highlighted within Education for Ministry Phase 1 </w:t>
      </w:r>
      <w:r>
        <w:rPr>
          <w:spacing w:val="-5"/>
          <w:w w:val="120"/>
        </w:rPr>
        <w:t>(10.2 </w:t>
      </w:r>
      <w:r>
        <w:rPr>
          <w:spacing w:val="-7"/>
          <w:w w:val="120"/>
        </w:rPr>
        <w:t>a) </w:t>
      </w:r>
      <w:r>
        <w:rPr>
          <w:w w:val="120"/>
        </w:rPr>
        <w:t>and  the</w:t>
      </w:r>
      <w:r>
        <w:rPr>
          <w:spacing w:val="8"/>
          <w:w w:val="120"/>
        </w:rPr>
        <w:t> </w:t>
      </w:r>
      <w:r>
        <w:rPr>
          <w:w w:val="120"/>
        </w:rPr>
        <w:t>recommendation</w:t>
      </w:r>
      <w:r>
        <w:rPr>
          <w:spacing w:val="8"/>
          <w:w w:val="120"/>
        </w:rPr>
        <w:t> </w:t>
      </w:r>
      <w:r>
        <w:rPr>
          <w:w w:val="120"/>
        </w:rPr>
        <w:t>will</w:t>
      </w:r>
      <w:r>
        <w:rPr>
          <w:spacing w:val="9"/>
          <w:w w:val="120"/>
        </w:rPr>
        <w:t> </w:t>
      </w:r>
      <w:r>
        <w:rPr>
          <w:w w:val="120"/>
        </w:rPr>
        <w:t>have</w:t>
      </w:r>
      <w:r>
        <w:rPr>
          <w:spacing w:val="8"/>
          <w:w w:val="120"/>
        </w:rPr>
        <w:t> </w:t>
      </w:r>
      <w:r>
        <w:rPr>
          <w:w w:val="120"/>
        </w:rPr>
        <w:t>been</w:t>
      </w:r>
      <w:r>
        <w:rPr>
          <w:spacing w:val="9"/>
          <w:w w:val="120"/>
        </w:rPr>
        <w:t> </w:t>
      </w:r>
      <w:r>
        <w:rPr>
          <w:w w:val="120"/>
        </w:rPr>
        <w:t>shared</w:t>
      </w:r>
      <w:r>
        <w:rPr>
          <w:spacing w:val="8"/>
          <w:w w:val="120"/>
        </w:rPr>
        <w:t> </w:t>
      </w:r>
      <w:r>
        <w:rPr>
          <w:w w:val="120"/>
        </w:rPr>
        <w:t>with</w:t>
      </w:r>
      <w:r>
        <w:rPr>
          <w:spacing w:val="9"/>
          <w:w w:val="120"/>
        </w:rPr>
        <w:t> </w:t>
      </w:r>
      <w:r>
        <w:rPr>
          <w:w w:val="120"/>
        </w:rPr>
        <w:t>Resource</w:t>
      </w:r>
      <w:r>
        <w:rPr>
          <w:spacing w:val="8"/>
          <w:w w:val="120"/>
        </w:rPr>
        <w:t> </w:t>
      </w:r>
      <w:r>
        <w:rPr>
          <w:w w:val="120"/>
        </w:rPr>
        <w:t>Centres</w:t>
      </w:r>
      <w:r>
        <w:rPr>
          <w:spacing w:val="9"/>
          <w:w w:val="120"/>
        </w:rPr>
        <w:t> </w:t>
      </w:r>
      <w:r>
        <w:rPr>
          <w:w w:val="120"/>
        </w:rPr>
        <w:t>for</w:t>
      </w:r>
      <w:r>
        <w:rPr>
          <w:spacing w:val="8"/>
          <w:w w:val="120"/>
        </w:rPr>
        <w:t> </w:t>
      </w:r>
      <w:r>
        <w:rPr>
          <w:w w:val="120"/>
        </w:rPr>
        <w:t>Learning</w:t>
      </w:r>
      <w:r>
        <w:rPr>
          <w:spacing w:val="8"/>
          <w:w w:val="120"/>
        </w:rPr>
        <w:t> </w:t>
      </w:r>
      <w:r>
        <w:rPr>
          <w:spacing w:val="-4"/>
          <w:w w:val="120"/>
        </w:rPr>
        <w:t>(RCL).</w:t>
      </w:r>
    </w:p>
    <w:p>
      <w:pPr>
        <w:pStyle w:val="BodyText"/>
        <w:spacing w:line="235" w:lineRule="auto"/>
        <w:ind w:left="1284" w:right="1283"/>
      </w:pPr>
      <w:r>
        <w:rPr>
          <w:w w:val="120"/>
        </w:rPr>
        <w:t>SAG will take up the issue of the necessity of whistleblowing process for thorough consideration and possible extension of Church House’s current relevant policy into the practice of the synods (10.2 b). Recommendations 10.2 c), d), f) are being discussed within the ministries committee. There is presently no cross-URC boundary policy,</w:t>
      </w:r>
    </w:p>
    <w:p>
      <w:pPr>
        <w:pStyle w:val="BodyText"/>
        <w:spacing w:line="235" w:lineRule="auto"/>
        <w:ind w:left="1284" w:right="1417"/>
      </w:pPr>
      <w:r>
        <w:rPr>
          <w:w w:val="120"/>
        </w:rPr>
        <w:t>but there is mandatory training in boundary good practice for ministers, Safer Sacred Space (10.2 g). Training in boundaries, with material commissioned by the education and learning committee and now available in each synod and RCL, asks participants to discuss boundaries in a range of scenarios, highlighting safe boundaries, questionable boundaries, and boundary violations.</w:t>
      </w:r>
    </w:p>
    <w:p>
      <w:pPr>
        <w:pStyle w:val="BodyText"/>
        <w:spacing w:before="4"/>
        <w:rPr>
          <w:sz w:val="22"/>
        </w:rPr>
      </w:pPr>
    </w:p>
    <w:p>
      <w:pPr>
        <w:pStyle w:val="Heading4"/>
        <w:numPr>
          <w:ilvl w:val="0"/>
          <w:numId w:val="26"/>
        </w:numPr>
        <w:tabs>
          <w:tab w:pos="1964" w:val="left" w:leader="none"/>
          <w:tab w:pos="1965" w:val="left" w:leader="none"/>
        </w:tabs>
        <w:spacing w:line="240" w:lineRule="auto" w:before="0" w:after="0"/>
        <w:ind w:left="1964" w:right="0" w:hanging="681"/>
        <w:jc w:val="left"/>
      </w:pPr>
      <w:r>
        <w:rPr>
          <w:spacing w:val="3"/>
          <w:w w:val="110"/>
        </w:rPr>
        <w:t>Conclusion</w:t>
      </w:r>
    </w:p>
    <w:p>
      <w:pPr>
        <w:pStyle w:val="BodyText"/>
        <w:spacing w:line="235" w:lineRule="auto" w:before="69"/>
        <w:ind w:left="1284" w:right="1465"/>
      </w:pPr>
      <w:r>
        <w:rPr>
          <w:w w:val="120"/>
        </w:rPr>
        <w:t>The past case review sheds light on some uncomfortable truths of the past. It also highlighted the need for the Church to become more systematic, careful and attentive to a wide spectrum of areas, including safeguarding, human resources, health and safety and pastoral care. In the light of the recent public interest and media </w:t>
      </w:r>
      <w:r>
        <w:rPr>
          <w:spacing w:val="2"/>
          <w:w w:val="120"/>
        </w:rPr>
        <w:t>reports </w:t>
      </w:r>
      <w:r>
        <w:rPr>
          <w:w w:val="120"/>
        </w:rPr>
        <w:t>about safeguarding, our attention to safeguarding requires more attention. The more members commit to demonstrating a duty of care, seek transparency in applying their responsibilities, and are ready to respond appropriately to concerns for those who need safeguarding and support, the safer the members of all our churches will feel, and victims of abuse will find a place of healing and trust within our churches. The biggest culture change will be for members to lose the notion that to be trained in boundaries or to be asked to complete a DBS check means that they are not trusted. ‘We never used to do it like that; you don’t trust me!’ is a frequently heard</w:t>
      </w:r>
      <w:r>
        <w:rPr>
          <w:spacing w:val="-7"/>
          <w:w w:val="120"/>
        </w:rPr>
        <w:t> </w:t>
      </w:r>
      <w:r>
        <w:rPr>
          <w:w w:val="120"/>
        </w:rPr>
        <w:t>response</w:t>
      </w:r>
    </w:p>
    <w:p>
      <w:pPr>
        <w:pStyle w:val="BodyText"/>
        <w:spacing w:line="235" w:lineRule="auto" w:before="8"/>
        <w:ind w:left="1284" w:right="1491"/>
      </w:pPr>
      <w:r>
        <w:rPr>
          <w:w w:val="120"/>
        </w:rPr>
        <w:t>to an invitation to training or to enter due process. We all need to understand that much abuse had been hidden and the closed network of relations did not allow    those in less powerful positions to seek remedy in our previous church culture. </w:t>
      </w:r>
      <w:r>
        <w:rPr>
          <w:spacing w:val="3"/>
          <w:w w:val="120"/>
        </w:rPr>
        <w:t>As </w:t>
      </w:r>
      <w:r>
        <w:rPr>
          <w:w w:val="120"/>
        </w:rPr>
        <w:t>our acknowledgement of that history, we are now called to identify actions that ensure future protection, safety and more responsible and joyous relationships. The final </w:t>
      </w:r>
      <w:r>
        <w:rPr>
          <w:spacing w:val="2"/>
          <w:w w:val="120"/>
        </w:rPr>
        <w:t>report </w:t>
      </w:r>
      <w:r>
        <w:rPr>
          <w:w w:val="120"/>
        </w:rPr>
        <w:t>and the lessons learned through the past case review offer a promising step</w:t>
      </w:r>
      <w:r>
        <w:rPr>
          <w:spacing w:val="24"/>
          <w:w w:val="120"/>
        </w:rPr>
        <w:t> </w:t>
      </w:r>
      <w:r>
        <w:rPr>
          <w:w w:val="120"/>
        </w:rPr>
        <w:t>to</w:t>
      </w:r>
    </w:p>
    <w:p>
      <w:pPr>
        <w:pStyle w:val="BodyText"/>
        <w:spacing w:line="235" w:lineRule="auto" w:before="5"/>
        <w:ind w:left="1284" w:right="1283"/>
      </w:pPr>
      <w:r>
        <w:rPr>
          <w:w w:val="120"/>
        </w:rPr>
        <w:t>identify and effect changes in the internal policies and practices of the United Reformed Church. As a matter of urgency and responsibility, and out of respect for the stories</w:t>
      </w:r>
    </w:p>
    <w:p>
      <w:pPr>
        <w:pStyle w:val="BodyText"/>
        <w:spacing w:line="235" w:lineRule="auto" w:before="1"/>
        <w:ind w:left="1284" w:right="1303"/>
      </w:pPr>
      <w:r>
        <w:rPr>
          <w:w w:val="120"/>
        </w:rPr>
        <w:t>of survivors of abuse who stepped forward to voice these, a safeguarding strategic   plan for the whole church will take effect in the immediate future </w:t>
      </w:r>
      <w:r>
        <w:rPr>
          <w:spacing w:val="-7"/>
          <w:w w:val="120"/>
        </w:rPr>
        <w:t>(2018 </w:t>
      </w:r>
      <w:r>
        <w:rPr>
          <w:w w:val="120"/>
        </w:rPr>
        <w:t>to </w:t>
      </w:r>
      <w:r>
        <w:rPr>
          <w:spacing w:val="-4"/>
          <w:w w:val="120"/>
        </w:rPr>
        <w:t>2022).  </w:t>
      </w:r>
      <w:r>
        <w:rPr>
          <w:w w:val="120"/>
        </w:rPr>
        <w:t>Thanks to those who contributed to the planning and implementation of the past case review, we will be able to promote safer practices and prevent people from suffering or experiencing abuse or neglect in the years to</w:t>
      </w:r>
      <w:r>
        <w:rPr>
          <w:spacing w:val="21"/>
          <w:w w:val="120"/>
        </w:rPr>
        <w:t> </w:t>
      </w:r>
      <w:r>
        <w:rPr>
          <w:w w:val="120"/>
        </w:rPr>
        <w:t>come.</w:t>
      </w:r>
    </w:p>
    <w:p>
      <w:pPr>
        <w:spacing w:after="0" w:line="235" w:lineRule="auto"/>
        <w:sectPr>
          <w:type w:val="continuous"/>
          <w:pgSz w:w="11910" w:h="16840"/>
          <w:pgMar w:top="1580" w:bottom="280" w:left="700" w:right="0"/>
        </w:sectPr>
      </w:pPr>
    </w:p>
    <w:p>
      <w:pPr>
        <w:pStyle w:val="BodyText"/>
      </w:pPr>
      <w:r>
        <w:rPr/>
        <w:pict>
          <v:rect style="position:absolute;margin-left:46.777pt;margin-top:.000015pt;width:548.498pt;height:841.89pt;mso-position-horizontal-relative:page;mso-position-vertical-relative:page;z-index:-267493376" filled="true" fillcolor="#fef4df" stroked="false">
            <v:fill type="solid"/>
            <w10:wrap type="none"/>
          </v:rect>
        </w:pict>
      </w:r>
      <w:r>
        <w:rPr/>
        <w:drawing>
          <wp:anchor distT="0" distB="0" distL="0" distR="0" allowOverlap="1" layoutInCell="1" locked="0" behindDoc="1" simplePos="0" relativeHeight="235824128">
            <wp:simplePos x="0" y="0"/>
            <wp:positionH relativeFrom="page">
              <wp:posOffset>0</wp:posOffset>
            </wp:positionH>
            <wp:positionV relativeFrom="page">
              <wp:posOffset>0</wp:posOffset>
            </wp:positionV>
            <wp:extent cx="594067" cy="10692003"/>
            <wp:effectExtent l="0" t="0" r="0" b="0"/>
            <wp:wrapNone/>
            <wp:docPr id="87" name="image51.png"/>
            <wp:cNvGraphicFramePr>
              <a:graphicFrameLocks noChangeAspect="1"/>
            </wp:cNvGraphicFramePr>
            <a:graphic>
              <a:graphicData uri="http://schemas.openxmlformats.org/drawingml/2006/picture">
                <pic:pic>
                  <pic:nvPicPr>
                    <pic:cNvPr id="88"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64.5pt;mso-position-horizontal-relative:page;mso-position-vertical-relative:page;z-index:-267491328"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8"/>
                      <w:w w:val="120"/>
                      <w:sz w:val="39"/>
                    </w:rPr>
                    <w:t>eight </w:t>
                  </w:r>
                  <w:r>
                    <w:rPr>
                      <w:color w:val="FFFFFF"/>
                      <w:w w:val="120"/>
                      <w:sz w:val="39"/>
                    </w:rPr>
                    <w:t>– </w:t>
                  </w:r>
                  <w:r>
                    <w:rPr>
                      <w:rFonts w:ascii="Stone Sans II ITC Std Lt" w:hAnsi="Stone Sans II ITC Std Lt"/>
                      <w:b w:val="0"/>
                      <w:spacing w:val="8"/>
                      <w:w w:val="120"/>
                      <w:sz w:val="39"/>
                    </w:rPr>
                    <w:t>‘Walking the</w:t>
                  </w:r>
                  <w:r>
                    <w:rPr>
                      <w:rFonts w:ascii="Stone Sans II ITC Std Lt" w:hAnsi="Stone Sans II ITC Std Lt"/>
                      <w:b w:val="0"/>
                      <w:spacing w:val="91"/>
                      <w:w w:val="120"/>
                      <w:sz w:val="39"/>
                    </w:rPr>
                    <w:t> </w:t>
                  </w:r>
                  <w:r>
                    <w:rPr>
                      <w:rFonts w:ascii="Stone Sans II ITC Std Lt" w:hAnsi="Stone Sans II ITC Std Lt"/>
                      <w:b w:val="0"/>
                      <w:spacing w:val="4"/>
                      <w:w w:val="120"/>
                      <w:sz w:val="39"/>
                    </w:rPr>
                    <w:t>Way’</w:t>
                  </w:r>
                </w:p>
              </w:txbxContent>
            </v:textbox>
            <w10:wrap type="none"/>
          </v:shape>
        </w:pict>
      </w:r>
    </w:p>
    <w:p>
      <w:pPr>
        <w:pStyle w:val="BodyText"/>
      </w:pPr>
    </w:p>
    <w:p>
      <w:pPr>
        <w:pStyle w:val="BodyText"/>
      </w:pPr>
    </w:p>
    <w:p>
      <w:pPr>
        <w:pStyle w:val="BodyText"/>
        <w:spacing w:before="5"/>
        <w:rPr>
          <w:sz w:val="28"/>
        </w:rPr>
      </w:pPr>
    </w:p>
    <w:p>
      <w:pPr>
        <w:pStyle w:val="Heading2"/>
        <w:spacing w:line="213" w:lineRule="auto"/>
        <w:ind w:left="547"/>
        <w:rPr>
          <w:b/>
        </w:rPr>
      </w:pPr>
      <w:bookmarkStart w:name="_bookmark9" w:id="10"/>
      <w:bookmarkEnd w:id="10"/>
      <w:r>
        <w:rPr>
          <w:b w:val="0"/>
        </w:rPr>
      </w:r>
      <w:r>
        <w:rPr>
          <w:b/>
          <w:color w:val="F1B400"/>
          <w:spacing w:val="-9"/>
          <w:w w:val="110"/>
        </w:rPr>
        <w:t>Mission </w:t>
      </w:r>
      <w:r>
        <w:rPr>
          <w:b/>
          <w:color w:val="F1B400"/>
          <w:spacing w:val="-10"/>
          <w:w w:val="110"/>
        </w:rPr>
        <w:t>Council </w:t>
      </w:r>
      <w:r>
        <w:rPr>
          <w:b/>
          <w:color w:val="F1B400"/>
          <w:spacing w:val="-9"/>
          <w:w w:val="110"/>
        </w:rPr>
        <w:t>appendix eight </w:t>
      </w:r>
      <w:r>
        <w:rPr>
          <w:b/>
          <w:spacing w:val="-9"/>
          <w:w w:val="110"/>
        </w:rPr>
        <w:t>‘Walking </w:t>
      </w:r>
      <w:r>
        <w:rPr>
          <w:b/>
          <w:spacing w:val="-8"/>
          <w:w w:val="110"/>
        </w:rPr>
        <w:t>the </w:t>
      </w:r>
      <w:r>
        <w:rPr>
          <w:b/>
          <w:spacing w:val="-11"/>
          <w:w w:val="110"/>
        </w:rPr>
        <w:t>Way’ </w:t>
      </w:r>
      <w:r>
        <w:rPr>
          <w:b/>
          <w:spacing w:val="-6"/>
          <w:w w:val="110"/>
        </w:rPr>
        <w:t>report</w:t>
      </w:r>
    </w:p>
    <w:p>
      <w:pPr>
        <w:spacing w:before="356" w:after="9"/>
        <w:ind w:left="54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line="235" w:lineRule="auto" w:before="111"/>
              <w:ind w:left="79" w:right="1438"/>
              <w:rPr>
                <w:sz w:val="20"/>
              </w:rPr>
            </w:pPr>
            <w:r>
              <w:rPr>
                <w:w w:val="120"/>
                <w:sz w:val="20"/>
              </w:rPr>
              <w:t>Francis Brienen: </w:t>
            </w:r>
            <w:hyperlink r:id="rId161">
              <w:r>
                <w:rPr>
                  <w:color w:val="006AB3"/>
                  <w:w w:val="120"/>
                  <w:sz w:val="20"/>
                </w:rPr>
                <w:t>francis.brienen@urc.org.uk</w:t>
              </w:r>
            </w:hyperlink>
            <w:r>
              <w:rPr>
                <w:color w:val="006AB3"/>
                <w:w w:val="120"/>
                <w:sz w:val="20"/>
              </w:rPr>
              <w:t> </w:t>
            </w:r>
            <w:r>
              <w:rPr>
                <w:w w:val="120"/>
                <w:sz w:val="20"/>
              </w:rPr>
              <w:t>Richard Church: </w:t>
            </w:r>
            <w:hyperlink r:id="rId125">
              <w:r>
                <w:rPr>
                  <w:color w:val="006AB3"/>
                  <w:w w:val="120"/>
                  <w:sz w:val="20"/>
                </w:rPr>
                <w:t>richard.church@urc.org.uk</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7"/>
              <w:ind w:left="79"/>
              <w:rPr>
                <w:sz w:val="20"/>
              </w:rPr>
            </w:pPr>
            <w:r>
              <w:rPr>
                <w:w w:val="120"/>
                <w:sz w:val="20"/>
              </w:rPr>
              <w:t>For information.</w:t>
            </w:r>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spacing w:before="95"/>
              <w:ind w:left="79"/>
              <w:rPr>
                <w:rFonts w:ascii="Stone Sans II ITC Std Bk"/>
                <w:b/>
                <w:sz w:val="20"/>
              </w:rPr>
            </w:pPr>
            <w:r>
              <w:rPr>
                <w:rFonts w:ascii="Stone Sans II ITC Std Bk"/>
                <w:b/>
                <w:w w:val="110"/>
                <w:sz w:val="20"/>
              </w:rPr>
              <w:t>None.</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64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line="235" w:lineRule="auto" w:before="111"/>
              <w:ind w:left="79" w:right="235"/>
              <w:rPr>
                <w:sz w:val="20"/>
              </w:rPr>
            </w:pPr>
            <w:r>
              <w:rPr>
                <w:w w:val="120"/>
                <w:sz w:val="20"/>
              </w:rPr>
              <w:t>The development and launch of Walking the Way over the last two years.</w:t>
            </w:r>
          </w:p>
        </w:tc>
      </w:tr>
      <w:tr>
        <w:trPr>
          <w:trHeight w:val="88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spacing w:line="235" w:lineRule="auto" w:before="111"/>
              <w:ind w:left="79" w:right="139"/>
              <w:rPr>
                <w:sz w:val="20"/>
              </w:rPr>
            </w:pPr>
            <w:r>
              <w:rPr>
                <w:w w:val="120"/>
                <w:sz w:val="20"/>
              </w:rPr>
              <w:t>Much time and effort was given to sharing the vision in 2016-17. In 2017-18 resources have been made widely available. CWM funding has been sought and granted.</w:t>
            </w:r>
          </w:p>
        </w:tc>
      </w:tr>
      <w:tr>
        <w:trPr>
          <w:trHeight w:val="64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Pr>
                <w:sz w:val="20"/>
              </w:rPr>
            </w:pPr>
            <w:r>
              <w:rPr>
                <w:w w:val="120"/>
                <w:sz w:val="20"/>
              </w:rPr>
              <w:t>Report to General Assembly 2016, and to every meeting of Mission Council since then.</w:t>
            </w:r>
          </w:p>
        </w:tc>
      </w:tr>
      <w:tr>
        <w:trPr>
          <w:trHeight w:val="88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42" w:lineRule="exact" w:before="108"/>
              <w:ind w:left="79"/>
              <w:rPr>
                <w:sz w:val="20"/>
              </w:rPr>
            </w:pPr>
            <w:r>
              <w:rPr>
                <w:w w:val="120"/>
                <w:sz w:val="20"/>
              </w:rPr>
              <w:t>Mission committee.</w:t>
            </w:r>
          </w:p>
          <w:p>
            <w:pPr>
              <w:pStyle w:val="TableParagraph"/>
              <w:spacing w:line="235" w:lineRule="auto" w:before="1"/>
              <w:ind w:left="79" w:right="2284"/>
              <w:rPr>
                <w:sz w:val="20"/>
              </w:rPr>
            </w:pPr>
            <w:r>
              <w:rPr>
                <w:w w:val="120"/>
                <w:sz w:val="20"/>
              </w:rPr>
              <w:t>Education and learning committee. Mission Council.</w:t>
            </w:r>
          </w:p>
        </w:tc>
      </w:tr>
    </w:tbl>
    <w:p>
      <w:pPr>
        <w:spacing w:before="187" w:after="9"/>
        <w:ind w:left="54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55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line="235" w:lineRule="auto" w:before="111"/>
              <w:ind w:left="79" w:right="202"/>
              <w:rPr>
                <w:sz w:val="20"/>
              </w:rPr>
            </w:pPr>
            <w:r>
              <w:rPr>
                <w:w w:val="120"/>
                <w:sz w:val="20"/>
              </w:rPr>
              <w:t>Present work draws on a CWM grant, as was always intended, and for this our Church is very grateful.</w:t>
            </w:r>
          </w:p>
        </w:tc>
      </w:tr>
      <w:tr>
        <w:trPr>
          <w:trHeight w:val="88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ight="144"/>
              <w:rPr>
                <w:sz w:val="20"/>
              </w:rPr>
            </w:pPr>
            <w:r>
              <w:rPr>
                <w:w w:val="120"/>
                <w:sz w:val="20"/>
              </w:rPr>
              <w:t>We have drawn on some resources created in other churches and fellowships, and intend that ‘Walking the Way’ will give our Church’s witness increased credibility and confidence.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2"/>
        <w:rPr>
          <w:rFonts w:ascii="Stone Sans II ITC Std Bk"/>
          <w:b/>
          <w:sz w:val="34"/>
        </w:rPr>
      </w:pPr>
    </w:p>
    <w:p>
      <w:pPr>
        <w:spacing w:before="0"/>
        <w:ind w:left="547" w:right="0" w:firstLine="0"/>
        <w:jc w:val="left"/>
        <w:rPr>
          <w:sz w:val="23"/>
        </w:rPr>
      </w:pPr>
      <w:r>
        <w:rPr>
          <w:rFonts w:ascii="Stone Sans II ITC Std X Bd" w:hAnsi="Stone Sans II ITC Std X Bd"/>
          <w:b/>
          <w:w w:val="110"/>
          <w:sz w:val="24"/>
        </w:rPr>
        <w:t>48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159"/>
          <w:footerReference w:type="even" r:id="rId160"/>
          <w:pgSz w:w="11910" w:h="16840"/>
          <w:pgMar w:header="0" w:footer="0" w:top="0" w:bottom="0" w:left="700" w:right="0"/>
        </w:sectPr>
      </w:pPr>
    </w:p>
    <w:p>
      <w:pPr>
        <w:pStyle w:val="BodyText"/>
      </w:pPr>
    </w:p>
    <w:p>
      <w:pPr>
        <w:pStyle w:val="BodyText"/>
        <w:spacing w:before="5"/>
        <w:rPr>
          <w:sz w:val="21"/>
        </w:rPr>
      </w:pPr>
    </w:p>
    <w:p>
      <w:pPr>
        <w:spacing w:after="0"/>
        <w:rPr>
          <w:sz w:val="21"/>
        </w:rPr>
        <w:sectPr>
          <w:headerReference w:type="default" r:id="rId162"/>
          <w:footerReference w:type="default" r:id="rId163"/>
          <w:pgSz w:w="11910" w:h="16840"/>
          <w:pgMar w:header="0" w:footer="647" w:top="0" w:bottom="840" w:left="700" w:right="0"/>
          <w:pgNumType w:start="49"/>
        </w:sectPr>
      </w:pPr>
    </w:p>
    <w:p>
      <w:pPr>
        <w:pStyle w:val="BodyText"/>
        <w:rPr>
          <w:sz w:val="55"/>
        </w:rPr>
      </w:pPr>
    </w:p>
    <w:p>
      <w:pPr>
        <w:spacing w:before="0"/>
        <w:ind w:left="3445" w:right="0" w:firstLine="0"/>
        <w:jc w:val="left"/>
        <w:rPr>
          <w:rFonts w:ascii="Stone Sans II ITC Std Bk"/>
          <w:b/>
          <w:sz w:val="50"/>
        </w:rPr>
      </w:pPr>
      <w:r>
        <w:rPr>
          <w:rFonts w:ascii="Stone Sans II ITC Std Bk"/>
          <w:b/>
          <w:color w:val="0090D4"/>
          <w:spacing w:val="6"/>
          <w:w w:val="110"/>
          <w:sz w:val="50"/>
        </w:rPr>
        <w:t>Appendix</w:t>
      </w:r>
      <w:r>
        <w:rPr>
          <w:rFonts w:ascii="Stone Sans II ITC Std Bk"/>
          <w:b/>
          <w:color w:val="0090D4"/>
          <w:spacing w:val="105"/>
          <w:w w:val="110"/>
          <w:sz w:val="50"/>
        </w:rPr>
        <w:t> </w:t>
      </w:r>
      <w:r>
        <w:rPr>
          <w:rFonts w:ascii="Stone Sans II ITC Std Bk"/>
          <w:b/>
          <w:color w:val="0090D4"/>
          <w:w w:val="110"/>
          <w:sz w:val="50"/>
        </w:rPr>
        <w:t>eight</w:t>
      </w:r>
    </w:p>
    <w:p>
      <w:pPr>
        <w:spacing w:before="108"/>
        <w:ind w:left="200" w:right="0" w:firstLine="0"/>
        <w:jc w:val="left"/>
        <w:rPr>
          <w:sz w:val="26"/>
        </w:rPr>
      </w:pPr>
      <w:r>
        <w:rPr/>
        <w:br w:type="column"/>
      </w:r>
      <w:r>
        <w:rPr>
          <w:color w:val="7EAABF"/>
          <w:w w:val="120"/>
          <w:sz w:val="26"/>
        </w:rPr>
        <w:t>Mission Council</w:t>
      </w:r>
    </w:p>
    <w:p>
      <w:pPr>
        <w:spacing w:after="0"/>
        <w:jc w:val="left"/>
        <w:rPr>
          <w:sz w:val="26"/>
        </w:rPr>
        <w:sectPr>
          <w:type w:val="continuous"/>
          <w:pgSz w:w="11910" w:h="16840"/>
          <w:pgMar w:top="1580" w:bottom="280" w:left="700" w:right="0"/>
          <w:cols w:num="2" w:equalWidth="0">
            <w:col w:w="7741" w:space="40"/>
            <w:col w:w="3429"/>
          </w:cols>
        </w:sectPr>
      </w:pPr>
    </w:p>
    <w:p>
      <w:pPr>
        <w:spacing w:before="84"/>
        <w:ind w:left="1287" w:right="1304" w:firstLine="0"/>
        <w:jc w:val="center"/>
        <w:rPr>
          <w:rFonts w:ascii="Stone Sans II ITC Std X Bd" w:hAnsi="Stone Sans II ITC Std X Bd"/>
          <w:b/>
          <w:sz w:val="50"/>
        </w:rPr>
      </w:pPr>
      <w:r>
        <w:rPr/>
        <w:drawing>
          <wp:anchor distT="0" distB="0" distL="0" distR="0" allowOverlap="1" layoutInCell="1" locked="0" behindDoc="0" simplePos="0" relativeHeight="251793408">
            <wp:simplePos x="0" y="0"/>
            <wp:positionH relativeFrom="page">
              <wp:posOffset>6974928</wp:posOffset>
            </wp:positionH>
            <wp:positionV relativeFrom="page">
              <wp:posOffset>0</wp:posOffset>
            </wp:positionV>
            <wp:extent cx="585076" cy="10692003"/>
            <wp:effectExtent l="0" t="0" r="0" b="0"/>
            <wp:wrapNone/>
            <wp:docPr id="89" name="image50.png"/>
            <wp:cNvGraphicFramePr>
              <a:graphicFrameLocks noChangeAspect="1"/>
            </wp:cNvGraphicFramePr>
            <a:graphic>
              <a:graphicData uri="http://schemas.openxmlformats.org/drawingml/2006/picture">
                <pic:pic>
                  <pic:nvPicPr>
                    <pic:cNvPr id="90" name="image50.png"/>
                    <pic:cNvPicPr/>
                  </pic:nvPicPr>
                  <pic:blipFill>
                    <a:blip r:embed="rId64" cstate="print"/>
                    <a:stretch>
                      <a:fillRect/>
                    </a:stretch>
                  </pic:blipFill>
                  <pic:spPr>
                    <a:xfrm>
                      <a:off x="0" y="0"/>
                      <a:ext cx="585076" cy="10692003"/>
                    </a:xfrm>
                    <a:prstGeom prst="rect">
                      <a:avLst/>
                    </a:prstGeom>
                  </pic:spPr>
                </pic:pic>
              </a:graphicData>
            </a:graphic>
          </wp:anchor>
        </w:drawing>
      </w:r>
      <w:r>
        <w:rPr/>
        <w:pict>
          <v:shape style="position:absolute;margin-left:554.141174pt;margin-top:-44.64967pt;width:26pt;height:364.5pt;mso-position-horizontal-relative:page;mso-position-vertical-relative:paragraph;z-index:25179443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8"/>
                      <w:w w:val="120"/>
                      <w:sz w:val="39"/>
                    </w:rPr>
                    <w:t>eight </w:t>
                  </w:r>
                  <w:r>
                    <w:rPr>
                      <w:color w:val="FFFFFF"/>
                      <w:w w:val="120"/>
                      <w:sz w:val="39"/>
                    </w:rPr>
                    <w:t>– </w:t>
                  </w:r>
                  <w:r>
                    <w:rPr>
                      <w:rFonts w:ascii="Stone Sans II ITC Std Lt" w:hAnsi="Stone Sans II ITC Std Lt"/>
                      <w:b w:val="0"/>
                      <w:spacing w:val="8"/>
                      <w:w w:val="120"/>
                      <w:sz w:val="39"/>
                    </w:rPr>
                    <w:t>‘Walking the</w:t>
                  </w:r>
                  <w:r>
                    <w:rPr>
                      <w:rFonts w:ascii="Stone Sans II ITC Std Lt" w:hAnsi="Stone Sans II ITC Std Lt"/>
                      <w:b w:val="0"/>
                      <w:spacing w:val="91"/>
                      <w:w w:val="120"/>
                      <w:sz w:val="39"/>
                    </w:rPr>
                    <w:t> </w:t>
                  </w:r>
                  <w:r>
                    <w:rPr>
                      <w:rFonts w:ascii="Stone Sans II ITC Std Lt" w:hAnsi="Stone Sans II ITC Std Lt"/>
                      <w:b w:val="0"/>
                      <w:spacing w:val="4"/>
                      <w:w w:val="120"/>
                      <w:sz w:val="39"/>
                    </w:rPr>
                    <w:t>Way’</w:t>
                  </w:r>
                </w:p>
              </w:txbxContent>
            </v:textbox>
            <w10:wrap type="none"/>
          </v:shape>
        </w:pict>
      </w:r>
      <w:r>
        <w:rPr>
          <w:rFonts w:ascii="Stone Sans II ITC Std X Bd" w:hAnsi="Stone Sans II ITC Std X Bd"/>
          <w:b/>
          <w:spacing w:val="-9"/>
          <w:w w:val="110"/>
          <w:sz w:val="50"/>
        </w:rPr>
        <w:t>‘Walking  </w:t>
      </w:r>
      <w:r>
        <w:rPr>
          <w:rFonts w:ascii="Stone Sans II ITC Std X Bd" w:hAnsi="Stone Sans II ITC Std X Bd"/>
          <w:b/>
          <w:spacing w:val="-8"/>
          <w:w w:val="110"/>
          <w:sz w:val="50"/>
        </w:rPr>
        <w:t>the </w:t>
      </w:r>
      <w:r>
        <w:rPr>
          <w:rFonts w:ascii="Stone Sans II ITC Std X Bd" w:hAnsi="Stone Sans II ITC Std X Bd"/>
          <w:b/>
          <w:spacing w:val="-11"/>
          <w:w w:val="110"/>
          <w:sz w:val="50"/>
        </w:rPr>
        <w:t>Way’</w:t>
      </w:r>
      <w:r>
        <w:rPr>
          <w:rFonts w:ascii="Stone Sans II ITC Std X Bd" w:hAnsi="Stone Sans II ITC Std X Bd"/>
          <w:b/>
          <w:spacing w:val="-24"/>
          <w:w w:val="110"/>
          <w:sz w:val="50"/>
        </w:rPr>
        <w:t> </w:t>
      </w:r>
      <w:r>
        <w:rPr>
          <w:rFonts w:ascii="Stone Sans II ITC Std X Bd" w:hAnsi="Stone Sans II ITC Std X Bd"/>
          <w:b/>
          <w:spacing w:val="-6"/>
          <w:w w:val="110"/>
          <w:sz w:val="50"/>
        </w:rPr>
        <w:t>report</w:t>
      </w:r>
    </w:p>
    <w:p>
      <w:pPr>
        <w:pStyle w:val="ListParagraph"/>
        <w:numPr>
          <w:ilvl w:val="0"/>
          <w:numId w:val="38"/>
        </w:numPr>
        <w:tabs>
          <w:tab w:pos="1936" w:val="left" w:leader="none"/>
          <w:tab w:pos="1937" w:val="left" w:leader="none"/>
        </w:tabs>
        <w:spacing w:line="235" w:lineRule="auto" w:before="365" w:after="0"/>
        <w:ind w:left="1255" w:right="1429" w:firstLine="0"/>
        <w:jc w:val="left"/>
        <w:rPr>
          <w:sz w:val="20"/>
        </w:rPr>
      </w:pPr>
      <w:r>
        <w:rPr>
          <w:w w:val="120"/>
          <w:sz w:val="20"/>
        </w:rPr>
        <w:t>‘Walking the </w:t>
      </w:r>
      <w:r>
        <w:rPr>
          <w:spacing w:val="-7"/>
          <w:w w:val="120"/>
          <w:sz w:val="20"/>
        </w:rPr>
        <w:t>Way, </w:t>
      </w:r>
      <w:r>
        <w:rPr>
          <w:w w:val="120"/>
          <w:sz w:val="20"/>
        </w:rPr>
        <w:t>living the life of Jesus </w:t>
      </w:r>
      <w:r>
        <w:rPr>
          <w:spacing w:val="-3"/>
          <w:w w:val="120"/>
          <w:sz w:val="20"/>
        </w:rPr>
        <w:t>today’ </w:t>
      </w:r>
      <w:r>
        <w:rPr>
          <w:w w:val="120"/>
          <w:sz w:val="20"/>
        </w:rPr>
        <w:t>was </w:t>
      </w:r>
      <w:r>
        <w:rPr>
          <w:spacing w:val="-3"/>
          <w:w w:val="120"/>
          <w:sz w:val="20"/>
        </w:rPr>
        <w:t>welcomed </w:t>
      </w:r>
      <w:r>
        <w:rPr>
          <w:w w:val="120"/>
          <w:sz w:val="20"/>
        </w:rPr>
        <w:t>by the General Assembly in </w:t>
      </w:r>
      <w:r>
        <w:rPr>
          <w:spacing w:val="-8"/>
          <w:w w:val="120"/>
          <w:sz w:val="20"/>
        </w:rPr>
        <w:t>2016 </w:t>
      </w:r>
      <w:r>
        <w:rPr>
          <w:w w:val="120"/>
          <w:sz w:val="20"/>
        </w:rPr>
        <w:t>and is the </w:t>
      </w:r>
      <w:r>
        <w:rPr>
          <w:spacing w:val="-5"/>
          <w:w w:val="120"/>
          <w:sz w:val="20"/>
        </w:rPr>
        <w:t>URC’s </w:t>
      </w:r>
      <w:r>
        <w:rPr>
          <w:w w:val="120"/>
          <w:sz w:val="20"/>
        </w:rPr>
        <w:t>major </w:t>
      </w:r>
      <w:r>
        <w:rPr>
          <w:spacing w:val="-3"/>
          <w:w w:val="120"/>
          <w:sz w:val="20"/>
        </w:rPr>
        <w:t>emphasis </w:t>
      </w:r>
      <w:r>
        <w:rPr>
          <w:w w:val="120"/>
          <w:sz w:val="20"/>
        </w:rPr>
        <w:t>on refreshing and growing our habits of </w:t>
      </w:r>
      <w:r>
        <w:rPr>
          <w:spacing w:val="-3"/>
          <w:w w:val="120"/>
          <w:sz w:val="20"/>
        </w:rPr>
        <w:t>discipleship </w:t>
      </w:r>
      <w:r>
        <w:rPr>
          <w:w w:val="120"/>
          <w:sz w:val="20"/>
        </w:rPr>
        <w:t>and </w:t>
      </w:r>
      <w:r>
        <w:rPr>
          <w:spacing w:val="-3"/>
          <w:w w:val="120"/>
          <w:sz w:val="20"/>
        </w:rPr>
        <w:t>mission. </w:t>
      </w:r>
      <w:r>
        <w:rPr>
          <w:w w:val="120"/>
          <w:sz w:val="20"/>
        </w:rPr>
        <w:t>Mission </w:t>
      </w:r>
      <w:r>
        <w:rPr>
          <w:spacing w:val="-3"/>
          <w:w w:val="120"/>
          <w:sz w:val="20"/>
        </w:rPr>
        <w:t>Council received </w:t>
      </w:r>
      <w:r>
        <w:rPr>
          <w:w w:val="120"/>
          <w:sz w:val="20"/>
        </w:rPr>
        <w:t>various reports from the ‘Walking the </w:t>
      </w:r>
      <w:r>
        <w:rPr>
          <w:spacing w:val="-3"/>
          <w:w w:val="120"/>
          <w:sz w:val="20"/>
        </w:rPr>
        <w:t>Way’ </w:t>
      </w:r>
      <w:r>
        <w:rPr>
          <w:w w:val="120"/>
          <w:sz w:val="20"/>
        </w:rPr>
        <w:t>steering group and </w:t>
      </w:r>
      <w:r>
        <w:rPr>
          <w:spacing w:val="-3"/>
          <w:w w:val="120"/>
          <w:sz w:val="20"/>
        </w:rPr>
        <w:t>noted </w:t>
      </w:r>
      <w:r>
        <w:rPr>
          <w:w w:val="120"/>
          <w:sz w:val="20"/>
        </w:rPr>
        <w:t>that work on supporting the </w:t>
      </w:r>
      <w:r>
        <w:rPr>
          <w:spacing w:val="-3"/>
          <w:w w:val="120"/>
          <w:sz w:val="20"/>
        </w:rPr>
        <w:t>United </w:t>
      </w:r>
      <w:r>
        <w:rPr>
          <w:w w:val="120"/>
          <w:sz w:val="20"/>
        </w:rPr>
        <w:t>Reformed </w:t>
      </w:r>
      <w:r>
        <w:rPr>
          <w:spacing w:val="-5"/>
          <w:w w:val="120"/>
          <w:sz w:val="20"/>
        </w:rPr>
        <w:t>Church’s </w:t>
      </w:r>
      <w:r>
        <w:rPr>
          <w:spacing w:val="-3"/>
          <w:w w:val="120"/>
          <w:sz w:val="20"/>
        </w:rPr>
        <w:t>denomination </w:t>
      </w:r>
      <w:r>
        <w:rPr>
          <w:w w:val="120"/>
          <w:sz w:val="20"/>
        </w:rPr>
        <w:t>wide </w:t>
      </w:r>
      <w:r>
        <w:rPr>
          <w:spacing w:val="-3"/>
          <w:w w:val="120"/>
          <w:sz w:val="20"/>
        </w:rPr>
        <w:t>focus </w:t>
      </w:r>
      <w:r>
        <w:rPr>
          <w:w w:val="120"/>
          <w:sz w:val="20"/>
        </w:rPr>
        <w:t>on </w:t>
      </w:r>
      <w:r>
        <w:rPr>
          <w:spacing w:val="-3"/>
          <w:w w:val="120"/>
          <w:sz w:val="20"/>
        </w:rPr>
        <w:t>missional discipleship </w:t>
      </w:r>
      <w:r>
        <w:rPr>
          <w:w w:val="120"/>
          <w:sz w:val="20"/>
        </w:rPr>
        <w:t>has </w:t>
      </w:r>
      <w:r>
        <w:rPr>
          <w:spacing w:val="-3"/>
          <w:w w:val="120"/>
          <w:sz w:val="20"/>
        </w:rPr>
        <w:t>continued</w:t>
      </w:r>
      <w:r>
        <w:rPr>
          <w:spacing w:val="44"/>
          <w:w w:val="120"/>
          <w:sz w:val="20"/>
        </w:rPr>
        <w:t> </w:t>
      </w:r>
      <w:r>
        <w:rPr>
          <w:spacing w:val="-3"/>
          <w:w w:val="120"/>
          <w:sz w:val="20"/>
        </w:rPr>
        <w:t>apace.</w:t>
      </w:r>
    </w:p>
    <w:p>
      <w:pPr>
        <w:pStyle w:val="BodyText"/>
        <w:spacing w:before="4"/>
        <w:rPr>
          <w:sz w:val="22"/>
        </w:rPr>
      </w:pPr>
    </w:p>
    <w:p>
      <w:pPr>
        <w:spacing w:before="0"/>
        <w:ind w:left="1255" w:right="0" w:firstLine="0"/>
        <w:jc w:val="left"/>
        <w:rPr>
          <w:rFonts w:ascii="Stone Sans II ITC Std Bk"/>
          <w:b/>
          <w:sz w:val="29"/>
        </w:rPr>
      </w:pPr>
      <w:r>
        <w:rPr>
          <w:rFonts w:ascii="Stone Sans II ITC Std Bk"/>
          <w:b/>
          <w:w w:val="110"/>
          <w:sz w:val="29"/>
        </w:rPr>
        <w:t>Communicating the vision</w:t>
      </w:r>
    </w:p>
    <w:p>
      <w:pPr>
        <w:pStyle w:val="ListParagraph"/>
        <w:numPr>
          <w:ilvl w:val="0"/>
          <w:numId w:val="38"/>
        </w:numPr>
        <w:tabs>
          <w:tab w:pos="1936" w:val="left" w:leader="none"/>
          <w:tab w:pos="1937" w:val="left" w:leader="none"/>
        </w:tabs>
        <w:spacing w:line="235" w:lineRule="auto" w:before="69" w:after="0"/>
        <w:ind w:left="1255" w:right="1756" w:firstLine="0"/>
        <w:jc w:val="left"/>
        <w:rPr>
          <w:sz w:val="20"/>
        </w:rPr>
      </w:pPr>
      <w:r>
        <w:rPr>
          <w:w w:val="120"/>
          <w:sz w:val="20"/>
        </w:rPr>
        <w:t>During </w:t>
      </w:r>
      <w:r>
        <w:rPr>
          <w:spacing w:val="-9"/>
          <w:w w:val="120"/>
          <w:sz w:val="20"/>
        </w:rPr>
        <w:t>2017 </w:t>
      </w:r>
      <w:r>
        <w:rPr>
          <w:w w:val="120"/>
          <w:sz w:val="20"/>
        </w:rPr>
        <w:t>the focus was on communicating the vision, and developing resources for synods and local churches. Steering group members attended synod meetings, ministers’ conferences and other events to explore missional discipleship together and listen to the needs of synods and local</w:t>
      </w:r>
      <w:r>
        <w:rPr>
          <w:spacing w:val="26"/>
          <w:w w:val="120"/>
          <w:sz w:val="20"/>
        </w:rPr>
        <w:t> </w:t>
      </w:r>
      <w:r>
        <w:rPr>
          <w:w w:val="120"/>
          <w:sz w:val="20"/>
        </w:rPr>
        <w:t>churches.</w:t>
      </w:r>
    </w:p>
    <w:p>
      <w:pPr>
        <w:pStyle w:val="BodyText"/>
        <w:spacing w:before="11"/>
        <w:rPr>
          <w:sz w:val="19"/>
        </w:rPr>
      </w:pPr>
    </w:p>
    <w:p>
      <w:pPr>
        <w:pStyle w:val="ListParagraph"/>
        <w:numPr>
          <w:ilvl w:val="0"/>
          <w:numId w:val="38"/>
        </w:numPr>
        <w:tabs>
          <w:tab w:pos="1936" w:val="left" w:leader="none"/>
          <w:tab w:pos="1937" w:val="left" w:leader="none"/>
        </w:tabs>
        <w:spacing w:line="235" w:lineRule="auto" w:before="0" w:after="0"/>
        <w:ind w:left="1255" w:right="1612" w:firstLine="0"/>
        <w:jc w:val="left"/>
        <w:rPr>
          <w:sz w:val="20"/>
        </w:rPr>
      </w:pPr>
      <w:r>
        <w:rPr>
          <w:w w:val="120"/>
          <w:sz w:val="20"/>
        </w:rPr>
        <w:t>The communications department designed a logo and livery for ‘Walking the </w:t>
      </w:r>
      <w:r>
        <w:rPr>
          <w:spacing w:val="-5"/>
          <w:w w:val="120"/>
          <w:sz w:val="20"/>
        </w:rPr>
        <w:t>Way’, </w:t>
      </w:r>
      <w:r>
        <w:rPr>
          <w:w w:val="120"/>
          <w:sz w:val="20"/>
        </w:rPr>
        <w:t>as well as webpages and introductory materials. PowerPoint presentations and audiovisual resources were also produced to introduce ‘Walking the Way’ in synod meetings and local churches. Walking the Way is now also present on Facebook, Twitter and</w:t>
      </w:r>
      <w:r>
        <w:rPr>
          <w:spacing w:val="3"/>
          <w:w w:val="120"/>
          <w:sz w:val="20"/>
        </w:rPr>
        <w:t> </w:t>
      </w:r>
      <w:r>
        <w:rPr>
          <w:w w:val="120"/>
          <w:sz w:val="20"/>
        </w:rPr>
        <w:t>Instagram.</w:t>
      </w:r>
    </w:p>
    <w:p>
      <w:pPr>
        <w:pStyle w:val="BodyText"/>
        <w:spacing w:before="4"/>
        <w:rPr>
          <w:sz w:val="22"/>
        </w:rPr>
      </w:pPr>
    </w:p>
    <w:p>
      <w:pPr>
        <w:pStyle w:val="Heading4"/>
        <w:ind w:left="1255" w:firstLine="0"/>
      </w:pPr>
      <w:r>
        <w:rPr>
          <w:w w:val="110"/>
        </w:rPr>
        <w:t>Supporting local churches</w:t>
      </w:r>
    </w:p>
    <w:p>
      <w:pPr>
        <w:pStyle w:val="ListParagraph"/>
        <w:numPr>
          <w:ilvl w:val="0"/>
          <w:numId w:val="38"/>
        </w:numPr>
        <w:tabs>
          <w:tab w:pos="1936" w:val="left" w:leader="none"/>
          <w:tab w:pos="1937" w:val="left" w:leader="none"/>
        </w:tabs>
        <w:spacing w:line="235" w:lineRule="auto" w:before="69" w:after="0"/>
        <w:ind w:left="1255" w:right="2030" w:firstLine="0"/>
        <w:jc w:val="left"/>
        <w:rPr>
          <w:sz w:val="20"/>
        </w:rPr>
      </w:pPr>
      <w:r>
        <w:rPr>
          <w:w w:val="120"/>
          <w:sz w:val="20"/>
        </w:rPr>
        <w:t>Much work was done to resource local churches with materials that could be used in developing missional discipleship that touches on all aspects of</w:t>
      </w:r>
      <w:r>
        <w:rPr>
          <w:spacing w:val="3"/>
          <w:w w:val="120"/>
          <w:sz w:val="20"/>
        </w:rPr>
        <w:t> </w:t>
      </w:r>
      <w:r>
        <w:rPr>
          <w:w w:val="120"/>
          <w:sz w:val="20"/>
        </w:rPr>
        <w:t>life.</w:t>
      </w:r>
    </w:p>
    <w:p>
      <w:pPr>
        <w:pStyle w:val="BodyText"/>
        <w:spacing w:line="235" w:lineRule="auto" w:before="1"/>
        <w:ind w:left="1255" w:right="1283"/>
      </w:pPr>
      <w:r>
        <w:rPr>
          <w:w w:val="120"/>
        </w:rPr>
        <w:t>Introductory leaflets accompanied by a prayer card were sent to local congregations in August 2017. The leaflet contained a link to Advent resources on the website, to mark the beginning of this emphasis within the life of the URC.</w:t>
      </w:r>
    </w:p>
    <w:p>
      <w:pPr>
        <w:pStyle w:val="BodyText"/>
        <w:spacing w:before="10"/>
        <w:rPr>
          <w:sz w:val="19"/>
        </w:rPr>
      </w:pPr>
    </w:p>
    <w:p>
      <w:pPr>
        <w:pStyle w:val="ListParagraph"/>
        <w:numPr>
          <w:ilvl w:val="0"/>
          <w:numId w:val="38"/>
        </w:numPr>
        <w:tabs>
          <w:tab w:pos="1936" w:val="left" w:leader="none"/>
          <w:tab w:pos="1937" w:val="left" w:leader="none"/>
        </w:tabs>
        <w:spacing w:line="235" w:lineRule="auto" w:before="1" w:after="0"/>
        <w:ind w:left="1255" w:right="1318" w:firstLine="0"/>
        <w:jc w:val="left"/>
        <w:rPr>
          <w:sz w:val="20"/>
        </w:rPr>
      </w:pPr>
      <w:r>
        <w:rPr>
          <w:w w:val="120"/>
          <w:sz w:val="20"/>
        </w:rPr>
        <w:t>January </w:t>
      </w:r>
      <w:r>
        <w:rPr>
          <w:spacing w:val="-6"/>
          <w:w w:val="120"/>
          <w:sz w:val="20"/>
        </w:rPr>
        <w:t>2018 </w:t>
      </w:r>
      <w:r>
        <w:rPr>
          <w:w w:val="120"/>
          <w:sz w:val="20"/>
        </w:rPr>
        <w:t>saw the publication of </w:t>
      </w:r>
      <w:r>
        <w:rPr>
          <w:i/>
          <w:w w:val="120"/>
          <w:sz w:val="20"/>
        </w:rPr>
        <w:t>Holy Habits</w:t>
      </w:r>
      <w:r>
        <w:rPr>
          <w:w w:val="120"/>
          <w:sz w:val="20"/>
        </w:rPr>
        <w:t>, a congregational resource based on the book of the same name by Andrew </w:t>
      </w:r>
      <w:r>
        <w:rPr>
          <w:spacing w:val="2"/>
          <w:w w:val="120"/>
          <w:sz w:val="20"/>
        </w:rPr>
        <w:t>Roberts, </w:t>
      </w:r>
      <w:r>
        <w:rPr>
          <w:w w:val="120"/>
          <w:sz w:val="20"/>
        </w:rPr>
        <w:t>published by BRF and developed    by the Methodist Church and the URC. It offers individuals and congregations an opportunity to look further into the ten habits covered in the original book, re- imagining them for personal and community life in the </w:t>
      </w:r>
      <w:r>
        <w:rPr>
          <w:spacing w:val="-5"/>
          <w:w w:val="120"/>
          <w:sz w:val="20"/>
        </w:rPr>
        <w:t>21st </w:t>
      </w:r>
      <w:r>
        <w:rPr>
          <w:w w:val="120"/>
          <w:sz w:val="20"/>
        </w:rPr>
        <w:t>century. Film resources to accompany each holy habit are being developed with the Revd Kevin Snyman and will be available by the middle of</w:t>
      </w:r>
      <w:r>
        <w:rPr>
          <w:spacing w:val="14"/>
          <w:w w:val="120"/>
          <w:sz w:val="20"/>
        </w:rPr>
        <w:t> </w:t>
      </w:r>
      <w:r>
        <w:rPr>
          <w:spacing w:val="-5"/>
          <w:w w:val="120"/>
          <w:sz w:val="20"/>
        </w:rPr>
        <w:t>2018.</w:t>
      </w:r>
    </w:p>
    <w:p>
      <w:pPr>
        <w:pStyle w:val="BodyText"/>
      </w:pPr>
    </w:p>
    <w:p>
      <w:pPr>
        <w:pStyle w:val="ListParagraph"/>
        <w:numPr>
          <w:ilvl w:val="0"/>
          <w:numId w:val="38"/>
        </w:numPr>
        <w:tabs>
          <w:tab w:pos="1935" w:val="left" w:leader="none"/>
          <w:tab w:pos="1936" w:val="left" w:leader="none"/>
        </w:tabs>
        <w:spacing w:line="235" w:lineRule="auto" w:before="1" w:after="0"/>
        <w:ind w:left="1255" w:right="1632" w:firstLine="0"/>
        <w:jc w:val="left"/>
        <w:rPr>
          <w:sz w:val="20"/>
        </w:rPr>
      </w:pPr>
      <w:r>
        <w:rPr>
          <w:w w:val="120"/>
          <w:sz w:val="20"/>
        </w:rPr>
        <w:t>The steering group also produced liturgical ideas for Lent </w:t>
      </w:r>
      <w:r>
        <w:rPr>
          <w:spacing w:val="-6"/>
          <w:w w:val="120"/>
          <w:sz w:val="20"/>
        </w:rPr>
        <w:t>2018 </w:t>
      </w:r>
      <w:r>
        <w:rPr>
          <w:w w:val="120"/>
          <w:sz w:val="20"/>
        </w:rPr>
        <w:t>to help congregations consider how Jesus’ time in the wilderness in preparation for his work might influence our relationship with missional</w:t>
      </w:r>
      <w:r>
        <w:rPr>
          <w:spacing w:val="14"/>
          <w:w w:val="120"/>
          <w:sz w:val="20"/>
        </w:rPr>
        <w:t> </w:t>
      </w:r>
      <w:r>
        <w:rPr>
          <w:w w:val="120"/>
          <w:sz w:val="20"/>
        </w:rPr>
        <w:t>discipleship.</w:t>
      </w:r>
    </w:p>
    <w:p>
      <w:pPr>
        <w:pStyle w:val="BodyText"/>
        <w:spacing w:before="10"/>
        <w:rPr>
          <w:sz w:val="19"/>
        </w:rPr>
      </w:pPr>
    </w:p>
    <w:p>
      <w:pPr>
        <w:pStyle w:val="ListParagraph"/>
        <w:numPr>
          <w:ilvl w:val="0"/>
          <w:numId w:val="38"/>
        </w:numPr>
        <w:tabs>
          <w:tab w:pos="1935" w:val="left" w:leader="none"/>
          <w:tab w:pos="1936" w:val="left" w:leader="none"/>
        </w:tabs>
        <w:spacing w:line="235" w:lineRule="auto" w:before="0" w:after="0"/>
        <w:ind w:left="1255" w:right="1340" w:firstLine="0"/>
        <w:jc w:val="left"/>
        <w:rPr>
          <w:sz w:val="20"/>
        </w:rPr>
      </w:pPr>
      <w:r>
        <w:rPr>
          <w:w w:val="120"/>
          <w:sz w:val="20"/>
        </w:rPr>
        <w:t>A task and finish group was set up to design a new discipleship course to replace the</w:t>
      </w:r>
      <w:r>
        <w:rPr>
          <w:spacing w:val="7"/>
          <w:w w:val="120"/>
          <w:sz w:val="20"/>
        </w:rPr>
        <w:t> </w:t>
      </w:r>
      <w:r>
        <w:rPr>
          <w:spacing w:val="2"/>
          <w:w w:val="120"/>
          <w:sz w:val="20"/>
        </w:rPr>
        <w:t>TLS</w:t>
      </w:r>
      <w:r>
        <w:rPr>
          <w:spacing w:val="7"/>
          <w:w w:val="120"/>
          <w:sz w:val="20"/>
        </w:rPr>
        <w:t> </w:t>
      </w:r>
      <w:r>
        <w:rPr>
          <w:w w:val="120"/>
          <w:sz w:val="20"/>
        </w:rPr>
        <w:t>programme.</w:t>
      </w:r>
      <w:r>
        <w:rPr>
          <w:spacing w:val="7"/>
          <w:w w:val="120"/>
          <w:sz w:val="20"/>
        </w:rPr>
        <w:t> </w:t>
      </w:r>
      <w:r>
        <w:rPr>
          <w:w w:val="120"/>
          <w:sz w:val="20"/>
        </w:rPr>
        <w:t>The</w:t>
      </w:r>
      <w:r>
        <w:rPr>
          <w:spacing w:val="7"/>
          <w:w w:val="120"/>
          <w:sz w:val="20"/>
        </w:rPr>
        <w:t> </w:t>
      </w:r>
      <w:r>
        <w:rPr>
          <w:w w:val="120"/>
          <w:sz w:val="20"/>
        </w:rPr>
        <w:t>group</w:t>
      </w:r>
      <w:r>
        <w:rPr>
          <w:spacing w:val="7"/>
          <w:w w:val="120"/>
          <w:sz w:val="20"/>
        </w:rPr>
        <w:t> </w:t>
      </w:r>
      <w:r>
        <w:rPr>
          <w:w w:val="120"/>
          <w:sz w:val="20"/>
        </w:rPr>
        <w:t>developed</w:t>
      </w:r>
      <w:r>
        <w:rPr>
          <w:spacing w:val="7"/>
          <w:w w:val="120"/>
          <w:sz w:val="20"/>
        </w:rPr>
        <w:t> </w:t>
      </w:r>
      <w:r>
        <w:rPr>
          <w:w w:val="120"/>
          <w:sz w:val="20"/>
        </w:rPr>
        <w:t>a</w:t>
      </w:r>
      <w:r>
        <w:rPr>
          <w:spacing w:val="7"/>
          <w:w w:val="120"/>
          <w:sz w:val="20"/>
        </w:rPr>
        <w:t> </w:t>
      </w:r>
      <w:r>
        <w:rPr>
          <w:w w:val="120"/>
          <w:sz w:val="20"/>
        </w:rPr>
        <w:t>framework</w:t>
      </w:r>
      <w:r>
        <w:rPr>
          <w:spacing w:val="7"/>
          <w:w w:val="120"/>
          <w:sz w:val="20"/>
        </w:rPr>
        <w:t> </w:t>
      </w:r>
      <w:r>
        <w:rPr>
          <w:w w:val="120"/>
          <w:sz w:val="20"/>
        </w:rPr>
        <w:t>and</w:t>
      </w:r>
      <w:r>
        <w:rPr>
          <w:spacing w:val="7"/>
          <w:w w:val="120"/>
          <w:sz w:val="20"/>
        </w:rPr>
        <w:t> </w:t>
      </w:r>
      <w:r>
        <w:rPr>
          <w:w w:val="120"/>
          <w:sz w:val="20"/>
        </w:rPr>
        <w:t>commissioned</w:t>
      </w:r>
      <w:r>
        <w:rPr>
          <w:spacing w:val="7"/>
          <w:w w:val="120"/>
          <w:sz w:val="20"/>
        </w:rPr>
        <w:t> </w:t>
      </w:r>
      <w:r>
        <w:rPr>
          <w:w w:val="120"/>
          <w:sz w:val="20"/>
        </w:rPr>
        <w:t>writers</w:t>
      </w:r>
    </w:p>
    <w:p>
      <w:pPr>
        <w:pStyle w:val="BodyText"/>
        <w:spacing w:line="235" w:lineRule="auto" w:before="1"/>
        <w:ind w:left="1255" w:right="1417"/>
      </w:pPr>
      <w:r>
        <w:rPr>
          <w:w w:val="120"/>
        </w:rPr>
        <w:t>to produce new materials which can be used by all those wishing to deeper their discipleship. Now named Stepwise, the first stream – Faith-filled life – will be available in September 2018.</w:t>
      </w:r>
    </w:p>
    <w:p>
      <w:pPr>
        <w:pStyle w:val="BodyText"/>
        <w:spacing w:before="3"/>
        <w:rPr>
          <w:sz w:val="22"/>
        </w:rPr>
      </w:pPr>
    </w:p>
    <w:p>
      <w:pPr>
        <w:pStyle w:val="Heading4"/>
        <w:ind w:left="1255" w:firstLine="0"/>
      </w:pPr>
      <w:r>
        <w:rPr>
          <w:w w:val="110"/>
        </w:rPr>
        <w:t>Resourcing with people</w:t>
      </w:r>
    </w:p>
    <w:p>
      <w:pPr>
        <w:pStyle w:val="ListParagraph"/>
        <w:numPr>
          <w:ilvl w:val="0"/>
          <w:numId w:val="38"/>
        </w:numPr>
        <w:tabs>
          <w:tab w:pos="1936" w:val="left" w:leader="none"/>
          <w:tab w:pos="1937" w:val="left" w:leader="none"/>
        </w:tabs>
        <w:spacing w:line="235" w:lineRule="auto" w:before="69" w:after="0"/>
        <w:ind w:left="1255" w:right="1582" w:firstLine="0"/>
        <w:jc w:val="left"/>
        <w:rPr>
          <w:sz w:val="20"/>
        </w:rPr>
      </w:pPr>
      <w:r>
        <w:rPr>
          <w:w w:val="120"/>
          <w:sz w:val="20"/>
        </w:rPr>
        <w:t>The steering group convened a meeting in July </w:t>
      </w:r>
      <w:r>
        <w:rPr>
          <w:spacing w:val="-9"/>
          <w:w w:val="120"/>
          <w:sz w:val="20"/>
        </w:rPr>
        <w:t>2017 </w:t>
      </w:r>
      <w:r>
        <w:rPr>
          <w:w w:val="120"/>
          <w:sz w:val="20"/>
        </w:rPr>
        <w:t>which brought together those in synods and Resource Centres for Learning to share plans and learn how an emphasis on ‘Walking the Way’ is unfolding across the denomination. The meeting strengthened links between the various groups and helped to ensure that we pursue a common</w:t>
      </w:r>
      <w:r>
        <w:rPr>
          <w:spacing w:val="4"/>
          <w:w w:val="120"/>
          <w:sz w:val="20"/>
        </w:rPr>
        <w:t> </w:t>
      </w:r>
      <w:r>
        <w:rPr>
          <w:w w:val="120"/>
          <w:sz w:val="20"/>
        </w:rPr>
        <w:t>vision.</w:t>
      </w:r>
    </w:p>
    <w:p>
      <w:pPr>
        <w:spacing w:after="0" w:line="235" w:lineRule="auto"/>
        <w:jc w:val="left"/>
        <w:rPr>
          <w:sz w:val="20"/>
        </w:rPr>
        <w:sectPr>
          <w:type w:val="continuous"/>
          <w:pgSz w:w="11910" w:h="16840"/>
          <w:pgMar w:top="1580" w:bottom="280" w:left="700" w:right="0"/>
        </w:sectPr>
      </w:pPr>
    </w:p>
    <w:p>
      <w:pPr>
        <w:pStyle w:val="BodyText"/>
      </w:pPr>
      <w:r>
        <w:rPr/>
        <w:drawing>
          <wp:anchor distT="0" distB="0" distL="0" distR="0" allowOverlap="1" layoutInCell="1" locked="0" behindDoc="1" simplePos="0" relativeHeight="235828224">
            <wp:simplePos x="0" y="0"/>
            <wp:positionH relativeFrom="page">
              <wp:posOffset>0</wp:posOffset>
            </wp:positionH>
            <wp:positionV relativeFrom="page">
              <wp:posOffset>0</wp:posOffset>
            </wp:positionV>
            <wp:extent cx="594067" cy="10692003"/>
            <wp:effectExtent l="0" t="0" r="0" b="0"/>
            <wp:wrapNone/>
            <wp:docPr id="91" name="image49.png"/>
            <wp:cNvGraphicFramePr>
              <a:graphicFrameLocks noChangeAspect="1"/>
            </wp:cNvGraphicFramePr>
            <a:graphic>
              <a:graphicData uri="http://schemas.openxmlformats.org/drawingml/2006/picture">
                <pic:pic>
                  <pic:nvPicPr>
                    <pic:cNvPr id="9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64.5pt;mso-position-horizontal-relative:page;mso-position-vertical-relative:page;z-index:-26748723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color w:val="FFFFFF"/>
                      <w:spacing w:val="9"/>
                      <w:w w:val="120"/>
                      <w:sz w:val="39"/>
                    </w:rPr>
                    <w:t>Appendix </w:t>
                  </w:r>
                  <w:r>
                    <w:rPr>
                      <w:color w:val="FFFFFF"/>
                      <w:spacing w:val="8"/>
                      <w:w w:val="120"/>
                      <w:sz w:val="39"/>
                    </w:rPr>
                    <w:t>eight </w:t>
                  </w:r>
                  <w:r>
                    <w:rPr>
                      <w:color w:val="FFFFFF"/>
                      <w:w w:val="120"/>
                      <w:sz w:val="39"/>
                    </w:rPr>
                    <w:t>– </w:t>
                  </w:r>
                  <w:r>
                    <w:rPr>
                      <w:rFonts w:ascii="Stone Sans II ITC Std Lt" w:hAnsi="Stone Sans II ITC Std Lt"/>
                      <w:b w:val="0"/>
                      <w:spacing w:val="8"/>
                      <w:w w:val="120"/>
                      <w:sz w:val="39"/>
                    </w:rPr>
                    <w:t>‘Walking the</w:t>
                  </w:r>
                  <w:r>
                    <w:rPr>
                      <w:rFonts w:ascii="Stone Sans II ITC Std Lt" w:hAnsi="Stone Sans II ITC Std Lt"/>
                      <w:b w:val="0"/>
                      <w:spacing w:val="91"/>
                      <w:w w:val="120"/>
                      <w:sz w:val="39"/>
                    </w:rPr>
                    <w:t> </w:t>
                  </w:r>
                  <w:r>
                    <w:rPr>
                      <w:rFonts w:ascii="Stone Sans II ITC Std Lt" w:hAnsi="Stone Sans II ITC Std Lt"/>
                      <w:b w:val="0"/>
                      <w:spacing w:val="4"/>
                      <w:w w:val="120"/>
                      <w:sz w:val="39"/>
                    </w:rPr>
                    <w:t>Way’</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0"/>
          <w:numId w:val="38"/>
        </w:numPr>
        <w:tabs>
          <w:tab w:pos="1227" w:val="left" w:leader="none"/>
          <w:tab w:pos="1228" w:val="left" w:leader="none"/>
        </w:tabs>
        <w:spacing w:line="235" w:lineRule="auto" w:before="222" w:after="0"/>
        <w:ind w:left="547" w:right="2025" w:firstLine="0"/>
        <w:jc w:val="left"/>
        <w:rPr>
          <w:sz w:val="20"/>
        </w:rPr>
      </w:pPr>
      <w:r>
        <w:rPr>
          <w:w w:val="120"/>
          <w:sz w:val="20"/>
        </w:rPr>
        <w:t>A </w:t>
      </w:r>
      <w:r>
        <w:rPr>
          <w:spacing w:val="-3"/>
          <w:w w:val="120"/>
          <w:sz w:val="20"/>
        </w:rPr>
        <w:t>ministers’ conference </w:t>
      </w:r>
      <w:r>
        <w:rPr>
          <w:w w:val="120"/>
          <w:sz w:val="20"/>
        </w:rPr>
        <w:t>is being planned </w:t>
      </w:r>
      <w:r>
        <w:rPr>
          <w:spacing w:val="-3"/>
          <w:w w:val="120"/>
          <w:sz w:val="20"/>
        </w:rPr>
        <w:t>to </w:t>
      </w:r>
      <w:r>
        <w:rPr>
          <w:w w:val="120"/>
          <w:sz w:val="20"/>
        </w:rPr>
        <w:t>take </w:t>
      </w:r>
      <w:r>
        <w:rPr>
          <w:spacing w:val="-3"/>
          <w:w w:val="120"/>
          <w:sz w:val="20"/>
        </w:rPr>
        <w:t>place </w:t>
      </w:r>
      <w:r>
        <w:rPr>
          <w:w w:val="120"/>
          <w:sz w:val="20"/>
        </w:rPr>
        <w:t>from 30 April </w:t>
      </w:r>
      <w:r>
        <w:rPr>
          <w:spacing w:val="-3"/>
          <w:w w:val="120"/>
          <w:sz w:val="20"/>
        </w:rPr>
        <w:t>to </w:t>
      </w:r>
      <w:r>
        <w:rPr>
          <w:w w:val="120"/>
          <w:sz w:val="20"/>
        </w:rPr>
        <w:t>3 May </w:t>
      </w:r>
      <w:r>
        <w:rPr>
          <w:spacing w:val="-8"/>
          <w:w w:val="120"/>
          <w:sz w:val="20"/>
        </w:rPr>
        <w:t>2018 </w:t>
      </w:r>
      <w:r>
        <w:rPr>
          <w:w w:val="120"/>
          <w:sz w:val="20"/>
        </w:rPr>
        <w:t>with the </w:t>
      </w:r>
      <w:r>
        <w:rPr>
          <w:spacing w:val="-3"/>
          <w:w w:val="120"/>
          <w:sz w:val="20"/>
        </w:rPr>
        <w:t>Revd </w:t>
      </w:r>
      <w:r>
        <w:rPr>
          <w:w w:val="120"/>
          <w:sz w:val="20"/>
        </w:rPr>
        <w:t>Dr Peggy Kabonde of the </w:t>
      </w:r>
      <w:r>
        <w:rPr>
          <w:spacing w:val="-3"/>
          <w:w w:val="120"/>
          <w:sz w:val="20"/>
        </w:rPr>
        <w:t>United Church </w:t>
      </w:r>
      <w:r>
        <w:rPr>
          <w:w w:val="120"/>
          <w:sz w:val="20"/>
        </w:rPr>
        <w:t>of Zambia and the Rt </w:t>
      </w:r>
      <w:r>
        <w:rPr>
          <w:spacing w:val="-3"/>
          <w:w w:val="120"/>
          <w:sz w:val="20"/>
        </w:rPr>
        <w:t>Revd </w:t>
      </w:r>
      <w:r>
        <w:rPr>
          <w:w w:val="120"/>
          <w:sz w:val="20"/>
        </w:rPr>
        <w:t>Dr </w:t>
      </w:r>
      <w:r>
        <w:rPr>
          <w:spacing w:val="-3"/>
          <w:w w:val="120"/>
          <w:sz w:val="20"/>
        </w:rPr>
        <w:t>Rowan </w:t>
      </w:r>
      <w:r>
        <w:rPr>
          <w:w w:val="120"/>
          <w:sz w:val="20"/>
        </w:rPr>
        <w:t>Williams as </w:t>
      </w:r>
      <w:r>
        <w:rPr>
          <w:spacing w:val="-4"/>
          <w:w w:val="120"/>
          <w:sz w:val="20"/>
        </w:rPr>
        <w:t>keynote </w:t>
      </w:r>
      <w:r>
        <w:rPr>
          <w:w w:val="120"/>
          <w:sz w:val="20"/>
        </w:rPr>
        <w:t>speakers. The </w:t>
      </w:r>
      <w:r>
        <w:rPr>
          <w:spacing w:val="-3"/>
          <w:w w:val="120"/>
          <w:sz w:val="20"/>
        </w:rPr>
        <w:t>conference </w:t>
      </w:r>
      <w:r>
        <w:rPr>
          <w:w w:val="120"/>
          <w:sz w:val="20"/>
        </w:rPr>
        <w:t>will be a </w:t>
      </w:r>
      <w:r>
        <w:rPr>
          <w:spacing w:val="-3"/>
          <w:w w:val="120"/>
          <w:sz w:val="20"/>
        </w:rPr>
        <w:t>key </w:t>
      </w:r>
      <w:r>
        <w:rPr>
          <w:w w:val="120"/>
          <w:sz w:val="20"/>
        </w:rPr>
        <w:t>opportunity </w:t>
      </w:r>
      <w:r>
        <w:rPr>
          <w:spacing w:val="-3"/>
          <w:w w:val="120"/>
          <w:sz w:val="20"/>
        </w:rPr>
        <w:t>to </w:t>
      </w:r>
      <w:r>
        <w:rPr>
          <w:w w:val="120"/>
          <w:sz w:val="20"/>
        </w:rPr>
        <w:t>work with Ministers of </w:t>
      </w:r>
      <w:r>
        <w:rPr>
          <w:spacing w:val="-3"/>
          <w:w w:val="120"/>
          <w:sz w:val="20"/>
        </w:rPr>
        <w:t>Word </w:t>
      </w:r>
      <w:r>
        <w:rPr>
          <w:w w:val="120"/>
          <w:sz w:val="20"/>
        </w:rPr>
        <w:t>and Sacraments and CRCWs in seeking </w:t>
      </w:r>
      <w:r>
        <w:rPr>
          <w:spacing w:val="-3"/>
          <w:w w:val="120"/>
          <w:sz w:val="20"/>
        </w:rPr>
        <w:t>to </w:t>
      </w:r>
      <w:r>
        <w:rPr>
          <w:w w:val="120"/>
          <w:sz w:val="20"/>
        </w:rPr>
        <w:t>build a </w:t>
      </w:r>
      <w:r>
        <w:rPr>
          <w:spacing w:val="-3"/>
          <w:w w:val="120"/>
          <w:sz w:val="20"/>
        </w:rPr>
        <w:t>church </w:t>
      </w:r>
      <w:r>
        <w:rPr>
          <w:w w:val="120"/>
          <w:sz w:val="20"/>
        </w:rPr>
        <w:t>which truly</w:t>
      </w:r>
      <w:r>
        <w:rPr>
          <w:spacing w:val="-4"/>
          <w:w w:val="120"/>
          <w:sz w:val="20"/>
        </w:rPr>
        <w:t> </w:t>
      </w:r>
      <w:r>
        <w:rPr>
          <w:w w:val="120"/>
          <w:sz w:val="20"/>
        </w:rPr>
        <w:t>caters</w:t>
      </w:r>
      <w:r>
        <w:rPr>
          <w:spacing w:val="-4"/>
          <w:w w:val="120"/>
          <w:sz w:val="20"/>
        </w:rPr>
        <w:t> </w:t>
      </w:r>
      <w:r>
        <w:rPr>
          <w:w w:val="120"/>
          <w:sz w:val="20"/>
        </w:rPr>
        <w:t>for</w:t>
      </w:r>
      <w:r>
        <w:rPr>
          <w:spacing w:val="-3"/>
          <w:w w:val="120"/>
          <w:sz w:val="20"/>
        </w:rPr>
        <w:t> </w:t>
      </w:r>
      <w:r>
        <w:rPr>
          <w:w w:val="120"/>
          <w:sz w:val="20"/>
        </w:rPr>
        <w:t>the</w:t>
      </w:r>
      <w:r>
        <w:rPr>
          <w:spacing w:val="-4"/>
          <w:w w:val="120"/>
          <w:sz w:val="20"/>
        </w:rPr>
        <w:t> </w:t>
      </w:r>
      <w:r>
        <w:rPr>
          <w:w w:val="120"/>
          <w:sz w:val="20"/>
        </w:rPr>
        <w:t>needs</w:t>
      </w:r>
      <w:r>
        <w:rPr>
          <w:spacing w:val="-4"/>
          <w:w w:val="120"/>
          <w:sz w:val="20"/>
        </w:rPr>
        <w:t> </w:t>
      </w:r>
      <w:r>
        <w:rPr>
          <w:w w:val="120"/>
          <w:sz w:val="20"/>
        </w:rPr>
        <w:t>of</w:t>
      </w:r>
      <w:r>
        <w:rPr>
          <w:spacing w:val="-3"/>
          <w:w w:val="120"/>
          <w:sz w:val="20"/>
        </w:rPr>
        <w:t> </w:t>
      </w:r>
      <w:r>
        <w:rPr>
          <w:w w:val="120"/>
          <w:sz w:val="20"/>
        </w:rPr>
        <w:t>all</w:t>
      </w:r>
      <w:r>
        <w:rPr>
          <w:spacing w:val="-4"/>
          <w:w w:val="120"/>
          <w:sz w:val="20"/>
        </w:rPr>
        <w:t> </w:t>
      </w:r>
      <w:r>
        <w:rPr>
          <w:w w:val="120"/>
          <w:sz w:val="20"/>
        </w:rPr>
        <w:t>people</w:t>
      </w:r>
      <w:r>
        <w:rPr>
          <w:spacing w:val="-3"/>
          <w:w w:val="120"/>
          <w:sz w:val="20"/>
        </w:rPr>
        <w:t> to</w:t>
      </w:r>
      <w:r>
        <w:rPr>
          <w:spacing w:val="-4"/>
          <w:w w:val="120"/>
          <w:sz w:val="20"/>
        </w:rPr>
        <w:t> </w:t>
      </w:r>
      <w:r>
        <w:rPr>
          <w:spacing w:val="-3"/>
          <w:w w:val="120"/>
          <w:sz w:val="20"/>
        </w:rPr>
        <w:t>live</w:t>
      </w:r>
      <w:r>
        <w:rPr>
          <w:spacing w:val="-4"/>
          <w:w w:val="120"/>
          <w:sz w:val="20"/>
        </w:rPr>
        <w:t> </w:t>
      </w:r>
      <w:r>
        <w:rPr>
          <w:w w:val="120"/>
          <w:sz w:val="20"/>
        </w:rPr>
        <w:t>out</w:t>
      </w:r>
      <w:r>
        <w:rPr>
          <w:spacing w:val="-3"/>
          <w:w w:val="120"/>
          <w:sz w:val="20"/>
        </w:rPr>
        <w:t> </w:t>
      </w:r>
      <w:r>
        <w:rPr>
          <w:w w:val="120"/>
          <w:sz w:val="20"/>
        </w:rPr>
        <w:t>their</w:t>
      </w:r>
      <w:r>
        <w:rPr>
          <w:spacing w:val="-4"/>
          <w:w w:val="120"/>
          <w:sz w:val="20"/>
        </w:rPr>
        <w:t> </w:t>
      </w:r>
      <w:r>
        <w:rPr>
          <w:w w:val="120"/>
          <w:sz w:val="20"/>
        </w:rPr>
        <w:t>calling</w:t>
      </w:r>
      <w:r>
        <w:rPr>
          <w:spacing w:val="-4"/>
          <w:w w:val="120"/>
          <w:sz w:val="20"/>
        </w:rPr>
        <w:t> </w:t>
      </w:r>
      <w:r>
        <w:rPr>
          <w:spacing w:val="-3"/>
          <w:w w:val="120"/>
          <w:sz w:val="20"/>
        </w:rPr>
        <w:t>to discipleship</w:t>
      </w:r>
      <w:r>
        <w:rPr>
          <w:spacing w:val="-4"/>
          <w:w w:val="120"/>
          <w:sz w:val="20"/>
        </w:rPr>
        <w:t> </w:t>
      </w:r>
      <w:r>
        <w:rPr>
          <w:w w:val="120"/>
          <w:sz w:val="20"/>
        </w:rPr>
        <w:t>and</w:t>
      </w:r>
      <w:r>
        <w:rPr>
          <w:spacing w:val="-3"/>
          <w:w w:val="120"/>
          <w:sz w:val="20"/>
        </w:rPr>
        <w:t> mission.</w:t>
      </w:r>
    </w:p>
    <w:p>
      <w:pPr>
        <w:pStyle w:val="BodyText"/>
        <w:spacing w:before="11"/>
        <w:rPr>
          <w:sz w:val="19"/>
        </w:rPr>
      </w:pPr>
    </w:p>
    <w:p>
      <w:pPr>
        <w:pStyle w:val="ListParagraph"/>
        <w:numPr>
          <w:ilvl w:val="0"/>
          <w:numId w:val="38"/>
        </w:numPr>
        <w:tabs>
          <w:tab w:pos="1227" w:val="left" w:leader="none"/>
          <w:tab w:pos="1228" w:val="left" w:leader="none"/>
        </w:tabs>
        <w:spacing w:line="235" w:lineRule="auto" w:before="0" w:after="0"/>
        <w:ind w:left="547" w:right="1982" w:firstLine="0"/>
        <w:jc w:val="left"/>
        <w:rPr>
          <w:sz w:val="20"/>
        </w:rPr>
      </w:pPr>
      <w:r>
        <w:rPr>
          <w:w w:val="120"/>
          <w:sz w:val="20"/>
        </w:rPr>
        <w:t>The</w:t>
      </w:r>
      <w:r>
        <w:rPr>
          <w:spacing w:val="-7"/>
          <w:w w:val="120"/>
          <w:sz w:val="20"/>
        </w:rPr>
        <w:t> </w:t>
      </w:r>
      <w:r>
        <w:rPr>
          <w:w w:val="120"/>
          <w:sz w:val="20"/>
        </w:rPr>
        <w:t>importance</w:t>
      </w:r>
      <w:r>
        <w:rPr>
          <w:spacing w:val="-7"/>
          <w:w w:val="120"/>
          <w:sz w:val="20"/>
        </w:rPr>
        <w:t> </w:t>
      </w:r>
      <w:r>
        <w:rPr>
          <w:w w:val="120"/>
          <w:sz w:val="20"/>
        </w:rPr>
        <w:t>of</w:t>
      </w:r>
      <w:r>
        <w:rPr>
          <w:spacing w:val="-7"/>
          <w:w w:val="120"/>
          <w:sz w:val="20"/>
        </w:rPr>
        <w:t> </w:t>
      </w:r>
      <w:r>
        <w:rPr>
          <w:spacing w:val="-3"/>
          <w:w w:val="120"/>
          <w:sz w:val="20"/>
        </w:rPr>
        <w:t>accompaniment</w:t>
      </w:r>
      <w:r>
        <w:rPr>
          <w:spacing w:val="-7"/>
          <w:w w:val="120"/>
          <w:sz w:val="20"/>
        </w:rPr>
        <w:t> </w:t>
      </w:r>
      <w:r>
        <w:rPr>
          <w:w w:val="120"/>
          <w:sz w:val="20"/>
        </w:rPr>
        <w:t>has</w:t>
      </w:r>
      <w:r>
        <w:rPr>
          <w:spacing w:val="-7"/>
          <w:w w:val="120"/>
          <w:sz w:val="20"/>
        </w:rPr>
        <w:t> </w:t>
      </w:r>
      <w:r>
        <w:rPr>
          <w:w w:val="120"/>
          <w:sz w:val="20"/>
        </w:rPr>
        <w:t>been</w:t>
      </w:r>
      <w:r>
        <w:rPr>
          <w:spacing w:val="-7"/>
          <w:w w:val="120"/>
          <w:sz w:val="20"/>
        </w:rPr>
        <w:t> </w:t>
      </w:r>
      <w:r>
        <w:rPr>
          <w:w w:val="120"/>
          <w:sz w:val="20"/>
        </w:rPr>
        <w:t>emphasised</w:t>
      </w:r>
      <w:r>
        <w:rPr>
          <w:spacing w:val="-7"/>
          <w:w w:val="120"/>
          <w:sz w:val="20"/>
        </w:rPr>
        <w:t> </w:t>
      </w:r>
      <w:r>
        <w:rPr>
          <w:w w:val="120"/>
          <w:sz w:val="20"/>
        </w:rPr>
        <w:t>by</w:t>
      </w:r>
      <w:r>
        <w:rPr>
          <w:spacing w:val="-7"/>
          <w:w w:val="120"/>
          <w:sz w:val="20"/>
        </w:rPr>
        <w:t> </w:t>
      </w:r>
      <w:r>
        <w:rPr>
          <w:spacing w:val="-3"/>
          <w:w w:val="120"/>
          <w:sz w:val="20"/>
        </w:rPr>
        <w:t>many</w:t>
      </w:r>
      <w:r>
        <w:rPr>
          <w:spacing w:val="-7"/>
          <w:w w:val="120"/>
          <w:sz w:val="20"/>
        </w:rPr>
        <w:t> </w:t>
      </w:r>
      <w:r>
        <w:rPr>
          <w:w w:val="120"/>
          <w:sz w:val="20"/>
        </w:rPr>
        <w:t>people</w:t>
      </w:r>
      <w:r>
        <w:rPr>
          <w:spacing w:val="-6"/>
          <w:w w:val="120"/>
          <w:sz w:val="20"/>
        </w:rPr>
        <w:t> </w:t>
      </w:r>
      <w:r>
        <w:rPr>
          <w:w w:val="120"/>
          <w:sz w:val="20"/>
        </w:rPr>
        <w:t>engaged in mission and discipleship development. The steering group is exploring the role of mentoring</w:t>
      </w:r>
      <w:r>
        <w:rPr>
          <w:spacing w:val="18"/>
          <w:w w:val="120"/>
          <w:sz w:val="20"/>
        </w:rPr>
        <w:t> </w:t>
      </w:r>
      <w:r>
        <w:rPr>
          <w:w w:val="120"/>
          <w:sz w:val="20"/>
        </w:rPr>
        <w:t>and</w:t>
      </w:r>
      <w:r>
        <w:rPr>
          <w:spacing w:val="19"/>
          <w:w w:val="120"/>
          <w:sz w:val="20"/>
        </w:rPr>
        <w:t> </w:t>
      </w:r>
      <w:r>
        <w:rPr>
          <w:w w:val="120"/>
          <w:sz w:val="20"/>
        </w:rPr>
        <w:t>coaching</w:t>
      </w:r>
      <w:r>
        <w:rPr>
          <w:spacing w:val="18"/>
          <w:w w:val="120"/>
          <w:sz w:val="20"/>
        </w:rPr>
        <w:t> </w:t>
      </w:r>
      <w:r>
        <w:rPr>
          <w:w w:val="120"/>
          <w:sz w:val="20"/>
        </w:rPr>
        <w:t>with</w:t>
      </w:r>
      <w:r>
        <w:rPr>
          <w:spacing w:val="19"/>
          <w:w w:val="120"/>
          <w:sz w:val="20"/>
        </w:rPr>
        <w:t> </w:t>
      </w:r>
      <w:r>
        <w:rPr>
          <w:w w:val="120"/>
          <w:sz w:val="20"/>
        </w:rPr>
        <w:t>the</w:t>
      </w:r>
      <w:r>
        <w:rPr>
          <w:spacing w:val="18"/>
          <w:w w:val="120"/>
          <w:sz w:val="20"/>
        </w:rPr>
        <w:t> </w:t>
      </w:r>
      <w:r>
        <w:rPr>
          <w:w w:val="120"/>
          <w:sz w:val="20"/>
        </w:rPr>
        <w:t>London</w:t>
      </w:r>
      <w:r>
        <w:rPr>
          <w:spacing w:val="19"/>
          <w:w w:val="120"/>
          <w:sz w:val="20"/>
        </w:rPr>
        <w:t> </w:t>
      </w:r>
      <w:r>
        <w:rPr>
          <w:w w:val="120"/>
          <w:sz w:val="20"/>
        </w:rPr>
        <w:t>Institute</w:t>
      </w:r>
      <w:r>
        <w:rPr>
          <w:spacing w:val="18"/>
          <w:w w:val="120"/>
          <w:sz w:val="20"/>
        </w:rPr>
        <w:t> </w:t>
      </w:r>
      <w:r>
        <w:rPr>
          <w:w w:val="120"/>
          <w:sz w:val="20"/>
        </w:rPr>
        <w:t>of</w:t>
      </w:r>
      <w:r>
        <w:rPr>
          <w:spacing w:val="19"/>
          <w:w w:val="120"/>
          <w:sz w:val="20"/>
        </w:rPr>
        <w:t> </w:t>
      </w:r>
      <w:r>
        <w:rPr>
          <w:w w:val="120"/>
          <w:sz w:val="20"/>
        </w:rPr>
        <w:t>Contemporary</w:t>
      </w:r>
      <w:r>
        <w:rPr>
          <w:spacing w:val="19"/>
          <w:w w:val="120"/>
          <w:sz w:val="20"/>
        </w:rPr>
        <w:t> </w:t>
      </w:r>
      <w:r>
        <w:rPr>
          <w:w w:val="120"/>
          <w:sz w:val="20"/>
        </w:rPr>
        <w:t>Christianity</w:t>
      </w:r>
      <w:r>
        <w:rPr>
          <w:spacing w:val="18"/>
          <w:w w:val="120"/>
          <w:sz w:val="20"/>
        </w:rPr>
        <w:t> </w:t>
      </w:r>
      <w:r>
        <w:rPr>
          <w:spacing w:val="-3"/>
          <w:w w:val="120"/>
          <w:sz w:val="20"/>
        </w:rPr>
        <w:t>(LICC).</w:t>
      </w:r>
    </w:p>
    <w:p>
      <w:pPr>
        <w:pStyle w:val="BodyText"/>
        <w:spacing w:before="3"/>
        <w:rPr>
          <w:sz w:val="22"/>
        </w:rPr>
      </w:pPr>
    </w:p>
    <w:p>
      <w:pPr>
        <w:pStyle w:val="Heading4"/>
        <w:ind w:left="547" w:firstLine="0"/>
      </w:pPr>
      <w:r>
        <w:rPr>
          <w:w w:val="110"/>
        </w:rPr>
        <w:t>Praying the Way</w:t>
      </w:r>
    </w:p>
    <w:p>
      <w:pPr>
        <w:pStyle w:val="ListParagraph"/>
        <w:numPr>
          <w:ilvl w:val="0"/>
          <w:numId w:val="38"/>
        </w:numPr>
        <w:tabs>
          <w:tab w:pos="1227" w:val="left" w:leader="none"/>
          <w:tab w:pos="1228" w:val="left" w:leader="none"/>
        </w:tabs>
        <w:spacing w:line="235" w:lineRule="auto" w:before="69" w:after="0"/>
        <w:ind w:left="547" w:right="2188" w:firstLine="0"/>
        <w:jc w:val="left"/>
        <w:rPr>
          <w:sz w:val="20"/>
        </w:rPr>
      </w:pPr>
      <w:r>
        <w:rPr>
          <w:w w:val="120"/>
          <w:sz w:val="20"/>
        </w:rPr>
        <w:t>Prayer and reflection are integral to the Walking the Way process. Autumn  </w:t>
      </w:r>
      <w:r>
        <w:rPr>
          <w:spacing w:val="-9"/>
          <w:w w:val="120"/>
          <w:sz w:val="20"/>
        </w:rPr>
        <w:t>2017 </w:t>
      </w:r>
      <w:r>
        <w:rPr>
          <w:w w:val="120"/>
          <w:sz w:val="20"/>
        </w:rPr>
        <w:t>saw synods and local congregations involved in a season of prayer to prepare for Walking the </w:t>
      </w:r>
      <w:r>
        <w:rPr>
          <w:spacing w:val="-5"/>
          <w:w w:val="120"/>
          <w:sz w:val="20"/>
        </w:rPr>
        <w:t>Way, </w:t>
      </w:r>
      <w:r>
        <w:rPr>
          <w:w w:val="120"/>
          <w:sz w:val="20"/>
        </w:rPr>
        <w:t>with prayers for each week written by one of the synods. </w:t>
      </w:r>
      <w:r>
        <w:rPr>
          <w:spacing w:val="3"/>
          <w:w w:val="120"/>
          <w:sz w:val="20"/>
        </w:rPr>
        <w:t>GEAR </w:t>
      </w:r>
      <w:r>
        <w:rPr>
          <w:w w:val="120"/>
          <w:sz w:val="20"/>
        </w:rPr>
        <w:t>also held several events to pray for the positive reception of Walking the</w:t>
      </w:r>
      <w:r>
        <w:rPr>
          <w:spacing w:val="13"/>
          <w:w w:val="120"/>
          <w:sz w:val="20"/>
        </w:rPr>
        <w:t> </w:t>
      </w:r>
      <w:r>
        <w:rPr>
          <w:spacing w:val="-5"/>
          <w:w w:val="120"/>
          <w:sz w:val="20"/>
        </w:rPr>
        <w:t>Way.</w:t>
      </w:r>
    </w:p>
    <w:p>
      <w:pPr>
        <w:pStyle w:val="BodyText"/>
        <w:spacing w:before="11"/>
        <w:rPr>
          <w:sz w:val="19"/>
        </w:rPr>
      </w:pPr>
    </w:p>
    <w:p>
      <w:pPr>
        <w:pStyle w:val="ListParagraph"/>
        <w:numPr>
          <w:ilvl w:val="0"/>
          <w:numId w:val="38"/>
        </w:numPr>
        <w:tabs>
          <w:tab w:pos="1227" w:val="left" w:leader="none"/>
          <w:tab w:pos="1228" w:val="left" w:leader="none"/>
        </w:tabs>
        <w:spacing w:line="235" w:lineRule="auto" w:before="0" w:after="0"/>
        <w:ind w:left="547" w:right="2405" w:firstLine="0"/>
        <w:jc w:val="left"/>
        <w:rPr>
          <w:sz w:val="20"/>
        </w:rPr>
      </w:pPr>
      <w:r>
        <w:rPr>
          <w:w w:val="120"/>
          <w:sz w:val="20"/>
        </w:rPr>
        <w:t>The </w:t>
      </w:r>
      <w:r>
        <w:rPr>
          <w:spacing w:val="-3"/>
          <w:w w:val="120"/>
          <w:sz w:val="20"/>
        </w:rPr>
        <w:t>URC’s </w:t>
      </w:r>
      <w:r>
        <w:rPr>
          <w:w w:val="120"/>
          <w:sz w:val="20"/>
        </w:rPr>
        <w:t>Daily Devotions, coordinated by the Revd Andy Braunston, are received by 2,000 subscribers and written by over 100 people from across the URC. This material is now </w:t>
      </w:r>
      <w:r>
        <w:rPr>
          <w:spacing w:val="2"/>
          <w:w w:val="120"/>
          <w:sz w:val="20"/>
        </w:rPr>
        <w:t>part </w:t>
      </w:r>
      <w:r>
        <w:rPr>
          <w:w w:val="120"/>
          <w:sz w:val="20"/>
        </w:rPr>
        <w:t>of the Walking the Way emphasis and is stimulating small groups as well as individuals as they reflect on their spiritual journey</w:t>
      </w:r>
      <w:r>
        <w:rPr>
          <w:spacing w:val="28"/>
          <w:w w:val="120"/>
          <w:sz w:val="20"/>
        </w:rPr>
        <w:t> </w:t>
      </w:r>
      <w:r>
        <w:rPr>
          <w:spacing w:val="-3"/>
          <w:w w:val="120"/>
          <w:sz w:val="20"/>
        </w:rPr>
        <w:t>daily.</w:t>
      </w:r>
    </w:p>
    <w:p>
      <w:pPr>
        <w:pStyle w:val="BodyText"/>
        <w:spacing w:before="11"/>
        <w:rPr>
          <w:sz w:val="19"/>
        </w:rPr>
      </w:pPr>
    </w:p>
    <w:p>
      <w:pPr>
        <w:pStyle w:val="ListParagraph"/>
        <w:numPr>
          <w:ilvl w:val="0"/>
          <w:numId w:val="38"/>
        </w:numPr>
        <w:tabs>
          <w:tab w:pos="1227" w:val="left" w:leader="none"/>
          <w:tab w:pos="1228" w:val="left" w:leader="none"/>
        </w:tabs>
        <w:spacing w:line="235" w:lineRule="auto" w:before="0" w:after="0"/>
        <w:ind w:left="547" w:right="2079" w:firstLine="0"/>
        <w:jc w:val="left"/>
        <w:rPr>
          <w:sz w:val="20"/>
        </w:rPr>
      </w:pPr>
      <w:r>
        <w:rPr>
          <w:w w:val="120"/>
          <w:sz w:val="20"/>
        </w:rPr>
        <w:t>Walking the Way is for all generations and to that end the steering group is developing ideas for Messy Church and Godly Play sessions, which explore discipleship and mission across the</w:t>
      </w:r>
      <w:r>
        <w:rPr>
          <w:spacing w:val="7"/>
          <w:w w:val="120"/>
          <w:sz w:val="20"/>
        </w:rPr>
        <w:t> </w:t>
      </w:r>
      <w:r>
        <w:rPr>
          <w:w w:val="120"/>
          <w:sz w:val="20"/>
        </w:rPr>
        <w:t>generations.</w:t>
      </w:r>
    </w:p>
    <w:p>
      <w:pPr>
        <w:pStyle w:val="BodyText"/>
        <w:spacing w:before="3"/>
        <w:rPr>
          <w:sz w:val="22"/>
        </w:rPr>
      </w:pPr>
    </w:p>
    <w:p>
      <w:pPr>
        <w:pStyle w:val="Heading4"/>
        <w:ind w:left="547" w:firstLine="0"/>
      </w:pPr>
      <w:r>
        <w:rPr>
          <w:w w:val="110"/>
        </w:rPr>
        <w:t>Staffing</w:t>
      </w:r>
    </w:p>
    <w:p>
      <w:pPr>
        <w:pStyle w:val="ListParagraph"/>
        <w:numPr>
          <w:ilvl w:val="0"/>
          <w:numId w:val="38"/>
        </w:numPr>
        <w:tabs>
          <w:tab w:pos="1227" w:val="left" w:leader="none"/>
          <w:tab w:pos="1228" w:val="left" w:leader="none"/>
        </w:tabs>
        <w:spacing w:line="235" w:lineRule="auto" w:before="69" w:after="0"/>
        <w:ind w:left="547" w:right="2275" w:firstLine="0"/>
        <w:jc w:val="left"/>
        <w:rPr>
          <w:sz w:val="20"/>
        </w:rPr>
      </w:pPr>
      <w:r>
        <w:rPr>
          <w:w w:val="120"/>
          <w:sz w:val="20"/>
        </w:rPr>
        <w:t>The original impetus for Walking the Way came partly from CWM’s MIssion Support Programme for its member churches. Thus </w:t>
      </w:r>
      <w:r>
        <w:rPr>
          <w:spacing w:val="3"/>
          <w:w w:val="120"/>
          <w:sz w:val="20"/>
        </w:rPr>
        <w:t>CWM </w:t>
      </w:r>
      <w:r>
        <w:rPr>
          <w:w w:val="120"/>
          <w:sz w:val="20"/>
        </w:rPr>
        <w:t>funding was always </w:t>
      </w:r>
      <w:r>
        <w:rPr>
          <w:spacing w:val="2"/>
          <w:w w:val="120"/>
          <w:sz w:val="20"/>
        </w:rPr>
        <w:t>part </w:t>
      </w:r>
      <w:r>
        <w:rPr>
          <w:w w:val="120"/>
          <w:sz w:val="20"/>
        </w:rPr>
        <w:t>of our plan. However, a formal application for that funding could only be made when plans were taking detailed shape. It was made in December </w:t>
      </w:r>
      <w:r>
        <w:rPr>
          <w:spacing w:val="-7"/>
          <w:w w:val="120"/>
          <w:sz w:val="20"/>
        </w:rPr>
        <w:t>2016 </w:t>
      </w:r>
      <w:r>
        <w:rPr>
          <w:w w:val="120"/>
          <w:sz w:val="20"/>
        </w:rPr>
        <w:t>and funding was granted, which covers the employment of a project manager, the production of publicity and advocacy materials in print and online, and consultancy with the  London Institute of Contemporary Christianity. The Revd Elizabeth Gray-King served as part-time interim project manager for nearly six months and ensured timely delivery of materials to synods and local churches. We are very grateful for all her work. Simon Peters took up the post of full-time project manager in January</w:t>
      </w:r>
      <w:r>
        <w:rPr>
          <w:spacing w:val="38"/>
          <w:w w:val="120"/>
          <w:sz w:val="20"/>
        </w:rPr>
        <w:t> </w:t>
      </w:r>
      <w:r>
        <w:rPr>
          <w:spacing w:val="-5"/>
          <w:w w:val="120"/>
          <w:sz w:val="20"/>
        </w:rPr>
        <w:t>2018.</w:t>
      </w:r>
    </w:p>
    <w:p>
      <w:pPr>
        <w:pStyle w:val="BodyText"/>
        <w:spacing w:before="7"/>
        <w:rPr>
          <w:sz w:val="22"/>
        </w:rPr>
      </w:pPr>
    </w:p>
    <w:p>
      <w:pPr>
        <w:pStyle w:val="Heading4"/>
        <w:spacing w:before="1"/>
        <w:ind w:left="547" w:firstLine="0"/>
      </w:pPr>
      <w:r>
        <w:rPr>
          <w:w w:val="110"/>
        </w:rPr>
        <w:t>Steering group</w:t>
      </w:r>
    </w:p>
    <w:p>
      <w:pPr>
        <w:pStyle w:val="ListParagraph"/>
        <w:numPr>
          <w:ilvl w:val="0"/>
          <w:numId w:val="38"/>
        </w:numPr>
        <w:tabs>
          <w:tab w:pos="1227" w:val="left" w:leader="none"/>
          <w:tab w:pos="1228" w:val="left" w:leader="none"/>
        </w:tabs>
        <w:spacing w:line="235" w:lineRule="auto" w:before="69" w:after="0"/>
        <w:ind w:left="547" w:right="2167" w:firstLine="0"/>
        <w:jc w:val="left"/>
        <w:rPr>
          <w:sz w:val="20"/>
        </w:rPr>
      </w:pPr>
      <w:r>
        <w:rPr>
          <w:w w:val="120"/>
          <w:sz w:val="20"/>
        </w:rPr>
        <w:t>The members of the ‘Walking the Way’ steering group were originally asked to serve until Assembly </w:t>
      </w:r>
      <w:r>
        <w:rPr>
          <w:spacing w:val="-5"/>
          <w:w w:val="120"/>
          <w:sz w:val="20"/>
        </w:rPr>
        <w:t>2018. </w:t>
      </w:r>
      <w:r>
        <w:rPr>
          <w:w w:val="120"/>
          <w:sz w:val="20"/>
        </w:rPr>
        <w:t>In order to ensure a smooth handover at this juncture, the convenors would like the present members to continue in service to the end of </w:t>
      </w:r>
      <w:r>
        <w:rPr>
          <w:spacing w:val="-5"/>
          <w:w w:val="120"/>
          <w:sz w:val="20"/>
        </w:rPr>
        <w:t>2018, </w:t>
      </w:r>
      <w:r>
        <w:rPr>
          <w:w w:val="120"/>
          <w:sz w:val="20"/>
        </w:rPr>
        <w:t>and for the nominations committee to bring any necessary recommendations for the future to the autumn meeting of Mission Council. In fact, </w:t>
      </w:r>
      <w:r>
        <w:rPr>
          <w:spacing w:val="-3"/>
          <w:w w:val="120"/>
          <w:sz w:val="20"/>
        </w:rPr>
        <w:t>however, </w:t>
      </w:r>
      <w:r>
        <w:rPr>
          <w:w w:val="120"/>
          <w:sz w:val="20"/>
        </w:rPr>
        <w:t>a number of places on the steering group are nominated by other groups, for example the children’s and youth work committee or the synod training and development officers’ meeting. This cross-representation is one way of ensuring that Walking the Way integrates properly with other concerns, needs and plans around the</w:t>
      </w:r>
      <w:r>
        <w:rPr>
          <w:spacing w:val="20"/>
          <w:w w:val="120"/>
          <w:sz w:val="20"/>
        </w:rPr>
        <w:t> </w:t>
      </w:r>
      <w:r>
        <w:rPr>
          <w:w w:val="120"/>
          <w:sz w:val="20"/>
        </w:rPr>
        <w:t>URC.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Heading7"/>
        <w:spacing w:before="96"/>
        <w:ind w:left="547"/>
      </w:pPr>
      <w:r>
        <w:rPr>
          <w:rFonts w:ascii="Stone Sans II ITC Std X Bd" w:hAnsi="Stone Sans II ITC Std X Bd"/>
          <w:b/>
          <w:w w:val="110"/>
          <w:sz w:val="24"/>
        </w:rPr>
        <w:t>50 </w:t>
      </w:r>
      <w:r>
        <w:rPr>
          <w:rFonts w:ascii="Symbol" w:hAnsi="Symbol"/>
          <w:color w:val="7EAABF"/>
          <w:w w:val="110"/>
        </w:rPr>
        <w:t></w:t>
      </w:r>
      <w:r>
        <w:rPr>
          <w:rFonts w:ascii="Times New Roman" w:hAnsi="Times New Roman"/>
          <w:color w:val="7EAABF"/>
          <w:w w:val="110"/>
        </w:rPr>
        <w:t> </w:t>
      </w: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w:t>
      </w:r>
    </w:p>
    <w:p>
      <w:pPr>
        <w:spacing w:after="0"/>
        <w:sectPr>
          <w:headerReference w:type="even" r:id="rId164"/>
          <w:footerReference w:type="even" r:id="rId165"/>
          <w:pgSz w:w="11910" w:h="16840"/>
          <w:pgMar w:header="0" w:footer="0" w:top="0" w:bottom="0" w:left="700" w:right="0"/>
        </w:sectPr>
      </w:pPr>
    </w:p>
    <w:p>
      <w:pPr>
        <w:pStyle w:val="BodyText"/>
      </w:pPr>
      <w:r>
        <w:rPr/>
        <w:pict>
          <v:rect style="position:absolute;margin-left:1.417pt;margin-top:.000015pt;width:547.79pt;height:841.89pt;mso-position-horizontal-relative:page;mso-position-vertical-relative:page;z-index:-267486208" filled="true" fillcolor="#fef4df" stroked="false">
            <v:fill type="solid"/>
            <w10:wrap type="none"/>
          </v:rect>
        </w:pict>
      </w:r>
      <w:r>
        <w:rPr/>
        <w:drawing>
          <wp:anchor distT="0" distB="0" distL="0" distR="0" allowOverlap="1" layoutInCell="1" locked="0" behindDoc="0" simplePos="0" relativeHeight="251798528">
            <wp:simplePos x="0" y="0"/>
            <wp:positionH relativeFrom="page">
              <wp:posOffset>6974928</wp:posOffset>
            </wp:positionH>
            <wp:positionV relativeFrom="page">
              <wp:posOffset>0</wp:posOffset>
            </wp:positionV>
            <wp:extent cx="585063" cy="10692003"/>
            <wp:effectExtent l="0" t="0" r="0" b="0"/>
            <wp:wrapNone/>
            <wp:docPr id="93" name="image24.png"/>
            <wp:cNvGraphicFramePr>
              <a:graphicFrameLocks noChangeAspect="1"/>
            </wp:cNvGraphicFramePr>
            <a:graphic>
              <a:graphicData uri="http://schemas.openxmlformats.org/drawingml/2006/picture">
                <pic:pic>
                  <pic:nvPicPr>
                    <pic:cNvPr id="94"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line="213" w:lineRule="auto" w:before="153"/>
        <w:ind w:left="1043" w:right="2115" w:firstLine="0"/>
        <w:jc w:val="left"/>
        <w:rPr>
          <w:rFonts w:ascii="Stone Sans II ITC Std X Bd"/>
          <w:b/>
          <w:sz w:val="50"/>
        </w:rPr>
      </w:pPr>
      <w:r>
        <w:rPr/>
        <w:pict>
          <v:shape style="position:absolute;margin-left:554.141174pt;margin-top:-5.989334pt;width:26pt;height:302.2pt;mso-position-horizontal-relative:page;mso-position-vertical-relative:paragraph;z-index:251799552"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bookmarkStart w:name="_bookmark10" w:id="11"/>
      <w:bookmarkEnd w:id="11"/>
      <w:r>
        <w:rPr/>
      </w:r>
      <w:r>
        <w:rPr>
          <w:rFonts w:ascii="Stone Sans II ITC Std X Bd"/>
          <w:b/>
          <w:color w:val="F1B400"/>
          <w:w w:val="110"/>
          <w:sz w:val="50"/>
        </w:rPr>
        <w:t>General Assembly task group </w:t>
      </w:r>
      <w:r>
        <w:rPr>
          <w:rFonts w:ascii="Stone Sans II ITC Std X Bd"/>
          <w:b/>
          <w:w w:val="110"/>
          <w:sz w:val="50"/>
        </w:rPr>
        <w:t>Proposals for the future of General Assembly</w:t>
      </w:r>
    </w:p>
    <w:p>
      <w:pPr>
        <w:spacing w:before="354" w:after="9"/>
        <w:ind w:left="1043"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376"/>
        <w:gridCol w:w="6852"/>
      </w:tblGrid>
      <w:tr>
        <w:trPr>
          <w:trHeight w:val="646" w:hRule="atLeast"/>
        </w:trPr>
        <w:tc>
          <w:tcPr>
            <w:tcW w:w="2376" w:type="dxa"/>
            <w:shd w:val="clear" w:color="auto" w:fill="FFFFFF"/>
          </w:tcPr>
          <w:p>
            <w:pPr>
              <w:pStyle w:val="TableParagraph"/>
              <w:spacing w:line="213" w:lineRule="auto" w:before="117"/>
              <w:ind w:left="80" w:right="311"/>
              <w:rPr>
                <w:rFonts w:ascii="Stone Sans II ITC Std Bk"/>
                <w:b/>
                <w:sz w:val="20"/>
              </w:rPr>
            </w:pPr>
            <w:r>
              <w:rPr>
                <w:rFonts w:ascii="Stone Sans II ITC Std Bk"/>
                <w:b/>
                <w:w w:val="110"/>
                <w:sz w:val="20"/>
              </w:rPr>
              <w:t>Contact name and email address</w:t>
            </w:r>
          </w:p>
        </w:tc>
        <w:tc>
          <w:tcPr>
            <w:tcW w:w="6852" w:type="dxa"/>
            <w:shd w:val="clear" w:color="auto" w:fill="FFFFFF"/>
          </w:tcPr>
          <w:p>
            <w:pPr>
              <w:pStyle w:val="TableParagraph"/>
              <w:spacing w:before="108"/>
              <w:ind w:left="80"/>
              <w:rPr>
                <w:sz w:val="20"/>
              </w:rPr>
            </w:pPr>
            <w:r>
              <w:rPr>
                <w:w w:val="120"/>
                <w:sz w:val="20"/>
              </w:rPr>
              <w:t>Val Morrison: </w:t>
            </w:r>
            <w:hyperlink r:id="rId168">
              <w:r>
                <w:rPr>
                  <w:color w:val="006AB3"/>
                  <w:w w:val="120"/>
                  <w:sz w:val="20"/>
                </w:rPr>
                <w:t>valmorrison7@btinternet.com</w:t>
              </w:r>
            </w:hyperlink>
          </w:p>
        </w:tc>
      </w:tr>
      <w:tr>
        <w:trPr>
          <w:trHeight w:val="1846" w:hRule="atLeast"/>
        </w:trPr>
        <w:tc>
          <w:tcPr>
            <w:tcW w:w="2376"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852" w:type="dxa"/>
            <w:shd w:val="clear" w:color="auto" w:fill="FFFFFF"/>
          </w:tcPr>
          <w:p>
            <w:pPr>
              <w:pStyle w:val="TableParagraph"/>
              <w:spacing w:line="235" w:lineRule="auto" w:before="111"/>
              <w:ind w:left="80"/>
              <w:rPr>
                <w:sz w:val="20"/>
              </w:rPr>
            </w:pPr>
            <w:r>
              <w:rPr>
                <w:w w:val="120"/>
                <w:sz w:val="20"/>
              </w:rPr>
              <w:t>The task group asks General Assembly to determine its future size, location and related aspects.</w:t>
            </w:r>
          </w:p>
          <w:p>
            <w:pPr>
              <w:pStyle w:val="TableParagraph"/>
              <w:spacing w:line="235" w:lineRule="auto" w:before="2"/>
              <w:ind w:left="80" w:right="404"/>
              <w:rPr>
                <w:sz w:val="20"/>
              </w:rPr>
            </w:pPr>
            <w:r>
              <w:rPr>
                <w:w w:val="120"/>
                <w:sz w:val="20"/>
              </w:rPr>
              <w:t>The task group invites General Assembly to extend the group’s remit to consider how the impact of any changes to General Assembly might affect the Mission Council.</w:t>
            </w:r>
          </w:p>
          <w:p>
            <w:pPr>
              <w:pStyle w:val="TableParagraph"/>
              <w:spacing w:line="235" w:lineRule="auto" w:before="2"/>
              <w:ind w:left="80"/>
              <w:rPr>
                <w:sz w:val="20"/>
              </w:rPr>
            </w:pPr>
            <w:r>
              <w:rPr>
                <w:w w:val="120"/>
                <w:sz w:val="20"/>
              </w:rPr>
              <w:t>The task group proposes to consider the expectations of the Assembly Moderator(s).</w:t>
            </w:r>
          </w:p>
        </w:tc>
      </w:tr>
      <w:tr>
        <w:trPr>
          <w:trHeight w:val="9046" w:hRule="atLeast"/>
        </w:trPr>
        <w:tc>
          <w:tcPr>
            <w:tcW w:w="2376"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852" w:type="dxa"/>
            <w:shd w:val="clear" w:color="auto" w:fill="FFFFFF"/>
          </w:tcPr>
          <w:p>
            <w:pPr>
              <w:pStyle w:val="TableParagraph"/>
              <w:tabs>
                <w:tab w:pos="760" w:val="left" w:leader="none"/>
              </w:tabs>
              <w:spacing w:line="255" w:lineRule="exact" w:before="95"/>
              <w:ind w:left="80"/>
              <w:rPr>
                <w:rFonts w:ascii="Stone Sans II ITC Std Bk"/>
                <w:b/>
                <w:sz w:val="20"/>
              </w:rPr>
            </w:pPr>
            <w:r>
              <w:rPr>
                <w:rFonts w:ascii="Stone Sans II ITC Std Bk"/>
                <w:b/>
                <w:w w:val="110"/>
                <w:sz w:val="20"/>
              </w:rPr>
              <w:t>6.</w:t>
              <w:tab/>
              <w:t>General Assembly resolves</w:t>
            </w:r>
            <w:r>
              <w:rPr>
                <w:rFonts w:ascii="Stone Sans II ITC Std Bk"/>
                <w:b/>
                <w:spacing w:val="-1"/>
                <w:w w:val="110"/>
                <w:sz w:val="20"/>
              </w:rPr>
              <w:t> </w:t>
            </w:r>
            <w:r>
              <w:rPr>
                <w:rFonts w:ascii="Stone Sans II ITC Std Bk"/>
                <w:b/>
                <w:w w:val="110"/>
                <w:sz w:val="20"/>
              </w:rPr>
              <w:t>that:</w:t>
            </w:r>
          </w:p>
          <w:p>
            <w:pPr>
              <w:pStyle w:val="TableParagraph"/>
              <w:numPr>
                <w:ilvl w:val="0"/>
                <w:numId w:val="39"/>
              </w:numPr>
              <w:tabs>
                <w:tab w:pos="760" w:val="left" w:leader="none"/>
                <w:tab w:pos="761" w:val="left" w:leader="none"/>
              </w:tabs>
              <w:spacing w:line="213" w:lineRule="auto" w:before="7" w:after="0"/>
              <w:ind w:left="760" w:right="187" w:hanging="681"/>
              <w:jc w:val="left"/>
              <w:rPr>
                <w:rFonts w:ascii="Stone Sans II ITC Std Bk"/>
                <w:b/>
                <w:sz w:val="20"/>
              </w:rPr>
            </w:pPr>
            <w:r>
              <w:rPr>
                <w:rFonts w:ascii="Stone Sans II ITC Std Bk"/>
                <w:b/>
                <w:w w:val="110"/>
                <w:sz w:val="20"/>
              </w:rPr>
              <w:t>General Assembly should primarily be funded from the ministry and mission fund, rather than by synods or individuals;</w:t>
            </w:r>
          </w:p>
          <w:p>
            <w:pPr>
              <w:pStyle w:val="TableParagraph"/>
              <w:numPr>
                <w:ilvl w:val="0"/>
                <w:numId w:val="39"/>
              </w:numPr>
              <w:tabs>
                <w:tab w:pos="760" w:val="left" w:leader="none"/>
                <w:tab w:pos="761" w:val="left" w:leader="none"/>
              </w:tabs>
              <w:spacing w:line="213" w:lineRule="auto" w:before="0" w:after="0"/>
              <w:ind w:left="760" w:right="651" w:hanging="681"/>
              <w:jc w:val="left"/>
              <w:rPr>
                <w:rFonts w:ascii="Stone Sans II ITC Std Bk"/>
                <w:b/>
                <w:sz w:val="20"/>
              </w:rPr>
            </w:pPr>
            <w:r>
              <w:rPr>
                <w:rFonts w:ascii="Stone Sans II ITC Std Bk"/>
                <w:b/>
                <w:w w:val="110"/>
                <w:sz w:val="20"/>
              </w:rPr>
              <w:t>members of General Assembly be given fuller information on the costs of General Assembly, and a clearer invitation to consider making a donation, including the option of donating by </w:t>
            </w:r>
            <w:r>
              <w:rPr>
                <w:rFonts w:ascii="Stone Sans II ITC Std Bk"/>
                <w:b/>
                <w:spacing w:val="2"/>
                <w:w w:val="110"/>
                <w:sz w:val="20"/>
              </w:rPr>
              <w:t>Gift</w:t>
            </w:r>
            <w:r>
              <w:rPr>
                <w:rFonts w:ascii="Stone Sans II ITC Std Bk"/>
                <w:b/>
                <w:spacing w:val="1"/>
                <w:w w:val="110"/>
                <w:sz w:val="20"/>
              </w:rPr>
              <w:t> </w:t>
            </w:r>
            <w:r>
              <w:rPr>
                <w:rFonts w:ascii="Stone Sans II ITC Std Bk"/>
                <w:b/>
                <w:w w:val="110"/>
                <w:sz w:val="20"/>
              </w:rPr>
              <w:t>Aid;</w:t>
            </w:r>
          </w:p>
          <w:p>
            <w:pPr>
              <w:pStyle w:val="TableParagraph"/>
              <w:numPr>
                <w:ilvl w:val="0"/>
                <w:numId w:val="39"/>
              </w:numPr>
              <w:tabs>
                <w:tab w:pos="760" w:val="left" w:leader="none"/>
                <w:tab w:pos="761" w:val="left" w:leader="none"/>
              </w:tabs>
              <w:spacing w:line="213" w:lineRule="auto" w:before="0" w:after="0"/>
              <w:ind w:left="760" w:right="114" w:hanging="681"/>
              <w:jc w:val="left"/>
              <w:rPr>
                <w:rFonts w:ascii="Stone Sans II ITC Std Bk"/>
                <w:b/>
                <w:sz w:val="20"/>
              </w:rPr>
            </w:pPr>
            <w:r>
              <w:rPr>
                <w:rFonts w:ascii="Stone Sans II ITC Std Bk"/>
                <w:b/>
                <w:w w:val="110"/>
                <w:sz w:val="20"/>
              </w:rPr>
              <w:t>all papers be issued electronically as the primary means of dissemination, but those who wish may choose to receive paper copies at the expense of the Assembly budget;</w:t>
            </w:r>
          </w:p>
          <w:p>
            <w:pPr>
              <w:pStyle w:val="TableParagraph"/>
              <w:numPr>
                <w:ilvl w:val="0"/>
                <w:numId w:val="39"/>
              </w:numPr>
              <w:tabs>
                <w:tab w:pos="760" w:val="left" w:leader="none"/>
                <w:tab w:pos="761" w:val="left" w:leader="none"/>
              </w:tabs>
              <w:spacing w:line="213" w:lineRule="auto" w:before="0" w:after="0"/>
              <w:ind w:left="760" w:right="530" w:hanging="681"/>
              <w:jc w:val="left"/>
              <w:rPr>
                <w:rFonts w:ascii="Stone Sans II ITC Std Bk"/>
                <w:b/>
                <w:sz w:val="20"/>
              </w:rPr>
            </w:pPr>
            <w:r>
              <w:rPr>
                <w:rFonts w:ascii="Stone Sans II ITC Std Bk"/>
                <w:b/>
                <w:w w:val="110"/>
                <w:sz w:val="20"/>
              </w:rPr>
              <w:t>it prefers to meet in a venue either around tables or with significant breakout rooms if possible;</w:t>
            </w:r>
          </w:p>
          <w:p>
            <w:pPr>
              <w:pStyle w:val="TableParagraph"/>
              <w:numPr>
                <w:ilvl w:val="0"/>
                <w:numId w:val="39"/>
              </w:numPr>
              <w:tabs>
                <w:tab w:pos="760" w:val="left" w:leader="none"/>
                <w:tab w:pos="761" w:val="left" w:leader="none"/>
              </w:tabs>
              <w:spacing w:line="213" w:lineRule="auto" w:before="0" w:after="0"/>
              <w:ind w:left="760" w:right="194" w:hanging="681"/>
              <w:jc w:val="left"/>
              <w:rPr>
                <w:rFonts w:ascii="Stone Sans II ITC Std Bk"/>
                <w:b/>
                <w:sz w:val="20"/>
              </w:rPr>
            </w:pPr>
            <w:r>
              <w:rPr>
                <w:rFonts w:ascii="Stone Sans II ITC Std Bk"/>
                <w:b/>
                <w:w w:val="110"/>
                <w:sz w:val="20"/>
              </w:rPr>
              <w:t>from the close of General Assembly </w:t>
            </w:r>
            <w:r>
              <w:rPr>
                <w:rFonts w:ascii="Stone Sans II ITC Std Bk"/>
                <w:b/>
                <w:spacing w:val="-4"/>
                <w:w w:val="110"/>
                <w:sz w:val="20"/>
              </w:rPr>
              <w:t>2018, </w:t>
            </w:r>
            <w:r>
              <w:rPr>
                <w:rFonts w:ascii="Stone Sans II ITC Std Bk"/>
                <w:b/>
                <w:w w:val="110"/>
                <w:sz w:val="20"/>
              </w:rPr>
              <w:t>Moderators should be inducted at the close of the Assembly which begins their term of office and should therefore chair the General Assembly at the end of their term of</w:t>
            </w:r>
            <w:r>
              <w:rPr>
                <w:rFonts w:ascii="Stone Sans II ITC Std Bk"/>
                <w:b/>
                <w:spacing w:val="13"/>
                <w:w w:val="110"/>
                <w:sz w:val="20"/>
              </w:rPr>
              <w:t> </w:t>
            </w:r>
            <w:r>
              <w:rPr>
                <w:rFonts w:ascii="Stone Sans II ITC Std Bk"/>
                <w:b/>
                <w:w w:val="110"/>
                <w:sz w:val="20"/>
              </w:rPr>
              <w:t>office;</w:t>
            </w:r>
          </w:p>
          <w:p>
            <w:pPr>
              <w:pStyle w:val="TableParagraph"/>
              <w:numPr>
                <w:ilvl w:val="0"/>
                <w:numId w:val="39"/>
              </w:numPr>
              <w:tabs>
                <w:tab w:pos="760" w:val="left" w:leader="none"/>
                <w:tab w:pos="761" w:val="left" w:leader="none"/>
              </w:tabs>
              <w:spacing w:line="213" w:lineRule="auto" w:before="0" w:after="0"/>
              <w:ind w:left="760" w:right="133" w:hanging="681"/>
              <w:jc w:val="left"/>
              <w:rPr>
                <w:rFonts w:ascii="Stone Sans II ITC Std Bk"/>
                <w:b/>
                <w:sz w:val="20"/>
              </w:rPr>
            </w:pPr>
            <w:r>
              <w:rPr>
                <w:rFonts w:ascii="Stone Sans II ITC Std Bk"/>
                <w:b/>
                <w:w w:val="110"/>
                <w:sz w:val="20"/>
              </w:rPr>
              <w:t>every </w:t>
            </w:r>
            <w:r>
              <w:rPr>
                <w:rFonts w:ascii="Stone Sans II ITC Std Bk"/>
                <w:b/>
                <w:spacing w:val="2"/>
                <w:w w:val="110"/>
                <w:sz w:val="20"/>
              </w:rPr>
              <w:t>effort </w:t>
            </w:r>
            <w:r>
              <w:rPr>
                <w:rFonts w:ascii="Stone Sans II ITC Std Bk"/>
                <w:b/>
                <w:w w:val="110"/>
                <w:sz w:val="20"/>
              </w:rPr>
              <w:t>be made to encourage a variety of voices to speak, by giving priority to those who have not spoken before.</w:t>
            </w:r>
          </w:p>
          <w:p>
            <w:pPr>
              <w:pStyle w:val="TableParagraph"/>
              <w:spacing w:before="10"/>
              <w:rPr>
                <w:rFonts w:ascii="Stone Sans II ITC Std Bk"/>
                <w:b/>
                <w:sz w:val="16"/>
              </w:rPr>
            </w:pPr>
          </w:p>
          <w:p>
            <w:pPr>
              <w:pStyle w:val="TableParagraph"/>
              <w:tabs>
                <w:tab w:pos="760" w:val="left" w:leader="none"/>
              </w:tabs>
              <w:spacing w:line="213" w:lineRule="auto"/>
              <w:ind w:left="80" w:right="404"/>
              <w:rPr>
                <w:rFonts w:ascii="Stone Sans II ITC Std Bk"/>
                <w:b/>
                <w:sz w:val="20"/>
              </w:rPr>
            </w:pPr>
            <w:r>
              <w:rPr>
                <w:rFonts w:ascii="Stone Sans II ITC Std Bk"/>
                <w:b/>
                <w:spacing w:val="-13"/>
                <w:w w:val="110"/>
                <w:sz w:val="20"/>
              </w:rPr>
              <w:t>7.</w:t>
              <w:tab/>
            </w:r>
            <w:r>
              <w:rPr>
                <w:rFonts w:ascii="Stone Sans II ITC Std Bk"/>
                <w:b/>
                <w:w w:val="110"/>
                <w:sz w:val="20"/>
              </w:rPr>
              <w:t>General Assembly resolves to change its membership as</w:t>
            </w:r>
            <w:r>
              <w:rPr>
                <w:rFonts w:ascii="Stone Sans II ITC Std Bk"/>
                <w:b/>
                <w:spacing w:val="-1"/>
                <w:w w:val="110"/>
                <w:sz w:val="20"/>
              </w:rPr>
              <w:t> </w:t>
            </w:r>
            <w:r>
              <w:rPr>
                <w:rFonts w:ascii="Stone Sans II ITC Std Bk"/>
                <w:b/>
                <w:w w:val="110"/>
                <w:sz w:val="20"/>
              </w:rPr>
              <w:t>follows:</w:t>
            </w:r>
          </w:p>
          <w:p>
            <w:pPr>
              <w:pStyle w:val="TableParagraph"/>
              <w:numPr>
                <w:ilvl w:val="0"/>
                <w:numId w:val="40"/>
              </w:numPr>
              <w:tabs>
                <w:tab w:pos="760" w:val="left" w:leader="none"/>
                <w:tab w:pos="761" w:val="left" w:leader="none"/>
              </w:tabs>
              <w:spacing w:line="213" w:lineRule="auto" w:before="0" w:after="0"/>
              <w:ind w:left="760" w:right="83" w:hanging="681"/>
              <w:jc w:val="left"/>
              <w:rPr>
                <w:rFonts w:ascii="Stone Sans II ITC Std Bk"/>
                <w:b/>
                <w:sz w:val="20"/>
              </w:rPr>
            </w:pPr>
            <w:r>
              <w:rPr>
                <w:rFonts w:ascii="Stone Sans II ITC Std Bk"/>
                <w:b/>
                <w:w w:val="110"/>
                <w:sz w:val="20"/>
              </w:rPr>
              <w:t>There shall be the same number of representatives from each</w:t>
            </w:r>
            <w:r>
              <w:rPr>
                <w:rFonts w:ascii="Stone Sans II ITC Std Bk"/>
                <w:b/>
                <w:spacing w:val="-1"/>
                <w:w w:val="110"/>
                <w:sz w:val="20"/>
              </w:rPr>
              <w:t> </w:t>
            </w:r>
            <w:r>
              <w:rPr>
                <w:rFonts w:ascii="Stone Sans II ITC Std Bk"/>
                <w:b/>
                <w:w w:val="110"/>
                <w:sz w:val="20"/>
              </w:rPr>
              <w:t>synod.</w:t>
            </w:r>
          </w:p>
          <w:p>
            <w:pPr>
              <w:pStyle w:val="TableParagraph"/>
              <w:numPr>
                <w:ilvl w:val="0"/>
                <w:numId w:val="40"/>
              </w:numPr>
              <w:tabs>
                <w:tab w:pos="760" w:val="left" w:leader="none"/>
                <w:tab w:pos="761" w:val="left" w:leader="none"/>
              </w:tabs>
              <w:spacing w:line="213" w:lineRule="auto" w:before="0" w:after="0"/>
              <w:ind w:left="760" w:right="722" w:hanging="681"/>
              <w:jc w:val="left"/>
              <w:rPr>
                <w:rFonts w:ascii="Stone Sans II ITC Std Bk"/>
                <w:b/>
                <w:sz w:val="20"/>
              </w:rPr>
            </w:pPr>
            <w:r>
              <w:rPr>
                <w:rFonts w:ascii="Stone Sans II ITC Std Bk"/>
                <w:b/>
                <w:w w:val="110"/>
                <w:sz w:val="20"/>
              </w:rPr>
              <w:t>There shall be no additional representation from the Synod of Scotland (thereby rescinding a previous Assembly decision to grant six additional representatives to the Synod of</w:t>
            </w:r>
            <w:r>
              <w:rPr>
                <w:rFonts w:ascii="Stone Sans II ITC Std Bk"/>
                <w:b/>
                <w:spacing w:val="-5"/>
                <w:w w:val="110"/>
                <w:sz w:val="20"/>
              </w:rPr>
              <w:t> </w:t>
            </w:r>
            <w:r>
              <w:rPr>
                <w:rFonts w:ascii="Stone Sans II ITC Std Bk"/>
                <w:b/>
                <w:w w:val="110"/>
                <w:sz w:val="20"/>
              </w:rPr>
              <w:t>Scotland).</w:t>
            </w:r>
          </w:p>
          <w:p>
            <w:pPr>
              <w:pStyle w:val="TableParagraph"/>
              <w:numPr>
                <w:ilvl w:val="0"/>
                <w:numId w:val="40"/>
              </w:numPr>
              <w:tabs>
                <w:tab w:pos="760" w:val="left" w:leader="none"/>
                <w:tab w:pos="761" w:val="left" w:leader="none"/>
              </w:tabs>
              <w:spacing w:line="213" w:lineRule="auto" w:before="0" w:after="0"/>
              <w:ind w:left="760" w:right="1567" w:hanging="681"/>
              <w:jc w:val="left"/>
              <w:rPr>
                <w:rFonts w:ascii="Stone Sans II ITC Std Bk"/>
                <w:b/>
                <w:sz w:val="20"/>
              </w:rPr>
            </w:pPr>
            <w:r>
              <w:rPr>
                <w:rFonts w:ascii="Stone Sans II ITC Std Bk"/>
                <w:b/>
                <w:w w:val="110"/>
                <w:sz w:val="20"/>
              </w:rPr>
              <w:t>Synod Moderators shall be included in the representation from the synods.</w:t>
            </w:r>
          </w:p>
          <w:p>
            <w:pPr>
              <w:pStyle w:val="TableParagraph"/>
              <w:spacing w:before="4"/>
              <w:rPr>
                <w:rFonts w:ascii="Stone Sans II ITC Std Bk"/>
                <w:b/>
                <w:sz w:val="17"/>
              </w:rPr>
            </w:pPr>
          </w:p>
          <w:p>
            <w:pPr>
              <w:pStyle w:val="TableParagraph"/>
              <w:spacing w:line="213" w:lineRule="auto"/>
              <w:ind w:left="80"/>
              <w:rPr>
                <w:rFonts w:ascii="Stone Sans II ITC Std Bk"/>
                <w:b/>
                <w:sz w:val="20"/>
              </w:rPr>
            </w:pPr>
            <w:r>
              <w:rPr>
                <w:rFonts w:ascii="Stone Sans II ITC Std Bk"/>
                <w:b/>
                <w:w w:val="110"/>
                <w:sz w:val="20"/>
              </w:rPr>
              <w:t>Details of how this would change the Structure of the United Reformed Church are set out in the body of the report.</w:t>
            </w:r>
          </w:p>
        </w:tc>
      </w:tr>
    </w:tbl>
    <w:p>
      <w:pPr>
        <w:pStyle w:val="BodyText"/>
        <w:rPr>
          <w:rFonts w:ascii="Stone Sans II ITC Std Bk"/>
          <w:b/>
          <w:sz w:val="26"/>
        </w:rPr>
      </w:pPr>
    </w:p>
    <w:p>
      <w:pPr>
        <w:pStyle w:val="BodyText"/>
        <w:spacing w:before="2"/>
        <w:rPr>
          <w:rFonts w:ascii="Stone Sans II ITC Std Bk"/>
          <w:b/>
          <w:sz w:val="26"/>
        </w:rPr>
      </w:pPr>
    </w:p>
    <w:p>
      <w:pPr>
        <w:spacing w:before="0"/>
        <w:ind w:left="3726"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51</w:t>
      </w:r>
    </w:p>
    <w:p>
      <w:pPr>
        <w:spacing w:after="0"/>
        <w:jc w:val="left"/>
        <w:rPr>
          <w:rFonts w:ascii="Stone Sans II ITC Std X Bd" w:hAnsi="Stone Sans II ITC Std X Bd"/>
          <w:sz w:val="24"/>
        </w:rPr>
        <w:sectPr>
          <w:headerReference w:type="default" r:id="rId166"/>
          <w:footerReference w:type="default" r:id="rId167"/>
          <w:pgSz w:w="11910" w:h="16840"/>
          <w:pgMar w:header="0" w:footer="0" w:top="0" w:bottom="0" w:left="700" w:right="0"/>
        </w:sectPr>
      </w:pPr>
    </w:p>
    <w:p>
      <w:pPr>
        <w:pStyle w:val="BodyText"/>
        <w:rPr>
          <w:rFonts w:ascii="Stone Sans II ITC Std X Bd"/>
          <w:b/>
        </w:rPr>
      </w:pPr>
    </w:p>
    <w:p>
      <w:pPr>
        <w:pStyle w:val="BodyText"/>
        <w:rPr>
          <w:rFonts w:ascii="Stone Sans II ITC Std X Bd"/>
          <w:b/>
        </w:rPr>
      </w:pPr>
    </w:p>
    <w:p>
      <w:pPr>
        <w:pStyle w:val="BodyText"/>
        <w:spacing w:before="8"/>
        <w:rPr>
          <w:rFonts w:ascii="Stone Sans II ITC Std X Bd"/>
          <w:b/>
          <w:sz w:val="24"/>
        </w:rPr>
      </w:pPr>
    </w:p>
    <w:p>
      <w:pPr>
        <w:spacing w:after="0"/>
        <w:rPr>
          <w:rFonts w:ascii="Stone Sans II ITC Std X Bd"/>
          <w:sz w:val="24"/>
        </w:rPr>
        <w:sectPr>
          <w:headerReference w:type="even" r:id="rId169"/>
          <w:footerReference w:type="even" r:id="rId170"/>
          <w:pgSz w:w="11910" w:h="16840"/>
          <w:pgMar w:header="0" w:footer="0" w:top="0" w:bottom="0" w:left="700" w:right="0"/>
        </w:sectPr>
      </w:pPr>
    </w:p>
    <w:p>
      <w:pPr>
        <w:pStyle w:val="Heading8"/>
        <w:spacing w:line="240" w:lineRule="auto" w:before="93"/>
        <w:ind w:left="632" w:firstLine="0"/>
      </w:pPr>
      <w:r>
        <w:rPr/>
        <w:pict>
          <v:group style="position:absolute;margin-left:62.362202pt;margin-top:-.615019pt;width:461.9pt;height:743.4pt;mso-position-horizontal-relative:page;mso-position-vertical-relative:paragraph;z-index:-267481088" coordorigin="1247,-12" coordsize="9238,14868">
            <v:shape style="position:absolute;left:1252;top:-8;width:9228;height:10781" coordorigin="1252,-7" coordsize="9228,10781" path="m10480,-7l3628,-7,1252,-7,1252,10774,3628,10774,10480,10774,10480,-7e" filled="true" fillcolor="#ffffff" stroked="false">
              <v:path arrowok="t"/>
              <v:fill type="solid"/>
            </v:shape>
            <v:line style="position:absolute" from="1247,-7" to="3628,-7" stroked="true" strokeweight=".5pt" strokecolor="#9c9e9f">
              <v:stroke dashstyle="solid"/>
            </v:line>
            <v:line style="position:absolute" from="1252,11993" to="1252,-2" stroked="true" strokeweight=".5pt" strokecolor="#9c9e9f">
              <v:stroke dashstyle="solid"/>
            </v:line>
            <v:line style="position:absolute" from="3628,-7" to="10485,-7" stroked="true" strokeweight=".5pt" strokecolor="#9c9e9f">
              <v:stroke dashstyle="solid"/>
            </v:line>
            <v:line style="position:absolute" from="3628,11993" to="3628,-2" stroked="true" strokeweight=".5pt" strokecolor="#9c9e9f">
              <v:stroke dashstyle="solid"/>
            </v:line>
            <v:line style="position:absolute" from="10480,11993" to="10480,-2" stroked="true" strokeweight=".5pt" strokecolor="#9c9e9f">
              <v:stroke dashstyle="solid"/>
            </v:line>
            <v:shape style="position:absolute;left:1252;top:10773;width:9228;height:4077" coordorigin="1252,10774" coordsize="9228,4077" path="m10480,10774l3628,10774,1252,10774,1252,14850,3628,14850,10480,14850,10480,10774e" filled="true" fillcolor="#ffffff" stroked="false">
              <v:path arrowok="t"/>
              <v:fill type="solid"/>
            </v:shape>
            <v:line style="position:absolute" from="1252,14845" to="1252,10774" stroked="true" strokeweight=".5pt" strokecolor="#9c9e9f">
              <v:stroke dashstyle="solid"/>
            </v:line>
            <v:line style="position:absolute" from="3628,14845" to="3628,10774" stroked="true" strokeweight=".5pt" strokecolor="#9c9e9f">
              <v:stroke dashstyle="solid"/>
            </v:line>
            <v:line style="position:absolute" from="10480,14845" to="10480,10774" stroked="true" strokeweight=".5pt" strokecolor="#9c9e9f">
              <v:stroke dashstyle="solid"/>
            </v:line>
            <v:line style="position:absolute" from="1247,14850" to="3628,14850" stroked="true" strokeweight=".5pt" strokecolor="#9c9e9f">
              <v:stroke dashstyle="solid"/>
            </v:line>
            <v:line style="position:absolute" from="3628,14850" to="10485,14850" stroked="true" strokeweight=".5pt" strokecolor="#9c9e9f">
              <v:stroke dashstyle="solid"/>
            </v:line>
            <w10:wrap type="none"/>
          </v:group>
        </w:pict>
      </w:r>
      <w:r>
        <w:rPr>
          <w:spacing w:val="2"/>
          <w:w w:val="110"/>
        </w:rPr>
        <w:t>Draft </w:t>
      </w:r>
      <w:r>
        <w:rPr>
          <w:spacing w:val="-4"/>
          <w:w w:val="110"/>
        </w:rPr>
        <w:t>resolution(s)</w:t>
      </w:r>
    </w:p>
    <w:p>
      <w:pPr>
        <w:pStyle w:val="ListParagraph"/>
        <w:numPr>
          <w:ilvl w:val="0"/>
          <w:numId w:val="41"/>
        </w:numPr>
        <w:tabs>
          <w:tab w:pos="1032" w:val="left" w:leader="none"/>
          <w:tab w:pos="1033" w:val="left" w:leader="none"/>
        </w:tabs>
        <w:spacing w:line="213" w:lineRule="auto" w:before="115" w:after="0"/>
        <w:ind w:left="352" w:right="1638" w:firstLine="0"/>
        <w:jc w:val="left"/>
        <w:rPr>
          <w:rFonts w:ascii="Stone Sans II ITC Std Bk"/>
          <w:b/>
          <w:sz w:val="20"/>
        </w:rPr>
      </w:pPr>
      <w:r>
        <w:rPr>
          <w:rFonts w:ascii="Stone Sans II ITC Std Bk"/>
          <w:b/>
          <w:spacing w:val="2"/>
          <w:w w:val="110"/>
          <w:sz w:val="20"/>
        </w:rPr>
        <w:br w:type="column"/>
      </w:r>
      <w:r>
        <w:rPr>
          <w:rFonts w:ascii="Stone Sans II ITC Std Bk"/>
          <w:b/>
          <w:w w:val="110"/>
          <w:sz w:val="20"/>
        </w:rPr>
        <w:t>General Assembly resolves to cease the current pattern of rotation of venue, previously informally agreed, and to meet regularly in the centre of the </w:t>
      </w:r>
      <w:r>
        <w:rPr>
          <w:rFonts w:ascii="Stone Sans II ITC Std Bk"/>
          <w:b/>
          <w:spacing w:val="3"/>
          <w:w w:val="110"/>
          <w:sz w:val="20"/>
        </w:rPr>
        <w:t>UK, </w:t>
      </w:r>
      <w:r>
        <w:rPr>
          <w:rFonts w:ascii="Stone Sans II ITC Std Bk"/>
          <w:b/>
          <w:w w:val="110"/>
          <w:sz w:val="20"/>
        </w:rPr>
        <w:t>as outlined in pages </w:t>
      </w:r>
      <w:r>
        <w:rPr>
          <w:rFonts w:ascii="Stone Sans II ITC Std Bk"/>
          <w:b/>
          <w:spacing w:val="-5"/>
          <w:w w:val="110"/>
          <w:sz w:val="20"/>
        </w:rPr>
        <w:t>61 </w:t>
      </w:r>
      <w:r>
        <w:rPr>
          <w:rFonts w:ascii="Stone Sans II ITC Std Bk"/>
          <w:b/>
          <w:w w:val="110"/>
          <w:sz w:val="20"/>
        </w:rPr>
        <w:t>to 62 of the </w:t>
      </w:r>
      <w:r>
        <w:rPr>
          <w:rFonts w:ascii="Stone Sans II ITC Std Bk"/>
          <w:b/>
          <w:i/>
          <w:w w:val="110"/>
          <w:sz w:val="20"/>
        </w:rPr>
        <w:t>Book of </w:t>
      </w:r>
      <w:r>
        <w:rPr>
          <w:rFonts w:ascii="Stone Sans II ITC Std Bk"/>
          <w:b/>
          <w:i/>
          <w:spacing w:val="2"/>
          <w:w w:val="110"/>
          <w:sz w:val="20"/>
        </w:rPr>
        <w:t>Reports </w:t>
      </w:r>
      <w:r>
        <w:rPr>
          <w:rFonts w:ascii="Stone Sans II ITC Std Bk"/>
          <w:b/>
          <w:spacing w:val="-4"/>
          <w:w w:val="110"/>
          <w:sz w:val="20"/>
        </w:rPr>
        <w:t>2018, </w:t>
      </w:r>
      <w:r>
        <w:rPr>
          <w:rFonts w:ascii="Stone Sans II ITC Std Bk"/>
          <w:b/>
          <w:w w:val="110"/>
          <w:sz w:val="20"/>
        </w:rPr>
        <w:t>with immediate </w:t>
      </w:r>
      <w:r>
        <w:rPr>
          <w:rFonts w:ascii="Stone Sans II ITC Std Bk"/>
          <w:b/>
          <w:spacing w:val="2"/>
          <w:w w:val="110"/>
          <w:sz w:val="20"/>
        </w:rPr>
        <w:t>effect.</w:t>
      </w:r>
    </w:p>
    <w:p>
      <w:pPr>
        <w:pStyle w:val="BodyText"/>
        <w:spacing w:before="7"/>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606" w:firstLine="0"/>
        <w:jc w:val="left"/>
        <w:rPr>
          <w:rFonts w:ascii="Stone Sans II ITC Std Bk"/>
          <w:b/>
          <w:sz w:val="20"/>
        </w:rPr>
      </w:pPr>
      <w:r>
        <w:rPr>
          <w:rFonts w:ascii="Stone Sans II ITC Std Bk"/>
          <w:b/>
          <w:w w:val="110"/>
          <w:sz w:val="20"/>
        </w:rPr>
        <w:t>General Assembly wishes its future pattern of meetings to be that set out in Option</w:t>
      </w:r>
      <w:r>
        <w:rPr>
          <w:rFonts w:ascii="Stone Sans II ITC Std Bk"/>
          <w:b/>
          <w:spacing w:val="-2"/>
          <w:w w:val="110"/>
          <w:sz w:val="20"/>
        </w:rPr>
        <w:t> </w:t>
      </w:r>
      <w:r>
        <w:rPr>
          <w:rFonts w:ascii="Stone Sans II ITC Std Bk"/>
          <w:b/>
          <w:spacing w:val="-4"/>
          <w:w w:val="110"/>
          <w:sz w:val="20"/>
        </w:rPr>
        <w:t>D.</w:t>
      </w:r>
    </w:p>
    <w:p>
      <w:pPr>
        <w:pStyle w:val="BodyText"/>
        <w:spacing w:before="9"/>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834" w:firstLine="0"/>
        <w:jc w:val="left"/>
        <w:rPr>
          <w:rFonts w:ascii="Stone Sans II ITC Std Bk"/>
          <w:b/>
          <w:sz w:val="20"/>
        </w:rPr>
      </w:pPr>
      <w:r>
        <w:rPr>
          <w:rFonts w:ascii="Stone Sans II ITC Std Bk"/>
          <w:b/>
          <w:w w:val="110"/>
          <w:sz w:val="20"/>
        </w:rPr>
        <w:t>The number of synod representatives shall be 208, who shall be divided among the synods equally. Within each synod, at least one third of its representatives shall be either Ministers of Word and Sacraments or Church Related Community Workers, and at least one third shall be</w:t>
      </w:r>
      <w:r>
        <w:rPr>
          <w:rFonts w:ascii="Stone Sans II ITC Std Bk"/>
          <w:b/>
          <w:spacing w:val="1"/>
          <w:w w:val="110"/>
          <w:sz w:val="20"/>
        </w:rPr>
        <w:t> </w:t>
      </w:r>
      <w:r>
        <w:rPr>
          <w:rFonts w:ascii="Stone Sans II ITC Std Bk"/>
          <w:b/>
          <w:spacing w:val="-4"/>
          <w:w w:val="110"/>
          <w:sz w:val="20"/>
        </w:rPr>
        <w:t>lay.</w:t>
      </w:r>
    </w:p>
    <w:p>
      <w:pPr>
        <w:pStyle w:val="BodyText"/>
        <w:spacing w:before="7"/>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975" w:firstLine="0"/>
        <w:jc w:val="left"/>
        <w:rPr>
          <w:rFonts w:ascii="Stone Sans II ITC Std Bk"/>
          <w:b/>
          <w:sz w:val="20"/>
        </w:rPr>
      </w:pPr>
      <w:r>
        <w:rPr>
          <w:rFonts w:ascii="Stone Sans II ITC Std Bk"/>
          <w:b/>
          <w:w w:val="110"/>
          <w:sz w:val="20"/>
        </w:rPr>
        <w:t>The number of representatives of churches outside Britain and Ireland shall be five, with a further place for a representative of the Council for World Mission, and there shall be five representatives from partner churches within Britain and</w:t>
      </w:r>
      <w:r>
        <w:rPr>
          <w:rFonts w:ascii="Stone Sans II ITC Std Bk"/>
          <w:b/>
          <w:spacing w:val="-1"/>
          <w:w w:val="110"/>
          <w:sz w:val="20"/>
        </w:rPr>
        <w:t> </w:t>
      </w:r>
      <w:r>
        <w:rPr>
          <w:rFonts w:ascii="Stone Sans II ITC Std Bk"/>
          <w:b/>
          <w:w w:val="110"/>
          <w:sz w:val="20"/>
        </w:rPr>
        <w:t>Ireland.</w:t>
      </w:r>
    </w:p>
    <w:p>
      <w:pPr>
        <w:pStyle w:val="BodyText"/>
        <w:spacing w:before="7"/>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2425" w:firstLine="0"/>
        <w:jc w:val="left"/>
        <w:rPr>
          <w:rFonts w:ascii="Stone Sans II ITC Std Bk"/>
          <w:b/>
          <w:sz w:val="20"/>
        </w:rPr>
      </w:pPr>
      <w:r>
        <w:rPr>
          <w:rFonts w:ascii="Stone Sans II ITC Std Bk"/>
          <w:b/>
          <w:w w:val="110"/>
          <w:sz w:val="20"/>
        </w:rPr>
        <w:t>The number of representatives of URC Youth, in addition to the twenty-six youth places available for appointment by synods, shall be</w:t>
      </w:r>
      <w:r>
        <w:rPr>
          <w:rFonts w:ascii="Stone Sans II ITC Std Bk"/>
          <w:b/>
          <w:spacing w:val="-1"/>
          <w:w w:val="110"/>
          <w:sz w:val="20"/>
        </w:rPr>
        <w:t> </w:t>
      </w:r>
      <w:r>
        <w:rPr>
          <w:rFonts w:ascii="Stone Sans II ITC Std Bk"/>
          <w:b/>
          <w:w w:val="110"/>
          <w:sz w:val="20"/>
        </w:rPr>
        <w:t>two.</w:t>
      </w:r>
    </w:p>
    <w:p>
      <w:pPr>
        <w:pStyle w:val="BodyText"/>
        <w:spacing w:before="8"/>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740" w:firstLine="0"/>
        <w:jc w:val="left"/>
        <w:rPr>
          <w:rFonts w:ascii="Stone Sans II ITC Std Bk"/>
          <w:b/>
          <w:sz w:val="20"/>
        </w:rPr>
      </w:pPr>
      <w:r>
        <w:rPr>
          <w:rFonts w:ascii="Stone Sans II ITC Std Bk"/>
          <w:b/>
          <w:w w:val="110"/>
          <w:sz w:val="20"/>
        </w:rPr>
        <w:t>The number of EM1 students shall be one, rather than one from each Resource Centre for</w:t>
      </w:r>
      <w:r>
        <w:rPr>
          <w:rFonts w:ascii="Stone Sans II ITC Std Bk"/>
          <w:b/>
          <w:spacing w:val="-1"/>
          <w:w w:val="110"/>
          <w:sz w:val="20"/>
        </w:rPr>
        <w:t> </w:t>
      </w:r>
      <w:r>
        <w:rPr>
          <w:rFonts w:ascii="Stone Sans II ITC Std Bk"/>
          <w:b/>
          <w:w w:val="110"/>
          <w:sz w:val="20"/>
        </w:rPr>
        <w:t>Learning.</w:t>
      </w:r>
    </w:p>
    <w:p>
      <w:pPr>
        <w:pStyle w:val="BodyText"/>
        <w:spacing w:before="8"/>
        <w:rPr>
          <w:rFonts w:ascii="Stone Sans II ITC Std Bk"/>
          <w:b/>
          <w:sz w:val="17"/>
        </w:rPr>
      </w:pPr>
    </w:p>
    <w:p>
      <w:pPr>
        <w:pStyle w:val="ListParagraph"/>
        <w:numPr>
          <w:ilvl w:val="0"/>
          <w:numId w:val="41"/>
        </w:numPr>
        <w:tabs>
          <w:tab w:pos="1032" w:val="left" w:leader="none"/>
          <w:tab w:pos="1033" w:val="left" w:leader="none"/>
        </w:tabs>
        <w:spacing w:line="213" w:lineRule="auto" w:before="1" w:after="0"/>
        <w:ind w:left="352" w:right="2007" w:firstLine="0"/>
        <w:jc w:val="left"/>
        <w:rPr>
          <w:rFonts w:ascii="Stone Sans II ITC Std Bk"/>
          <w:b/>
          <w:sz w:val="20"/>
        </w:rPr>
      </w:pPr>
      <w:r>
        <w:rPr>
          <w:rFonts w:ascii="Stone Sans II ITC Std Bk"/>
          <w:b/>
          <w:w w:val="110"/>
          <w:sz w:val="20"/>
        </w:rPr>
        <w:t>The Convenor of the pastoral reference and welfare committee shall not be a member of</w:t>
      </w:r>
      <w:r>
        <w:rPr>
          <w:rFonts w:ascii="Stone Sans II ITC Std Bk"/>
          <w:b/>
          <w:spacing w:val="-1"/>
          <w:w w:val="110"/>
          <w:sz w:val="20"/>
        </w:rPr>
        <w:t> </w:t>
      </w:r>
      <w:r>
        <w:rPr>
          <w:rFonts w:ascii="Stone Sans II ITC Std Bk"/>
          <w:b/>
          <w:w w:val="110"/>
          <w:sz w:val="20"/>
        </w:rPr>
        <w:t>Assembly.</w:t>
      </w:r>
    </w:p>
    <w:p>
      <w:pPr>
        <w:pStyle w:val="BodyText"/>
        <w:spacing w:before="9"/>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933" w:firstLine="0"/>
        <w:jc w:val="left"/>
        <w:rPr>
          <w:rFonts w:ascii="Stone Sans II ITC Std Bk"/>
          <w:b/>
          <w:sz w:val="20"/>
        </w:rPr>
      </w:pPr>
      <w:r>
        <w:rPr>
          <w:rFonts w:ascii="Stone Sans II ITC Std Bk"/>
          <w:b/>
          <w:w w:val="110"/>
          <w:sz w:val="20"/>
        </w:rPr>
        <w:t>Those elected as Moderator of General Assembly at the </w:t>
      </w:r>
      <w:r>
        <w:rPr>
          <w:rFonts w:ascii="Stone Sans II ITC Std Bk"/>
          <w:b/>
          <w:spacing w:val="-5"/>
          <w:w w:val="110"/>
          <w:sz w:val="20"/>
        </w:rPr>
        <w:t>2018 </w:t>
      </w:r>
      <w:r>
        <w:rPr>
          <w:rFonts w:ascii="Stone Sans II ITC Std Bk"/>
          <w:b/>
          <w:w w:val="110"/>
          <w:sz w:val="20"/>
        </w:rPr>
        <w:t>General Assembly shall serve from 2020 to 2022, chairing the Assemblies of </w:t>
      </w:r>
      <w:r>
        <w:rPr>
          <w:rFonts w:ascii="Stone Sans II ITC Std Bk"/>
          <w:b/>
          <w:spacing w:val="-3"/>
          <w:w w:val="110"/>
          <w:sz w:val="20"/>
        </w:rPr>
        <w:t>2021 </w:t>
      </w:r>
      <w:r>
        <w:rPr>
          <w:rFonts w:ascii="Stone Sans II ITC Std Bk"/>
          <w:b/>
          <w:w w:val="110"/>
          <w:sz w:val="20"/>
        </w:rPr>
        <w:t>and 2022 in whatever manner they shall</w:t>
      </w:r>
      <w:r>
        <w:rPr>
          <w:rFonts w:ascii="Stone Sans II ITC Std Bk"/>
          <w:b/>
          <w:spacing w:val="-1"/>
          <w:w w:val="110"/>
          <w:sz w:val="20"/>
        </w:rPr>
        <w:t> </w:t>
      </w:r>
      <w:r>
        <w:rPr>
          <w:rFonts w:ascii="Stone Sans II ITC Std Bk"/>
          <w:b/>
          <w:w w:val="110"/>
          <w:sz w:val="20"/>
        </w:rPr>
        <w:t>determine.</w:t>
      </w:r>
    </w:p>
    <w:p>
      <w:pPr>
        <w:pStyle w:val="BodyText"/>
        <w:spacing w:before="7"/>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869" w:firstLine="0"/>
        <w:jc w:val="left"/>
        <w:rPr>
          <w:rFonts w:ascii="Stone Sans II ITC Std Bk"/>
          <w:b/>
          <w:sz w:val="20"/>
        </w:rPr>
      </w:pPr>
      <w:r>
        <w:rPr>
          <w:rFonts w:ascii="Stone Sans II ITC Std Bk"/>
          <w:b/>
          <w:w w:val="110"/>
          <w:sz w:val="20"/>
        </w:rPr>
        <w:t>After 2022 there shall be one Moderator of General Assembly at any one time, and Assembly resolves to amend the Structure of the United Reformed Church to reflect this change and make it</w:t>
      </w:r>
      <w:r>
        <w:rPr>
          <w:rFonts w:ascii="Stone Sans II ITC Std Bk"/>
          <w:b/>
          <w:spacing w:val="-1"/>
          <w:w w:val="110"/>
          <w:sz w:val="20"/>
        </w:rPr>
        <w:t> </w:t>
      </w:r>
      <w:r>
        <w:rPr>
          <w:rFonts w:ascii="Stone Sans II ITC Std Bk"/>
          <w:b/>
          <w:spacing w:val="-3"/>
          <w:w w:val="110"/>
          <w:sz w:val="20"/>
        </w:rPr>
        <w:t>clear.</w:t>
      </w:r>
    </w:p>
    <w:p>
      <w:pPr>
        <w:pStyle w:val="BodyText"/>
        <w:spacing w:before="8"/>
        <w:rPr>
          <w:rFonts w:ascii="Stone Sans II ITC Std Bk"/>
          <w:b/>
          <w:sz w:val="17"/>
        </w:rPr>
      </w:pPr>
    </w:p>
    <w:p>
      <w:pPr>
        <w:pStyle w:val="ListParagraph"/>
        <w:numPr>
          <w:ilvl w:val="0"/>
          <w:numId w:val="41"/>
        </w:numPr>
        <w:tabs>
          <w:tab w:pos="1032" w:val="left" w:leader="none"/>
          <w:tab w:pos="1033" w:val="left" w:leader="none"/>
        </w:tabs>
        <w:spacing w:line="213" w:lineRule="auto" w:before="0" w:after="0"/>
        <w:ind w:left="352" w:right="1756" w:firstLine="0"/>
        <w:jc w:val="left"/>
        <w:rPr>
          <w:rFonts w:ascii="Stone Sans II ITC Std Bk"/>
          <w:b/>
          <w:sz w:val="20"/>
        </w:rPr>
      </w:pPr>
      <w:r>
        <w:rPr>
          <w:rFonts w:ascii="Stone Sans II ITC Std Bk"/>
          <w:b/>
          <w:w w:val="110"/>
          <w:sz w:val="20"/>
        </w:rPr>
        <w:t>General Assembly instructs the Mission Council to make detailed alterations to sections </w:t>
      </w:r>
      <w:r>
        <w:rPr>
          <w:rFonts w:ascii="Stone Sans II ITC Std Bk"/>
          <w:b/>
          <w:spacing w:val="-7"/>
          <w:w w:val="110"/>
          <w:sz w:val="20"/>
        </w:rPr>
        <w:t>1, </w:t>
      </w:r>
      <w:r>
        <w:rPr>
          <w:rFonts w:ascii="Stone Sans II ITC Std Bk"/>
          <w:b/>
          <w:w w:val="110"/>
          <w:sz w:val="20"/>
        </w:rPr>
        <w:t>2, and 3 of the Rules of Procedure, upon the advice of the Clerk, to </w:t>
      </w:r>
      <w:r>
        <w:rPr>
          <w:rFonts w:ascii="Stone Sans II ITC Std Bk"/>
          <w:b/>
          <w:spacing w:val="2"/>
          <w:w w:val="110"/>
          <w:sz w:val="20"/>
        </w:rPr>
        <w:t>effect </w:t>
      </w:r>
      <w:r>
        <w:rPr>
          <w:rFonts w:ascii="Stone Sans II ITC Std Bk"/>
          <w:b/>
          <w:w w:val="110"/>
          <w:sz w:val="20"/>
        </w:rPr>
        <w:t>the decisions of principle that it has</w:t>
      </w:r>
      <w:r>
        <w:rPr>
          <w:rFonts w:ascii="Stone Sans II ITC Std Bk"/>
          <w:b/>
          <w:spacing w:val="-1"/>
          <w:w w:val="110"/>
          <w:sz w:val="20"/>
        </w:rPr>
        <w:t> </w:t>
      </w:r>
      <w:r>
        <w:rPr>
          <w:rFonts w:ascii="Stone Sans II ITC Std Bk"/>
          <w:b/>
          <w:w w:val="110"/>
          <w:sz w:val="20"/>
        </w:rPr>
        <w:t>made.</w:t>
      </w:r>
    </w:p>
    <w:p>
      <w:pPr>
        <w:pStyle w:val="BodyText"/>
        <w:spacing w:before="2"/>
        <w:rPr>
          <w:rFonts w:ascii="Stone Sans II ITC Std Bk"/>
          <w:b/>
          <w:sz w:val="16"/>
        </w:rPr>
      </w:pPr>
    </w:p>
    <w:p>
      <w:pPr>
        <w:pStyle w:val="ListParagraph"/>
        <w:numPr>
          <w:ilvl w:val="0"/>
          <w:numId w:val="41"/>
        </w:numPr>
        <w:tabs>
          <w:tab w:pos="1032" w:val="left" w:leader="none"/>
          <w:tab w:pos="1033" w:val="left" w:leader="none"/>
        </w:tabs>
        <w:spacing w:line="213" w:lineRule="auto" w:before="0" w:after="0"/>
        <w:ind w:left="352" w:right="2118" w:firstLine="0"/>
        <w:jc w:val="left"/>
        <w:rPr>
          <w:rFonts w:ascii="Stone Sans II ITC Std Bk"/>
          <w:b/>
          <w:sz w:val="20"/>
        </w:rPr>
      </w:pPr>
      <w:r>
        <w:rPr>
          <w:rFonts w:ascii="Stone Sans II ITC Std Bk"/>
          <w:b/>
          <w:w w:val="110"/>
          <w:sz w:val="20"/>
        </w:rPr>
        <w:t>General Assembly further extends the remit of the task group on the future of General Assembly to</w:t>
      </w:r>
      <w:r>
        <w:rPr>
          <w:rFonts w:ascii="Stone Sans II ITC Std Bk"/>
          <w:b/>
          <w:spacing w:val="13"/>
          <w:w w:val="110"/>
          <w:sz w:val="20"/>
        </w:rPr>
        <w:t> </w:t>
      </w:r>
      <w:r>
        <w:rPr>
          <w:rFonts w:ascii="Stone Sans II ITC Std Bk"/>
          <w:b/>
          <w:w w:val="110"/>
          <w:sz w:val="20"/>
        </w:rPr>
        <w:t>propose</w:t>
      </w:r>
    </w:p>
    <w:p>
      <w:pPr>
        <w:spacing w:line="213" w:lineRule="auto" w:before="0"/>
        <w:ind w:left="352" w:right="1214" w:firstLine="0"/>
        <w:jc w:val="left"/>
        <w:rPr>
          <w:rFonts w:ascii="Stone Sans II ITC Std Bk"/>
          <w:b/>
          <w:sz w:val="20"/>
        </w:rPr>
      </w:pPr>
      <w:r>
        <w:rPr>
          <w:rFonts w:ascii="Stone Sans II ITC Std Bk"/>
          <w:b/>
          <w:w w:val="110"/>
          <w:sz w:val="20"/>
        </w:rPr>
        <w:t>recommendations on the expectations of General Assembly on the activities to be undertaken by the Assembly Moderator(s).</w:t>
      </w:r>
    </w:p>
    <w:p>
      <w:pPr>
        <w:pStyle w:val="ListParagraph"/>
        <w:numPr>
          <w:ilvl w:val="0"/>
          <w:numId w:val="41"/>
        </w:numPr>
        <w:tabs>
          <w:tab w:pos="1032" w:val="left" w:leader="none"/>
          <w:tab w:pos="1033" w:val="left" w:leader="none"/>
        </w:tabs>
        <w:spacing w:line="255" w:lineRule="exact" w:before="215" w:after="0"/>
        <w:ind w:left="1032" w:right="0" w:hanging="681"/>
        <w:jc w:val="left"/>
        <w:rPr>
          <w:rFonts w:ascii="Stone Sans II ITC Std Bk"/>
          <w:b/>
          <w:sz w:val="20"/>
        </w:rPr>
      </w:pPr>
      <w:r>
        <w:rPr>
          <w:rFonts w:ascii="Stone Sans II ITC Std Bk"/>
          <w:b/>
          <w:w w:val="110"/>
          <w:sz w:val="20"/>
        </w:rPr>
        <w:t>General</w:t>
      </w:r>
      <w:r>
        <w:rPr>
          <w:rFonts w:ascii="Stone Sans II ITC Std Bk"/>
          <w:b/>
          <w:spacing w:val="-1"/>
          <w:w w:val="110"/>
          <w:sz w:val="20"/>
        </w:rPr>
        <w:t> </w:t>
      </w:r>
      <w:r>
        <w:rPr>
          <w:rFonts w:ascii="Stone Sans II ITC Std Bk"/>
          <w:b/>
          <w:w w:val="110"/>
          <w:sz w:val="20"/>
        </w:rPr>
        <w:t>Assembly:</w:t>
      </w:r>
    </w:p>
    <w:p>
      <w:pPr>
        <w:pStyle w:val="ListParagraph"/>
        <w:numPr>
          <w:ilvl w:val="0"/>
          <w:numId w:val="42"/>
        </w:numPr>
        <w:tabs>
          <w:tab w:pos="1032" w:val="left" w:leader="none"/>
          <w:tab w:pos="1033" w:val="left" w:leader="none"/>
        </w:tabs>
        <w:spacing w:line="213" w:lineRule="auto" w:before="7" w:after="0"/>
        <w:ind w:left="1032" w:right="1911" w:hanging="681"/>
        <w:jc w:val="left"/>
        <w:rPr>
          <w:rFonts w:ascii="Stone Sans II ITC Std Bk"/>
          <w:b/>
          <w:sz w:val="20"/>
        </w:rPr>
      </w:pPr>
      <w:r>
        <w:rPr>
          <w:rFonts w:ascii="Stone Sans II ITC Std Bk"/>
          <w:b/>
          <w:w w:val="110"/>
          <w:sz w:val="20"/>
        </w:rPr>
        <w:t>further extends the remit of the task group on the future of General Assembly to consider changes to Mission Council in the light of decisions made by the General</w:t>
      </w:r>
      <w:r>
        <w:rPr>
          <w:rFonts w:ascii="Stone Sans II ITC Std Bk"/>
          <w:b/>
          <w:spacing w:val="-1"/>
          <w:w w:val="110"/>
          <w:sz w:val="20"/>
        </w:rPr>
        <w:t> </w:t>
      </w:r>
      <w:r>
        <w:rPr>
          <w:rFonts w:ascii="Stone Sans II ITC Std Bk"/>
          <w:b/>
          <w:w w:val="110"/>
          <w:sz w:val="20"/>
        </w:rPr>
        <w:t>Assembly,</w:t>
      </w:r>
    </w:p>
    <w:p>
      <w:pPr>
        <w:pStyle w:val="ListParagraph"/>
        <w:numPr>
          <w:ilvl w:val="0"/>
          <w:numId w:val="42"/>
        </w:numPr>
        <w:tabs>
          <w:tab w:pos="1032" w:val="left" w:leader="none"/>
          <w:tab w:pos="1033" w:val="left" w:leader="none"/>
        </w:tabs>
        <w:spacing w:line="213" w:lineRule="auto" w:before="0" w:after="0"/>
        <w:ind w:left="1032" w:right="1858" w:hanging="681"/>
        <w:jc w:val="left"/>
        <w:rPr>
          <w:rFonts w:ascii="Stone Sans II ITC Std Bk"/>
          <w:b/>
          <w:sz w:val="20"/>
        </w:rPr>
      </w:pPr>
      <w:r>
        <w:rPr>
          <w:rFonts w:ascii="Stone Sans II ITC Std Bk"/>
          <w:b/>
          <w:w w:val="110"/>
          <w:sz w:val="20"/>
        </w:rPr>
        <w:t>instructs the task group to </w:t>
      </w:r>
      <w:r>
        <w:rPr>
          <w:rFonts w:ascii="Stone Sans II ITC Std Bk"/>
          <w:b/>
          <w:spacing w:val="2"/>
          <w:w w:val="110"/>
          <w:sz w:val="20"/>
        </w:rPr>
        <w:t>report </w:t>
      </w:r>
      <w:r>
        <w:rPr>
          <w:rFonts w:ascii="Stone Sans II ITC Std Bk"/>
          <w:b/>
          <w:w w:val="110"/>
          <w:sz w:val="20"/>
        </w:rPr>
        <w:t>to each meeting of Mission Council,</w:t>
      </w:r>
      <w:r>
        <w:rPr>
          <w:rFonts w:ascii="Stone Sans II ITC Std Bk"/>
          <w:b/>
          <w:spacing w:val="-1"/>
          <w:w w:val="110"/>
          <w:sz w:val="20"/>
        </w:rPr>
        <w:t> </w:t>
      </w:r>
      <w:r>
        <w:rPr>
          <w:rFonts w:ascii="Stone Sans II ITC Std Bk"/>
          <w:b/>
          <w:w w:val="110"/>
          <w:sz w:val="20"/>
        </w:rPr>
        <w:t>and</w:t>
      </w:r>
    </w:p>
    <w:p>
      <w:pPr>
        <w:pStyle w:val="ListParagraph"/>
        <w:numPr>
          <w:ilvl w:val="0"/>
          <w:numId w:val="42"/>
        </w:numPr>
        <w:tabs>
          <w:tab w:pos="1032" w:val="left" w:leader="none"/>
          <w:tab w:pos="1033" w:val="left" w:leader="none"/>
        </w:tabs>
        <w:spacing w:line="213" w:lineRule="auto" w:before="0" w:after="0"/>
        <w:ind w:left="1032" w:right="1651" w:hanging="681"/>
        <w:jc w:val="left"/>
        <w:rPr>
          <w:rFonts w:ascii="Stone Sans II ITC Std Bk"/>
          <w:b/>
          <w:sz w:val="20"/>
        </w:rPr>
      </w:pPr>
      <w:r>
        <w:rPr>
          <w:rFonts w:ascii="Stone Sans II ITC Std Bk"/>
          <w:b/>
          <w:w w:val="110"/>
          <w:sz w:val="20"/>
        </w:rPr>
        <w:t>instructs Mission Council to make appropriate changes to its size, composition, and meeting pattern if these are ready to be made before the next meeting of General</w:t>
      </w:r>
      <w:r>
        <w:rPr>
          <w:rFonts w:ascii="Stone Sans II ITC Std Bk"/>
          <w:b/>
          <w:spacing w:val="-1"/>
          <w:w w:val="110"/>
          <w:sz w:val="20"/>
        </w:rPr>
        <w:t> </w:t>
      </w:r>
      <w:r>
        <w:rPr>
          <w:rFonts w:ascii="Stone Sans II ITC Std Bk"/>
          <w:b/>
          <w:w w:val="110"/>
          <w:sz w:val="20"/>
        </w:rPr>
        <w:t>Assembly.</w:t>
      </w:r>
    </w:p>
    <w:p>
      <w:pPr>
        <w:spacing w:after="0" w:line="213" w:lineRule="auto"/>
        <w:jc w:val="left"/>
        <w:rPr>
          <w:rFonts w:ascii="Stone Sans II ITC Std Bk"/>
          <w:sz w:val="20"/>
        </w:rPr>
        <w:sectPr>
          <w:type w:val="continuous"/>
          <w:pgSz w:w="11910" w:h="16840"/>
          <w:pgMar w:top="1580" w:bottom="280" w:left="700" w:right="0"/>
          <w:cols w:num="2" w:equalWidth="0">
            <w:col w:w="2616" w:space="40"/>
            <w:col w:w="8554"/>
          </w:cols>
        </w:sectPr>
      </w:pPr>
    </w:p>
    <w:p>
      <w:pPr>
        <w:pStyle w:val="BodyText"/>
        <w:rPr>
          <w:rFonts w:ascii="Stone Sans II ITC Std Bk"/>
          <w:b/>
          <w:sz w:val="19"/>
        </w:rPr>
      </w:pPr>
      <w:r>
        <w:rPr/>
        <w:pict>
          <v:rect style="position:absolute;margin-left:46.777pt;margin-top:.000015pt;width:548.498pt;height:841.89pt;mso-position-horizontal-relative:page;mso-position-vertical-relative:page;z-index:-267483136" filled="true" fillcolor="#fef4df" stroked="false">
            <v:fill type="solid"/>
            <w10:wrap type="none"/>
          </v:rect>
        </w:pict>
      </w:r>
      <w:r>
        <w:rPr/>
        <w:drawing>
          <wp:anchor distT="0" distB="0" distL="0" distR="0" allowOverlap="1" layoutInCell="1" locked="0" behindDoc="1" simplePos="0" relativeHeight="235834368">
            <wp:simplePos x="0" y="0"/>
            <wp:positionH relativeFrom="page">
              <wp:posOffset>0</wp:posOffset>
            </wp:positionH>
            <wp:positionV relativeFrom="page">
              <wp:posOffset>0</wp:posOffset>
            </wp:positionV>
            <wp:extent cx="594067" cy="10692003"/>
            <wp:effectExtent l="0" t="0" r="0" b="0"/>
            <wp:wrapNone/>
            <wp:docPr id="95" name="image51.png"/>
            <wp:cNvGraphicFramePr>
              <a:graphicFrameLocks noChangeAspect="1"/>
            </wp:cNvGraphicFramePr>
            <a:graphic>
              <a:graphicData uri="http://schemas.openxmlformats.org/drawingml/2006/picture">
                <pic:pic>
                  <pic:nvPicPr>
                    <pic:cNvPr id="96" name="image51.png"/>
                    <pic:cNvPicPr/>
                  </pic:nvPicPr>
                  <pic:blipFill>
                    <a:blip r:embed="rId79"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80064"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spacing w:before="97"/>
        <w:ind w:left="547" w:right="0" w:firstLine="0"/>
        <w:jc w:val="left"/>
        <w:rPr>
          <w:sz w:val="23"/>
        </w:rPr>
      </w:pPr>
      <w:r>
        <w:rPr>
          <w:rFonts w:ascii="Stone Sans II ITC Std X Bd" w:hAnsi="Stone Sans II ITC Std X Bd"/>
          <w:b/>
          <w:w w:val="110"/>
          <w:sz w:val="24"/>
        </w:rPr>
        <w:t>52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type w:val="continuous"/>
          <w:pgSz w:w="11910" w:h="16840"/>
          <w:pgMar w:top="1580" w:bottom="280" w:left="700" w:right="0"/>
        </w:sectPr>
      </w:pPr>
    </w:p>
    <w:p>
      <w:pPr>
        <w:spacing w:before="86" w:after="10"/>
        <w:ind w:left="1043" w:right="0" w:firstLine="0"/>
        <w:jc w:val="left"/>
        <w:rPr>
          <w:rFonts w:ascii="Stone Sans II ITC Std Bk"/>
          <w:b/>
          <w:sz w:val="21"/>
        </w:rPr>
      </w:pPr>
      <w:r>
        <w:rPr/>
        <w:pict>
          <v:group style="position:absolute;margin-left:1.417pt;margin-top:.000015pt;width:593.9pt;height:841.9pt;mso-position-horizontal-relative:page;mso-position-vertical-relative:page;z-index:-267479040" coordorigin="28,0" coordsize="11878,16838">
            <v:rect style="position:absolute;left:28;top:0;width:10956;height:6917" filled="true" fillcolor="#fef4df" stroked="false">
              <v:fill type="solid"/>
            </v:rect>
            <v:shape style="position:absolute;left:10984;top:0;width:922;height:16838" type="#_x0000_t75" stroked="false">
              <v:imagedata r:id="rId31" o:title=""/>
            </v:shape>
            <w10:wrap type="none"/>
          </v:group>
        </w:pict>
      </w:r>
      <w:r>
        <w:rPr/>
        <w:pict>
          <v:shape style="position:absolute;margin-left:554.141174pt;margin-top:-5.025715pt;width:26pt;height:302.2pt;mso-position-horizontal-relative:page;mso-position-vertical-relative:paragraph;z-index:251805696"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rFonts w:ascii="Stone Sans II ITC Std Bk"/>
          <w:b/>
          <w:color w:val="707172"/>
          <w:w w:val="115"/>
          <w:sz w:val="21"/>
        </w:rPr>
        <w:t>Summary of Content</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88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148"/>
              <w:rPr>
                <w:sz w:val="20"/>
              </w:rPr>
            </w:pPr>
            <w:r>
              <w:rPr>
                <w:w w:val="120"/>
                <w:sz w:val="20"/>
              </w:rPr>
              <w:t>To offer proposals for changes to the frequency, location and makeup of General Assembly to enable it to do its work within the budgets set by Assembly of 2016.</w:t>
            </w:r>
          </w:p>
        </w:tc>
      </w:tr>
      <w:tr>
        <w:trPr>
          <w:trHeight w:val="64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395"/>
              <w:rPr>
                <w:sz w:val="20"/>
              </w:rPr>
            </w:pPr>
            <w:r>
              <w:rPr>
                <w:w w:val="120"/>
                <w:sz w:val="20"/>
              </w:rPr>
              <w:t>Propose to return to an Annual Assembly with changes to location and size of the Assembly.</w:t>
            </w:r>
          </w:p>
        </w:tc>
      </w:tr>
      <w:tr>
        <w:trPr>
          <w:trHeight w:val="886" w:hRule="atLeast"/>
        </w:trPr>
        <w:tc>
          <w:tcPr>
            <w:tcW w:w="2660" w:type="dxa"/>
            <w:shd w:val="clear" w:color="auto" w:fill="FFFFFF"/>
          </w:tcPr>
          <w:p>
            <w:pPr>
              <w:pStyle w:val="TableParagraph"/>
              <w:spacing w:line="213" w:lineRule="auto" w:before="117"/>
              <w:ind w:left="79" w:right="702"/>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395"/>
              <w:rPr>
                <w:sz w:val="20"/>
              </w:rPr>
            </w:pPr>
            <w:r>
              <w:rPr>
                <w:w w:val="120"/>
                <w:sz w:val="20"/>
              </w:rPr>
              <w:t>AAC supplementary report to GA 2016. Mission Council Paper U1 of May 2017, and Paper N1 of November 2017 and March 2018.</w:t>
            </w:r>
          </w:p>
        </w:tc>
      </w:tr>
      <w:tr>
        <w:trPr>
          <w:trHeight w:val="646" w:hRule="atLeast"/>
        </w:trPr>
        <w:tc>
          <w:tcPr>
            <w:tcW w:w="2660" w:type="dxa"/>
            <w:shd w:val="clear" w:color="auto" w:fill="FFFFFF"/>
          </w:tcPr>
          <w:p>
            <w:pPr>
              <w:pStyle w:val="TableParagraph"/>
              <w:spacing w:line="213" w:lineRule="auto" w:before="117"/>
              <w:ind w:left="79" w:right="577"/>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0"/>
                <w:sz w:val="20"/>
              </w:rPr>
              <w:t>Mission Council, URC Youth, individuals and committees.</w:t>
            </w:r>
          </w:p>
        </w:tc>
      </w:tr>
    </w:tbl>
    <w:p>
      <w:pPr>
        <w:spacing w:before="187" w:after="9"/>
        <w:ind w:left="1043"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05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line="235" w:lineRule="auto" w:before="111"/>
              <w:ind w:left="80"/>
              <w:rPr>
                <w:sz w:val="20"/>
              </w:rPr>
            </w:pPr>
            <w:r>
              <w:rPr>
                <w:w w:val="120"/>
                <w:sz w:val="20"/>
              </w:rPr>
              <w:t>Possible modest increases in required funds, depending on what we decide to do.</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Pr>
                <w:sz w:val="20"/>
              </w:rPr>
            </w:pPr>
            <w:r>
              <w:rPr>
                <w:w w:val="120"/>
                <w:sz w:val="20"/>
              </w:rPr>
              <w:t>Improvements in the efficiency of our governance processes will reduce the risk of reputational damage.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spacing w:line="213" w:lineRule="auto" w:before="213"/>
        <w:ind w:left="1287" w:right="1730" w:firstLine="0"/>
        <w:jc w:val="center"/>
        <w:rPr>
          <w:rFonts w:ascii="Stone Sans II ITC Std X Bd"/>
          <w:b/>
          <w:sz w:val="50"/>
        </w:rPr>
      </w:pPr>
      <w:r>
        <w:rPr>
          <w:rFonts w:ascii="Stone Sans II ITC Std X Bd"/>
          <w:b/>
          <w:spacing w:val="-10"/>
          <w:w w:val="110"/>
          <w:sz w:val="50"/>
        </w:rPr>
        <w:t>Proposals </w:t>
      </w:r>
      <w:r>
        <w:rPr>
          <w:rFonts w:ascii="Stone Sans II ITC Std X Bd"/>
          <w:b/>
          <w:spacing w:val="-5"/>
          <w:w w:val="110"/>
          <w:sz w:val="50"/>
        </w:rPr>
        <w:t>for </w:t>
      </w:r>
      <w:r>
        <w:rPr>
          <w:rFonts w:ascii="Stone Sans II ITC Std X Bd"/>
          <w:b/>
          <w:spacing w:val="-8"/>
          <w:w w:val="110"/>
          <w:sz w:val="50"/>
        </w:rPr>
        <w:t>the </w:t>
      </w:r>
      <w:r>
        <w:rPr>
          <w:rFonts w:ascii="Stone Sans II ITC Std X Bd"/>
          <w:b/>
          <w:spacing w:val="-9"/>
          <w:w w:val="110"/>
          <w:sz w:val="50"/>
        </w:rPr>
        <w:t>future </w:t>
      </w:r>
      <w:r>
        <w:rPr>
          <w:rFonts w:ascii="Stone Sans II ITC Std X Bd"/>
          <w:b/>
          <w:spacing w:val="-5"/>
          <w:w w:val="110"/>
          <w:sz w:val="50"/>
        </w:rPr>
        <w:t>of </w:t>
      </w:r>
      <w:r>
        <w:rPr>
          <w:rFonts w:ascii="Stone Sans II ITC Std X Bd"/>
          <w:b/>
          <w:spacing w:val="-9"/>
          <w:w w:val="110"/>
          <w:sz w:val="50"/>
        </w:rPr>
        <w:t>General </w:t>
      </w:r>
      <w:r>
        <w:rPr>
          <w:rFonts w:ascii="Stone Sans II ITC Std X Bd"/>
          <w:b/>
          <w:spacing w:val="-8"/>
          <w:w w:val="110"/>
          <w:sz w:val="50"/>
        </w:rPr>
        <w:t>Assembly</w:t>
      </w:r>
    </w:p>
    <w:p>
      <w:pPr>
        <w:spacing w:line="323" w:lineRule="exact" w:before="0"/>
        <w:ind w:left="1287" w:right="1729" w:firstLine="0"/>
        <w:jc w:val="center"/>
        <w:rPr>
          <w:rFonts w:ascii="Stone Sans II ITC Std Bk"/>
          <w:b/>
          <w:sz w:val="29"/>
        </w:rPr>
      </w:pPr>
      <w:r>
        <w:rPr>
          <w:rFonts w:ascii="Stone Sans II ITC Std Bk"/>
          <w:b/>
          <w:spacing w:val="5"/>
          <w:w w:val="110"/>
          <w:sz w:val="29"/>
        </w:rPr>
        <w:t>Part </w:t>
      </w:r>
      <w:r>
        <w:rPr>
          <w:rFonts w:ascii="Stone Sans II ITC Std Bk"/>
          <w:b/>
          <w:spacing w:val="2"/>
          <w:w w:val="110"/>
          <w:sz w:val="29"/>
        </w:rPr>
        <w:t>one: how </w:t>
      </w:r>
      <w:r>
        <w:rPr>
          <w:rFonts w:ascii="Stone Sans II ITC Std Bk"/>
          <w:b/>
          <w:w w:val="110"/>
          <w:sz w:val="29"/>
        </w:rPr>
        <w:t>we </w:t>
      </w:r>
      <w:r>
        <w:rPr>
          <w:rFonts w:ascii="Stone Sans II ITC Std Bk"/>
          <w:b/>
          <w:spacing w:val="4"/>
          <w:w w:val="110"/>
          <w:sz w:val="29"/>
        </w:rPr>
        <w:t>reached </w:t>
      </w:r>
      <w:r>
        <w:rPr>
          <w:rFonts w:ascii="Stone Sans II ITC Std Bk"/>
          <w:b/>
          <w:spacing w:val="3"/>
          <w:w w:val="110"/>
          <w:sz w:val="29"/>
        </w:rPr>
        <w:t>our</w:t>
      </w:r>
      <w:r>
        <w:rPr>
          <w:rFonts w:ascii="Stone Sans II ITC Std Bk"/>
          <w:b/>
          <w:spacing w:val="71"/>
          <w:w w:val="110"/>
          <w:sz w:val="29"/>
        </w:rPr>
        <w:t> </w:t>
      </w:r>
      <w:r>
        <w:rPr>
          <w:rFonts w:ascii="Stone Sans II ITC Std Bk"/>
          <w:b/>
          <w:spacing w:val="3"/>
          <w:w w:val="110"/>
          <w:sz w:val="29"/>
        </w:rPr>
        <w:t>recommendations</w:t>
      </w:r>
    </w:p>
    <w:p>
      <w:pPr>
        <w:pStyle w:val="BodyText"/>
        <w:spacing w:before="10"/>
        <w:rPr>
          <w:rFonts w:ascii="Stone Sans II ITC Std Bk"/>
          <w:b/>
          <w:sz w:val="42"/>
        </w:rPr>
      </w:pPr>
    </w:p>
    <w:p>
      <w:pPr>
        <w:pStyle w:val="ListParagraph"/>
        <w:numPr>
          <w:ilvl w:val="0"/>
          <w:numId w:val="43"/>
        </w:numPr>
        <w:tabs>
          <w:tab w:pos="1723" w:val="left" w:leader="none"/>
          <w:tab w:pos="1724" w:val="left" w:leader="none"/>
        </w:tabs>
        <w:spacing w:line="240" w:lineRule="auto" w:before="1" w:after="0"/>
        <w:ind w:left="1723" w:right="0" w:hanging="681"/>
        <w:jc w:val="left"/>
        <w:rPr>
          <w:rFonts w:ascii="Stone Sans II ITC Std Bk" w:hAnsi="Stone Sans II ITC Std Bk"/>
          <w:b/>
          <w:sz w:val="29"/>
        </w:rPr>
      </w:pPr>
      <w:r>
        <w:rPr>
          <w:rFonts w:ascii="Stone Sans II ITC Std Bk" w:hAnsi="Stone Sans II ITC Std Bk"/>
          <w:b/>
          <w:spacing w:val="4"/>
          <w:w w:val="110"/>
          <w:sz w:val="29"/>
        </w:rPr>
        <w:t>The </w:t>
      </w:r>
      <w:r>
        <w:rPr>
          <w:rFonts w:ascii="Stone Sans II ITC Std Bk" w:hAnsi="Stone Sans II ITC Std Bk"/>
          <w:b/>
          <w:spacing w:val="3"/>
          <w:w w:val="110"/>
          <w:sz w:val="29"/>
        </w:rPr>
        <w:t>task </w:t>
      </w:r>
      <w:r>
        <w:rPr>
          <w:rFonts w:ascii="Stone Sans II ITC Std Bk" w:hAnsi="Stone Sans II ITC Std Bk"/>
          <w:b/>
          <w:w w:val="110"/>
          <w:sz w:val="29"/>
        </w:rPr>
        <w:t>group’s</w:t>
      </w:r>
      <w:r>
        <w:rPr>
          <w:rFonts w:ascii="Stone Sans II ITC Std Bk" w:hAnsi="Stone Sans II ITC Std Bk"/>
          <w:b/>
          <w:spacing w:val="30"/>
          <w:w w:val="110"/>
          <w:sz w:val="29"/>
        </w:rPr>
        <w:t> </w:t>
      </w:r>
      <w:r>
        <w:rPr>
          <w:rFonts w:ascii="Stone Sans II ITC Std Bk" w:hAnsi="Stone Sans II ITC Std Bk"/>
          <w:b/>
          <w:spacing w:val="3"/>
          <w:w w:val="110"/>
          <w:sz w:val="29"/>
        </w:rPr>
        <w:t>remit</w:t>
      </w:r>
    </w:p>
    <w:p>
      <w:pPr>
        <w:pStyle w:val="ListParagraph"/>
        <w:numPr>
          <w:ilvl w:val="1"/>
          <w:numId w:val="43"/>
        </w:numPr>
        <w:tabs>
          <w:tab w:pos="1723" w:val="left" w:leader="none"/>
          <w:tab w:pos="1724" w:val="left" w:leader="none"/>
        </w:tabs>
        <w:spacing w:line="240" w:lineRule="auto" w:before="65" w:after="0"/>
        <w:ind w:left="1723" w:right="0" w:hanging="681"/>
        <w:jc w:val="left"/>
        <w:rPr>
          <w:sz w:val="20"/>
        </w:rPr>
      </w:pPr>
      <w:r>
        <w:rPr>
          <w:w w:val="120"/>
          <w:sz w:val="20"/>
        </w:rPr>
        <w:t>In July </w:t>
      </w:r>
      <w:r>
        <w:rPr>
          <w:spacing w:val="-7"/>
          <w:w w:val="120"/>
          <w:sz w:val="20"/>
        </w:rPr>
        <w:t>2016 </w:t>
      </w:r>
      <w:r>
        <w:rPr>
          <w:w w:val="120"/>
          <w:sz w:val="20"/>
        </w:rPr>
        <w:t>General Assembly resolved to appoint a task</w:t>
      </w:r>
      <w:r>
        <w:rPr>
          <w:spacing w:val="32"/>
          <w:w w:val="120"/>
          <w:sz w:val="20"/>
        </w:rPr>
        <w:t> </w:t>
      </w:r>
      <w:r>
        <w:rPr>
          <w:w w:val="120"/>
          <w:sz w:val="20"/>
        </w:rPr>
        <w:t>group:</w:t>
      </w:r>
    </w:p>
    <w:p>
      <w:pPr>
        <w:pStyle w:val="BodyText"/>
        <w:spacing w:before="7"/>
        <w:rPr>
          <w:sz w:val="19"/>
        </w:rPr>
      </w:pPr>
    </w:p>
    <w:p>
      <w:pPr>
        <w:pStyle w:val="BodyText"/>
        <w:spacing w:line="235" w:lineRule="auto" w:before="1"/>
        <w:ind w:left="1723" w:right="1533"/>
      </w:pPr>
      <w:r>
        <w:rPr>
          <w:w w:val="120"/>
        </w:rPr>
        <w:t>to consider the documentation already available, to consult widely, particularly with synods and Assembly committees, and to bring to the General Assembly of 2018 proposals for the form, size, duration, location and funding of the Assembly in subsequent years from 2020 to 2030.</w:t>
      </w:r>
    </w:p>
    <w:p>
      <w:pPr>
        <w:pStyle w:val="BodyText"/>
        <w:spacing w:before="6"/>
        <w:rPr>
          <w:sz w:val="19"/>
        </w:rPr>
      </w:pPr>
    </w:p>
    <w:p>
      <w:pPr>
        <w:pStyle w:val="ListParagraph"/>
        <w:numPr>
          <w:ilvl w:val="1"/>
          <w:numId w:val="43"/>
        </w:numPr>
        <w:tabs>
          <w:tab w:pos="1723" w:val="left" w:leader="none"/>
          <w:tab w:pos="1724" w:val="left" w:leader="none"/>
        </w:tabs>
        <w:spacing w:line="240" w:lineRule="auto" w:before="1" w:after="0"/>
        <w:ind w:left="1723" w:right="0" w:hanging="681"/>
        <w:jc w:val="left"/>
        <w:rPr>
          <w:sz w:val="20"/>
        </w:rPr>
      </w:pPr>
      <w:r>
        <w:rPr>
          <w:w w:val="120"/>
          <w:sz w:val="20"/>
        </w:rPr>
        <w:t>The </w:t>
      </w:r>
      <w:r>
        <w:rPr>
          <w:spacing w:val="2"/>
          <w:w w:val="120"/>
          <w:sz w:val="20"/>
        </w:rPr>
        <w:t>report </w:t>
      </w:r>
      <w:r>
        <w:rPr>
          <w:w w:val="120"/>
          <w:sz w:val="20"/>
        </w:rPr>
        <w:t>also stated</w:t>
      </w:r>
      <w:r>
        <w:rPr>
          <w:spacing w:val="5"/>
          <w:w w:val="120"/>
          <w:sz w:val="20"/>
        </w:rPr>
        <w:t> </w:t>
      </w:r>
      <w:r>
        <w:rPr>
          <w:w w:val="120"/>
          <w:sz w:val="20"/>
        </w:rPr>
        <w:t>that:</w:t>
      </w:r>
    </w:p>
    <w:p>
      <w:pPr>
        <w:pStyle w:val="BodyText"/>
        <w:spacing w:before="7"/>
        <w:rPr>
          <w:sz w:val="19"/>
        </w:rPr>
      </w:pPr>
    </w:p>
    <w:p>
      <w:pPr>
        <w:pStyle w:val="BodyText"/>
        <w:spacing w:line="235" w:lineRule="auto"/>
        <w:ind w:left="1723" w:right="1584"/>
      </w:pPr>
      <w:r>
        <w:rPr>
          <w:w w:val="120"/>
        </w:rPr>
        <w:t>The task group of five people, including a former Moderator of General Assembly, a current or recent Synod Clerk, and the Clerk of the General Assembly, nominated by the nominations committee, and appointed by the Assembly officers, to begin work immediately, and </w:t>
      </w:r>
      <w:r>
        <w:rPr>
          <w:spacing w:val="2"/>
          <w:w w:val="120"/>
        </w:rPr>
        <w:t>report </w:t>
      </w:r>
      <w:r>
        <w:rPr>
          <w:w w:val="120"/>
        </w:rPr>
        <w:t>to each meeting of Mission Council. A </w:t>
      </w:r>
      <w:r>
        <w:rPr>
          <w:spacing w:val="2"/>
          <w:w w:val="120"/>
        </w:rPr>
        <w:t>report </w:t>
      </w:r>
      <w:r>
        <w:rPr>
          <w:w w:val="120"/>
        </w:rPr>
        <w:t>to the autumn </w:t>
      </w:r>
      <w:r>
        <w:rPr>
          <w:spacing w:val="-9"/>
          <w:w w:val="120"/>
        </w:rPr>
        <w:t>2017 </w:t>
      </w:r>
      <w:r>
        <w:rPr>
          <w:w w:val="120"/>
        </w:rPr>
        <w:t>meeting of Mission Council should enable that meeting to make decisions that enable a venue to be firmly booked for the 2020 meeting of General</w:t>
      </w:r>
      <w:r>
        <w:rPr>
          <w:spacing w:val="13"/>
          <w:w w:val="120"/>
        </w:rPr>
        <w:t> </w:t>
      </w:r>
      <w:r>
        <w:rPr>
          <w:w w:val="120"/>
        </w:rPr>
        <w:t>Assembly.</w:t>
      </w:r>
    </w:p>
    <w:p>
      <w:pPr>
        <w:pStyle w:val="BodyText"/>
        <w:spacing w:before="1"/>
      </w:pPr>
    </w:p>
    <w:p>
      <w:pPr>
        <w:pStyle w:val="ListParagraph"/>
        <w:numPr>
          <w:ilvl w:val="1"/>
          <w:numId w:val="43"/>
        </w:numPr>
        <w:tabs>
          <w:tab w:pos="1723" w:val="left" w:leader="none"/>
          <w:tab w:pos="1724" w:val="left" w:leader="none"/>
        </w:tabs>
        <w:spacing w:line="235" w:lineRule="auto" w:before="0" w:after="0"/>
        <w:ind w:left="1043" w:right="1681" w:firstLine="0"/>
        <w:jc w:val="left"/>
        <w:rPr>
          <w:sz w:val="20"/>
        </w:rPr>
      </w:pPr>
      <w:r>
        <w:rPr>
          <w:w w:val="120"/>
          <w:sz w:val="20"/>
        </w:rPr>
        <w:t>In the event, the Nominations process proved a little slower than the drafters  of the Assembly resolution hoped, and the task group began work in December </w:t>
      </w:r>
      <w:r>
        <w:rPr>
          <w:spacing w:val="-6"/>
          <w:w w:val="120"/>
          <w:sz w:val="20"/>
        </w:rPr>
        <w:t>2016. </w:t>
      </w:r>
      <w:r>
        <w:rPr>
          <w:w w:val="120"/>
          <w:sz w:val="20"/>
        </w:rPr>
        <w:t>Its members are Val Morrison </w:t>
      </w:r>
      <w:r>
        <w:rPr>
          <w:spacing w:val="-4"/>
          <w:w w:val="120"/>
          <w:sz w:val="20"/>
        </w:rPr>
        <w:t>(convenor) </w:t>
      </w:r>
      <w:r>
        <w:rPr>
          <w:w w:val="120"/>
          <w:sz w:val="20"/>
        </w:rPr>
        <w:t>(former Assembly Moderator and a former Synod</w:t>
      </w:r>
      <w:r>
        <w:rPr>
          <w:spacing w:val="10"/>
          <w:w w:val="120"/>
          <w:sz w:val="20"/>
        </w:rPr>
        <w:t> </w:t>
      </w:r>
      <w:r>
        <w:rPr>
          <w:spacing w:val="-3"/>
          <w:w w:val="120"/>
          <w:sz w:val="20"/>
        </w:rPr>
        <w:t>Clerk),</w:t>
      </w:r>
      <w:r>
        <w:rPr>
          <w:spacing w:val="11"/>
          <w:w w:val="120"/>
          <w:sz w:val="20"/>
        </w:rPr>
        <w:t> </w:t>
      </w:r>
      <w:r>
        <w:rPr>
          <w:w w:val="120"/>
          <w:sz w:val="20"/>
        </w:rPr>
        <w:t>Adrian</w:t>
      </w:r>
      <w:r>
        <w:rPr>
          <w:spacing w:val="11"/>
          <w:w w:val="120"/>
          <w:sz w:val="20"/>
        </w:rPr>
        <w:t> </w:t>
      </w:r>
      <w:r>
        <w:rPr>
          <w:w w:val="120"/>
          <w:sz w:val="20"/>
        </w:rPr>
        <w:t>Bulley</w:t>
      </w:r>
      <w:r>
        <w:rPr>
          <w:spacing w:val="11"/>
          <w:w w:val="120"/>
          <w:sz w:val="20"/>
        </w:rPr>
        <w:t> </w:t>
      </w:r>
      <w:r>
        <w:rPr>
          <w:spacing w:val="-3"/>
          <w:w w:val="120"/>
          <w:sz w:val="20"/>
        </w:rPr>
        <w:t>(Synod</w:t>
      </w:r>
      <w:r>
        <w:rPr>
          <w:spacing w:val="11"/>
          <w:w w:val="120"/>
          <w:sz w:val="20"/>
        </w:rPr>
        <w:t> </w:t>
      </w:r>
      <w:r>
        <w:rPr>
          <w:spacing w:val="-3"/>
          <w:w w:val="120"/>
          <w:sz w:val="20"/>
        </w:rPr>
        <w:t>Clerk),</w:t>
      </w:r>
      <w:r>
        <w:rPr>
          <w:spacing w:val="11"/>
          <w:w w:val="120"/>
          <w:sz w:val="20"/>
        </w:rPr>
        <w:t> </w:t>
      </w:r>
      <w:r>
        <w:rPr>
          <w:w w:val="120"/>
          <w:sz w:val="20"/>
        </w:rPr>
        <w:t>Dick</w:t>
      </w:r>
      <w:r>
        <w:rPr>
          <w:spacing w:val="11"/>
          <w:w w:val="120"/>
          <w:sz w:val="20"/>
        </w:rPr>
        <w:t> </w:t>
      </w:r>
      <w:r>
        <w:rPr>
          <w:w w:val="120"/>
          <w:sz w:val="20"/>
        </w:rPr>
        <w:t>Gray</w:t>
      </w:r>
      <w:r>
        <w:rPr>
          <w:spacing w:val="11"/>
          <w:w w:val="120"/>
          <w:sz w:val="20"/>
        </w:rPr>
        <w:t> </w:t>
      </w:r>
      <w:r>
        <w:rPr>
          <w:w w:val="120"/>
          <w:sz w:val="20"/>
        </w:rPr>
        <w:t>(former</w:t>
      </w:r>
      <w:r>
        <w:rPr>
          <w:spacing w:val="11"/>
          <w:w w:val="120"/>
          <w:sz w:val="20"/>
        </w:rPr>
        <w:t> </w:t>
      </w:r>
      <w:r>
        <w:rPr>
          <w:w w:val="120"/>
          <w:sz w:val="20"/>
        </w:rPr>
        <w:t>Deputy</w:t>
      </w:r>
      <w:r>
        <w:rPr>
          <w:spacing w:val="11"/>
          <w:w w:val="120"/>
          <w:sz w:val="20"/>
        </w:rPr>
        <w:t> </w:t>
      </w:r>
      <w:r>
        <w:rPr>
          <w:w w:val="120"/>
          <w:sz w:val="20"/>
        </w:rPr>
        <w:t>Treasurer</w:t>
      </w:r>
      <w:r>
        <w:rPr>
          <w:spacing w:val="11"/>
          <w:w w:val="120"/>
          <w:sz w:val="20"/>
        </w:rPr>
        <w:t> </w:t>
      </w:r>
      <w:r>
        <w:rPr>
          <w:w w:val="120"/>
          <w:sz w:val="20"/>
        </w:rPr>
        <w:t>and</w:t>
      </w:r>
      <w:r>
        <w:rPr>
          <w:spacing w:val="11"/>
          <w:w w:val="120"/>
          <w:sz w:val="20"/>
        </w:rPr>
        <w:t> </w:t>
      </w:r>
      <w:r>
        <w:rPr>
          <w:w w:val="120"/>
          <w:sz w:val="20"/>
        </w:rPr>
        <w:t>a</w:t>
      </w:r>
    </w:p>
    <w:p>
      <w:pPr>
        <w:pStyle w:val="BodyText"/>
        <w:spacing w:line="235" w:lineRule="auto" w:before="3"/>
        <w:ind w:left="1043" w:right="1283"/>
      </w:pPr>
      <w:r>
        <w:rPr>
          <w:w w:val="120"/>
        </w:rPr>
        <w:t>current Synod Treasurer), Margaret Marshall (Synod Clerk), along with Michael Hopkins (Assembly Clerk), supported by John Proctor (General Secretary).</w:t>
      </w:r>
    </w:p>
    <w:p>
      <w:pPr>
        <w:spacing w:after="0" w:line="235" w:lineRule="auto"/>
        <w:sectPr>
          <w:headerReference w:type="default" r:id="rId171"/>
          <w:footerReference w:type="default" r:id="rId172"/>
          <w:footerReference w:type="even" r:id="rId173"/>
          <w:pgSz w:w="11910" w:h="16840"/>
          <w:pgMar w:header="0" w:footer="647" w:top="1060" w:bottom="840" w:left="700" w:right="0"/>
          <w:pgNumType w:start="53"/>
        </w:sectPr>
      </w:pPr>
    </w:p>
    <w:p>
      <w:pPr>
        <w:pStyle w:val="BodyText"/>
      </w:pPr>
      <w:r>
        <w:rPr/>
        <w:drawing>
          <wp:anchor distT="0" distB="0" distL="0" distR="0" allowOverlap="1" layoutInCell="1" locked="0" behindDoc="1" simplePos="0" relativeHeight="235839488">
            <wp:simplePos x="0" y="0"/>
            <wp:positionH relativeFrom="page">
              <wp:posOffset>0</wp:posOffset>
            </wp:positionH>
            <wp:positionV relativeFrom="page">
              <wp:posOffset>0</wp:posOffset>
            </wp:positionV>
            <wp:extent cx="594067" cy="10692003"/>
            <wp:effectExtent l="0" t="0" r="0" b="0"/>
            <wp:wrapNone/>
            <wp:docPr id="97" name="image49.png"/>
            <wp:cNvGraphicFramePr>
              <a:graphicFrameLocks noChangeAspect="1"/>
            </wp:cNvGraphicFramePr>
            <a:graphic>
              <a:graphicData uri="http://schemas.openxmlformats.org/drawingml/2006/picture">
                <pic:pic>
                  <pic:nvPicPr>
                    <pic:cNvPr id="98"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75968"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spacing w:before="108"/>
        <w:ind w:left="547" w:right="0" w:firstLine="0"/>
        <w:jc w:val="left"/>
        <w:rPr>
          <w:sz w:val="26"/>
        </w:rPr>
      </w:pPr>
      <w:r>
        <w:rPr>
          <w:color w:val="7EAABF"/>
          <w:w w:val="120"/>
          <w:sz w:val="26"/>
        </w:rPr>
        <w:t>Mission Council</w:t>
      </w:r>
    </w:p>
    <w:p>
      <w:pPr>
        <w:pStyle w:val="BodyText"/>
        <w:spacing w:before="10"/>
        <w:rPr>
          <w:sz w:val="37"/>
        </w:rPr>
      </w:pPr>
    </w:p>
    <w:p>
      <w:pPr>
        <w:pStyle w:val="ListParagraph"/>
        <w:numPr>
          <w:ilvl w:val="1"/>
          <w:numId w:val="43"/>
        </w:numPr>
        <w:tabs>
          <w:tab w:pos="1227" w:val="left" w:leader="none"/>
          <w:tab w:pos="1228" w:val="left" w:leader="none"/>
        </w:tabs>
        <w:spacing w:line="235" w:lineRule="auto" w:before="0" w:after="0"/>
        <w:ind w:left="547" w:right="2117" w:firstLine="0"/>
        <w:jc w:val="left"/>
        <w:rPr>
          <w:sz w:val="20"/>
        </w:rPr>
      </w:pPr>
      <w:r>
        <w:rPr>
          <w:w w:val="120"/>
          <w:sz w:val="20"/>
        </w:rPr>
        <w:t>The task group notes that the current pattern of governance is a two-year cycle, which consists of one meeting of General Assembly and four meetings of Mission Council.</w:t>
      </w:r>
      <w:r>
        <w:rPr>
          <w:spacing w:val="6"/>
          <w:w w:val="120"/>
          <w:sz w:val="20"/>
        </w:rPr>
        <w:t> </w:t>
      </w:r>
      <w:r>
        <w:rPr>
          <w:w w:val="120"/>
          <w:sz w:val="20"/>
        </w:rPr>
        <w:t>The</w:t>
      </w:r>
      <w:r>
        <w:rPr>
          <w:spacing w:val="6"/>
          <w:w w:val="120"/>
          <w:sz w:val="20"/>
        </w:rPr>
        <w:t> </w:t>
      </w:r>
      <w:r>
        <w:rPr>
          <w:w w:val="120"/>
          <w:sz w:val="20"/>
        </w:rPr>
        <w:t>task</w:t>
      </w:r>
      <w:r>
        <w:rPr>
          <w:spacing w:val="6"/>
          <w:w w:val="120"/>
          <w:sz w:val="20"/>
        </w:rPr>
        <w:t> </w:t>
      </w:r>
      <w:r>
        <w:rPr>
          <w:w w:val="120"/>
          <w:sz w:val="20"/>
        </w:rPr>
        <w:t>group</w:t>
      </w:r>
      <w:r>
        <w:rPr>
          <w:spacing w:val="6"/>
          <w:w w:val="120"/>
          <w:sz w:val="20"/>
        </w:rPr>
        <w:t> </w:t>
      </w:r>
      <w:r>
        <w:rPr>
          <w:w w:val="120"/>
          <w:sz w:val="20"/>
        </w:rPr>
        <w:t>also</w:t>
      </w:r>
      <w:r>
        <w:rPr>
          <w:spacing w:val="6"/>
          <w:w w:val="120"/>
          <w:sz w:val="20"/>
        </w:rPr>
        <w:t> </w:t>
      </w:r>
      <w:r>
        <w:rPr>
          <w:w w:val="120"/>
          <w:sz w:val="20"/>
        </w:rPr>
        <w:t>noted</w:t>
      </w:r>
      <w:r>
        <w:rPr>
          <w:spacing w:val="7"/>
          <w:w w:val="120"/>
          <w:sz w:val="20"/>
        </w:rPr>
        <w:t> </w:t>
      </w:r>
      <w:r>
        <w:rPr>
          <w:w w:val="120"/>
          <w:sz w:val="20"/>
        </w:rPr>
        <w:t>that</w:t>
      </w:r>
      <w:r>
        <w:rPr>
          <w:spacing w:val="6"/>
          <w:w w:val="120"/>
          <w:sz w:val="20"/>
        </w:rPr>
        <w:t> </w:t>
      </w:r>
      <w:r>
        <w:rPr>
          <w:w w:val="120"/>
          <w:sz w:val="20"/>
        </w:rPr>
        <w:t>these</w:t>
      </w:r>
      <w:r>
        <w:rPr>
          <w:spacing w:val="6"/>
          <w:w w:val="120"/>
          <w:sz w:val="20"/>
        </w:rPr>
        <w:t> </w:t>
      </w:r>
      <w:r>
        <w:rPr>
          <w:w w:val="120"/>
          <w:sz w:val="20"/>
        </w:rPr>
        <w:t>meetings</w:t>
      </w:r>
      <w:r>
        <w:rPr>
          <w:spacing w:val="6"/>
          <w:w w:val="120"/>
          <w:sz w:val="20"/>
        </w:rPr>
        <w:t> </w:t>
      </w:r>
      <w:r>
        <w:rPr>
          <w:w w:val="120"/>
          <w:sz w:val="20"/>
        </w:rPr>
        <w:t>are</w:t>
      </w:r>
      <w:r>
        <w:rPr>
          <w:spacing w:val="6"/>
          <w:w w:val="120"/>
          <w:sz w:val="20"/>
        </w:rPr>
        <w:t> </w:t>
      </w:r>
      <w:r>
        <w:rPr>
          <w:w w:val="120"/>
          <w:sz w:val="20"/>
        </w:rPr>
        <w:t>costed</w:t>
      </w:r>
      <w:r>
        <w:rPr>
          <w:spacing w:val="6"/>
          <w:w w:val="120"/>
          <w:sz w:val="20"/>
        </w:rPr>
        <w:t> </w:t>
      </w:r>
      <w:r>
        <w:rPr>
          <w:w w:val="120"/>
          <w:sz w:val="20"/>
        </w:rPr>
        <w:t>at</w:t>
      </w:r>
      <w:r>
        <w:rPr>
          <w:spacing w:val="7"/>
          <w:w w:val="120"/>
          <w:sz w:val="20"/>
        </w:rPr>
        <w:t> </w:t>
      </w:r>
      <w:r>
        <w:rPr>
          <w:w w:val="120"/>
          <w:sz w:val="20"/>
        </w:rPr>
        <w:t>£200,000</w:t>
      </w:r>
      <w:r>
        <w:rPr>
          <w:spacing w:val="6"/>
          <w:w w:val="120"/>
          <w:sz w:val="20"/>
        </w:rPr>
        <w:t> </w:t>
      </w:r>
      <w:r>
        <w:rPr>
          <w:w w:val="120"/>
          <w:sz w:val="20"/>
        </w:rPr>
        <w:t>and</w:t>
      </w:r>
    </w:p>
    <w:p>
      <w:pPr>
        <w:pStyle w:val="BodyText"/>
        <w:spacing w:line="235" w:lineRule="auto" w:before="2"/>
        <w:ind w:left="547" w:right="2582"/>
      </w:pPr>
      <w:r>
        <w:rPr>
          <w:w w:val="120"/>
        </w:rPr>
        <w:t>£20,000 each respectively, making a total budget of £280,000 over the two years   of a cycle. (N.B. Although the Assembly budget for </w:t>
      </w:r>
      <w:r>
        <w:rPr>
          <w:spacing w:val="-9"/>
          <w:w w:val="120"/>
        </w:rPr>
        <w:t>2017 </w:t>
      </w:r>
      <w:r>
        <w:rPr>
          <w:w w:val="120"/>
        </w:rPr>
        <w:t>and </w:t>
      </w:r>
      <w:r>
        <w:rPr>
          <w:spacing w:val="-6"/>
          <w:w w:val="120"/>
        </w:rPr>
        <w:t>2018 </w:t>
      </w:r>
      <w:r>
        <w:rPr>
          <w:w w:val="120"/>
        </w:rPr>
        <w:t>was increased</w:t>
      </w:r>
      <w:r>
        <w:rPr>
          <w:spacing w:val="15"/>
          <w:w w:val="120"/>
        </w:rPr>
        <w:t> </w:t>
      </w:r>
      <w:r>
        <w:rPr>
          <w:w w:val="120"/>
        </w:rPr>
        <w:t>to</w:t>
      </w:r>
    </w:p>
    <w:p>
      <w:pPr>
        <w:pStyle w:val="BodyText"/>
        <w:spacing w:line="235" w:lineRule="auto" w:before="2"/>
        <w:ind w:left="547" w:right="2112"/>
      </w:pPr>
      <w:r>
        <w:rPr>
          <w:w w:val="120"/>
        </w:rPr>
        <w:t>£230,000, this was not intended as a permanent change, and we expect the budget to revert to £200,000 for 2020.)</w:t>
      </w:r>
    </w:p>
    <w:p>
      <w:pPr>
        <w:pStyle w:val="BodyText"/>
        <w:spacing w:before="9"/>
        <w:rPr>
          <w:sz w:val="19"/>
        </w:rPr>
      </w:pPr>
    </w:p>
    <w:p>
      <w:pPr>
        <w:pStyle w:val="ListParagraph"/>
        <w:numPr>
          <w:ilvl w:val="1"/>
          <w:numId w:val="43"/>
        </w:numPr>
        <w:tabs>
          <w:tab w:pos="1227" w:val="left" w:leader="none"/>
          <w:tab w:pos="1228" w:val="left" w:leader="none"/>
        </w:tabs>
        <w:spacing w:line="235" w:lineRule="auto" w:before="0" w:after="0"/>
        <w:ind w:left="547" w:right="2113" w:firstLine="0"/>
        <w:jc w:val="left"/>
        <w:rPr>
          <w:sz w:val="20"/>
        </w:rPr>
      </w:pPr>
      <w:r>
        <w:rPr>
          <w:w w:val="120"/>
          <w:sz w:val="20"/>
        </w:rPr>
        <w:t>Although Mission Council was not </w:t>
      </w:r>
      <w:r>
        <w:rPr>
          <w:spacing w:val="2"/>
          <w:w w:val="120"/>
          <w:sz w:val="20"/>
        </w:rPr>
        <w:t>part </w:t>
      </w:r>
      <w:r>
        <w:rPr>
          <w:w w:val="120"/>
          <w:sz w:val="20"/>
        </w:rPr>
        <w:t>of the remit, the task group are convinced that any big changes to General Assembly cannot be considered in isolation from Mission</w:t>
      </w:r>
      <w:r>
        <w:rPr>
          <w:spacing w:val="4"/>
          <w:w w:val="120"/>
          <w:sz w:val="20"/>
        </w:rPr>
        <w:t> </w:t>
      </w:r>
      <w:r>
        <w:rPr>
          <w:w w:val="120"/>
          <w:sz w:val="20"/>
        </w:rPr>
        <w:t>Council.</w:t>
      </w:r>
    </w:p>
    <w:p>
      <w:pPr>
        <w:pStyle w:val="BodyText"/>
        <w:spacing w:before="3"/>
        <w:rPr>
          <w:sz w:val="22"/>
        </w:rPr>
      </w:pPr>
    </w:p>
    <w:p>
      <w:pPr>
        <w:pStyle w:val="Heading4"/>
        <w:numPr>
          <w:ilvl w:val="0"/>
          <w:numId w:val="43"/>
        </w:numPr>
        <w:tabs>
          <w:tab w:pos="1227" w:val="left" w:leader="none"/>
          <w:tab w:pos="1228" w:val="left" w:leader="none"/>
        </w:tabs>
        <w:spacing w:line="368" w:lineRule="exact" w:before="0" w:after="0"/>
        <w:ind w:left="1227" w:right="0" w:hanging="681"/>
        <w:jc w:val="left"/>
      </w:pPr>
      <w:r>
        <w:rPr>
          <w:spacing w:val="3"/>
          <w:w w:val="110"/>
        </w:rPr>
        <w:t>Consideration </w:t>
      </w:r>
      <w:r>
        <w:rPr>
          <w:w w:val="110"/>
        </w:rPr>
        <w:t>of </w:t>
      </w:r>
      <w:r>
        <w:rPr>
          <w:spacing w:val="4"/>
          <w:w w:val="110"/>
        </w:rPr>
        <w:t>documentation </w:t>
      </w:r>
      <w:r>
        <w:rPr>
          <w:spacing w:val="3"/>
          <w:w w:val="110"/>
        </w:rPr>
        <w:t>already</w:t>
      </w:r>
      <w:r>
        <w:rPr>
          <w:spacing w:val="48"/>
          <w:w w:val="110"/>
        </w:rPr>
        <w:t> </w:t>
      </w:r>
      <w:r>
        <w:rPr>
          <w:spacing w:val="3"/>
          <w:w w:val="110"/>
        </w:rPr>
        <w:t>available</w:t>
      </w:r>
    </w:p>
    <w:p>
      <w:pPr>
        <w:pStyle w:val="ListParagraph"/>
        <w:numPr>
          <w:ilvl w:val="1"/>
          <w:numId w:val="43"/>
        </w:numPr>
        <w:tabs>
          <w:tab w:pos="1227" w:val="left" w:leader="none"/>
          <w:tab w:pos="1228" w:val="left" w:leader="none"/>
        </w:tabs>
        <w:spacing w:line="218" w:lineRule="exact" w:before="0" w:after="0"/>
        <w:ind w:left="1227" w:right="0" w:hanging="681"/>
        <w:jc w:val="left"/>
        <w:rPr>
          <w:sz w:val="20"/>
        </w:rPr>
      </w:pPr>
      <w:r>
        <w:rPr>
          <w:w w:val="120"/>
          <w:sz w:val="20"/>
        </w:rPr>
        <w:t>The task group considered documents from discussions at Mission Councils</w:t>
      </w:r>
      <w:r>
        <w:rPr>
          <w:spacing w:val="27"/>
          <w:w w:val="120"/>
          <w:sz w:val="20"/>
        </w:rPr>
        <w:t> </w:t>
      </w:r>
      <w:r>
        <w:rPr>
          <w:w w:val="120"/>
          <w:sz w:val="20"/>
        </w:rPr>
        <w:t>over</w:t>
      </w:r>
    </w:p>
    <w:p>
      <w:pPr>
        <w:pStyle w:val="BodyText"/>
        <w:spacing w:line="235" w:lineRule="auto" w:before="2"/>
        <w:ind w:left="547" w:right="2003"/>
      </w:pPr>
      <w:r>
        <w:rPr>
          <w:w w:val="120"/>
        </w:rPr>
        <w:t>the last few years, including extensive notes from a session led by the General Secretary in March 2016, and the discussions at the 2016 General Assembly based upon the supplementary report of the Assembly arrangements committee.</w:t>
      </w:r>
    </w:p>
    <w:p>
      <w:pPr>
        <w:pStyle w:val="BodyText"/>
        <w:spacing w:before="6"/>
        <w:rPr>
          <w:sz w:val="31"/>
        </w:rPr>
      </w:pPr>
    </w:p>
    <w:p>
      <w:pPr>
        <w:pStyle w:val="Heading4"/>
        <w:numPr>
          <w:ilvl w:val="0"/>
          <w:numId w:val="43"/>
        </w:numPr>
        <w:tabs>
          <w:tab w:pos="1227" w:val="left" w:leader="none"/>
          <w:tab w:pos="1228" w:val="left" w:leader="none"/>
        </w:tabs>
        <w:spacing w:line="240" w:lineRule="auto" w:before="0" w:after="0"/>
        <w:ind w:left="1227" w:right="0" w:hanging="681"/>
        <w:jc w:val="left"/>
      </w:pPr>
      <w:r>
        <w:rPr>
          <w:spacing w:val="3"/>
          <w:w w:val="110"/>
        </w:rPr>
        <w:t>Consultation</w:t>
      </w:r>
    </w:p>
    <w:p>
      <w:pPr>
        <w:pStyle w:val="ListParagraph"/>
        <w:numPr>
          <w:ilvl w:val="1"/>
          <w:numId w:val="43"/>
        </w:numPr>
        <w:tabs>
          <w:tab w:pos="1227" w:val="left" w:leader="none"/>
          <w:tab w:pos="1228" w:val="left" w:leader="none"/>
        </w:tabs>
        <w:spacing w:line="235" w:lineRule="auto" w:before="69" w:after="0"/>
        <w:ind w:left="547" w:right="2405" w:firstLine="0"/>
        <w:jc w:val="left"/>
        <w:rPr>
          <w:sz w:val="20"/>
        </w:rPr>
      </w:pPr>
      <w:r>
        <w:rPr>
          <w:w w:val="120"/>
          <w:sz w:val="20"/>
        </w:rPr>
        <w:t>The task group members had good and wide connections across the synods, and we made extensive use of these</w:t>
      </w:r>
      <w:r>
        <w:rPr>
          <w:spacing w:val="12"/>
          <w:w w:val="120"/>
          <w:sz w:val="20"/>
        </w:rPr>
        <w:t> </w:t>
      </w:r>
      <w:r>
        <w:rPr>
          <w:w w:val="120"/>
          <w:sz w:val="20"/>
        </w:rPr>
        <w:t>contacts.</w:t>
      </w:r>
    </w:p>
    <w:p>
      <w:pPr>
        <w:pStyle w:val="BodyText"/>
        <w:spacing w:before="9"/>
        <w:rPr>
          <w:sz w:val="19"/>
        </w:rPr>
      </w:pPr>
    </w:p>
    <w:p>
      <w:pPr>
        <w:pStyle w:val="ListParagraph"/>
        <w:numPr>
          <w:ilvl w:val="1"/>
          <w:numId w:val="43"/>
        </w:numPr>
        <w:tabs>
          <w:tab w:pos="1227" w:val="left" w:leader="none"/>
          <w:tab w:pos="1228" w:val="left" w:leader="none"/>
        </w:tabs>
        <w:spacing w:line="235" w:lineRule="auto" w:before="0" w:after="0"/>
        <w:ind w:left="547" w:right="2196" w:firstLine="0"/>
        <w:jc w:val="left"/>
        <w:rPr>
          <w:sz w:val="20"/>
        </w:rPr>
      </w:pPr>
      <w:r>
        <w:rPr>
          <w:w w:val="120"/>
          <w:sz w:val="20"/>
        </w:rPr>
        <w:t>Early contact was made with convenors of Assembly committees, in advance of the more general</w:t>
      </w:r>
      <w:r>
        <w:rPr>
          <w:spacing w:val="6"/>
          <w:w w:val="120"/>
          <w:sz w:val="20"/>
        </w:rPr>
        <w:t> </w:t>
      </w:r>
      <w:r>
        <w:rPr>
          <w:w w:val="120"/>
          <w:sz w:val="20"/>
        </w:rPr>
        <w:t>consultation.</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2547" w:firstLine="0"/>
        <w:jc w:val="left"/>
        <w:rPr>
          <w:sz w:val="20"/>
        </w:rPr>
      </w:pPr>
      <w:r>
        <w:rPr>
          <w:w w:val="120"/>
          <w:sz w:val="20"/>
        </w:rPr>
        <w:t>Reflections from recent moderators and their chaplains on their visits to the assemblies of other churches were</w:t>
      </w:r>
      <w:r>
        <w:rPr>
          <w:spacing w:val="9"/>
          <w:w w:val="120"/>
          <w:sz w:val="20"/>
        </w:rPr>
        <w:t> </w:t>
      </w:r>
      <w:r>
        <w:rPr>
          <w:w w:val="120"/>
          <w:sz w:val="20"/>
        </w:rPr>
        <w:t>sought.</w:t>
      </w:r>
    </w:p>
    <w:p>
      <w:pPr>
        <w:pStyle w:val="BodyText"/>
        <w:spacing w:before="9"/>
        <w:rPr>
          <w:sz w:val="19"/>
        </w:rPr>
      </w:pPr>
    </w:p>
    <w:p>
      <w:pPr>
        <w:pStyle w:val="ListParagraph"/>
        <w:numPr>
          <w:ilvl w:val="1"/>
          <w:numId w:val="43"/>
        </w:numPr>
        <w:tabs>
          <w:tab w:pos="1227" w:val="left" w:leader="none"/>
          <w:tab w:pos="1228" w:val="left" w:leader="none"/>
        </w:tabs>
        <w:spacing w:line="235" w:lineRule="auto" w:before="0" w:after="0"/>
        <w:ind w:left="547" w:right="2254" w:firstLine="0"/>
        <w:jc w:val="left"/>
        <w:rPr>
          <w:sz w:val="20"/>
        </w:rPr>
      </w:pPr>
      <w:r>
        <w:rPr>
          <w:w w:val="120"/>
          <w:sz w:val="20"/>
        </w:rPr>
        <w:t>An open survey was undertaken in which there were </w:t>
      </w:r>
      <w:r>
        <w:rPr>
          <w:spacing w:val="-6"/>
          <w:w w:val="120"/>
          <w:sz w:val="20"/>
        </w:rPr>
        <w:t>547 </w:t>
      </w:r>
      <w:r>
        <w:rPr>
          <w:w w:val="120"/>
          <w:sz w:val="20"/>
        </w:rPr>
        <w:t>responses, from individuals, committees, synods, and other groups. We believe that this is a very high response rate for URC</w:t>
      </w:r>
      <w:r>
        <w:rPr>
          <w:spacing w:val="7"/>
          <w:w w:val="120"/>
          <w:sz w:val="20"/>
        </w:rPr>
        <w:t> </w:t>
      </w:r>
      <w:r>
        <w:rPr>
          <w:w w:val="120"/>
          <w:sz w:val="20"/>
        </w:rPr>
        <w:t>surveys.</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1998" w:firstLine="0"/>
        <w:jc w:val="left"/>
        <w:rPr>
          <w:sz w:val="20"/>
        </w:rPr>
      </w:pPr>
      <w:r>
        <w:rPr>
          <w:w w:val="120"/>
          <w:sz w:val="20"/>
        </w:rPr>
        <w:t>The results of all these consultations underpin all our recommendations. At every stage, we have consciously tried to make recommendations based upon evidence and theology, while having due regard to financial</w:t>
      </w:r>
      <w:r>
        <w:rPr>
          <w:spacing w:val="21"/>
          <w:w w:val="120"/>
          <w:sz w:val="20"/>
        </w:rPr>
        <w:t> </w:t>
      </w:r>
      <w:r>
        <w:rPr>
          <w:w w:val="120"/>
          <w:sz w:val="20"/>
        </w:rPr>
        <w:t>considerations.</w:t>
      </w:r>
    </w:p>
    <w:p>
      <w:pPr>
        <w:pStyle w:val="BodyText"/>
        <w:spacing w:before="7"/>
        <w:rPr>
          <w:sz w:val="19"/>
        </w:rPr>
      </w:pPr>
    </w:p>
    <w:p>
      <w:pPr>
        <w:pStyle w:val="ListParagraph"/>
        <w:numPr>
          <w:ilvl w:val="1"/>
          <w:numId w:val="43"/>
        </w:numPr>
        <w:tabs>
          <w:tab w:pos="1227" w:val="left" w:leader="none"/>
          <w:tab w:pos="1228" w:val="left" w:leader="none"/>
        </w:tabs>
        <w:spacing w:line="240" w:lineRule="auto" w:before="0" w:after="0"/>
        <w:ind w:left="1227" w:right="0" w:hanging="681"/>
        <w:jc w:val="left"/>
        <w:rPr>
          <w:sz w:val="20"/>
        </w:rPr>
      </w:pPr>
      <w:r>
        <w:rPr>
          <w:w w:val="120"/>
          <w:sz w:val="20"/>
        </w:rPr>
        <w:t>The task group has </w:t>
      </w:r>
      <w:r>
        <w:rPr>
          <w:spacing w:val="-4"/>
          <w:w w:val="120"/>
          <w:sz w:val="20"/>
        </w:rPr>
        <w:t>consulted </w:t>
      </w:r>
      <w:r>
        <w:rPr>
          <w:w w:val="120"/>
          <w:sz w:val="20"/>
        </w:rPr>
        <w:t>Mission </w:t>
      </w:r>
      <w:r>
        <w:rPr>
          <w:spacing w:val="-3"/>
          <w:w w:val="120"/>
          <w:sz w:val="20"/>
        </w:rPr>
        <w:t>Council </w:t>
      </w:r>
      <w:r>
        <w:rPr>
          <w:w w:val="120"/>
          <w:sz w:val="20"/>
        </w:rPr>
        <w:t>several times </w:t>
      </w:r>
      <w:r>
        <w:rPr>
          <w:spacing w:val="-3"/>
          <w:w w:val="120"/>
          <w:sz w:val="20"/>
        </w:rPr>
        <w:t>to </w:t>
      </w:r>
      <w:r>
        <w:rPr>
          <w:w w:val="120"/>
          <w:sz w:val="20"/>
        </w:rPr>
        <w:t>refine its</w:t>
      </w:r>
      <w:r>
        <w:rPr>
          <w:spacing w:val="-26"/>
          <w:w w:val="120"/>
          <w:sz w:val="20"/>
        </w:rPr>
        <w:t> </w:t>
      </w:r>
      <w:r>
        <w:rPr>
          <w:spacing w:val="-2"/>
          <w:w w:val="120"/>
          <w:sz w:val="20"/>
        </w:rPr>
        <w:t>proposals.</w:t>
      </w:r>
    </w:p>
    <w:p>
      <w:pPr>
        <w:pStyle w:val="BodyText"/>
        <w:rPr>
          <w:sz w:val="22"/>
        </w:rPr>
      </w:pPr>
    </w:p>
    <w:p>
      <w:pPr>
        <w:pStyle w:val="Heading4"/>
        <w:numPr>
          <w:ilvl w:val="0"/>
          <w:numId w:val="43"/>
        </w:numPr>
        <w:tabs>
          <w:tab w:pos="1227" w:val="left" w:leader="none"/>
          <w:tab w:pos="1228" w:val="left" w:leader="none"/>
        </w:tabs>
        <w:spacing w:line="240" w:lineRule="auto" w:before="0" w:after="0"/>
        <w:ind w:left="1227" w:right="0" w:hanging="681"/>
        <w:jc w:val="left"/>
      </w:pPr>
      <w:r>
        <w:rPr>
          <w:spacing w:val="4"/>
          <w:w w:val="110"/>
        </w:rPr>
        <w:t>Background</w:t>
      </w:r>
    </w:p>
    <w:p>
      <w:pPr>
        <w:pStyle w:val="ListParagraph"/>
        <w:numPr>
          <w:ilvl w:val="1"/>
          <w:numId w:val="43"/>
        </w:numPr>
        <w:tabs>
          <w:tab w:pos="1227" w:val="left" w:leader="none"/>
          <w:tab w:pos="1228" w:val="left" w:leader="none"/>
        </w:tabs>
        <w:spacing w:line="235" w:lineRule="auto" w:before="69" w:after="0"/>
        <w:ind w:left="547" w:right="2238" w:firstLine="0"/>
        <w:jc w:val="left"/>
        <w:rPr>
          <w:sz w:val="20"/>
        </w:rPr>
      </w:pPr>
      <w:r>
        <w:rPr>
          <w:w w:val="120"/>
          <w:sz w:val="20"/>
        </w:rPr>
        <w:t>The current discussions result from General Assembly in </w:t>
      </w:r>
      <w:r>
        <w:rPr>
          <w:spacing w:val="-7"/>
          <w:w w:val="120"/>
          <w:sz w:val="20"/>
        </w:rPr>
        <w:t>2012 </w:t>
      </w:r>
      <w:r>
        <w:rPr>
          <w:w w:val="120"/>
          <w:sz w:val="20"/>
        </w:rPr>
        <w:t>resolving to make a significant reduction to the budget for Assembly but failing to agree any ways to implement that cut. Mission Council did agree ways to implement that decision, but there has been a general dissatisfaction with aspects of the Assembly, voiced by members of the Assembly and by synods, since</w:t>
      </w:r>
      <w:r>
        <w:rPr>
          <w:spacing w:val="22"/>
          <w:w w:val="120"/>
          <w:sz w:val="20"/>
        </w:rPr>
        <w:t> </w:t>
      </w:r>
      <w:r>
        <w:rPr>
          <w:spacing w:val="-6"/>
          <w:w w:val="120"/>
          <w:sz w:val="20"/>
        </w:rPr>
        <w:t>2012.</w:t>
      </w:r>
    </w:p>
    <w:p>
      <w:pPr>
        <w:pStyle w:val="BodyText"/>
      </w:pPr>
    </w:p>
    <w:p>
      <w:pPr>
        <w:pStyle w:val="ListParagraph"/>
        <w:numPr>
          <w:ilvl w:val="1"/>
          <w:numId w:val="43"/>
        </w:numPr>
        <w:tabs>
          <w:tab w:pos="1227" w:val="left" w:leader="none"/>
          <w:tab w:pos="1228" w:val="left" w:leader="none"/>
        </w:tabs>
        <w:spacing w:line="235" w:lineRule="auto" w:before="0" w:after="0"/>
        <w:ind w:left="547" w:right="2135" w:firstLine="0"/>
        <w:jc w:val="left"/>
        <w:rPr>
          <w:sz w:val="20"/>
        </w:rPr>
      </w:pPr>
      <w:r>
        <w:rPr>
          <w:w w:val="120"/>
          <w:sz w:val="20"/>
        </w:rPr>
        <w:t>The task group also noted that a freezing of the budget since </w:t>
      </w:r>
      <w:r>
        <w:rPr>
          <w:spacing w:val="-7"/>
          <w:w w:val="120"/>
          <w:sz w:val="20"/>
        </w:rPr>
        <w:t>2012  </w:t>
      </w:r>
      <w:r>
        <w:rPr>
          <w:w w:val="120"/>
          <w:sz w:val="20"/>
        </w:rPr>
        <w:t>amounted   to a gradual cut in real terms because of inflation. Conference centres, railways, hotels, caterers, and technical services suppliers have all increased their charges each </w:t>
      </w:r>
      <w:r>
        <w:rPr>
          <w:spacing w:val="-4"/>
          <w:w w:val="120"/>
          <w:sz w:val="20"/>
        </w:rPr>
        <w:t>year. </w:t>
      </w:r>
      <w:r>
        <w:rPr>
          <w:w w:val="120"/>
          <w:sz w:val="20"/>
        </w:rPr>
        <w:t>Nonetheless, the fall in URC membership over this period has meant that the cost of Assembly per member has actually increased, in cash terms, as well as in real</w:t>
      </w:r>
      <w:r>
        <w:rPr>
          <w:spacing w:val="-5"/>
          <w:w w:val="120"/>
          <w:sz w:val="20"/>
        </w:rPr>
        <w:t> </w:t>
      </w:r>
      <w:r>
        <w:rPr>
          <w:w w:val="120"/>
          <w:sz w:val="20"/>
        </w:rPr>
        <w:t>terms.</w:t>
      </w:r>
    </w:p>
    <w:p>
      <w:pPr>
        <w:pStyle w:val="BodyText"/>
        <w:spacing w:before="4"/>
        <w:rPr>
          <w:sz w:val="22"/>
        </w:rPr>
      </w:pPr>
    </w:p>
    <w:p>
      <w:pPr>
        <w:pStyle w:val="Heading4"/>
        <w:numPr>
          <w:ilvl w:val="0"/>
          <w:numId w:val="43"/>
        </w:numPr>
        <w:tabs>
          <w:tab w:pos="1227" w:val="left" w:leader="none"/>
          <w:tab w:pos="1228" w:val="left" w:leader="none"/>
        </w:tabs>
        <w:spacing w:line="240" w:lineRule="auto" w:before="0" w:after="0"/>
        <w:ind w:left="1227" w:right="0" w:hanging="681"/>
        <w:jc w:val="left"/>
      </w:pPr>
      <w:r>
        <w:rPr>
          <w:spacing w:val="3"/>
          <w:w w:val="110"/>
        </w:rPr>
        <w:t>Comparison </w:t>
      </w:r>
      <w:r>
        <w:rPr>
          <w:spacing w:val="2"/>
          <w:w w:val="110"/>
        </w:rPr>
        <w:t>with </w:t>
      </w:r>
      <w:r>
        <w:rPr>
          <w:spacing w:val="3"/>
          <w:w w:val="110"/>
        </w:rPr>
        <w:t>other</w:t>
      </w:r>
      <w:r>
        <w:rPr>
          <w:spacing w:val="34"/>
          <w:w w:val="110"/>
        </w:rPr>
        <w:t> </w:t>
      </w:r>
      <w:r>
        <w:rPr>
          <w:spacing w:val="3"/>
          <w:w w:val="110"/>
        </w:rPr>
        <w:t>denominations</w:t>
      </w:r>
    </w:p>
    <w:p>
      <w:pPr>
        <w:pStyle w:val="ListParagraph"/>
        <w:numPr>
          <w:ilvl w:val="1"/>
          <w:numId w:val="43"/>
        </w:numPr>
        <w:tabs>
          <w:tab w:pos="1227" w:val="left" w:leader="none"/>
          <w:tab w:pos="1228" w:val="left" w:leader="none"/>
        </w:tabs>
        <w:spacing w:line="235" w:lineRule="auto" w:before="69" w:after="0"/>
        <w:ind w:left="547" w:right="2060" w:firstLine="0"/>
        <w:jc w:val="left"/>
        <w:rPr>
          <w:sz w:val="20"/>
        </w:rPr>
      </w:pPr>
      <w:r>
        <w:rPr>
          <w:spacing w:val="3"/>
          <w:w w:val="120"/>
          <w:sz w:val="20"/>
        </w:rPr>
        <w:t>As </w:t>
      </w:r>
      <w:r>
        <w:rPr>
          <w:w w:val="120"/>
          <w:sz w:val="20"/>
        </w:rPr>
        <w:t>well as the observations from former moderators and their chaplains, the task group considered how churches with similar sizes organised their equivalents to the General Assembly. This is what we</w:t>
      </w:r>
      <w:r>
        <w:rPr>
          <w:spacing w:val="11"/>
          <w:w w:val="120"/>
          <w:sz w:val="20"/>
        </w:rPr>
        <w:t> </w:t>
      </w:r>
      <w:r>
        <w:rPr>
          <w:w w:val="120"/>
          <w:sz w:val="20"/>
        </w:rPr>
        <w:t>discovered:</w:t>
      </w:r>
    </w:p>
    <w:p>
      <w:pPr>
        <w:spacing w:after="0" w:line="235" w:lineRule="auto"/>
        <w:jc w:val="left"/>
        <w:rPr>
          <w:sz w:val="20"/>
        </w:rPr>
        <w:sectPr>
          <w:headerReference w:type="even" r:id="rId174"/>
          <w:pgSz w:w="11910" w:h="16840"/>
          <w:pgMar w:header="0" w:footer="647" w:top="0" w:bottom="840" w:left="700" w:right="0"/>
        </w:sectPr>
      </w:pPr>
    </w:p>
    <w:p>
      <w:pPr>
        <w:pStyle w:val="BodyText"/>
      </w:pPr>
      <w:r>
        <w:rPr/>
        <w:drawing>
          <wp:anchor distT="0" distB="0" distL="0" distR="0" allowOverlap="1" layoutInCell="1" locked="0" behindDoc="0" simplePos="0" relativeHeight="251808768">
            <wp:simplePos x="0" y="0"/>
            <wp:positionH relativeFrom="page">
              <wp:posOffset>6974928</wp:posOffset>
            </wp:positionH>
            <wp:positionV relativeFrom="page">
              <wp:posOffset>0</wp:posOffset>
            </wp:positionV>
            <wp:extent cx="585076" cy="10692003"/>
            <wp:effectExtent l="0" t="0" r="0" b="0"/>
            <wp:wrapNone/>
            <wp:docPr id="99" name="image50.png"/>
            <wp:cNvGraphicFramePr>
              <a:graphicFrameLocks noChangeAspect="1"/>
            </wp:cNvGraphicFramePr>
            <a:graphic>
              <a:graphicData uri="http://schemas.openxmlformats.org/drawingml/2006/picture">
                <pic:pic>
                  <pic:nvPicPr>
                    <pic:cNvPr id="10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color w:val="7EAABF"/>
          <w:w w:val="120"/>
        </w:rPr>
        <w:t>Mission Council</w:t>
      </w:r>
    </w:p>
    <w:p>
      <w:pPr>
        <w:pStyle w:val="BodyText"/>
      </w:pPr>
    </w:p>
    <w:p>
      <w:pPr>
        <w:pStyle w:val="BodyText"/>
      </w:pPr>
    </w:p>
    <w:tbl>
      <w:tblPr>
        <w:tblW w:w="0" w:type="auto"/>
        <w:jc w:val="left"/>
        <w:tblInd w:w="1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028"/>
        <w:gridCol w:w="1389"/>
        <w:gridCol w:w="1843"/>
        <w:gridCol w:w="2730"/>
      </w:tblGrid>
      <w:tr>
        <w:trPr>
          <w:trHeight w:val="633" w:hRule="atLeast"/>
        </w:trPr>
        <w:tc>
          <w:tcPr>
            <w:tcW w:w="3028" w:type="dxa"/>
            <w:tcBorders>
              <w:top w:val="nil"/>
              <w:left w:val="nil"/>
              <w:bottom w:val="nil"/>
            </w:tcBorders>
            <w:shd w:val="clear" w:color="auto" w:fill="F1B400"/>
          </w:tcPr>
          <w:p>
            <w:pPr>
              <w:pStyle w:val="TableParagraph"/>
              <w:spacing w:before="105"/>
              <w:ind w:left="85"/>
              <w:rPr>
                <w:rFonts w:ascii="Stone Sans II ITC Std Bk"/>
                <w:b/>
                <w:sz w:val="20"/>
              </w:rPr>
            </w:pPr>
            <w:r>
              <w:rPr>
                <w:rFonts w:ascii="Stone Sans II ITC Std Bk"/>
                <w:b/>
                <w:color w:val="FFFFFF"/>
                <w:w w:val="110"/>
                <w:sz w:val="20"/>
              </w:rPr>
              <w:t>Church</w:t>
            </w:r>
          </w:p>
        </w:tc>
        <w:tc>
          <w:tcPr>
            <w:tcW w:w="1389" w:type="dxa"/>
            <w:tcBorders>
              <w:top w:val="nil"/>
              <w:bottom w:val="nil"/>
            </w:tcBorders>
            <w:shd w:val="clear" w:color="auto" w:fill="F1B400"/>
          </w:tcPr>
          <w:p>
            <w:pPr>
              <w:pStyle w:val="TableParagraph"/>
              <w:spacing w:line="213" w:lineRule="auto" w:before="127"/>
              <w:ind w:left="190" w:right="96" w:hanging="73"/>
              <w:rPr>
                <w:rFonts w:ascii="Stone Sans II ITC Std Bk"/>
                <w:b/>
                <w:sz w:val="20"/>
              </w:rPr>
            </w:pPr>
            <w:r>
              <w:rPr>
                <w:rFonts w:ascii="Stone Sans II ITC Std Bk"/>
                <w:b/>
                <w:color w:val="FFFFFF"/>
                <w:w w:val="110"/>
                <w:sz w:val="20"/>
              </w:rPr>
              <w:t>Number of members</w:t>
            </w:r>
          </w:p>
        </w:tc>
        <w:tc>
          <w:tcPr>
            <w:tcW w:w="1843" w:type="dxa"/>
            <w:tcBorders>
              <w:top w:val="nil"/>
              <w:bottom w:val="nil"/>
            </w:tcBorders>
            <w:shd w:val="clear" w:color="auto" w:fill="F1B400"/>
          </w:tcPr>
          <w:p>
            <w:pPr>
              <w:pStyle w:val="TableParagraph"/>
              <w:spacing w:line="213" w:lineRule="auto" w:before="127"/>
              <w:ind w:left="164" w:right="93" w:hanging="53"/>
              <w:rPr>
                <w:rFonts w:ascii="Stone Sans II ITC Std Bk"/>
                <w:b/>
                <w:sz w:val="20"/>
              </w:rPr>
            </w:pPr>
            <w:r>
              <w:rPr>
                <w:rFonts w:ascii="Stone Sans II ITC Std Bk"/>
                <w:b/>
                <w:color w:val="FFFFFF"/>
                <w:w w:val="110"/>
                <w:sz w:val="20"/>
              </w:rPr>
              <w:t>Membership of GA equivalent</w:t>
            </w:r>
          </w:p>
        </w:tc>
        <w:tc>
          <w:tcPr>
            <w:tcW w:w="2730" w:type="dxa"/>
            <w:tcBorders>
              <w:top w:val="nil"/>
              <w:bottom w:val="nil"/>
              <w:right w:val="nil"/>
            </w:tcBorders>
            <w:shd w:val="clear" w:color="auto" w:fill="F1B400"/>
          </w:tcPr>
          <w:p>
            <w:pPr>
              <w:pStyle w:val="TableParagraph"/>
              <w:spacing w:before="105"/>
              <w:ind w:left="79"/>
              <w:rPr>
                <w:rFonts w:ascii="Stone Sans II ITC Std Bk"/>
                <w:b/>
                <w:sz w:val="20"/>
              </w:rPr>
            </w:pPr>
            <w:r>
              <w:rPr>
                <w:rFonts w:ascii="Stone Sans II ITC Std Bk"/>
                <w:b/>
                <w:color w:val="FFFFFF"/>
                <w:w w:val="110"/>
                <w:sz w:val="20"/>
              </w:rPr>
              <w:t>Frequency of meeting</w:t>
            </w:r>
          </w:p>
        </w:tc>
      </w:tr>
      <w:tr>
        <w:trPr>
          <w:trHeight w:val="373" w:hRule="atLeast"/>
        </w:trPr>
        <w:tc>
          <w:tcPr>
            <w:tcW w:w="3028" w:type="dxa"/>
            <w:tcBorders>
              <w:top w:val="nil"/>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Church in Wales</w:t>
            </w:r>
          </w:p>
        </w:tc>
        <w:tc>
          <w:tcPr>
            <w:tcW w:w="1389" w:type="dxa"/>
            <w:tcBorders>
              <w:top w:val="nil"/>
              <w:left w:val="single" w:sz="4" w:space="0" w:color="F1B400"/>
              <w:bottom w:val="single" w:sz="4" w:space="0" w:color="F1B400"/>
              <w:right w:val="single" w:sz="4" w:space="0" w:color="F1B400"/>
            </w:tcBorders>
          </w:tcPr>
          <w:p>
            <w:pPr>
              <w:pStyle w:val="TableParagraph"/>
              <w:spacing w:before="108"/>
              <w:ind w:left="283"/>
              <w:rPr>
                <w:sz w:val="20"/>
              </w:rPr>
            </w:pPr>
            <w:r>
              <w:rPr>
                <w:w w:val="125"/>
                <w:sz w:val="20"/>
              </w:rPr>
              <w:t>84,000</w:t>
            </w:r>
          </w:p>
        </w:tc>
        <w:tc>
          <w:tcPr>
            <w:tcW w:w="1843" w:type="dxa"/>
            <w:tcBorders>
              <w:top w:val="nil"/>
              <w:left w:val="single" w:sz="4" w:space="0" w:color="F1B400"/>
              <w:bottom w:val="single" w:sz="4" w:space="0" w:color="F1B400"/>
              <w:right w:val="single" w:sz="4" w:space="0" w:color="F1B400"/>
            </w:tcBorders>
          </w:tcPr>
          <w:p>
            <w:pPr>
              <w:pStyle w:val="TableParagraph"/>
              <w:spacing w:before="108"/>
              <w:ind w:left="680"/>
              <w:rPr>
                <w:sz w:val="20"/>
              </w:rPr>
            </w:pPr>
            <w:r>
              <w:rPr>
                <w:w w:val="125"/>
                <w:sz w:val="20"/>
              </w:rPr>
              <w:t>143</w:t>
            </w:r>
          </w:p>
        </w:tc>
        <w:tc>
          <w:tcPr>
            <w:tcW w:w="2730" w:type="dxa"/>
            <w:tcBorders>
              <w:top w:val="nil"/>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Two days twice a year</w:t>
            </w:r>
          </w:p>
        </w:tc>
      </w:tr>
      <w:tr>
        <w:trPr>
          <w:trHeight w:val="373" w:hRule="atLeast"/>
        </w:trPr>
        <w:tc>
          <w:tcPr>
            <w:tcW w:w="3028"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Presbyterian Church of Wales</w:t>
            </w:r>
          </w:p>
        </w:tc>
        <w:tc>
          <w:tcPr>
            <w:tcW w:w="1389" w:type="dxa"/>
            <w:tcBorders>
              <w:top w:val="single" w:sz="4" w:space="0" w:color="F1B400"/>
              <w:left w:val="single" w:sz="4" w:space="0" w:color="F1B400"/>
              <w:bottom w:val="single" w:sz="4" w:space="0" w:color="F1B400"/>
              <w:right w:val="single" w:sz="4" w:space="0" w:color="F1B400"/>
            </w:tcBorders>
          </w:tcPr>
          <w:p>
            <w:pPr>
              <w:pStyle w:val="TableParagraph"/>
              <w:spacing w:before="108"/>
              <w:ind w:left="283"/>
              <w:rPr>
                <w:sz w:val="20"/>
              </w:rPr>
            </w:pPr>
            <w:r>
              <w:rPr>
                <w:w w:val="125"/>
                <w:sz w:val="20"/>
              </w:rPr>
              <w:t>24,000</w:t>
            </w:r>
          </w:p>
        </w:tc>
        <w:tc>
          <w:tcPr>
            <w:tcW w:w="1843" w:type="dxa"/>
            <w:tcBorders>
              <w:top w:val="single" w:sz="4" w:space="0" w:color="F1B400"/>
              <w:left w:val="single" w:sz="4" w:space="0" w:color="F1B400"/>
              <w:bottom w:val="single" w:sz="4" w:space="0" w:color="F1B400"/>
              <w:right w:val="single" w:sz="4" w:space="0" w:color="F1B400"/>
            </w:tcBorders>
          </w:tcPr>
          <w:p>
            <w:pPr>
              <w:pStyle w:val="TableParagraph"/>
              <w:spacing w:before="108"/>
              <w:ind w:left="680"/>
              <w:rPr>
                <w:sz w:val="20"/>
              </w:rPr>
            </w:pPr>
            <w:r>
              <w:rPr>
                <w:w w:val="125"/>
                <w:sz w:val="20"/>
              </w:rPr>
              <w:t>150</w:t>
            </w:r>
          </w:p>
        </w:tc>
        <w:tc>
          <w:tcPr>
            <w:tcW w:w="2730"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Three days once a year</w:t>
            </w:r>
          </w:p>
        </w:tc>
      </w:tr>
      <w:tr>
        <w:trPr>
          <w:trHeight w:val="373" w:hRule="atLeast"/>
        </w:trPr>
        <w:tc>
          <w:tcPr>
            <w:tcW w:w="3028"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Methodist Church in Ireland</w:t>
            </w:r>
          </w:p>
        </w:tc>
        <w:tc>
          <w:tcPr>
            <w:tcW w:w="1389" w:type="dxa"/>
            <w:tcBorders>
              <w:top w:val="single" w:sz="4" w:space="0" w:color="F1B400"/>
              <w:left w:val="single" w:sz="4" w:space="0" w:color="F1B400"/>
              <w:bottom w:val="single" w:sz="4" w:space="0" w:color="F1B400"/>
              <w:right w:val="single" w:sz="4" w:space="0" w:color="F1B400"/>
            </w:tcBorders>
          </w:tcPr>
          <w:p>
            <w:pPr>
              <w:pStyle w:val="TableParagraph"/>
              <w:spacing w:before="108"/>
              <w:ind w:left="283"/>
              <w:rPr>
                <w:sz w:val="20"/>
              </w:rPr>
            </w:pPr>
            <w:r>
              <w:rPr>
                <w:w w:val="125"/>
                <w:sz w:val="20"/>
              </w:rPr>
              <w:t>50,000</w:t>
            </w:r>
          </w:p>
        </w:tc>
        <w:tc>
          <w:tcPr>
            <w:tcW w:w="1843" w:type="dxa"/>
            <w:tcBorders>
              <w:top w:val="single" w:sz="4" w:space="0" w:color="F1B400"/>
              <w:left w:val="single" w:sz="4" w:space="0" w:color="F1B400"/>
              <w:bottom w:val="single" w:sz="4" w:space="0" w:color="F1B400"/>
              <w:right w:val="single" w:sz="4" w:space="0" w:color="F1B400"/>
            </w:tcBorders>
          </w:tcPr>
          <w:p>
            <w:pPr>
              <w:pStyle w:val="TableParagraph"/>
              <w:spacing w:before="108"/>
              <w:ind w:left="680"/>
              <w:rPr>
                <w:sz w:val="20"/>
              </w:rPr>
            </w:pPr>
            <w:r>
              <w:rPr>
                <w:w w:val="125"/>
                <w:sz w:val="20"/>
              </w:rPr>
              <w:t>260</w:t>
            </w:r>
          </w:p>
        </w:tc>
        <w:tc>
          <w:tcPr>
            <w:tcW w:w="2730"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Five days once a year</w:t>
            </w:r>
          </w:p>
        </w:tc>
      </w:tr>
      <w:tr>
        <w:trPr>
          <w:trHeight w:val="373" w:hRule="atLeast"/>
        </w:trPr>
        <w:tc>
          <w:tcPr>
            <w:tcW w:w="3028"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Scottish Episcopal Church</w:t>
            </w:r>
          </w:p>
        </w:tc>
        <w:tc>
          <w:tcPr>
            <w:tcW w:w="1389" w:type="dxa"/>
            <w:tcBorders>
              <w:top w:val="single" w:sz="4" w:space="0" w:color="F1B400"/>
              <w:left w:val="single" w:sz="4" w:space="0" w:color="F1B400"/>
              <w:bottom w:val="single" w:sz="4" w:space="0" w:color="F1B400"/>
              <w:right w:val="single" w:sz="4" w:space="0" w:color="F1B400"/>
            </w:tcBorders>
          </w:tcPr>
          <w:p>
            <w:pPr>
              <w:pStyle w:val="TableParagraph"/>
              <w:spacing w:before="108"/>
              <w:ind w:left="283"/>
              <w:rPr>
                <w:sz w:val="20"/>
              </w:rPr>
            </w:pPr>
            <w:r>
              <w:rPr>
                <w:w w:val="125"/>
                <w:sz w:val="20"/>
              </w:rPr>
              <w:t>54,000</w:t>
            </w:r>
          </w:p>
        </w:tc>
        <w:tc>
          <w:tcPr>
            <w:tcW w:w="1843" w:type="dxa"/>
            <w:tcBorders>
              <w:top w:val="single" w:sz="4" w:space="0" w:color="F1B400"/>
              <w:left w:val="single" w:sz="4" w:space="0" w:color="F1B400"/>
              <w:bottom w:val="single" w:sz="4" w:space="0" w:color="F1B400"/>
              <w:right w:val="single" w:sz="4" w:space="0" w:color="F1B400"/>
            </w:tcBorders>
          </w:tcPr>
          <w:p>
            <w:pPr>
              <w:pStyle w:val="TableParagraph"/>
              <w:spacing w:before="108"/>
              <w:ind w:left="680"/>
              <w:rPr>
                <w:sz w:val="20"/>
              </w:rPr>
            </w:pPr>
            <w:r>
              <w:rPr>
                <w:w w:val="125"/>
                <w:sz w:val="20"/>
              </w:rPr>
              <w:t>150</w:t>
            </w:r>
          </w:p>
        </w:tc>
        <w:tc>
          <w:tcPr>
            <w:tcW w:w="2730"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Three days once a year</w:t>
            </w:r>
          </w:p>
        </w:tc>
      </w:tr>
      <w:tr>
        <w:trPr>
          <w:trHeight w:val="373" w:hRule="atLeast"/>
        </w:trPr>
        <w:tc>
          <w:tcPr>
            <w:tcW w:w="3028"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United Reformed Church</w:t>
            </w:r>
          </w:p>
        </w:tc>
        <w:tc>
          <w:tcPr>
            <w:tcW w:w="1389" w:type="dxa"/>
            <w:tcBorders>
              <w:top w:val="single" w:sz="4" w:space="0" w:color="F1B400"/>
              <w:left w:val="single" w:sz="4" w:space="0" w:color="F1B400"/>
              <w:bottom w:val="single" w:sz="4" w:space="0" w:color="F1B400"/>
              <w:right w:val="single" w:sz="4" w:space="0" w:color="F1B400"/>
            </w:tcBorders>
          </w:tcPr>
          <w:p>
            <w:pPr>
              <w:pStyle w:val="TableParagraph"/>
              <w:spacing w:before="108"/>
              <w:ind w:left="283"/>
              <w:rPr>
                <w:sz w:val="20"/>
              </w:rPr>
            </w:pPr>
            <w:r>
              <w:rPr>
                <w:w w:val="125"/>
                <w:sz w:val="20"/>
              </w:rPr>
              <w:t>48,000</w:t>
            </w:r>
          </w:p>
        </w:tc>
        <w:tc>
          <w:tcPr>
            <w:tcW w:w="1843" w:type="dxa"/>
            <w:tcBorders>
              <w:top w:val="single" w:sz="4" w:space="0" w:color="F1B400"/>
              <w:left w:val="single" w:sz="4" w:space="0" w:color="F1B400"/>
              <w:bottom w:val="single" w:sz="4" w:space="0" w:color="F1B400"/>
              <w:right w:val="single" w:sz="4" w:space="0" w:color="F1B400"/>
            </w:tcBorders>
          </w:tcPr>
          <w:p>
            <w:pPr>
              <w:pStyle w:val="TableParagraph"/>
              <w:spacing w:before="108"/>
              <w:ind w:left="680"/>
              <w:rPr>
                <w:sz w:val="20"/>
              </w:rPr>
            </w:pPr>
            <w:r>
              <w:rPr>
                <w:w w:val="125"/>
                <w:sz w:val="20"/>
              </w:rPr>
              <w:t>315</w:t>
            </w:r>
          </w:p>
        </w:tc>
        <w:tc>
          <w:tcPr>
            <w:tcW w:w="2730"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Four days every two years</w:t>
            </w:r>
          </w:p>
        </w:tc>
      </w:tr>
    </w:tbl>
    <w:p>
      <w:pPr>
        <w:pStyle w:val="BodyText"/>
        <w:rPr>
          <w:sz w:val="9"/>
        </w:rPr>
      </w:pPr>
    </w:p>
    <w:p>
      <w:pPr>
        <w:pStyle w:val="ListParagraph"/>
        <w:numPr>
          <w:ilvl w:val="1"/>
          <w:numId w:val="43"/>
        </w:numPr>
        <w:tabs>
          <w:tab w:pos="1964" w:val="left" w:leader="none"/>
          <w:tab w:pos="1965" w:val="left" w:leader="none"/>
        </w:tabs>
        <w:spacing w:line="235" w:lineRule="auto" w:before="103" w:after="0"/>
        <w:ind w:left="1284" w:right="1294" w:firstLine="0"/>
        <w:jc w:val="left"/>
        <w:rPr>
          <w:sz w:val="20"/>
        </w:rPr>
      </w:pPr>
      <w:r>
        <w:rPr/>
        <w:pict>
          <v:shape style="position:absolute;margin-left:554.141174pt;margin-top:-155.987823pt;width:26pt;height:302.2pt;mso-position-horizontal-relative:page;mso-position-vertical-relative:paragraph;z-index:251809792"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w w:val="120"/>
          <w:sz w:val="20"/>
        </w:rPr>
        <w:t>The task group also considered larger churches, including the Church of   England, the Church of Scotland, the Presbyterian Church in Ireland, and the Methodist Church in Great Britain. However, we discovered that these churches spend</w:t>
      </w:r>
      <w:r>
        <w:rPr>
          <w:spacing w:val="38"/>
          <w:w w:val="120"/>
          <w:sz w:val="20"/>
        </w:rPr>
        <w:t> </w:t>
      </w:r>
      <w:r>
        <w:rPr>
          <w:w w:val="120"/>
          <w:sz w:val="20"/>
        </w:rPr>
        <w:t>money</w:t>
      </w:r>
    </w:p>
    <w:p>
      <w:pPr>
        <w:pStyle w:val="BodyText"/>
        <w:spacing w:line="235" w:lineRule="auto" w:before="3"/>
        <w:ind w:left="1284" w:right="1283"/>
      </w:pPr>
      <w:r>
        <w:rPr>
          <w:w w:val="120"/>
        </w:rPr>
        <w:t>and staff time on their equivalents to General Assembly at levels which would rapidly bankrupt the URC.</w:t>
      </w:r>
    </w:p>
    <w:p>
      <w:pPr>
        <w:pStyle w:val="BodyText"/>
        <w:spacing w:before="1"/>
        <w:rPr>
          <w:sz w:val="22"/>
        </w:rPr>
      </w:pPr>
    </w:p>
    <w:p>
      <w:pPr>
        <w:pStyle w:val="Heading4"/>
        <w:numPr>
          <w:ilvl w:val="0"/>
          <w:numId w:val="43"/>
        </w:numPr>
        <w:tabs>
          <w:tab w:pos="1964" w:val="left" w:leader="none"/>
          <w:tab w:pos="1965" w:val="left" w:leader="none"/>
        </w:tabs>
        <w:spacing w:line="240" w:lineRule="auto" w:before="0" w:after="0"/>
        <w:ind w:left="1964" w:right="0" w:hanging="681"/>
        <w:jc w:val="left"/>
      </w:pPr>
      <w:r>
        <w:rPr>
          <w:spacing w:val="4"/>
          <w:w w:val="110"/>
        </w:rPr>
        <w:t>Theology </w:t>
      </w:r>
      <w:r>
        <w:rPr>
          <w:spacing w:val="3"/>
          <w:w w:val="110"/>
        </w:rPr>
        <w:t>and </w:t>
      </w:r>
      <w:r>
        <w:rPr>
          <w:spacing w:val="4"/>
          <w:w w:val="110"/>
        </w:rPr>
        <w:t>ecclesiology </w:t>
      </w:r>
      <w:r>
        <w:rPr>
          <w:w w:val="110"/>
        </w:rPr>
        <w:t>of </w:t>
      </w:r>
      <w:r>
        <w:rPr>
          <w:spacing w:val="4"/>
          <w:w w:val="110"/>
        </w:rPr>
        <w:t>General</w:t>
      </w:r>
      <w:r>
        <w:rPr>
          <w:spacing w:val="91"/>
          <w:w w:val="110"/>
        </w:rPr>
        <w:t> </w:t>
      </w:r>
      <w:r>
        <w:rPr>
          <w:spacing w:val="4"/>
          <w:w w:val="110"/>
        </w:rPr>
        <w:t>Assembly</w:t>
      </w:r>
    </w:p>
    <w:p>
      <w:pPr>
        <w:pStyle w:val="ListParagraph"/>
        <w:numPr>
          <w:ilvl w:val="1"/>
          <w:numId w:val="43"/>
        </w:numPr>
        <w:tabs>
          <w:tab w:pos="1964" w:val="left" w:leader="none"/>
          <w:tab w:pos="1965" w:val="left" w:leader="none"/>
        </w:tabs>
        <w:spacing w:line="235" w:lineRule="auto" w:before="69" w:after="0"/>
        <w:ind w:left="1284" w:right="1583" w:firstLine="0"/>
        <w:jc w:val="left"/>
        <w:rPr>
          <w:sz w:val="20"/>
        </w:rPr>
      </w:pPr>
      <w:r>
        <w:rPr>
          <w:w w:val="120"/>
          <w:sz w:val="20"/>
        </w:rPr>
        <w:t>The Structure of the United Reformed Church [paragraph </w:t>
      </w:r>
      <w:r>
        <w:rPr>
          <w:spacing w:val="-8"/>
          <w:w w:val="120"/>
          <w:sz w:val="20"/>
        </w:rPr>
        <w:t>2(6)] </w:t>
      </w:r>
      <w:r>
        <w:rPr>
          <w:w w:val="120"/>
          <w:sz w:val="20"/>
        </w:rPr>
        <w:t>states that the General</w:t>
      </w:r>
      <w:r>
        <w:rPr>
          <w:spacing w:val="2"/>
          <w:w w:val="120"/>
          <w:sz w:val="20"/>
        </w:rPr>
        <w:t> </w:t>
      </w:r>
      <w:r>
        <w:rPr>
          <w:w w:val="120"/>
          <w:sz w:val="20"/>
        </w:rPr>
        <w:t>Assembly:</w:t>
      </w:r>
    </w:p>
    <w:p>
      <w:pPr>
        <w:pStyle w:val="BodyText"/>
        <w:spacing w:before="10"/>
        <w:rPr>
          <w:sz w:val="19"/>
        </w:rPr>
      </w:pPr>
    </w:p>
    <w:p>
      <w:pPr>
        <w:pStyle w:val="BodyText"/>
        <w:spacing w:line="235" w:lineRule="auto"/>
        <w:ind w:left="1964" w:right="1283"/>
      </w:pPr>
      <w:r>
        <w:rPr>
          <w:w w:val="120"/>
        </w:rPr>
        <w:t>shall embody the unity of the United Reformed Church and act as the central organ of its life and the final authority, under the Word of God and the promised guidance of the Holy Spirit, in all matters of doctrine and order and in all other concerns of its common life.</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411" w:firstLine="0"/>
        <w:jc w:val="left"/>
        <w:rPr>
          <w:sz w:val="20"/>
        </w:rPr>
      </w:pPr>
      <w:r>
        <w:rPr>
          <w:w w:val="120"/>
          <w:sz w:val="20"/>
        </w:rPr>
        <w:t>The task group believes that there are theological ideas that shape the way that Reformed churches have historically made our decisions and ordered our structures, and wishes to highlight</w:t>
      </w:r>
      <w:r>
        <w:rPr>
          <w:spacing w:val="8"/>
          <w:w w:val="120"/>
          <w:sz w:val="20"/>
        </w:rPr>
        <w:t> </w:t>
      </w:r>
      <w:r>
        <w:rPr>
          <w:w w:val="120"/>
          <w:sz w:val="20"/>
        </w:rPr>
        <w:t>these:</w:t>
      </w:r>
    </w:p>
    <w:p>
      <w:pPr>
        <w:pStyle w:val="ListParagraph"/>
        <w:numPr>
          <w:ilvl w:val="2"/>
          <w:numId w:val="43"/>
        </w:numPr>
        <w:tabs>
          <w:tab w:pos="1965" w:val="left" w:leader="none"/>
        </w:tabs>
        <w:spacing w:line="235" w:lineRule="auto" w:before="2" w:after="0"/>
        <w:ind w:left="1964" w:right="1289" w:hanging="681"/>
        <w:jc w:val="left"/>
        <w:rPr>
          <w:sz w:val="20"/>
        </w:rPr>
      </w:pPr>
      <w:r>
        <w:rPr>
          <w:w w:val="120"/>
          <w:sz w:val="20"/>
        </w:rPr>
        <w:t>A key principle for our tradition is conciliarity, that is, that we reach our decisions as representatives meeting together in council, guided by the Holy Spirit. Congregationalists and the Churches of Christ hold the Church Meeting to be   the central place of authority, while Presbyterians recognise the authority</w:t>
      </w:r>
      <w:r>
        <w:rPr>
          <w:spacing w:val="6"/>
          <w:w w:val="120"/>
          <w:sz w:val="20"/>
        </w:rPr>
        <w:t> </w:t>
      </w:r>
      <w:r>
        <w:rPr>
          <w:w w:val="120"/>
          <w:sz w:val="20"/>
        </w:rPr>
        <w:t>of</w:t>
      </w:r>
    </w:p>
    <w:p>
      <w:pPr>
        <w:pStyle w:val="BodyText"/>
        <w:spacing w:line="235" w:lineRule="auto" w:before="3"/>
        <w:ind w:left="1964" w:right="1417"/>
      </w:pPr>
      <w:r>
        <w:rPr>
          <w:w w:val="120"/>
        </w:rPr>
        <w:t>the wider councils of Presbytery, Synod, and General Assembly. Together these traditions, which are held in common with other Reformed Churches, represent a view of the church that understands its authority under Christ to lie in a body of representatives acting in council, rather than in an appointed person or persons. We believe this is fundamental to the ecclesiology of the URC.</w:t>
      </w:r>
    </w:p>
    <w:p>
      <w:pPr>
        <w:pStyle w:val="ListParagraph"/>
        <w:numPr>
          <w:ilvl w:val="2"/>
          <w:numId w:val="43"/>
        </w:numPr>
        <w:tabs>
          <w:tab w:pos="1965" w:val="left" w:leader="none"/>
        </w:tabs>
        <w:spacing w:line="235" w:lineRule="auto" w:before="3" w:after="0"/>
        <w:ind w:left="1964" w:right="1525" w:hanging="681"/>
        <w:jc w:val="left"/>
        <w:rPr>
          <w:sz w:val="20"/>
        </w:rPr>
      </w:pPr>
      <w:r>
        <w:rPr>
          <w:w w:val="120"/>
          <w:sz w:val="20"/>
        </w:rPr>
        <w:t>Mission Council in March </w:t>
      </w:r>
      <w:r>
        <w:rPr>
          <w:spacing w:val="-7"/>
          <w:w w:val="120"/>
          <w:sz w:val="20"/>
        </w:rPr>
        <w:t>2016 </w:t>
      </w:r>
      <w:r>
        <w:rPr>
          <w:w w:val="120"/>
          <w:sz w:val="20"/>
        </w:rPr>
        <w:t>was asked to consider several ways that an Assembly’s effectiveness could be viewed. What matters most – the quality of its decisions, the sense of ownership and wide participation it engenders, or the inspiration it offers to those who attend? Clearly these aims need not be at odds with one another, but if one is more important to us than the others, this preference will tend to shape how we plan and deliver</w:t>
      </w:r>
      <w:r>
        <w:rPr>
          <w:spacing w:val="24"/>
          <w:w w:val="120"/>
          <w:sz w:val="20"/>
        </w:rPr>
        <w:t> </w:t>
      </w:r>
      <w:r>
        <w:rPr>
          <w:w w:val="120"/>
          <w:sz w:val="20"/>
        </w:rPr>
        <w:t>Assembly.</w:t>
      </w:r>
    </w:p>
    <w:p>
      <w:pPr>
        <w:pStyle w:val="ListParagraph"/>
        <w:numPr>
          <w:ilvl w:val="2"/>
          <w:numId w:val="43"/>
        </w:numPr>
        <w:tabs>
          <w:tab w:pos="1965" w:val="left" w:leader="none"/>
        </w:tabs>
        <w:spacing w:line="235" w:lineRule="auto" w:before="5" w:after="0"/>
        <w:ind w:left="1964" w:right="1676" w:hanging="681"/>
        <w:jc w:val="left"/>
        <w:rPr>
          <w:sz w:val="20"/>
        </w:rPr>
      </w:pPr>
      <w:r>
        <w:rPr>
          <w:w w:val="120"/>
          <w:sz w:val="20"/>
        </w:rPr>
        <w:t>In this discussion members of Mission Council placed most stress on wide participation, ahead but not to the exclusion of the other two aims. The  value of a broad membership, including many people whose primary church involvement is local, the opportunity to hear a balance of different voices, and the sense that the whole Church is overseeing the whole Church, were all attractive aspects of this way of viewing</w:t>
      </w:r>
      <w:r>
        <w:rPr>
          <w:spacing w:val="15"/>
          <w:w w:val="120"/>
          <w:sz w:val="20"/>
        </w:rPr>
        <w:t> </w:t>
      </w:r>
      <w:r>
        <w:rPr>
          <w:w w:val="120"/>
          <w:sz w:val="20"/>
        </w:rPr>
        <w:t>Assembly.</w:t>
      </w:r>
    </w:p>
    <w:p>
      <w:pPr>
        <w:pStyle w:val="ListParagraph"/>
        <w:numPr>
          <w:ilvl w:val="2"/>
          <w:numId w:val="43"/>
        </w:numPr>
        <w:tabs>
          <w:tab w:pos="1965" w:val="left" w:leader="none"/>
        </w:tabs>
        <w:spacing w:line="235" w:lineRule="auto" w:before="5" w:after="0"/>
        <w:ind w:left="1964" w:right="1650" w:hanging="681"/>
        <w:jc w:val="left"/>
        <w:rPr>
          <w:sz w:val="20"/>
        </w:rPr>
      </w:pPr>
      <w:r>
        <w:rPr>
          <w:w w:val="120"/>
          <w:sz w:val="20"/>
        </w:rPr>
        <w:t>However, a problem with a broadly-based way of decision-making is that sometimes urgent administrative decisions are needed while the appropriate council is not in session. In such situations a smaller group is sometimes  given executive power to act on behalf of the council. Where this practice is infrequent, or when the issues are of no great consequence, the principle of conciliarity is still upheld. However, when the ‘executive’ group becomes a regular and significant feature of the decision-making process, our</w:t>
      </w:r>
      <w:r>
        <w:rPr>
          <w:spacing w:val="34"/>
          <w:w w:val="120"/>
          <w:sz w:val="20"/>
        </w:rPr>
        <w:t> </w:t>
      </w:r>
      <w:r>
        <w:rPr>
          <w:w w:val="120"/>
          <w:sz w:val="20"/>
        </w:rPr>
        <w:t>historical</w:t>
      </w:r>
    </w:p>
    <w:p>
      <w:pPr>
        <w:spacing w:after="0" w:line="235" w:lineRule="auto"/>
        <w:jc w:val="left"/>
        <w:rPr>
          <w:sz w:val="20"/>
        </w:rPr>
        <w:sectPr>
          <w:headerReference w:type="default" r:id="rId175"/>
          <w:footerReference w:type="default" r:id="rId176"/>
          <w:footerReference w:type="even" r:id="rId177"/>
          <w:pgSz w:w="11910" w:h="16840"/>
          <w:pgMar w:header="0" w:footer="647" w:top="0" w:bottom="840" w:left="700" w:right="0"/>
          <w:pgNumType w:start="55"/>
        </w:sectPr>
      </w:pPr>
    </w:p>
    <w:p>
      <w:pPr>
        <w:pStyle w:val="BodyText"/>
      </w:pPr>
      <w:r>
        <w:rPr/>
        <w:drawing>
          <wp:anchor distT="0" distB="0" distL="0" distR="0" allowOverlap="1" layoutInCell="1" locked="0" behindDoc="1" simplePos="0" relativeHeight="235844608">
            <wp:simplePos x="0" y="0"/>
            <wp:positionH relativeFrom="page">
              <wp:posOffset>0</wp:posOffset>
            </wp:positionH>
            <wp:positionV relativeFrom="page">
              <wp:posOffset>0</wp:posOffset>
            </wp:positionV>
            <wp:extent cx="594067" cy="10692003"/>
            <wp:effectExtent l="0" t="0" r="0" b="0"/>
            <wp:wrapNone/>
            <wp:docPr id="101" name="image49.png"/>
            <wp:cNvGraphicFramePr>
              <a:graphicFrameLocks noChangeAspect="1"/>
            </wp:cNvGraphicFramePr>
            <a:graphic>
              <a:graphicData uri="http://schemas.openxmlformats.org/drawingml/2006/picture">
                <pic:pic>
                  <pic:nvPicPr>
                    <pic:cNvPr id="10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70848"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BodyText"/>
        <w:spacing w:line="235" w:lineRule="auto" w:before="222"/>
        <w:ind w:left="1227" w:right="2429"/>
      </w:pPr>
      <w:r>
        <w:rPr>
          <w:w w:val="120"/>
        </w:rPr>
        <w:t>understanding of conciliarity is significantly altered, particularly when the Assembly itself does not make the major decisions.</w:t>
      </w:r>
    </w:p>
    <w:p>
      <w:pPr>
        <w:pStyle w:val="ListParagraph"/>
        <w:numPr>
          <w:ilvl w:val="2"/>
          <w:numId w:val="43"/>
        </w:numPr>
        <w:tabs>
          <w:tab w:pos="1228" w:val="left" w:leader="none"/>
        </w:tabs>
        <w:spacing w:line="235" w:lineRule="auto" w:before="1" w:after="0"/>
        <w:ind w:left="1227" w:right="2294" w:hanging="681"/>
        <w:jc w:val="left"/>
        <w:rPr>
          <w:sz w:val="20"/>
        </w:rPr>
      </w:pPr>
      <w:r>
        <w:rPr>
          <w:w w:val="120"/>
          <w:sz w:val="20"/>
        </w:rPr>
        <w:t>At least since 2006, there is evidence that the URC, both at the level of synods and the General Assembly, has given significant and ongoing responsibility to various executive bodies. In the case of the General Assembly this body is the Mission</w:t>
      </w:r>
      <w:r>
        <w:rPr>
          <w:spacing w:val="2"/>
          <w:w w:val="120"/>
          <w:sz w:val="20"/>
        </w:rPr>
        <w:t> </w:t>
      </w:r>
      <w:r>
        <w:rPr>
          <w:w w:val="120"/>
          <w:sz w:val="20"/>
        </w:rPr>
        <w:t>Council.</w:t>
      </w:r>
    </w:p>
    <w:p>
      <w:pPr>
        <w:pStyle w:val="BodyText"/>
        <w:spacing w:before="7"/>
        <w:rPr>
          <w:sz w:val="19"/>
        </w:rPr>
      </w:pPr>
    </w:p>
    <w:p>
      <w:pPr>
        <w:pStyle w:val="ListParagraph"/>
        <w:numPr>
          <w:ilvl w:val="1"/>
          <w:numId w:val="43"/>
        </w:numPr>
        <w:tabs>
          <w:tab w:pos="1227" w:val="left" w:leader="none"/>
          <w:tab w:pos="1228" w:val="left" w:leader="none"/>
        </w:tabs>
        <w:spacing w:line="242" w:lineRule="exact" w:before="0" w:after="0"/>
        <w:ind w:left="1227" w:right="0" w:hanging="681"/>
        <w:jc w:val="left"/>
        <w:rPr>
          <w:sz w:val="20"/>
        </w:rPr>
      </w:pPr>
      <w:r>
        <w:rPr>
          <w:w w:val="120"/>
          <w:sz w:val="20"/>
        </w:rPr>
        <w:t>The remit of Mission Council</w:t>
      </w:r>
      <w:r>
        <w:rPr>
          <w:spacing w:val="9"/>
          <w:w w:val="120"/>
          <w:sz w:val="20"/>
        </w:rPr>
        <w:t> </w:t>
      </w:r>
      <w:r>
        <w:rPr>
          <w:w w:val="120"/>
          <w:sz w:val="20"/>
        </w:rPr>
        <w:t>is:</w:t>
      </w:r>
    </w:p>
    <w:p>
      <w:pPr>
        <w:pStyle w:val="BodyText"/>
        <w:spacing w:line="235" w:lineRule="auto" w:before="2"/>
        <w:ind w:left="1227" w:right="2342"/>
      </w:pPr>
      <w:r>
        <w:rPr>
          <w:w w:val="120"/>
        </w:rPr>
        <w:t>a co-ordinating committee…the purpose of the Mission Council is to enable the Church, in its General Assembly, to take a more comprehensive view of the activity and policy of the Church to decide more carefully about priorities and to encourage the outreach of the Church to the community. Its service</w:t>
      </w:r>
      <w:r>
        <w:rPr>
          <w:spacing w:val="49"/>
          <w:w w:val="120"/>
        </w:rPr>
        <w:t> </w:t>
      </w:r>
      <w:r>
        <w:rPr>
          <w:w w:val="120"/>
        </w:rPr>
        <w:t>is</w:t>
      </w:r>
    </w:p>
    <w:p>
      <w:pPr>
        <w:pStyle w:val="BodyText"/>
        <w:spacing w:line="235" w:lineRule="auto" w:before="3"/>
        <w:ind w:left="1227" w:right="2016"/>
        <w:rPr>
          <w:sz w:val="16"/>
        </w:rPr>
      </w:pPr>
      <w:r>
        <w:rPr>
          <w:w w:val="120"/>
        </w:rPr>
        <w:t>directly towards the Assembly, but its concern is with the whole Church and all  its members, so it will seek to be aware of the pains and joys, the adventures and hopes of the whole</w:t>
      </w:r>
      <w:r>
        <w:rPr>
          <w:spacing w:val="9"/>
          <w:w w:val="120"/>
        </w:rPr>
        <w:t> </w:t>
      </w:r>
      <w:r>
        <w:rPr>
          <w:spacing w:val="-4"/>
          <w:w w:val="120"/>
        </w:rPr>
        <w:t>body.</w:t>
      </w:r>
      <w:r>
        <w:rPr>
          <w:spacing w:val="-4"/>
          <w:w w:val="120"/>
          <w:position w:val="4"/>
          <w:sz w:val="16"/>
        </w:rPr>
        <w:t>1</w:t>
      </w:r>
    </w:p>
    <w:p>
      <w:pPr>
        <w:pStyle w:val="BodyText"/>
        <w:spacing w:before="8"/>
        <w:rPr>
          <w:sz w:val="19"/>
        </w:rPr>
      </w:pPr>
    </w:p>
    <w:p>
      <w:pPr>
        <w:pStyle w:val="ListParagraph"/>
        <w:numPr>
          <w:ilvl w:val="1"/>
          <w:numId w:val="43"/>
        </w:numPr>
        <w:tabs>
          <w:tab w:pos="1227" w:val="left" w:leader="none"/>
          <w:tab w:pos="1228" w:val="left" w:leader="none"/>
        </w:tabs>
        <w:spacing w:line="235" w:lineRule="auto" w:before="0" w:after="0"/>
        <w:ind w:left="1227" w:right="2183" w:hanging="681"/>
        <w:jc w:val="left"/>
        <w:rPr>
          <w:sz w:val="16"/>
        </w:rPr>
      </w:pPr>
      <w:r>
        <w:rPr>
          <w:w w:val="120"/>
          <w:sz w:val="20"/>
        </w:rPr>
        <w:t>The Structure gives as one of the functions of the General Assembly that it: shall also appoint a Mission Council with power to act in its name between meetings of the General Assembly and to discharge such other functions as the General Assembly may from time to time</w:t>
      </w:r>
      <w:r>
        <w:rPr>
          <w:spacing w:val="15"/>
          <w:w w:val="120"/>
          <w:sz w:val="20"/>
        </w:rPr>
        <w:t> </w:t>
      </w:r>
      <w:r>
        <w:rPr>
          <w:w w:val="120"/>
          <w:sz w:val="20"/>
        </w:rPr>
        <w:t>direct.</w:t>
      </w:r>
      <w:r>
        <w:rPr>
          <w:w w:val="120"/>
          <w:position w:val="4"/>
          <w:sz w:val="16"/>
        </w:rPr>
        <w:t>2</w:t>
      </w:r>
    </w:p>
    <w:p>
      <w:pPr>
        <w:pStyle w:val="BodyText"/>
        <w:spacing w:before="9"/>
        <w:rPr>
          <w:sz w:val="19"/>
        </w:rPr>
      </w:pPr>
    </w:p>
    <w:p>
      <w:pPr>
        <w:pStyle w:val="BodyText"/>
        <w:spacing w:line="235" w:lineRule="auto"/>
        <w:ind w:left="547" w:right="2466"/>
      </w:pPr>
      <w:r>
        <w:rPr>
          <w:w w:val="120"/>
        </w:rPr>
        <w:t>On this basis, many decisions of Mission Council </w:t>
      </w:r>
      <w:r>
        <w:rPr>
          <w:spacing w:val="2"/>
          <w:w w:val="120"/>
        </w:rPr>
        <w:t>carry </w:t>
      </w:r>
      <w:r>
        <w:rPr>
          <w:w w:val="120"/>
        </w:rPr>
        <w:t>the words ‘Acting on behalf   of the General </w:t>
      </w:r>
      <w:r>
        <w:rPr>
          <w:spacing w:val="-3"/>
          <w:w w:val="120"/>
        </w:rPr>
        <w:t>Assembly…’ </w:t>
      </w:r>
      <w:r>
        <w:rPr>
          <w:w w:val="120"/>
        </w:rPr>
        <w:t>to indicate that the Mission Council does not </w:t>
      </w:r>
      <w:r>
        <w:rPr>
          <w:spacing w:val="2"/>
          <w:w w:val="120"/>
        </w:rPr>
        <w:t>carry </w:t>
      </w:r>
      <w:r>
        <w:rPr>
          <w:w w:val="120"/>
        </w:rPr>
        <w:t>such authority in its own right but only by delegation from the General Assembly. In practice, therefore, Mission Council functions very much like a council of the church rather than as a coordinating</w:t>
      </w:r>
      <w:r>
        <w:rPr>
          <w:spacing w:val="9"/>
          <w:w w:val="120"/>
        </w:rPr>
        <w:t> </w:t>
      </w:r>
      <w:r>
        <w:rPr>
          <w:w w:val="120"/>
        </w:rPr>
        <w:t>committee.</w:t>
      </w:r>
    </w:p>
    <w:p>
      <w:pPr>
        <w:pStyle w:val="BodyText"/>
        <w:spacing w:before="8"/>
        <w:rPr>
          <w:sz w:val="19"/>
        </w:rPr>
      </w:pPr>
    </w:p>
    <w:p>
      <w:pPr>
        <w:pStyle w:val="ListParagraph"/>
        <w:numPr>
          <w:ilvl w:val="1"/>
          <w:numId w:val="43"/>
        </w:numPr>
        <w:tabs>
          <w:tab w:pos="1227" w:val="left" w:leader="none"/>
          <w:tab w:pos="1228" w:val="left" w:leader="none"/>
        </w:tabs>
        <w:spacing w:line="242" w:lineRule="exact" w:before="0" w:after="0"/>
        <w:ind w:left="1227" w:right="0" w:hanging="681"/>
        <w:jc w:val="left"/>
        <w:rPr>
          <w:sz w:val="20"/>
        </w:rPr>
      </w:pPr>
      <w:r>
        <w:rPr>
          <w:w w:val="120"/>
          <w:sz w:val="20"/>
        </w:rPr>
        <w:t>The functions of General Assembly also</w:t>
      </w:r>
      <w:r>
        <w:rPr>
          <w:spacing w:val="13"/>
          <w:w w:val="120"/>
          <w:sz w:val="20"/>
        </w:rPr>
        <w:t> </w:t>
      </w:r>
      <w:r>
        <w:rPr>
          <w:w w:val="120"/>
          <w:sz w:val="20"/>
        </w:rPr>
        <w:t>include:</w:t>
      </w:r>
    </w:p>
    <w:p>
      <w:pPr>
        <w:pStyle w:val="ListParagraph"/>
        <w:numPr>
          <w:ilvl w:val="0"/>
          <w:numId w:val="44"/>
        </w:numPr>
        <w:tabs>
          <w:tab w:pos="1227" w:val="left" w:leader="none"/>
          <w:tab w:pos="1228" w:val="left" w:leader="none"/>
        </w:tabs>
        <w:spacing w:line="240" w:lineRule="exact" w:before="0" w:after="0"/>
        <w:ind w:left="1227" w:right="0" w:hanging="681"/>
        <w:jc w:val="left"/>
        <w:rPr>
          <w:sz w:val="20"/>
        </w:rPr>
      </w:pPr>
      <w:r>
        <w:rPr>
          <w:w w:val="120"/>
          <w:sz w:val="20"/>
        </w:rPr>
        <w:t>to oversee the total work of the</w:t>
      </w:r>
      <w:r>
        <w:rPr>
          <w:spacing w:val="12"/>
          <w:w w:val="120"/>
          <w:sz w:val="20"/>
        </w:rPr>
        <w:t> </w:t>
      </w:r>
      <w:r>
        <w:rPr>
          <w:w w:val="120"/>
          <w:sz w:val="20"/>
        </w:rPr>
        <w:t>church;</w:t>
      </w:r>
    </w:p>
    <w:p>
      <w:pPr>
        <w:pStyle w:val="ListParagraph"/>
        <w:numPr>
          <w:ilvl w:val="0"/>
          <w:numId w:val="44"/>
        </w:numPr>
        <w:tabs>
          <w:tab w:pos="1227" w:val="left" w:leader="none"/>
          <w:tab w:pos="1228" w:val="left" w:leader="none"/>
        </w:tabs>
        <w:spacing w:line="235" w:lineRule="auto" w:before="2" w:after="0"/>
        <w:ind w:left="1227" w:right="2138" w:hanging="681"/>
        <w:jc w:val="left"/>
        <w:rPr>
          <w:sz w:val="20"/>
        </w:rPr>
      </w:pPr>
      <w:r>
        <w:rPr>
          <w:w w:val="120"/>
          <w:sz w:val="20"/>
        </w:rPr>
        <w:t>to make decisions on </w:t>
      </w:r>
      <w:r>
        <w:rPr>
          <w:spacing w:val="2"/>
          <w:w w:val="120"/>
          <w:sz w:val="20"/>
        </w:rPr>
        <w:t>reports </w:t>
      </w:r>
      <w:r>
        <w:rPr>
          <w:w w:val="120"/>
          <w:sz w:val="20"/>
        </w:rPr>
        <w:t>and recommendations from its own committees, issue such directions and take such actions as it deems conducive to the propagation of the gospel, the welfare of the URC, the interests of the Church  of Christ as a whole and the wellbeing of the community in which the Church is placed;</w:t>
      </w:r>
    </w:p>
    <w:p>
      <w:pPr>
        <w:pStyle w:val="ListParagraph"/>
        <w:numPr>
          <w:ilvl w:val="0"/>
          <w:numId w:val="44"/>
        </w:numPr>
        <w:tabs>
          <w:tab w:pos="1227" w:val="left" w:leader="none"/>
          <w:tab w:pos="1228" w:val="left" w:leader="none"/>
        </w:tabs>
        <w:spacing w:line="242" w:lineRule="exact" w:before="0" w:after="0"/>
        <w:ind w:left="1227" w:right="0" w:hanging="681"/>
        <w:jc w:val="left"/>
        <w:rPr>
          <w:sz w:val="20"/>
        </w:rPr>
      </w:pPr>
      <w:r>
        <w:rPr>
          <w:w w:val="120"/>
          <w:sz w:val="20"/>
        </w:rPr>
        <w:t>to conduct and foster the ecumenical relationships of the</w:t>
      </w:r>
      <w:r>
        <w:rPr>
          <w:spacing w:val="18"/>
          <w:w w:val="120"/>
          <w:sz w:val="20"/>
        </w:rPr>
        <w:t> </w:t>
      </w:r>
      <w:r>
        <w:rPr>
          <w:w w:val="120"/>
          <w:sz w:val="20"/>
        </w:rPr>
        <w:t>URC;</w:t>
      </w:r>
    </w:p>
    <w:p>
      <w:pPr>
        <w:pStyle w:val="ListParagraph"/>
        <w:numPr>
          <w:ilvl w:val="0"/>
          <w:numId w:val="44"/>
        </w:numPr>
        <w:tabs>
          <w:tab w:pos="1227" w:val="left" w:leader="none"/>
          <w:tab w:pos="1228" w:val="left" w:leader="none"/>
        </w:tabs>
        <w:spacing w:line="235" w:lineRule="auto" w:before="2" w:after="0"/>
        <w:ind w:left="1227" w:right="3357" w:hanging="681"/>
        <w:jc w:val="left"/>
        <w:rPr>
          <w:sz w:val="20"/>
        </w:rPr>
      </w:pPr>
      <w:r>
        <w:rPr>
          <w:w w:val="120"/>
          <w:sz w:val="20"/>
        </w:rPr>
        <w:t>to support and share in the missionary work of the Church at home and</w:t>
      </w:r>
      <w:r>
        <w:rPr>
          <w:spacing w:val="2"/>
          <w:w w:val="120"/>
          <w:sz w:val="20"/>
        </w:rPr>
        <w:t> </w:t>
      </w:r>
      <w:r>
        <w:rPr>
          <w:w w:val="120"/>
          <w:sz w:val="20"/>
        </w:rPr>
        <w:t>abroad;</w:t>
      </w:r>
    </w:p>
    <w:p>
      <w:pPr>
        <w:pStyle w:val="ListParagraph"/>
        <w:numPr>
          <w:ilvl w:val="0"/>
          <w:numId w:val="45"/>
        </w:numPr>
        <w:tabs>
          <w:tab w:pos="1227" w:val="left" w:leader="none"/>
          <w:tab w:pos="1228" w:val="left" w:leader="none"/>
        </w:tabs>
        <w:spacing w:line="235" w:lineRule="auto" w:before="2" w:after="0"/>
        <w:ind w:left="1227" w:right="2032" w:hanging="681"/>
        <w:jc w:val="left"/>
        <w:rPr>
          <w:sz w:val="20"/>
        </w:rPr>
      </w:pPr>
      <w:r>
        <w:rPr>
          <w:w w:val="120"/>
          <w:sz w:val="20"/>
        </w:rPr>
        <w:t>to remit questions concerning the witness and judgment of the Church for general discussion in Church Meetings, Elders’ Meetings, and synods, and to call for </w:t>
      </w:r>
      <w:r>
        <w:rPr>
          <w:spacing w:val="2"/>
          <w:w w:val="120"/>
          <w:sz w:val="20"/>
        </w:rPr>
        <w:t>reports </w:t>
      </w:r>
      <w:r>
        <w:rPr>
          <w:w w:val="120"/>
          <w:sz w:val="20"/>
        </w:rPr>
        <w:t>from these</w:t>
      </w:r>
      <w:r>
        <w:rPr>
          <w:spacing w:val="4"/>
          <w:w w:val="120"/>
          <w:sz w:val="20"/>
        </w:rPr>
        <w:t> </w:t>
      </w:r>
      <w:r>
        <w:rPr>
          <w:w w:val="120"/>
          <w:sz w:val="20"/>
        </w:rPr>
        <w:t>councils;</w:t>
      </w:r>
    </w:p>
    <w:p>
      <w:pPr>
        <w:pStyle w:val="ListParagraph"/>
        <w:numPr>
          <w:ilvl w:val="0"/>
          <w:numId w:val="45"/>
        </w:numPr>
        <w:tabs>
          <w:tab w:pos="1227" w:val="left" w:leader="none"/>
          <w:tab w:pos="1228" w:val="left" w:leader="none"/>
        </w:tabs>
        <w:spacing w:line="235" w:lineRule="auto" w:before="2" w:after="0"/>
        <w:ind w:left="1227" w:right="2158" w:hanging="681"/>
        <w:jc w:val="left"/>
        <w:rPr>
          <w:sz w:val="20"/>
        </w:rPr>
      </w:pPr>
      <w:r>
        <w:rPr>
          <w:w w:val="120"/>
          <w:sz w:val="20"/>
        </w:rPr>
        <w:t>to interpret all forms and expressions of the polity practice and doctrinal formulations of the URC including the Basis and the Structure and to determine when rights of personal conviction are asserted to the injury of the unity and peace of the</w:t>
      </w:r>
      <w:r>
        <w:rPr>
          <w:spacing w:val="6"/>
          <w:w w:val="120"/>
          <w:sz w:val="20"/>
        </w:rPr>
        <w:t> </w:t>
      </w:r>
      <w:r>
        <w:rPr>
          <w:w w:val="120"/>
          <w:sz w:val="20"/>
        </w:rPr>
        <w:t>URC;</w:t>
      </w:r>
    </w:p>
    <w:p>
      <w:pPr>
        <w:pStyle w:val="ListParagraph"/>
        <w:numPr>
          <w:ilvl w:val="0"/>
          <w:numId w:val="45"/>
        </w:numPr>
        <w:tabs>
          <w:tab w:pos="1227" w:val="left" w:leader="none"/>
          <w:tab w:pos="1228" w:val="left" w:leader="none"/>
        </w:tabs>
        <w:spacing w:line="235" w:lineRule="auto" w:before="3" w:after="0"/>
        <w:ind w:left="1227" w:right="2209" w:hanging="681"/>
        <w:jc w:val="left"/>
        <w:rPr>
          <w:sz w:val="20"/>
        </w:rPr>
      </w:pPr>
      <w:r>
        <w:rPr>
          <w:w w:val="120"/>
          <w:sz w:val="20"/>
        </w:rPr>
        <w:t>to </w:t>
      </w:r>
      <w:r>
        <w:rPr>
          <w:spacing w:val="-3"/>
          <w:w w:val="120"/>
          <w:sz w:val="20"/>
        </w:rPr>
        <w:t>alter, </w:t>
      </w:r>
      <w:r>
        <w:rPr>
          <w:w w:val="120"/>
          <w:sz w:val="20"/>
        </w:rPr>
        <w:t>add </w:t>
      </w:r>
      <w:r>
        <w:rPr>
          <w:spacing w:val="-3"/>
          <w:w w:val="120"/>
          <w:sz w:val="20"/>
        </w:rPr>
        <w:t>to, </w:t>
      </w:r>
      <w:r>
        <w:rPr>
          <w:spacing w:val="2"/>
          <w:w w:val="120"/>
          <w:sz w:val="20"/>
        </w:rPr>
        <w:t>modify </w:t>
      </w:r>
      <w:r>
        <w:rPr>
          <w:w w:val="120"/>
          <w:sz w:val="20"/>
        </w:rPr>
        <w:t>or supersede the Basis, Structure and any other form or expression of the polity and doctrinal formulations of the</w:t>
      </w:r>
      <w:r>
        <w:rPr>
          <w:spacing w:val="23"/>
          <w:w w:val="120"/>
          <w:sz w:val="20"/>
        </w:rPr>
        <w:t> </w:t>
      </w:r>
      <w:r>
        <w:rPr>
          <w:w w:val="120"/>
          <w:sz w:val="20"/>
        </w:rPr>
        <w:t>URC;</w:t>
      </w:r>
    </w:p>
    <w:p>
      <w:pPr>
        <w:pStyle w:val="ListParagraph"/>
        <w:numPr>
          <w:ilvl w:val="0"/>
          <w:numId w:val="45"/>
        </w:numPr>
        <w:tabs>
          <w:tab w:pos="1227" w:val="left" w:leader="none"/>
          <w:tab w:pos="1228" w:val="left" w:leader="none"/>
        </w:tabs>
        <w:spacing w:line="235" w:lineRule="auto" w:before="1" w:after="0"/>
        <w:ind w:left="1227" w:right="2092" w:hanging="681"/>
        <w:jc w:val="left"/>
        <w:rPr>
          <w:sz w:val="20"/>
        </w:rPr>
      </w:pPr>
      <w:r>
        <w:rPr>
          <w:w w:val="120"/>
          <w:sz w:val="20"/>
        </w:rPr>
        <w:t>to make, alter or rescind rules for the conduct of its own proceedings and of those of other councils and commissions of the URC and such other rules, bye- laws and standing orders as the General Assembly may from time to time think desirable for the performance of its functions and the carrying into effect of any of the provisions contained in the Basis and the Structure and for the conduct of the business and affairs of the General Assembly and of the other councils and commissions of the</w:t>
      </w:r>
      <w:r>
        <w:rPr>
          <w:spacing w:val="5"/>
          <w:w w:val="120"/>
          <w:sz w:val="20"/>
        </w:rPr>
        <w:t> </w:t>
      </w:r>
      <w:r>
        <w:rPr>
          <w:w w:val="120"/>
          <w:sz w:val="20"/>
        </w:rPr>
        <w:t>URC;</w:t>
      </w:r>
    </w:p>
    <w:p>
      <w:pPr>
        <w:pStyle w:val="ListParagraph"/>
        <w:numPr>
          <w:ilvl w:val="0"/>
          <w:numId w:val="46"/>
        </w:numPr>
        <w:tabs>
          <w:tab w:pos="1227" w:val="left" w:leader="none"/>
          <w:tab w:pos="1228" w:val="left" w:leader="none"/>
        </w:tabs>
        <w:spacing w:line="235" w:lineRule="auto" w:before="5" w:after="0"/>
        <w:ind w:left="1227" w:right="2107" w:hanging="681"/>
        <w:jc w:val="left"/>
        <w:rPr>
          <w:sz w:val="20"/>
        </w:rPr>
      </w:pPr>
      <w:r>
        <w:rPr>
          <w:w w:val="120"/>
          <w:sz w:val="20"/>
        </w:rPr>
        <w:t>to provide for the raising of funds for the work of the URC and to determine arrangements for payment of stipends and expenses to Ministers, Church Related Community Workers and officers of the URC and for such other financial matters as the General Assembly may from time to time think</w:t>
      </w:r>
      <w:r>
        <w:rPr>
          <w:spacing w:val="4"/>
          <w:w w:val="120"/>
          <w:sz w:val="20"/>
        </w:rPr>
        <w:t> </w:t>
      </w:r>
      <w:r>
        <w:rPr>
          <w:w w:val="120"/>
          <w:sz w:val="20"/>
        </w:rPr>
        <w:t>desirable;</w:t>
      </w:r>
    </w:p>
    <w:p>
      <w:pPr>
        <w:pStyle w:val="BodyText"/>
        <w:spacing w:before="10"/>
        <w:rPr>
          <w:sz w:val="26"/>
        </w:rPr>
      </w:pPr>
      <w:r>
        <w:rPr/>
        <w:pict>
          <v:shape style="position:absolute;margin-left:62.362202pt;margin-top:18.856819pt;width:72pt;height:.1pt;mso-position-horizontal-relative:page;mso-position-vertical-relative:paragraph;z-index:-251505664;mso-wrap-distance-left:0;mso-wrap-distance-right:0" coordorigin="1247,377" coordsize="1440,0" path="m1247,377l2687,377e" filled="false" stroked="true" strokeweight="1pt" strokecolor="#000000">
            <v:path arrowok="t"/>
            <v:stroke dashstyle="solid"/>
            <w10:wrap type="topAndBottom"/>
          </v:shape>
        </w:pict>
      </w:r>
    </w:p>
    <w:p>
      <w:pPr>
        <w:pStyle w:val="ListParagraph"/>
        <w:numPr>
          <w:ilvl w:val="0"/>
          <w:numId w:val="47"/>
        </w:numPr>
        <w:tabs>
          <w:tab w:pos="1318" w:val="left" w:leader="none"/>
          <w:tab w:pos="1319" w:val="left" w:leader="none"/>
        </w:tabs>
        <w:spacing w:line="240" w:lineRule="auto" w:before="29" w:after="0"/>
        <w:ind w:left="1318" w:right="0" w:hanging="772"/>
        <w:jc w:val="left"/>
        <w:rPr>
          <w:sz w:val="18"/>
        </w:rPr>
      </w:pPr>
      <w:r>
        <w:rPr>
          <w:w w:val="120"/>
          <w:sz w:val="18"/>
        </w:rPr>
        <w:t>The Manual, section</w:t>
      </w:r>
      <w:r>
        <w:rPr>
          <w:spacing w:val="6"/>
          <w:w w:val="120"/>
          <w:sz w:val="18"/>
        </w:rPr>
        <w:t> </w:t>
      </w:r>
      <w:r>
        <w:rPr>
          <w:w w:val="120"/>
          <w:sz w:val="18"/>
        </w:rPr>
        <w:t>G</w:t>
      </w:r>
    </w:p>
    <w:p>
      <w:pPr>
        <w:pStyle w:val="ListParagraph"/>
        <w:numPr>
          <w:ilvl w:val="0"/>
          <w:numId w:val="47"/>
        </w:numPr>
        <w:tabs>
          <w:tab w:pos="1318" w:val="left" w:leader="none"/>
          <w:tab w:pos="1319" w:val="left" w:leader="none"/>
        </w:tabs>
        <w:spacing w:line="240" w:lineRule="auto" w:before="21" w:after="0"/>
        <w:ind w:left="1318" w:right="0" w:hanging="772"/>
        <w:jc w:val="left"/>
        <w:rPr>
          <w:sz w:val="18"/>
        </w:rPr>
      </w:pPr>
      <w:r>
        <w:rPr>
          <w:w w:val="125"/>
          <w:sz w:val="18"/>
        </w:rPr>
        <w:t>Structure, paragraph</w:t>
      </w:r>
      <w:r>
        <w:rPr>
          <w:spacing w:val="-1"/>
          <w:w w:val="125"/>
          <w:sz w:val="18"/>
        </w:rPr>
        <w:t> </w:t>
      </w:r>
      <w:r>
        <w:rPr>
          <w:w w:val="125"/>
          <w:sz w:val="18"/>
        </w:rPr>
        <w:t>2(6)(o)</w:t>
      </w:r>
    </w:p>
    <w:p>
      <w:pPr>
        <w:spacing w:after="0" w:line="240" w:lineRule="auto"/>
        <w:jc w:val="left"/>
        <w:rPr>
          <w:sz w:val="18"/>
        </w:rPr>
        <w:sectPr>
          <w:headerReference w:type="even" r:id="rId178"/>
          <w:pgSz w:w="11910" w:h="16840"/>
          <w:pgMar w:header="0" w:footer="647" w:top="0" w:bottom="840" w:left="700" w:right="0"/>
        </w:sectPr>
      </w:pPr>
    </w:p>
    <w:p>
      <w:pPr>
        <w:pStyle w:val="BodyText"/>
      </w:pPr>
      <w:r>
        <w:rPr/>
        <w:drawing>
          <wp:anchor distT="0" distB="0" distL="0" distR="0" allowOverlap="1" layoutInCell="1" locked="0" behindDoc="0" simplePos="0" relativeHeight="251813888">
            <wp:simplePos x="0" y="0"/>
            <wp:positionH relativeFrom="page">
              <wp:posOffset>6974928</wp:posOffset>
            </wp:positionH>
            <wp:positionV relativeFrom="page">
              <wp:posOffset>0</wp:posOffset>
            </wp:positionV>
            <wp:extent cx="585076" cy="10692003"/>
            <wp:effectExtent l="0" t="0" r="0" b="0"/>
            <wp:wrapNone/>
            <wp:docPr id="103" name="image50.png"/>
            <wp:cNvGraphicFramePr>
              <a:graphicFrameLocks noChangeAspect="1"/>
            </wp:cNvGraphicFramePr>
            <a:graphic>
              <a:graphicData uri="http://schemas.openxmlformats.org/drawingml/2006/picture">
                <pic:pic>
                  <pic:nvPicPr>
                    <pic:cNvPr id="10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02.2pt;mso-position-horizontal-relative:page;mso-position-vertical-relative:paragraph;z-index:251814912"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color w:val="7EAABF"/>
          <w:w w:val="120"/>
        </w:rPr>
        <w:t>Mission Council</w:t>
      </w:r>
    </w:p>
    <w:p>
      <w:pPr>
        <w:pStyle w:val="ListParagraph"/>
        <w:numPr>
          <w:ilvl w:val="0"/>
          <w:numId w:val="46"/>
        </w:numPr>
        <w:tabs>
          <w:tab w:pos="1964" w:val="left" w:leader="none"/>
          <w:tab w:pos="1965" w:val="left" w:leader="none"/>
        </w:tabs>
        <w:spacing w:line="235" w:lineRule="auto" w:before="222" w:after="0"/>
        <w:ind w:left="1964" w:right="1757" w:hanging="681"/>
        <w:jc w:val="left"/>
        <w:rPr>
          <w:sz w:val="20"/>
        </w:rPr>
      </w:pPr>
      <w:r>
        <w:rPr>
          <w:w w:val="120"/>
          <w:sz w:val="20"/>
        </w:rPr>
        <w:t>to consider and decide upon issues and representations duly transmitted by other councils of the</w:t>
      </w:r>
      <w:r>
        <w:rPr>
          <w:spacing w:val="8"/>
          <w:w w:val="120"/>
          <w:sz w:val="20"/>
        </w:rPr>
        <w:t> </w:t>
      </w:r>
      <w:r>
        <w:rPr>
          <w:w w:val="120"/>
          <w:sz w:val="20"/>
        </w:rPr>
        <w:t>URC;</w:t>
      </w:r>
    </w:p>
    <w:p>
      <w:pPr>
        <w:pStyle w:val="BodyText"/>
        <w:tabs>
          <w:tab w:pos="1964" w:val="left" w:leader="none"/>
        </w:tabs>
        <w:spacing w:line="235" w:lineRule="auto" w:before="1"/>
        <w:ind w:left="1964" w:right="1336" w:hanging="681"/>
      </w:pPr>
      <w:r>
        <w:rPr>
          <w:w w:val="120"/>
        </w:rPr>
        <w:t>xxix)</w:t>
        <w:tab/>
        <w:t>to do such other things as may be necessary in pursuance of its responsibility for the common life of the</w:t>
      </w:r>
      <w:r>
        <w:rPr>
          <w:spacing w:val="11"/>
          <w:w w:val="120"/>
        </w:rPr>
        <w:t> </w:t>
      </w:r>
      <w:r>
        <w:rPr>
          <w:w w:val="120"/>
        </w:rPr>
        <w:t>Church.</w:t>
      </w:r>
    </w:p>
    <w:p>
      <w:pPr>
        <w:pStyle w:val="BodyText"/>
        <w:spacing w:before="9"/>
        <w:rPr>
          <w:sz w:val="19"/>
        </w:rPr>
      </w:pPr>
    </w:p>
    <w:p>
      <w:pPr>
        <w:pStyle w:val="BodyText"/>
        <w:spacing w:line="235" w:lineRule="auto"/>
        <w:ind w:left="1284" w:right="1584"/>
      </w:pPr>
      <w:r>
        <w:rPr>
          <w:w w:val="120"/>
        </w:rPr>
        <w:t>The task group believes that General Assembly can only do these things if it meets often enough to do so.</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417" w:firstLine="0"/>
        <w:jc w:val="left"/>
        <w:rPr>
          <w:sz w:val="20"/>
        </w:rPr>
      </w:pPr>
      <w:r>
        <w:rPr>
          <w:w w:val="120"/>
          <w:sz w:val="20"/>
        </w:rPr>
        <w:t>Moving further towards executive government </w:t>
      </w:r>
      <w:r>
        <w:rPr>
          <w:spacing w:val="-4"/>
          <w:w w:val="120"/>
          <w:sz w:val="20"/>
        </w:rPr>
        <w:t>may,  </w:t>
      </w:r>
      <w:r>
        <w:rPr>
          <w:w w:val="120"/>
          <w:sz w:val="20"/>
        </w:rPr>
        <w:t>of course, be a direction  in which the URC wishes to proceed, but this would be at the cost of our conciliar heritage, and a step away from how we have hitherto understood Reformed theology.</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428" w:firstLine="0"/>
        <w:jc w:val="left"/>
        <w:rPr>
          <w:sz w:val="20"/>
        </w:rPr>
      </w:pPr>
      <w:r>
        <w:rPr>
          <w:w w:val="120"/>
          <w:sz w:val="20"/>
        </w:rPr>
        <w:t>The task group has not therefore explored a way forward that would enlarge the role of Mission Council and shrink that of Assembly. If this were a path the Church wished to take, the group would ask for new briefing to that effect. Nonetheless, we note as a general point that the role of General Assembly is closely linked to that of Mission Council: any decrease of the responsibilities of the one would tend to increase those of the </w:t>
      </w:r>
      <w:r>
        <w:rPr>
          <w:spacing w:val="-3"/>
          <w:w w:val="120"/>
          <w:sz w:val="20"/>
        </w:rPr>
        <w:t>other, </w:t>
      </w:r>
      <w:r>
        <w:rPr>
          <w:w w:val="120"/>
          <w:sz w:val="20"/>
        </w:rPr>
        <w:t>and vice</w:t>
      </w:r>
      <w:r>
        <w:rPr>
          <w:spacing w:val="14"/>
          <w:w w:val="120"/>
          <w:sz w:val="20"/>
        </w:rPr>
        <w:t> </w:t>
      </w:r>
      <w:r>
        <w:rPr>
          <w:w w:val="120"/>
          <w:sz w:val="20"/>
        </w:rPr>
        <w:t>versa.</w:t>
      </w:r>
    </w:p>
    <w:p>
      <w:pPr>
        <w:pStyle w:val="BodyText"/>
      </w:pPr>
    </w:p>
    <w:p>
      <w:pPr>
        <w:pStyle w:val="ListParagraph"/>
        <w:numPr>
          <w:ilvl w:val="1"/>
          <w:numId w:val="43"/>
        </w:numPr>
        <w:tabs>
          <w:tab w:pos="1964" w:val="left" w:leader="none"/>
          <w:tab w:pos="1965" w:val="left" w:leader="none"/>
        </w:tabs>
        <w:spacing w:line="235" w:lineRule="auto" w:before="0" w:after="0"/>
        <w:ind w:left="1284" w:right="1314" w:firstLine="0"/>
        <w:jc w:val="left"/>
        <w:rPr>
          <w:sz w:val="20"/>
        </w:rPr>
      </w:pPr>
      <w:r>
        <w:rPr>
          <w:w w:val="120"/>
          <w:sz w:val="20"/>
        </w:rPr>
        <w:t>By contrast, those who believe it is appropriate to recall and refresh our conciliar commitment might want the Church to</w:t>
      </w:r>
      <w:r>
        <w:rPr>
          <w:spacing w:val="15"/>
          <w:w w:val="120"/>
          <w:sz w:val="20"/>
        </w:rPr>
        <w:t> </w:t>
      </w:r>
      <w:r>
        <w:rPr>
          <w:w w:val="120"/>
          <w:sz w:val="20"/>
        </w:rPr>
        <w:t>consider:</w:t>
      </w:r>
    </w:p>
    <w:p>
      <w:pPr>
        <w:pStyle w:val="ListParagraph"/>
        <w:numPr>
          <w:ilvl w:val="2"/>
          <w:numId w:val="43"/>
        </w:numPr>
        <w:tabs>
          <w:tab w:pos="1965" w:val="left" w:leader="none"/>
        </w:tabs>
        <w:spacing w:line="240" w:lineRule="exact" w:before="0" w:after="0"/>
        <w:ind w:left="1964" w:right="0" w:hanging="681"/>
        <w:jc w:val="left"/>
        <w:rPr>
          <w:sz w:val="20"/>
        </w:rPr>
      </w:pPr>
      <w:r>
        <w:rPr>
          <w:w w:val="120"/>
          <w:sz w:val="20"/>
        </w:rPr>
        <w:t>An annual meeting of General</w:t>
      </w:r>
      <w:r>
        <w:rPr>
          <w:spacing w:val="10"/>
          <w:w w:val="120"/>
          <w:sz w:val="20"/>
        </w:rPr>
        <w:t> </w:t>
      </w:r>
      <w:r>
        <w:rPr>
          <w:w w:val="120"/>
          <w:sz w:val="20"/>
        </w:rPr>
        <w:t>Assembly.</w:t>
      </w:r>
    </w:p>
    <w:p>
      <w:pPr>
        <w:pStyle w:val="ListParagraph"/>
        <w:numPr>
          <w:ilvl w:val="2"/>
          <w:numId w:val="43"/>
        </w:numPr>
        <w:tabs>
          <w:tab w:pos="1965" w:val="left" w:leader="none"/>
        </w:tabs>
        <w:spacing w:line="240" w:lineRule="exact" w:before="0" w:after="0"/>
        <w:ind w:left="1964" w:right="0" w:hanging="681"/>
        <w:jc w:val="left"/>
        <w:rPr>
          <w:sz w:val="20"/>
        </w:rPr>
      </w:pPr>
      <w:r>
        <w:rPr>
          <w:w w:val="120"/>
          <w:sz w:val="20"/>
        </w:rPr>
        <w:t>A corresponding reduction in the meetings and powers of the Mission</w:t>
      </w:r>
      <w:r>
        <w:rPr>
          <w:spacing w:val="50"/>
          <w:w w:val="120"/>
          <w:sz w:val="20"/>
        </w:rPr>
        <w:t> </w:t>
      </w:r>
      <w:r>
        <w:rPr>
          <w:w w:val="120"/>
          <w:sz w:val="20"/>
        </w:rPr>
        <w:t>Council.</w:t>
      </w:r>
    </w:p>
    <w:p>
      <w:pPr>
        <w:pStyle w:val="ListParagraph"/>
        <w:numPr>
          <w:ilvl w:val="2"/>
          <w:numId w:val="43"/>
        </w:numPr>
        <w:tabs>
          <w:tab w:pos="1965" w:val="left" w:leader="none"/>
        </w:tabs>
        <w:spacing w:line="235" w:lineRule="auto" w:before="2" w:after="0"/>
        <w:ind w:left="1964" w:right="1660" w:hanging="681"/>
        <w:jc w:val="left"/>
        <w:rPr>
          <w:sz w:val="20"/>
        </w:rPr>
      </w:pPr>
      <w:r>
        <w:rPr>
          <w:w w:val="120"/>
          <w:sz w:val="20"/>
        </w:rPr>
        <w:t>Revising the membership of the General Assembly in a manner that attempts to return to the original egalitarian intent of Reformed conciliar structures. Everyone in the synod who desires to attend Assembly gets their fair</w:t>
      </w:r>
      <w:r>
        <w:rPr>
          <w:spacing w:val="33"/>
          <w:w w:val="120"/>
          <w:sz w:val="20"/>
        </w:rPr>
        <w:t> </w:t>
      </w:r>
      <w:r>
        <w:rPr>
          <w:w w:val="120"/>
          <w:sz w:val="20"/>
        </w:rPr>
        <w:t>turn.</w:t>
      </w:r>
    </w:p>
    <w:p>
      <w:pPr>
        <w:pStyle w:val="BodyText"/>
        <w:spacing w:before="3"/>
        <w:rPr>
          <w:sz w:val="22"/>
        </w:rPr>
      </w:pPr>
    </w:p>
    <w:p>
      <w:pPr>
        <w:pStyle w:val="Heading4"/>
        <w:numPr>
          <w:ilvl w:val="0"/>
          <w:numId w:val="43"/>
        </w:numPr>
        <w:tabs>
          <w:tab w:pos="1964" w:val="left" w:leader="none"/>
          <w:tab w:pos="1965" w:val="left" w:leader="none"/>
        </w:tabs>
        <w:spacing w:line="240" w:lineRule="auto" w:before="0" w:after="0"/>
        <w:ind w:left="1964" w:right="0" w:hanging="681"/>
        <w:jc w:val="left"/>
      </w:pPr>
      <w:r>
        <w:rPr>
          <w:spacing w:val="2"/>
          <w:w w:val="110"/>
        </w:rPr>
        <w:t>Strategic </w:t>
      </w:r>
      <w:r>
        <w:rPr>
          <w:spacing w:val="3"/>
          <w:w w:val="110"/>
        </w:rPr>
        <w:t>and other</w:t>
      </w:r>
      <w:r>
        <w:rPr>
          <w:spacing w:val="33"/>
          <w:w w:val="110"/>
        </w:rPr>
        <w:t> </w:t>
      </w:r>
      <w:r>
        <w:rPr>
          <w:spacing w:val="4"/>
          <w:w w:val="110"/>
        </w:rPr>
        <w:t>questions</w:t>
      </w:r>
    </w:p>
    <w:p>
      <w:pPr>
        <w:pStyle w:val="ListParagraph"/>
        <w:numPr>
          <w:ilvl w:val="1"/>
          <w:numId w:val="43"/>
        </w:numPr>
        <w:tabs>
          <w:tab w:pos="1964" w:val="left" w:leader="none"/>
          <w:tab w:pos="1965" w:val="left" w:leader="none"/>
        </w:tabs>
        <w:spacing w:line="235" w:lineRule="auto" w:before="69" w:after="0"/>
        <w:ind w:left="1284" w:right="1493" w:firstLine="0"/>
        <w:jc w:val="left"/>
        <w:rPr>
          <w:sz w:val="20"/>
        </w:rPr>
      </w:pPr>
      <w:r>
        <w:rPr>
          <w:w w:val="120"/>
          <w:sz w:val="20"/>
        </w:rPr>
        <w:t>The questions raised by our explorations lead the task group to ask the Church to make some strategic</w:t>
      </w:r>
      <w:r>
        <w:rPr>
          <w:spacing w:val="7"/>
          <w:w w:val="120"/>
          <w:sz w:val="20"/>
        </w:rPr>
        <w:t> </w:t>
      </w:r>
      <w:r>
        <w:rPr>
          <w:w w:val="120"/>
          <w:sz w:val="20"/>
        </w:rPr>
        <w:t>choices:</w:t>
      </w:r>
    </w:p>
    <w:p>
      <w:pPr>
        <w:pStyle w:val="ListParagraph"/>
        <w:numPr>
          <w:ilvl w:val="2"/>
          <w:numId w:val="43"/>
        </w:numPr>
        <w:tabs>
          <w:tab w:pos="1964" w:val="left" w:leader="none"/>
          <w:tab w:pos="1965" w:val="left" w:leader="none"/>
        </w:tabs>
        <w:spacing w:line="240" w:lineRule="exact" w:before="0" w:after="0"/>
        <w:ind w:left="1964" w:right="0" w:hanging="681"/>
        <w:jc w:val="left"/>
        <w:rPr>
          <w:sz w:val="20"/>
        </w:rPr>
      </w:pPr>
      <w:r>
        <w:rPr>
          <w:w w:val="120"/>
          <w:sz w:val="20"/>
        </w:rPr>
        <w:t>Should we return to an annual</w:t>
      </w:r>
      <w:r>
        <w:rPr>
          <w:spacing w:val="10"/>
          <w:w w:val="120"/>
          <w:sz w:val="20"/>
        </w:rPr>
        <w:t> </w:t>
      </w:r>
      <w:r>
        <w:rPr>
          <w:w w:val="120"/>
          <w:sz w:val="20"/>
        </w:rPr>
        <w:t>Assembly?</w:t>
      </w:r>
    </w:p>
    <w:p>
      <w:pPr>
        <w:pStyle w:val="ListParagraph"/>
        <w:numPr>
          <w:ilvl w:val="2"/>
          <w:numId w:val="43"/>
        </w:numPr>
        <w:tabs>
          <w:tab w:pos="1964" w:val="left" w:leader="none"/>
          <w:tab w:pos="1965" w:val="left" w:leader="none"/>
        </w:tabs>
        <w:spacing w:line="242" w:lineRule="exact" w:before="0" w:after="0"/>
        <w:ind w:left="1964" w:right="0" w:hanging="681"/>
        <w:jc w:val="left"/>
        <w:rPr>
          <w:sz w:val="20"/>
        </w:rPr>
      </w:pPr>
      <w:r>
        <w:rPr>
          <w:w w:val="120"/>
          <w:sz w:val="20"/>
        </w:rPr>
        <w:t>Should the frequency and/or powers of Mission Council be</w:t>
      </w:r>
      <w:r>
        <w:rPr>
          <w:spacing w:val="25"/>
          <w:w w:val="120"/>
          <w:sz w:val="20"/>
        </w:rPr>
        <w:t> </w:t>
      </w:r>
      <w:r>
        <w:rPr>
          <w:w w:val="120"/>
          <w:sz w:val="20"/>
        </w:rPr>
        <w:t>reduced?</w:t>
      </w:r>
    </w:p>
    <w:p>
      <w:pPr>
        <w:pStyle w:val="BodyText"/>
        <w:spacing w:before="4"/>
        <w:rPr>
          <w:sz w:val="19"/>
        </w:rPr>
      </w:pPr>
    </w:p>
    <w:p>
      <w:pPr>
        <w:pStyle w:val="ListParagraph"/>
        <w:numPr>
          <w:ilvl w:val="1"/>
          <w:numId w:val="43"/>
        </w:numPr>
        <w:tabs>
          <w:tab w:pos="1964" w:val="left" w:leader="none"/>
          <w:tab w:pos="1965" w:val="left" w:leader="none"/>
        </w:tabs>
        <w:spacing w:line="242" w:lineRule="exact" w:before="0" w:after="0"/>
        <w:ind w:left="1964" w:right="0" w:hanging="681"/>
        <w:jc w:val="left"/>
        <w:rPr>
          <w:sz w:val="20"/>
        </w:rPr>
      </w:pPr>
      <w:r>
        <w:rPr>
          <w:w w:val="120"/>
          <w:sz w:val="20"/>
        </w:rPr>
        <w:t>Less strategic – but nonetheless important – questions raised</w:t>
      </w:r>
      <w:r>
        <w:rPr>
          <w:spacing w:val="19"/>
          <w:w w:val="120"/>
          <w:sz w:val="20"/>
        </w:rPr>
        <w:t> </w:t>
      </w:r>
      <w:r>
        <w:rPr>
          <w:w w:val="120"/>
          <w:sz w:val="20"/>
        </w:rPr>
        <w:t>are:</w:t>
      </w:r>
    </w:p>
    <w:p>
      <w:pPr>
        <w:pStyle w:val="ListParagraph"/>
        <w:numPr>
          <w:ilvl w:val="2"/>
          <w:numId w:val="43"/>
        </w:numPr>
        <w:tabs>
          <w:tab w:pos="1964" w:val="left" w:leader="none"/>
          <w:tab w:pos="1965" w:val="left" w:leader="none"/>
        </w:tabs>
        <w:spacing w:line="235" w:lineRule="auto" w:before="2" w:after="0"/>
        <w:ind w:left="1964" w:right="1436" w:hanging="681"/>
        <w:jc w:val="left"/>
        <w:rPr>
          <w:sz w:val="20"/>
        </w:rPr>
      </w:pPr>
      <w:r>
        <w:rPr>
          <w:w w:val="120"/>
          <w:sz w:val="20"/>
        </w:rPr>
        <w:t>Should there be one or two Moderators of General Assembly? Does the answer to this question change if the frequency of Assembly</w:t>
      </w:r>
      <w:r>
        <w:rPr>
          <w:spacing w:val="23"/>
          <w:w w:val="120"/>
          <w:sz w:val="20"/>
        </w:rPr>
        <w:t> </w:t>
      </w:r>
      <w:r>
        <w:rPr>
          <w:w w:val="120"/>
          <w:sz w:val="20"/>
        </w:rPr>
        <w:t>changes?</w:t>
      </w:r>
    </w:p>
    <w:p>
      <w:pPr>
        <w:pStyle w:val="ListParagraph"/>
        <w:numPr>
          <w:ilvl w:val="2"/>
          <w:numId w:val="43"/>
        </w:numPr>
        <w:tabs>
          <w:tab w:pos="1965" w:val="left" w:leader="none"/>
        </w:tabs>
        <w:spacing w:line="235" w:lineRule="auto" w:before="1" w:after="0"/>
        <w:ind w:left="1964" w:right="1404" w:hanging="681"/>
        <w:jc w:val="left"/>
        <w:rPr>
          <w:sz w:val="20"/>
        </w:rPr>
      </w:pPr>
      <w:r>
        <w:rPr>
          <w:w w:val="120"/>
          <w:sz w:val="20"/>
        </w:rPr>
        <w:t>Should Moderators be inducted at the end of General Assembly, and then chair the General Assembly at the end of their period of</w:t>
      </w:r>
      <w:r>
        <w:rPr>
          <w:spacing w:val="15"/>
          <w:w w:val="120"/>
          <w:sz w:val="20"/>
        </w:rPr>
        <w:t> </w:t>
      </w:r>
      <w:r>
        <w:rPr>
          <w:w w:val="120"/>
          <w:sz w:val="20"/>
        </w:rPr>
        <w:t>office?</w:t>
      </w:r>
    </w:p>
    <w:p>
      <w:pPr>
        <w:pStyle w:val="BodyText"/>
        <w:spacing w:before="2"/>
        <w:rPr>
          <w:sz w:val="22"/>
        </w:rPr>
      </w:pPr>
    </w:p>
    <w:p>
      <w:pPr>
        <w:pStyle w:val="Heading4"/>
        <w:numPr>
          <w:ilvl w:val="0"/>
          <w:numId w:val="43"/>
        </w:numPr>
        <w:tabs>
          <w:tab w:pos="1964" w:val="left" w:leader="none"/>
          <w:tab w:pos="1965" w:val="left" w:leader="none"/>
        </w:tabs>
        <w:spacing w:line="240" w:lineRule="auto" w:before="0" w:after="0"/>
        <w:ind w:left="1964" w:right="0" w:hanging="681"/>
        <w:jc w:val="left"/>
      </w:pPr>
      <w:r>
        <w:rPr>
          <w:spacing w:val="3"/>
          <w:w w:val="110"/>
        </w:rPr>
        <w:t>Criteria for making</w:t>
      </w:r>
      <w:r>
        <w:rPr>
          <w:spacing w:val="32"/>
          <w:w w:val="110"/>
        </w:rPr>
        <w:t> </w:t>
      </w:r>
      <w:r>
        <w:rPr>
          <w:spacing w:val="4"/>
          <w:w w:val="110"/>
        </w:rPr>
        <w:t>decisions</w:t>
      </w:r>
    </w:p>
    <w:p>
      <w:pPr>
        <w:pStyle w:val="ListParagraph"/>
        <w:numPr>
          <w:ilvl w:val="1"/>
          <w:numId w:val="43"/>
        </w:numPr>
        <w:tabs>
          <w:tab w:pos="1964" w:val="left" w:leader="none"/>
          <w:tab w:pos="1965" w:val="left" w:leader="none"/>
        </w:tabs>
        <w:spacing w:line="235" w:lineRule="auto" w:before="69" w:after="0"/>
        <w:ind w:left="1284" w:right="1336" w:firstLine="0"/>
        <w:jc w:val="left"/>
        <w:rPr>
          <w:sz w:val="20"/>
        </w:rPr>
      </w:pPr>
      <w:r>
        <w:rPr>
          <w:w w:val="120"/>
          <w:sz w:val="20"/>
        </w:rPr>
        <w:t>The task group believe that the URC should make decisions on the basis of good theology, good governance, and good</w:t>
      </w:r>
      <w:r>
        <w:rPr>
          <w:spacing w:val="17"/>
          <w:w w:val="120"/>
          <w:sz w:val="20"/>
        </w:rPr>
        <w:t> </w:t>
      </w:r>
      <w:r>
        <w:rPr>
          <w:w w:val="120"/>
          <w:sz w:val="20"/>
        </w:rPr>
        <w:t>strategy.</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512" w:firstLine="0"/>
        <w:jc w:val="left"/>
        <w:rPr>
          <w:sz w:val="20"/>
        </w:rPr>
      </w:pPr>
      <w:r>
        <w:rPr>
          <w:w w:val="120"/>
          <w:sz w:val="20"/>
        </w:rPr>
        <w:t>However, we are aware that funds are limited, and so decisions the Church makes based upon the grounds in paragraph </w:t>
      </w:r>
      <w:r>
        <w:rPr>
          <w:spacing w:val="-6"/>
          <w:w w:val="120"/>
          <w:sz w:val="20"/>
        </w:rPr>
        <w:t>8.1 </w:t>
      </w:r>
      <w:r>
        <w:rPr>
          <w:w w:val="120"/>
          <w:sz w:val="20"/>
        </w:rPr>
        <w:t>have to be affordable and workable. Because of this we have sought to make recommendations broadly in line with the current</w:t>
      </w:r>
      <w:r>
        <w:rPr>
          <w:spacing w:val="2"/>
          <w:w w:val="120"/>
          <w:sz w:val="20"/>
        </w:rPr>
        <w:t> </w:t>
      </w:r>
      <w:r>
        <w:rPr>
          <w:w w:val="120"/>
          <w:sz w:val="20"/>
        </w:rPr>
        <w:t>budget.</w:t>
      </w:r>
    </w:p>
    <w:p>
      <w:pPr>
        <w:spacing w:after="0" w:line="235" w:lineRule="auto"/>
        <w:jc w:val="left"/>
        <w:rPr>
          <w:sz w:val="20"/>
        </w:rPr>
        <w:sectPr>
          <w:headerReference w:type="default" r:id="rId179"/>
          <w:footerReference w:type="default" r:id="rId180"/>
          <w:footerReference w:type="even" r:id="rId181"/>
          <w:pgSz w:w="11910" w:h="16840"/>
          <w:pgMar w:header="0" w:footer="647" w:top="0" w:bottom="840" w:left="700" w:right="0"/>
          <w:pgNumType w:start="57"/>
        </w:sectPr>
      </w:pPr>
    </w:p>
    <w:p>
      <w:pPr>
        <w:pStyle w:val="BodyText"/>
      </w:pPr>
    </w:p>
    <w:p>
      <w:pPr>
        <w:pStyle w:val="BodyText"/>
        <w:spacing w:before="5"/>
        <w:rPr>
          <w:sz w:val="21"/>
        </w:rPr>
      </w:pPr>
    </w:p>
    <w:p>
      <w:pPr>
        <w:spacing w:after="0"/>
        <w:rPr>
          <w:sz w:val="21"/>
        </w:rPr>
        <w:sectPr>
          <w:headerReference w:type="even" r:id="rId182"/>
          <w:pgSz w:w="11910" w:h="16840"/>
          <w:pgMar w:header="0" w:footer="647" w:top="0" w:bottom="840" w:left="700" w:right="0"/>
        </w:sectPr>
      </w:pPr>
    </w:p>
    <w:p>
      <w:pPr>
        <w:pStyle w:val="Heading5"/>
        <w:ind w:left="547"/>
      </w:pPr>
      <w:r>
        <w:rPr>
          <w:color w:val="7EAABF"/>
          <w:w w:val="120"/>
        </w:rPr>
        <w:t>Mission </w:t>
      </w:r>
      <w:r>
        <w:rPr>
          <w:color w:val="7EAABF"/>
          <w:spacing w:val="-3"/>
          <w:w w:val="120"/>
        </w:rPr>
        <w:t>Council</w:t>
      </w:r>
    </w:p>
    <w:p>
      <w:pPr>
        <w:pStyle w:val="BodyText"/>
        <w:spacing w:before="6"/>
        <w:rPr>
          <w:sz w:val="52"/>
        </w:rPr>
      </w:pPr>
      <w:r>
        <w:rPr/>
        <w:br w:type="column"/>
      </w:r>
      <w:r>
        <w:rPr>
          <w:sz w:val="52"/>
        </w:rPr>
      </w:r>
    </w:p>
    <w:p>
      <w:pPr>
        <w:spacing w:before="0"/>
        <w:ind w:left="90" w:right="0" w:firstLine="0"/>
        <w:jc w:val="left"/>
        <w:rPr>
          <w:rFonts w:ascii="Stone Sans II ITC Std Bk"/>
          <w:b/>
          <w:sz w:val="29"/>
        </w:rPr>
      </w:pPr>
      <w:r>
        <w:rPr>
          <w:rFonts w:ascii="Stone Sans II ITC Std Bk"/>
          <w:b/>
          <w:w w:val="110"/>
          <w:sz w:val="29"/>
        </w:rPr>
        <w:t>Part two: recommendations</w:t>
      </w:r>
    </w:p>
    <w:p>
      <w:pPr>
        <w:spacing w:after="0"/>
        <w:jc w:val="left"/>
        <w:rPr>
          <w:rFonts w:ascii="Stone Sans II ITC Std Bk"/>
          <w:sz w:val="29"/>
        </w:rPr>
        <w:sectPr>
          <w:type w:val="continuous"/>
          <w:pgSz w:w="11910" w:h="16840"/>
          <w:pgMar w:top="1580" w:bottom="280" w:left="700" w:right="0"/>
          <w:cols w:num="2" w:equalWidth="0">
            <w:col w:w="2525" w:space="40"/>
            <w:col w:w="8645"/>
          </w:cols>
        </w:sectPr>
      </w:pPr>
    </w:p>
    <w:p>
      <w:pPr>
        <w:pStyle w:val="ListParagraph"/>
        <w:numPr>
          <w:ilvl w:val="0"/>
          <w:numId w:val="43"/>
        </w:numPr>
        <w:tabs>
          <w:tab w:pos="1227" w:val="left" w:leader="none"/>
          <w:tab w:pos="1228" w:val="left" w:leader="none"/>
        </w:tabs>
        <w:spacing w:line="240" w:lineRule="auto" w:before="98" w:after="0"/>
        <w:ind w:left="1227" w:right="0" w:hanging="681"/>
        <w:jc w:val="left"/>
        <w:rPr>
          <w:rFonts w:ascii="Stone Sans II ITC Std Bk"/>
          <w:b/>
          <w:sz w:val="29"/>
        </w:rPr>
      </w:pPr>
      <w:r>
        <w:rPr/>
        <w:drawing>
          <wp:anchor distT="0" distB="0" distL="0" distR="0" allowOverlap="1" layoutInCell="1" locked="0" behindDoc="1" simplePos="0" relativeHeight="235848704">
            <wp:simplePos x="0" y="0"/>
            <wp:positionH relativeFrom="page">
              <wp:posOffset>0</wp:posOffset>
            </wp:positionH>
            <wp:positionV relativeFrom="page">
              <wp:posOffset>0</wp:posOffset>
            </wp:positionV>
            <wp:extent cx="594067" cy="10692003"/>
            <wp:effectExtent l="0" t="0" r="0" b="0"/>
            <wp:wrapNone/>
            <wp:docPr id="105" name="image49.png"/>
            <wp:cNvGraphicFramePr>
              <a:graphicFrameLocks noChangeAspect="1"/>
            </wp:cNvGraphicFramePr>
            <a:graphic>
              <a:graphicData uri="http://schemas.openxmlformats.org/drawingml/2006/picture">
                <pic:pic>
                  <pic:nvPicPr>
                    <pic:cNvPr id="106"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66752"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rFonts w:ascii="Stone Sans II ITC Std Bk"/>
          <w:b/>
          <w:spacing w:val="4"/>
          <w:w w:val="110"/>
          <w:sz w:val="29"/>
        </w:rPr>
        <w:t>General</w:t>
      </w:r>
      <w:r>
        <w:rPr>
          <w:rFonts w:ascii="Stone Sans II ITC Std Bk"/>
          <w:b/>
          <w:spacing w:val="12"/>
          <w:w w:val="110"/>
          <w:sz w:val="29"/>
        </w:rPr>
        <w:t> </w:t>
      </w:r>
      <w:r>
        <w:rPr>
          <w:rFonts w:ascii="Stone Sans II ITC Std Bk"/>
          <w:b/>
          <w:spacing w:val="3"/>
          <w:w w:val="110"/>
          <w:sz w:val="29"/>
        </w:rPr>
        <w:t>recommendations</w:t>
      </w:r>
    </w:p>
    <w:p>
      <w:pPr>
        <w:pStyle w:val="BodyText"/>
        <w:spacing w:line="235" w:lineRule="auto" w:before="69"/>
        <w:ind w:left="547" w:right="2269"/>
      </w:pPr>
      <w:r>
        <w:rPr>
          <w:w w:val="120"/>
        </w:rPr>
        <w:t>Having consulted extensively, the task group proposes a number of general recommendations, which we wish to make regardless of decisions to be made about the size and frequency:</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1992" w:firstLine="0"/>
        <w:jc w:val="left"/>
        <w:rPr>
          <w:sz w:val="20"/>
        </w:rPr>
      </w:pPr>
      <w:r>
        <w:rPr>
          <w:w w:val="120"/>
          <w:sz w:val="20"/>
        </w:rPr>
        <w:t>Time of year: the General Assembly should continue to meet in late June or early </w:t>
      </w:r>
      <w:r>
        <w:rPr>
          <w:spacing w:val="-3"/>
          <w:w w:val="120"/>
          <w:sz w:val="20"/>
        </w:rPr>
        <w:t>July, </w:t>
      </w:r>
      <w:r>
        <w:rPr>
          <w:w w:val="120"/>
          <w:sz w:val="20"/>
        </w:rPr>
        <w:t>preferably not clashing with the Methodist Conference, the Church of England General Synod, or the Presbyterian Church of Wales General Assembly. No evidence has been found to suggest that a different time of year would bring any practical, financial, theological, or governance</w:t>
      </w:r>
      <w:r>
        <w:rPr>
          <w:spacing w:val="8"/>
          <w:w w:val="120"/>
          <w:sz w:val="20"/>
        </w:rPr>
        <w:t> </w:t>
      </w:r>
      <w:r>
        <w:rPr>
          <w:w w:val="120"/>
          <w:sz w:val="20"/>
        </w:rPr>
        <w:t>advantages.</w:t>
      </w:r>
    </w:p>
    <w:p>
      <w:pPr>
        <w:pStyle w:val="BodyText"/>
        <w:spacing w:before="12"/>
        <w:rPr>
          <w:sz w:val="19"/>
        </w:rPr>
      </w:pPr>
    </w:p>
    <w:p>
      <w:pPr>
        <w:pStyle w:val="ListParagraph"/>
        <w:numPr>
          <w:ilvl w:val="1"/>
          <w:numId w:val="43"/>
        </w:numPr>
        <w:tabs>
          <w:tab w:pos="1227" w:val="left" w:leader="none"/>
          <w:tab w:pos="1228" w:val="left" w:leader="none"/>
        </w:tabs>
        <w:spacing w:line="235" w:lineRule="auto" w:before="0" w:after="0"/>
        <w:ind w:left="547" w:right="2091" w:firstLine="0"/>
        <w:jc w:val="left"/>
        <w:rPr>
          <w:sz w:val="20"/>
        </w:rPr>
      </w:pPr>
      <w:r>
        <w:rPr>
          <w:w w:val="120"/>
          <w:sz w:val="20"/>
        </w:rPr>
        <w:t>Meeting at tables can be helpful, but a preference for tables should not rule out an otherwise suitable and affordable venue. The task group also notes that a significant number of suitably sized breakout rooms can enable the small group conversation aspect of Consensus decision making at least as well as meeting around tables. Indeed, this can be more effective because it allows those with impaired hearing to participate without background noise and allows people to move closer than the width of a large circular table </w:t>
      </w:r>
      <w:r>
        <w:rPr>
          <w:spacing w:val="-3"/>
          <w:w w:val="120"/>
          <w:sz w:val="20"/>
        </w:rPr>
        <w:t>(which </w:t>
      </w:r>
      <w:r>
        <w:rPr>
          <w:w w:val="120"/>
          <w:sz w:val="20"/>
        </w:rPr>
        <w:t>is what venues often provide, despite assurances to the</w:t>
      </w:r>
      <w:r>
        <w:rPr>
          <w:spacing w:val="40"/>
          <w:w w:val="120"/>
          <w:sz w:val="20"/>
        </w:rPr>
        <w:t> </w:t>
      </w:r>
      <w:r>
        <w:rPr>
          <w:w w:val="120"/>
          <w:sz w:val="20"/>
        </w:rPr>
        <w:t>contrary).</w:t>
      </w:r>
    </w:p>
    <w:p>
      <w:pPr>
        <w:pStyle w:val="BodyText"/>
        <w:spacing w:before="1"/>
      </w:pPr>
    </w:p>
    <w:p>
      <w:pPr>
        <w:pStyle w:val="ListParagraph"/>
        <w:numPr>
          <w:ilvl w:val="1"/>
          <w:numId w:val="43"/>
        </w:numPr>
        <w:tabs>
          <w:tab w:pos="1227" w:val="left" w:leader="none"/>
          <w:tab w:pos="1228" w:val="left" w:leader="none"/>
        </w:tabs>
        <w:spacing w:line="235" w:lineRule="auto" w:before="0" w:after="0"/>
        <w:ind w:left="547" w:right="2168" w:firstLine="0"/>
        <w:jc w:val="left"/>
        <w:rPr>
          <w:sz w:val="20"/>
        </w:rPr>
      </w:pPr>
      <w:r>
        <w:rPr>
          <w:w w:val="120"/>
          <w:sz w:val="20"/>
        </w:rPr>
        <w:t>Whatever the number of synod representatives is, that number should be divided equally among the synods, and unfilled places (apart from youth </w:t>
      </w:r>
      <w:r>
        <w:rPr>
          <w:spacing w:val="-4"/>
          <w:w w:val="120"/>
          <w:sz w:val="20"/>
        </w:rPr>
        <w:t>reps) </w:t>
      </w:r>
      <w:r>
        <w:rPr>
          <w:w w:val="120"/>
          <w:sz w:val="20"/>
        </w:rPr>
        <w:t>may   not be transferred. Smaller synods have found it difficult to ensure fair representation from the breadth (theological, ecclesiological, demographic  and  geographical)  of their synods on the current formula, while some larger synods have difficulty filling  the places allocated to them. The task group observed that no one thought an equal division of places among the synods at Mission Council, despite widely differing sizes  of synods, was unfair. Therefore, the task group proposes that it would be simpler and fairer to divide the places at General Assembly equally among the</w:t>
      </w:r>
      <w:r>
        <w:rPr>
          <w:spacing w:val="34"/>
          <w:w w:val="120"/>
          <w:sz w:val="20"/>
        </w:rPr>
        <w:t> </w:t>
      </w:r>
      <w:r>
        <w:rPr>
          <w:w w:val="120"/>
          <w:sz w:val="20"/>
        </w:rPr>
        <w:t>synods.</w:t>
      </w:r>
    </w:p>
    <w:p>
      <w:pPr>
        <w:pStyle w:val="BodyText"/>
        <w:spacing w:before="2"/>
      </w:pPr>
    </w:p>
    <w:p>
      <w:pPr>
        <w:pStyle w:val="ListParagraph"/>
        <w:numPr>
          <w:ilvl w:val="1"/>
          <w:numId w:val="43"/>
        </w:numPr>
        <w:tabs>
          <w:tab w:pos="1227" w:val="left" w:leader="none"/>
          <w:tab w:pos="1228" w:val="left" w:leader="none"/>
        </w:tabs>
        <w:spacing w:line="235" w:lineRule="auto" w:before="0" w:after="0"/>
        <w:ind w:left="547" w:right="2312" w:firstLine="0"/>
        <w:jc w:val="left"/>
        <w:rPr>
          <w:sz w:val="20"/>
        </w:rPr>
      </w:pPr>
      <w:r>
        <w:rPr>
          <w:w w:val="120"/>
          <w:sz w:val="20"/>
        </w:rPr>
        <w:t>Rather than a strict 50:50 division between Ministers of Word and Sacraments and</w:t>
      </w:r>
      <w:r>
        <w:rPr>
          <w:spacing w:val="5"/>
          <w:w w:val="120"/>
          <w:sz w:val="20"/>
        </w:rPr>
        <w:t> </w:t>
      </w:r>
      <w:r>
        <w:rPr>
          <w:w w:val="120"/>
          <w:sz w:val="20"/>
        </w:rPr>
        <w:t>CRCWs</w:t>
      </w:r>
      <w:r>
        <w:rPr>
          <w:spacing w:val="6"/>
          <w:w w:val="120"/>
          <w:sz w:val="20"/>
        </w:rPr>
        <w:t> </w:t>
      </w:r>
      <w:r>
        <w:rPr>
          <w:w w:val="120"/>
          <w:sz w:val="20"/>
        </w:rPr>
        <w:t>on</w:t>
      </w:r>
      <w:r>
        <w:rPr>
          <w:spacing w:val="6"/>
          <w:w w:val="120"/>
          <w:sz w:val="20"/>
        </w:rPr>
        <w:t> </w:t>
      </w:r>
      <w:r>
        <w:rPr>
          <w:w w:val="120"/>
          <w:sz w:val="20"/>
        </w:rPr>
        <w:t>the</w:t>
      </w:r>
      <w:r>
        <w:rPr>
          <w:spacing w:val="6"/>
          <w:w w:val="120"/>
          <w:sz w:val="20"/>
        </w:rPr>
        <w:t> </w:t>
      </w:r>
      <w:r>
        <w:rPr>
          <w:w w:val="120"/>
          <w:sz w:val="20"/>
        </w:rPr>
        <w:t>one</w:t>
      </w:r>
      <w:r>
        <w:rPr>
          <w:spacing w:val="6"/>
          <w:w w:val="120"/>
          <w:sz w:val="20"/>
        </w:rPr>
        <w:t> </w:t>
      </w:r>
      <w:r>
        <w:rPr>
          <w:w w:val="120"/>
          <w:sz w:val="20"/>
        </w:rPr>
        <w:t>hand,</w:t>
      </w:r>
      <w:r>
        <w:rPr>
          <w:spacing w:val="6"/>
          <w:w w:val="120"/>
          <w:sz w:val="20"/>
        </w:rPr>
        <w:t> </w:t>
      </w:r>
      <w:r>
        <w:rPr>
          <w:w w:val="120"/>
          <w:sz w:val="20"/>
        </w:rPr>
        <w:t>and</w:t>
      </w:r>
      <w:r>
        <w:rPr>
          <w:spacing w:val="6"/>
          <w:w w:val="120"/>
          <w:sz w:val="20"/>
        </w:rPr>
        <w:t> </w:t>
      </w:r>
      <w:r>
        <w:rPr>
          <w:w w:val="120"/>
          <w:sz w:val="20"/>
        </w:rPr>
        <w:t>‘lay’</w:t>
      </w:r>
      <w:r>
        <w:rPr>
          <w:spacing w:val="6"/>
          <w:w w:val="120"/>
          <w:sz w:val="20"/>
        </w:rPr>
        <w:t> </w:t>
      </w:r>
      <w:r>
        <w:rPr>
          <w:w w:val="120"/>
          <w:sz w:val="20"/>
        </w:rPr>
        <w:t>members</w:t>
      </w:r>
      <w:r>
        <w:rPr>
          <w:spacing w:val="5"/>
          <w:w w:val="120"/>
          <w:sz w:val="20"/>
        </w:rPr>
        <w:t> </w:t>
      </w:r>
      <w:r>
        <w:rPr>
          <w:w w:val="120"/>
          <w:sz w:val="20"/>
        </w:rPr>
        <w:t>on</w:t>
      </w:r>
      <w:r>
        <w:rPr>
          <w:spacing w:val="6"/>
          <w:w w:val="120"/>
          <w:sz w:val="20"/>
        </w:rPr>
        <w:t> </w:t>
      </w:r>
      <w:r>
        <w:rPr>
          <w:w w:val="120"/>
          <w:sz w:val="20"/>
        </w:rPr>
        <w:t>the</w:t>
      </w:r>
      <w:r>
        <w:rPr>
          <w:spacing w:val="6"/>
          <w:w w:val="120"/>
          <w:sz w:val="20"/>
        </w:rPr>
        <w:t> </w:t>
      </w:r>
      <w:r>
        <w:rPr>
          <w:spacing w:val="-3"/>
          <w:w w:val="120"/>
          <w:sz w:val="20"/>
        </w:rPr>
        <w:t>other,</w:t>
      </w:r>
      <w:r>
        <w:rPr>
          <w:spacing w:val="6"/>
          <w:w w:val="120"/>
          <w:sz w:val="20"/>
        </w:rPr>
        <w:t> </w:t>
      </w:r>
      <w:r>
        <w:rPr>
          <w:w w:val="120"/>
          <w:sz w:val="20"/>
        </w:rPr>
        <w:t>we</w:t>
      </w:r>
      <w:r>
        <w:rPr>
          <w:spacing w:val="6"/>
          <w:w w:val="120"/>
          <w:sz w:val="20"/>
        </w:rPr>
        <w:t> </w:t>
      </w:r>
      <w:r>
        <w:rPr>
          <w:w w:val="120"/>
          <w:sz w:val="20"/>
        </w:rPr>
        <w:t>recommend</w:t>
      </w:r>
      <w:r>
        <w:rPr>
          <w:spacing w:val="6"/>
          <w:w w:val="120"/>
          <w:sz w:val="20"/>
        </w:rPr>
        <w:t> </w:t>
      </w:r>
      <w:r>
        <w:rPr>
          <w:w w:val="120"/>
          <w:sz w:val="20"/>
        </w:rPr>
        <w:t>that</w:t>
      </w:r>
    </w:p>
    <w:p>
      <w:pPr>
        <w:pStyle w:val="BodyText"/>
        <w:spacing w:line="235" w:lineRule="auto" w:before="1"/>
        <w:ind w:left="547" w:right="2112"/>
      </w:pPr>
      <w:r>
        <w:rPr>
          <w:w w:val="120"/>
        </w:rPr>
        <w:t>a measure of flexibility be introduced, while retaining enough provision to prevent either group dominating. Therefore, we propose that at least one third of each synod’s reps should be ‘lay’, and at least one third ‘ministers’, with the remaining third open</w:t>
      </w:r>
    </w:p>
    <w:p>
      <w:pPr>
        <w:pStyle w:val="BodyText"/>
        <w:spacing w:line="235" w:lineRule="auto" w:before="3"/>
        <w:ind w:left="547" w:right="2004"/>
      </w:pPr>
      <w:r>
        <w:rPr>
          <w:w w:val="120"/>
        </w:rPr>
        <w:t>to either category. Equality of representation between ministerial and ‘lay’ has always been an important ecclesiological belief in the URC. The task group, </w:t>
      </w:r>
      <w:r>
        <w:rPr>
          <w:spacing w:val="-3"/>
          <w:w w:val="120"/>
        </w:rPr>
        <w:t>however, </w:t>
      </w:r>
      <w:r>
        <w:rPr>
          <w:w w:val="120"/>
        </w:rPr>
        <w:t>notes   that an exact division may not take into account the </w:t>
      </w:r>
      <w:r>
        <w:rPr>
          <w:spacing w:val="2"/>
          <w:w w:val="120"/>
        </w:rPr>
        <w:t>fact </w:t>
      </w:r>
      <w:r>
        <w:rPr>
          <w:w w:val="120"/>
        </w:rPr>
        <w:t>that some synods now have very few ministers. Nor does it take into account that a number of local churches are led by various forms of ‘lay’ leaders. The task group propose that the most helpful way to address this situation is to introduce a measure of flexibility, while retaining safeguards for both ministerial and ‘lay’</w:t>
      </w:r>
      <w:r>
        <w:rPr>
          <w:spacing w:val="8"/>
          <w:w w:val="120"/>
        </w:rPr>
        <w:t> </w:t>
      </w:r>
      <w:r>
        <w:rPr>
          <w:w w:val="120"/>
        </w:rPr>
        <w:t>representation.</w:t>
      </w:r>
    </w:p>
    <w:p>
      <w:pPr>
        <w:pStyle w:val="BodyText"/>
      </w:pPr>
    </w:p>
    <w:p>
      <w:pPr>
        <w:pStyle w:val="ListParagraph"/>
        <w:numPr>
          <w:ilvl w:val="1"/>
          <w:numId w:val="43"/>
        </w:numPr>
        <w:tabs>
          <w:tab w:pos="1227" w:val="left" w:leader="none"/>
          <w:tab w:pos="1228" w:val="left" w:leader="none"/>
        </w:tabs>
        <w:spacing w:line="235" w:lineRule="auto" w:before="0" w:after="0"/>
        <w:ind w:left="547" w:right="2199" w:firstLine="0"/>
        <w:jc w:val="left"/>
        <w:rPr>
          <w:sz w:val="20"/>
        </w:rPr>
      </w:pPr>
      <w:r>
        <w:rPr>
          <w:w w:val="120"/>
          <w:sz w:val="20"/>
        </w:rPr>
        <w:t>The task group propose that synod moderators should be included within the number of each synod’s reps, rather than as a separate category. While the task group expect that most synods will wish their Moderator to represent them, this also adds a measure of flexibility because a synod whose Moderator was on sabbatical or close to retirement or on long term sick leave, for instance, might decide that this place was better used by another</w:t>
      </w:r>
      <w:r>
        <w:rPr>
          <w:spacing w:val="7"/>
          <w:w w:val="120"/>
          <w:sz w:val="20"/>
        </w:rPr>
        <w:t> </w:t>
      </w:r>
      <w:r>
        <w:rPr>
          <w:w w:val="120"/>
          <w:sz w:val="20"/>
        </w:rPr>
        <w:t>representative.</w:t>
      </w:r>
    </w:p>
    <w:p>
      <w:pPr>
        <w:pStyle w:val="BodyText"/>
      </w:pPr>
    </w:p>
    <w:p>
      <w:pPr>
        <w:pStyle w:val="ListParagraph"/>
        <w:numPr>
          <w:ilvl w:val="1"/>
          <w:numId w:val="43"/>
        </w:numPr>
        <w:tabs>
          <w:tab w:pos="1227" w:val="left" w:leader="none"/>
          <w:tab w:pos="1228" w:val="left" w:leader="none"/>
        </w:tabs>
        <w:spacing w:line="235" w:lineRule="auto" w:before="1" w:after="0"/>
        <w:ind w:left="547" w:right="2228" w:firstLine="0"/>
        <w:jc w:val="left"/>
        <w:rPr>
          <w:sz w:val="20"/>
        </w:rPr>
      </w:pPr>
      <w:r>
        <w:rPr>
          <w:w w:val="120"/>
          <w:sz w:val="20"/>
        </w:rPr>
        <w:t>The survey made it clear that the only way of paying for Assembly that will be acceptable to the Church is from the ministry and mission fund. Expecting payment from individuals or from synods would not find support. However, the task group recommend that those attending Assembly should be given a fuller explanation of its costs and a clearer invitation to donate than we presently offer. This possibility should be mentioned on the expenses</w:t>
      </w:r>
      <w:r>
        <w:rPr>
          <w:spacing w:val="10"/>
          <w:w w:val="120"/>
          <w:sz w:val="20"/>
        </w:rPr>
        <w:t> </w:t>
      </w:r>
      <w:r>
        <w:rPr>
          <w:w w:val="120"/>
          <w:sz w:val="20"/>
        </w:rPr>
        <w:t>form.</w:t>
      </w:r>
    </w:p>
    <w:p>
      <w:pPr>
        <w:spacing w:after="0" w:line="235" w:lineRule="auto"/>
        <w:jc w:val="left"/>
        <w:rPr>
          <w:sz w:val="20"/>
        </w:rPr>
        <w:sectPr>
          <w:type w:val="continuous"/>
          <w:pgSz w:w="11910" w:h="16840"/>
          <w:pgMar w:top="1580" w:bottom="280" w:left="700" w:right="0"/>
        </w:sectPr>
      </w:pPr>
    </w:p>
    <w:p>
      <w:pPr>
        <w:pStyle w:val="BodyText"/>
      </w:pPr>
      <w:r>
        <w:rPr/>
        <w:drawing>
          <wp:anchor distT="0" distB="0" distL="0" distR="0" allowOverlap="1" layoutInCell="1" locked="0" behindDoc="0" simplePos="0" relativeHeight="251817984">
            <wp:simplePos x="0" y="0"/>
            <wp:positionH relativeFrom="page">
              <wp:posOffset>6974928</wp:posOffset>
            </wp:positionH>
            <wp:positionV relativeFrom="page">
              <wp:posOffset>0</wp:posOffset>
            </wp:positionV>
            <wp:extent cx="585076" cy="10692003"/>
            <wp:effectExtent l="0" t="0" r="0" b="0"/>
            <wp:wrapNone/>
            <wp:docPr id="107" name="image50.png"/>
            <wp:cNvGraphicFramePr>
              <a:graphicFrameLocks noChangeAspect="1"/>
            </wp:cNvGraphicFramePr>
            <a:graphic>
              <a:graphicData uri="http://schemas.openxmlformats.org/drawingml/2006/picture">
                <pic:pic>
                  <pic:nvPicPr>
                    <pic:cNvPr id="108"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02.2pt;mso-position-horizontal-relative:page;mso-position-vertical-relative:paragraph;z-index:251819008"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color w:val="7EAABF"/>
          <w:w w:val="120"/>
        </w:rPr>
        <w:t>Mission Council</w:t>
      </w:r>
    </w:p>
    <w:p>
      <w:pPr>
        <w:pStyle w:val="ListParagraph"/>
        <w:numPr>
          <w:ilvl w:val="1"/>
          <w:numId w:val="43"/>
        </w:numPr>
        <w:tabs>
          <w:tab w:pos="1964" w:val="left" w:leader="none"/>
          <w:tab w:pos="1965" w:val="left" w:leader="none"/>
        </w:tabs>
        <w:spacing w:line="235" w:lineRule="auto" w:before="222" w:after="0"/>
        <w:ind w:left="1284" w:right="1340" w:firstLine="0"/>
        <w:jc w:val="left"/>
        <w:rPr>
          <w:sz w:val="20"/>
        </w:rPr>
      </w:pPr>
      <w:r>
        <w:rPr>
          <w:w w:val="120"/>
          <w:sz w:val="20"/>
        </w:rPr>
        <w:t>The results of the </w:t>
      </w:r>
      <w:r>
        <w:rPr>
          <w:spacing w:val="-9"/>
          <w:w w:val="120"/>
          <w:sz w:val="20"/>
        </w:rPr>
        <w:t>2017 </w:t>
      </w:r>
      <w:r>
        <w:rPr>
          <w:w w:val="120"/>
          <w:sz w:val="20"/>
        </w:rPr>
        <w:t>survey showed clear enthusiasm for wide participation, within the context of a strongly held view that General Assembly is first and foremost a business meeting. In our tradition a business meeting is always held within the context of worship. The task group also notes that General Assembly being primarily a business meeting does not preclude there being other events and activities, but business is the primary</w:t>
      </w:r>
      <w:r>
        <w:rPr>
          <w:spacing w:val="2"/>
          <w:w w:val="120"/>
          <w:sz w:val="20"/>
        </w:rPr>
        <w:t> </w:t>
      </w:r>
      <w:r>
        <w:rPr>
          <w:w w:val="120"/>
          <w:sz w:val="20"/>
        </w:rPr>
        <w:t>purpose.</w:t>
      </w:r>
    </w:p>
    <w:p>
      <w:pPr>
        <w:pStyle w:val="BodyText"/>
      </w:pPr>
    </w:p>
    <w:p>
      <w:pPr>
        <w:pStyle w:val="ListParagraph"/>
        <w:numPr>
          <w:ilvl w:val="1"/>
          <w:numId w:val="43"/>
        </w:numPr>
        <w:tabs>
          <w:tab w:pos="1964" w:val="left" w:leader="none"/>
          <w:tab w:pos="1965" w:val="left" w:leader="none"/>
        </w:tabs>
        <w:spacing w:line="235" w:lineRule="auto" w:before="0" w:after="0"/>
        <w:ind w:left="1284" w:right="1272" w:firstLine="0"/>
        <w:jc w:val="left"/>
        <w:rPr>
          <w:sz w:val="20"/>
        </w:rPr>
      </w:pPr>
      <w:r>
        <w:rPr>
          <w:w w:val="120"/>
          <w:sz w:val="20"/>
        </w:rPr>
        <w:t>The task group noted from past accounts that some General Assembly Moderators had not been given guidance on discretionary spending, and recommend that the current practice that Moderators should be guided that discretionary spending is limited, and budget figures must be adhered </w:t>
      </w:r>
      <w:r>
        <w:rPr>
          <w:spacing w:val="-3"/>
          <w:w w:val="120"/>
          <w:sz w:val="20"/>
        </w:rPr>
        <w:t>to, </w:t>
      </w:r>
      <w:r>
        <w:rPr>
          <w:w w:val="120"/>
          <w:sz w:val="20"/>
        </w:rPr>
        <w:t>is</w:t>
      </w:r>
      <w:r>
        <w:rPr>
          <w:spacing w:val="34"/>
          <w:w w:val="120"/>
          <w:sz w:val="20"/>
        </w:rPr>
        <w:t> </w:t>
      </w:r>
      <w:r>
        <w:rPr>
          <w:w w:val="120"/>
          <w:sz w:val="20"/>
        </w:rPr>
        <w:t>maintained.</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1" w:after="0"/>
        <w:ind w:left="1284" w:right="1458" w:firstLine="0"/>
        <w:jc w:val="left"/>
        <w:rPr>
          <w:sz w:val="20"/>
        </w:rPr>
      </w:pPr>
      <w:r>
        <w:rPr>
          <w:w w:val="120"/>
          <w:sz w:val="20"/>
        </w:rPr>
        <w:t>The task group noted that many people now use electronic devices as their primary means of receiving documents, and prefer this to paper copies. Therefore,  the task group recommend that, as a default, papers will be supplied electronically. The requirements form will allow people to opt into receiving paper copies, as well or instead, at the expense of the Assembly, if they</w:t>
      </w:r>
      <w:r>
        <w:rPr>
          <w:spacing w:val="13"/>
          <w:w w:val="120"/>
          <w:sz w:val="20"/>
        </w:rPr>
        <w:t> </w:t>
      </w:r>
      <w:r>
        <w:rPr>
          <w:w w:val="120"/>
          <w:sz w:val="20"/>
        </w:rPr>
        <w:t>wish.</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461" w:firstLine="0"/>
        <w:jc w:val="left"/>
        <w:rPr>
          <w:sz w:val="20"/>
        </w:rPr>
      </w:pPr>
      <w:r>
        <w:rPr>
          <w:w w:val="120"/>
          <w:sz w:val="20"/>
        </w:rPr>
        <w:t>Evidence from several Moderators of General Assembly, serving and former, showed a widespread desire among Moderators that they chair the General Assembly at the end of their term of office, when they had built up practice in chairing Mission Council and gained a greater familiarity with the business of the Assembly. The task group also noted that the Presbyterian Church of Wales successfully followed this practice. The task group therefore recommend that Moderators should be inducted   at the end of the General Assembly at which they take up office, rather than the beginning, and then chair the meeting at the end of their term of office. Were</w:t>
      </w:r>
      <w:r>
        <w:rPr>
          <w:spacing w:val="34"/>
          <w:w w:val="120"/>
          <w:sz w:val="20"/>
        </w:rPr>
        <w:t> </w:t>
      </w:r>
      <w:r>
        <w:rPr>
          <w:w w:val="120"/>
          <w:sz w:val="20"/>
        </w:rPr>
        <w:t>this</w:t>
      </w:r>
    </w:p>
    <w:p>
      <w:pPr>
        <w:pStyle w:val="BodyText"/>
        <w:spacing w:line="235" w:lineRule="auto" w:before="6"/>
        <w:ind w:left="1284" w:right="1283"/>
      </w:pPr>
      <w:r>
        <w:rPr>
          <w:w w:val="120"/>
        </w:rPr>
        <w:t>proposal adopted, then on a one-off basis the Moderators of the 2018 Assembly, Derek Estill and Nigel Uden, would also chair the 2020 Assembly, and their successors would chair the Assembly at the end of their term of office.</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552" w:firstLine="0"/>
        <w:jc w:val="left"/>
        <w:rPr>
          <w:sz w:val="20"/>
        </w:rPr>
      </w:pPr>
      <w:r>
        <w:rPr>
          <w:w w:val="120"/>
          <w:sz w:val="20"/>
        </w:rPr>
        <w:t>Experience at Assembly is that some members speak more than others, and  by the end of a three-day meeting some faces and voices have become very familiar indeed at the microphone. This was a matter we saw a very strong response to in the survey: a significant majority of the </w:t>
      </w:r>
      <w:r>
        <w:rPr>
          <w:spacing w:val="-6"/>
          <w:w w:val="120"/>
          <w:sz w:val="20"/>
        </w:rPr>
        <w:t>547</w:t>
      </w:r>
      <w:r>
        <w:rPr>
          <w:spacing w:val="15"/>
          <w:w w:val="120"/>
          <w:sz w:val="20"/>
        </w:rPr>
        <w:t> </w:t>
      </w:r>
      <w:r>
        <w:rPr>
          <w:w w:val="120"/>
          <w:sz w:val="20"/>
        </w:rPr>
        <w:t>respondents respectfully suggested that this</w:t>
      </w:r>
    </w:p>
    <w:p>
      <w:pPr>
        <w:pStyle w:val="BodyText"/>
        <w:spacing w:line="235" w:lineRule="auto" w:before="3"/>
        <w:ind w:left="1284" w:right="1283"/>
      </w:pPr>
      <w:r>
        <w:rPr>
          <w:w w:val="120"/>
        </w:rPr>
        <w:t>situation does not always help Assembly to do its business as well as it might. General Assembly works best when a wide range of voices are heard. The task group considered how to respond to this, and decided to recommend that:</w:t>
      </w:r>
    </w:p>
    <w:p>
      <w:pPr>
        <w:pStyle w:val="ListParagraph"/>
        <w:numPr>
          <w:ilvl w:val="0"/>
          <w:numId w:val="48"/>
        </w:numPr>
        <w:tabs>
          <w:tab w:pos="1964" w:val="left" w:leader="none"/>
          <w:tab w:pos="1965" w:val="left" w:leader="none"/>
        </w:tabs>
        <w:spacing w:line="235" w:lineRule="auto" w:before="2" w:after="0"/>
        <w:ind w:left="1964" w:right="1246" w:hanging="681"/>
        <w:jc w:val="left"/>
        <w:rPr>
          <w:sz w:val="20"/>
        </w:rPr>
      </w:pPr>
      <w:r>
        <w:rPr>
          <w:w w:val="120"/>
          <w:sz w:val="20"/>
        </w:rPr>
        <w:t>Members be reminded by the Moderator at the </w:t>
      </w:r>
      <w:r>
        <w:rPr>
          <w:spacing w:val="2"/>
          <w:w w:val="120"/>
          <w:sz w:val="20"/>
        </w:rPr>
        <w:t>start </w:t>
      </w:r>
      <w:r>
        <w:rPr>
          <w:w w:val="120"/>
          <w:sz w:val="20"/>
        </w:rPr>
        <w:t>of the first piece of business that Assembly works best when a wide range of voices is heard. So those members who feel led to speak frequently should also consider leaving</w:t>
      </w:r>
      <w:r>
        <w:rPr>
          <w:spacing w:val="34"/>
          <w:w w:val="120"/>
          <w:sz w:val="20"/>
        </w:rPr>
        <w:t> </w:t>
      </w:r>
      <w:r>
        <w:rPr>
          <w:w w:val="120"/>
          <w:sz w:val="20"/>
        </w:rPr>
        <w:t>space</w:t>
      </w:r>
    </w:p>
    <w:p>
      <w:pPr>
        <w:pStyle w:val="BodyText"/>
        <w:spacing w:line="241" w:lineRule="exact"/>
        <w:ind w:left="1964"/>
      </w:pPr>
      <w:r>
        <w:rPr>
          <w:w w:val="115"/>
        </w:rPr>
        <w:t>for others;</w:t>
      </w:r>
    </w:p>
    <w:p>
      <w:pPr>
        <w:pStyle w:val="ListParagraph"/>
        <w:numPr>
          <w:ilvl w:val="0"/>
          <w:numId w:val="48"/>
        </w:numPr>
        <w:tabs>
          <w:tab w:pos="1964" w:val="left" w:leader="none"/>
          <w:tab w:pos="1965" w:val="left" w:leader="none"/>
        </w:tabs>
        <w:spacing w:line="235" w:lineRule="auto" w:before="2" w:after="0"/>
        <w:ind w:left="1964" w:right="1844" w:hanging="681"/>
        <w:jc w:val="left"/>
        <w:rPr>
          <w:sz w:val="20"/>
        </w:rPr>
      </w:pPr>
      <w:r>
        <w:rPr>
          <w:w w:val="120"/>
          <w:sz w:val="20"/>
        </w:rPr>
        <w:t>The Moderators be reminded that they are not required to invite people to speak in the order in which interest is expressed, so it is in order to choose speakers in any order, encourage particular people to speak, and to invite speeches from those who have not yet spoken</w:t>
      </w:r>
      <w:r>
        <w:rPr>
          <w:spacing w:val="13"/>
          <w:w w:val="120"/>
          <w:sz w:val="20"/>
        </w:rPr>
        <w:t> </w:t>
      </w:r>
      <w:r>
        <w:rPr>
          <w:w w:val="120"/>
          <w:sz w:val="20"/>
        </w:rPr>
        <w:t>etc.</w:t>
      </w:r>
    </w:p>
    <w:p>
      <w:pPr>
        <w:pStyle w:val="ListParagraph"/>
        <w:numPr>
          <w:ilvl w:val="0"/>
          <w:numId w:val="48"/>
        </w:numPr>
        <w:tabs>
          <w:tab w:pos="1964" w:val="left" w:leader="none"/>
          <w:tab w:pos="1965" w:val="left" w:leader="none"/>
        </w:tabs>
        <w:spacing w:line="235" w:lineRule="auto" w:before="3" w:after="0"/>
        <w:ind w:left="1964" w:right="1488" w:hanging="681"/>
        <w:jc w:val="left"/>
        <w:rPr>
          <w:sz w:val="20"/>
        </w:rPr>
      </w:pPr>
      <w:r>
        <w:rPr>
          <w:w w:val="120"/>
          <w:sz w:val="20"/>
        </w:rPr>
        <w:t>“Maiden speech” cards are issued to everyone attending General Assembly for the first time, and that such speakers will be given priority in being called to speak – at least on the first occasion that they approach the</w:t>
      </w:r>
      <w:r>
        <w:rPr>
          <w:spacing w:val="21"/>
          <w:w w:val="120"/>
          <w:sz w:val="20"/>
        </w:rPr>
        <w:t> </w:t>
      </w:r>
      <w:r>
        <w:rPr>
          <w:w w:val="120"/>
          <w:sz w:val="20"/>
        </w:rPr>
        <w:t>microphone.</w:t>
      </w:r>
    </w:p>
    <w:p>
      <w:pPr>
        <w:pStyle w:val="BodyText"/>
        <w:rPr>
          <w:sz w:val="19"/>
        </w:rPr>
      </w:pPr>
    </w:p>
    <w:p>
      <w:pPr>
        <w:pStyle w:val="Heading6"/>
        <w:ind w:left="1964"/>
      </w:pPr>
      <w:r>
        <w:rPr>
          <w:w w:val="110"/>
        </w:rPr>
        <w:t>Draft Resolution 6</w:t>
      </w:r>
    </w:p>
    <w:p>
      <w:pPr>
        <w:pStyle w:val="BodyText"/>
        <w:spacing w:line="242" w:lineRule="exact" w:before="79"/>
        <w:ind w:left="1964"/>
        <w:jc w:val="both"/>
      </w:pPr>
      <w:r>
        <w:rPr>
          <w:w w:val="120"/>
        </w:rPr>
        <w:t>General Assembly resolves that:</w:t>
      </w:r>
    </w:p>
    <w:p>
      <w:pPr>
        <w:pStyle w:val="ListParagraph"/>
        <w:numPr>
          <w:ilvl w:val="1"/>
          <w:numId w:val="48"/>
        </w:numPr>
        <w:tabs>
          <w:tab w:pos="2644" w:val="left" w:leader="none"/>
          <w:tab w:pos="2645" w:val="left" w:leader="none"/>
        </w:tabs>
        <w:spacing w:line="235" w:lineRule="auto" w:before="1" w:after="0"/>
        <w:ind w:left="2644" w:right="1837" w:hanging="681"/>
        <w:jc w:val="both"/>
        <w:rPr>
          <w:sz w:val="20"/>
        </w:rPr>
      </w:pPr>
      <w:r>
        <w:rPr>
          <w:w w:val="120"/>
          <w:sz w:val="20"/>
        </w:rPr>
        <w:t>General Assembly should primarily be funded from the ministry and mission fund, rather than by synods or</w:t>
      </w:r>
      <w:r>
        <w:rPr>
          <w:spacing w:val="16"/>
          <w:w w:val="120"/>
          <w:sz w:val="20"/>
        </w:rPr>
        <w:t> </w:t>
      </w:r>
      <w:r>
        <w:rPr>
          <w:w w:val="120"/>
          <w:sz w:val="20"/>
        </w:rPr>
        <w:t>individuals;</w:t>
      </w:r>
    </w:p>
    <w:p>
      <w:pPr>
        <w:pStyle w:val="ListParagraph"/>
        <w:numPr>
          <w:ilvl w:val="1"/>
          <w:numId w:val="48"/>
        </w:numPr>
        <w:tabs>
          <w:tab w:pos="2645" w:val="left" w:leader="none"/>
        </w:tabs>
        <w:spacing w:line="235" w:lineRule="auto" w:before="2" w:after="0"/>
        <w:ind w:left="2644" w:right="1302" w:hanging="681"/>
        <w:jc w:val="both"/>
        <w:rPr>
          <w:sz w:val="20"/>
        </w:rPr>
      </w:pPr>
      <w:r>
        <w:rPr>
          <w:w w:val="120"/>
          <w:sz w:val="20"/>
        </w:rPr>
        <w:t>members of General Assembly be given fuller information on the costs of General Assembly, and a clearer invitation to consider making a donation, including the option of donating by </w:t>
      </w:r>
      <w:r>
        <w:rPr>
          <w:spacing w:val="2"/>
          <w:w w:val="120"/>
          <w:sz w:val="20"/>
        </w:rPr>
        <w:t>Gift</w:t>
      </w:r>
      <w:r>
        <w:rPr>
          <w:spacing w:val="25"/>
          <w:w w:val="120"/>
          <w:sz w:val="20"/>
        </w:rPr>
        <w:t> </w:t>
      </w:r>
      <w:r>
        <w:rPr>
          <w:w w:val="120"/>
          <w:sz w:val="20"/>
        </w:rPr>
        <w:t>Aid;</w:t>
      </w:r>
    </w:p>
    <w:p>
      <w:pPr>
        <w:pStyle w:val="ListParagraph"/>
        <w:numPr>
          <w:ilvl w:val="1"/>
          <w:numId w:val="48"/>
        </w:numPr>
        <w:tabs>
          <w:tab w:pos="2644" w:val="left" w:leader="none"/>
          <w:tab w:pos="2645" w:val="left" w:leader="none"/>
        </w:tabs>
        <w:spacing w:line="235" w:lineRule="auto" w:before="2" w:after="0"/>
        <w:ind w:left="2644" w:right="1323" w:hanging="681"/>
        <w:jc w:val="left"/>
        <w:rPr>
          <w:sz w:val="20"/>
        </w:rPr>
      </w:pPr>
      <w:r>
        <w:rPr>
          <w:w w:val="120"/>
          <w:sz w:val="20"/>
        </w:rPr>
        <w:t>all papers shall be issued electronically as the primary means of dissemination, but those who wish may choose to receive paper copies at the expense of the Assembly</w:t>
      </w:r>
      <w:r>
        <w:rPr>
          <w:spacing w:val="12"/>
          <w:w w:val="120"/>
          <w:sz w:val="20"/>
        </w:rPr>
        <w:t> </w:t>
      </w:r>
      <w:r>
        <w:rPr>
          <w:w w:val="120"/>
          <w:sz w:val="20"/>
        </w:rPr>
        <w:t>budget;</w:t>
      </w:r>
    </w:p>
    <w:p>
      <w:pPr>
        <w:spacing w:after="0" w:line="235" w:lineRule="auto"/>
        <w:jc w:val="left"/>
        <w:rPr>
          <w:sz w:val="20"/>
        </w:rPr>
        <w:sectPr>
          <w:headerReference w:type="default" r:id="rId183"/>
          <w:footerReference w:type="default" r:id="rId184"/>
          <w:footerReference w:type="even" r:id="rId185"/>
          <w:pgSz w:w="11910" w:h="16840"/>
          <w:pgMar w:header="0" w:footer="647" w:top="0" w:bottom="840" w:left="700" w:right="0"/>
          <w:pgNumType w:start="59"/>
        </w:sectPr>
      </w:pPr>
    </w:p>
    <w:p>
      <w:pPr>
        <w:pStyle w:val="BodyText"/>
      </w:pPr>
      <w:r>
        <w:rPr/>
        <w:drawing>
          <wp:anchor distT="0" distB="0" distL="0" distR="0" allowOverlap="1" layoutInCell="1" locked="0" behindDoc="1" simplePos="0" relativeHeight="235852800">
            <wp:simplePos x="0" y="0"/>
            <wp:positionH relativeFrom="page">
              <wp:posOffset>0</wp:posOffset>
            </wp:positionH>
            <wp:positionV relativeFrom="page">
              <wp:posOffset>0</wp:posOffset>
            </wp:positionV>
            <wp:extent cx="594067" cy="10692003"/>
            <wp:effectExtent l="0" t="0" r="0" b="0"/>
            <wp:wrapNone/>
            <wp:docPr id="109" name="image49.png"/>
            <wp:cNvGraphicFramePr>
              <a:graphicFrameLocks noChangeAspect="1"/>
            </wp:cNvGraphicFramePr>
            <a:graphic>
              <a:graphicData uri="http://schemas.openxmlformats.org/drawingml/2006/picture">
                <pic:pic>
                  <pic:nvPicPr>
                    <pic:cNvPr id="110"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62656"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48"/>
        </w:numPr>
        <w:tabs>
          <w:tab w:pos="1907" w:val="left" w:leader="none"/>
          <w:tab w:pos="1908" w:val="left" w:leader="none"/>
        </w:tabs>
        <w:spacing w:line="235" w:lineRule="auto" w:before="222" w:after="0"/>
        <w:ind w:left="1907" w:right="2646" w:hanging="681"/>
        <w:jc w:val="left"/>
        <w:rPr>
          <w:sz w:val="20"/>
        </w:rPr>
      </w:pPr>
      <w:r>
        <w:rPr>
          <w:w w:val="120"/>
          <w:sz w:val="20"/>
        </w:rPr>
        <w:t>it prefers to meet in a venue either around tables or with significant breakout rooms if</w:t>
      </w:r>
      <w:r>
        <w:rPr>
          <w:spacing w:val="5"/>
          <w:w w:val="120"/>
          <w:sz w:val="20"/>
        </w:rPr>
        <w:t> </w:t>
      </w:r>
      <w:r>
        <w:rPr>
          <w:w w:val="120"/>
          <w:sz w:val="20"/>
        </w:rPr>
        <w:t>possible;</w:t>
      </w:r>
    </w:p>
    <w:p>
      <w:pPr>
        <w:pStyle w:val="ListParagraph"/>
        <w:numPr>
          <w:ilvl w:val="1"/>
          <w:numId w:val="48"/>
        </w:numPr>
        <w:tabs>
          <w:tab w:pos="1907" w:val="left" w:leader="none"/>
          <w:tab w:pos="1908" w:val="left" w:leader="none"/>
        </w:tabs>
        <w:spacing w:line="235" w:lineRule="auto" w:before="1" w:after="0"/>
        <w:ind w:left="1907" w:right="2010" w:hanging="681"/>
        <w:jc w:val="left"/>
        <w:rPr>
          <w:sz w:val="20"/>
        </w:rPr>
      </w:pPr>
      <w:r>
        <w:rPr>
          <w:w w:val="120"/>
          <w:sz w:val="20"/>
        </w:rPr>
        <w:t>from the close of General Assembly </w:t>
      </w:r>
      <w:r>
        <w:rPr>
          <w:spacing w:val="-5"/>
          <w:w w:val="120"/>
          <w:sz w:val="20"/>
        </w:rPr>
        <w:t>2018, </w:t>
      </w:r>
      <w:r>
        <w:rPr>
          <w:w w:val="120"/>
          <w:sz w:val="20"/>
        </w:rPr>
        <w:t>Moderators should be inducted at the close of the Assembly which begins their term of office and should therefore chair the General Assembly at the end of their term of</w:t>
      </w:r>
      <w:r>
        <w:rPr>
          <w:spacing w:val="-15"/>
          <w:w w:val="120"/>
          <w:sz w:val="20"/>
        </w:rPr>
        <w:t> </w:t>
      </w:r>
      <w:r>
        <w:rPr>
          <w:w w:val="120"/>
          <w:sz w:val="20"/>
        </w:rPr>
        <w:t>office;</w:t>
      </w:r>
    </w:p>
    <w:p>
      <w:pPr>
        <w:pStyle w:val="ListParagraph"/>
        <w:numPr>
          <w:ilvl w:val="1"/>
          <w:numId w:val="48"/>
        </w:numPr>
        <w:tabs>
          <w:tab w:pos="1907" w:val="left" w:leader="none"/>
          <w:tab w:pos="1908" w:val="left" w:leader="none"/>
        </w:tabs>
        <w:spacing w:line="235" w:lineRule="auto" w:before="2" w:after="0"/>
        <w:ind w:left="1907" w:right="2127" w:hanging="681"/>
        <w:jc w:val="left"/>
        <w:rPr>
          <w:sz w:val="20"/>
        </w:rPr>
      </w:pPr>
      <w:r>
        <w:rPr>
          <w:w w:val="120"/>
          <w:sz w:val="20"/>
        </w:rPr>
        <w:t>every </w:t>
      </w:r>
      <w:r>
        <w:rPr>
          <w:spacing w:val="2"/>
          <w:w w:val="120"/>
          <w:sz w:val="20"/>
        </w:rPr>
        <w:t>effort </w:t>
      </w:r>
      <w:r>
        <w:rPr>
          <w:w w:val="120"/>
          <w:sz w:val="20"/>
        </w:rPr>
        <w:t>be made to encourage a variety of voices to speak, by giving priority to those who have not spoken</w:t>
      </w:r>
      <w:r>
        <w:rPr>
          <w:spacing w:val="14"/>
          <w:w w:val="120"/>
          <w:sz w:val="20"/>
        </w:rPr>
        <w:t> </w:t>
      </w:r>
      <w:r>
        <w:rPr>
          <w:w w:val="120"/>
          <w:sz w:val="20"/>
        </w:rPr>
        <w:t>before.</w:t>
      </w:r>
    </w:p>
    <w:p>
      <w:pPr>
        <w:pStyle w:val="BodyText"/>
        <w:spacing w:before="11"/>
        <w:rPr>
          <w:sz w:val="18"/>
        </w:rPr>
      </w:pPr>
    </w:p>
    <w:p>
      <w:pPr>
        <w:pStyle w:val="Heading6"/>
        <w:spacing w:before="1"/>
        <w:ind w:left="1227"/>
      </w:pPr>
      <w:r>
        <w:rPr>
          <w:w w:val="110"/>
        </w:rPr>
        <w:t>Draft Resolution 7</w:t>
      </w:r>
    </w:p>
    <w:p>
      <w:pPr>
        <w:pStyle w:val="BodyText"/>
        <w:spacing w:line="242" w:lineRule="exact" w:before="78"/>
        <w:ind w:left="1227"/>
      </w:pPr>
      <w:r>
        <w:rPr>
          <w:w w:val="120"/>
        </w:rPr>
        <w:t>General Assembly resolves to change its membership as follows:</w:t>
      </w:r>
    </w:p>
    <w:p>
      <w:pPr>
        <w:pStyle w:val="ListParagraph"/>
        <w:numPr>
          <w:ilvl w:val="0"/>
          <w:numId w:val="49"/>
        </w:numPr>
        <w:tabs>
          <w:tab w:pos="1907" w:val="left" w:leader="none"/>
          <w:tab w:pos="1908" w:val="left" w:leader="none"/>
        </w:tabs>
        <w:spacing w:line="240" w:lineRule="exact" w:before="0" w:after="0"/>
        <w:ind w:left="1907" w:right="0" w:hanging="681"/>
        <w:jc w:val="left"/>
        <w:rPr>
          <w:sz w:val="20"/>
        </w:rPr>
      </w:pPr>
      <w:r>
        <w:rPr>
          <w:w w:val="120"/>
          <w:sz w:val="20"/>
        </w:rPr>
        <w:t>There shall be the same number of representatives from each</w:t>
      </w:r>
      <w:r>
        <w:rPr>
          <w:spacing w:val="16"/>
          <w:w w:val="120"/>
          <w:sz w:val="20"/>
        </w:rPr>
        <w:t> </w:t>
      </w:r>
      <w:r>
        <w:rPr>
          <w:w w:val="120"/>
          <w:sz w:val="20"/>
        </w:rPr>
        <w:t>synod.</w:t>
      </w:r>
    </w:p>
    <w:p>
      <w:pPr>
        <w:pStyle w:val="ListParagraph"/>
        <w:numPr>
          <w:ilvl w:val="0"/>
          <w:numId w:val="49"/>
        </w:numPr>
        <w:tabs>
          <w:tab w:pos="1907" w:val="left" w:leader="none"/>
          <w:tab w:pos="1908" w:val="left" w:leader="none"/>
        </w:tabs>
        <w:spacing w:line="235" w:lineRule="auto" w:before="2" w:after="0"/>
        <w:ind w:left="1907" w:right="2211" w:hanging="681"/>
        <w:jc w:val="left"/>
        <w:rPr>
          <w:sz w:val="20"/>
        </w:rPr>
      </w:pPr>
      <w:r>
        <w:rPr>
          <w:w w:val="120"/>
          <w:sz w:val="20"/>
        </w:rPr>
        <w:t>There shall be no additional representation from the Synod of Scotland (thereby rescinding a previous Assembly decision to grant six additional representatives to the Synod of</w:t>
      </w:r>
      <w:r>
        <w:rPr>
          <w:spacing w:val="9"/>
          <w:w w:val="120"/>
          <w:sz w:val="20"/>
        </w:rPr>
        <w:t> </w:t>
      </w:r>
      <w:r>
        <w:rPr>
          <w:w w:val="120"/>
          <w:sz w:val="20"/>
        </w:rPr>
        <w:t>Scotland).</w:t>
      </w:r>
    </w:p>
    <w:p>
      <w:pPr>
        <w:pStyle w:val="ListParagraph"/>
        <w:numPr>
          <w:ilvl w:val="0"/>
          <w:numId w:val="49"/>
        </w:numPr>
        <w:tabs>
          <w:tab w:pos="1907" w:val="left" w:leader="none"/>
          <w:tab w:pos="1908" w:val="left" w:leader="none"/>
        </w:tabs>
        <w:spacing w:line="242" w:lineRule="exact" w:before="0" w:after="0"/>
        <w:ind w:left="1907" w:right="0" w:hanging="681"/>
        <w:jc w:val="left"/>
        <w:rPr>
          <w:sz w:val="20"/>
        </w:rPr>
      </w:pPr>
      <w:r>
        <w:rPr>
          <w:spacing w:val="-3"/>
          <w:w w:val="120"/>
          <w:sz w:val="20"/>
        </w:rPr>
        <w:t>Synod </w:t>
      </w:r>
      <w:r>
        <w:rPr>
          <w:w w:val="120"/>
          <w:sz w:val="20"/>
        </w:rPr>
        <w:t>Moderators </w:t>
      </w:r>
      <w:r>
        <w:rPr>
          <w:spacing w:val="-3"/>
          <w:w w:val="120"/>
          <w:sz w:val="20"/>
        </w:rPr>
        <w:t>shall </w:t>
      </w:r>
      <w:r>
        <w:rPr>
          <w:w w:val="120"/>
          <w:sz w:val="20"/>
        </w:rPr>
        <w:t>be included in the representation from the</w:t>
      </w:r>
      <w:r>
        <w:rPr>
          <w:spacing w:val="-28"/>
          <w:w w:val="120"/>
          <w:sz w:val="20"/>
        </w:rPr>
        <w:t> </w:t>
      </w:r>
      <w:r>
        <w:rPr>
          <w:w w:val="120"/>
          <w:sz w:val="20"/>
        </w:rPr>
        <w:t>synods.</w:t>
      </w:r>
    </w:p>
    <w:p>
      <w:pPr>
        <w:pStyle w:val="BodyText"/>
        <w:spacing w:before="8"/>
        <w:rPr>
          <w:sz w:val="19"/>
        </w:rPr>
      </w:pPr>
    </w:p>
    <w:p>
      <w:pPr>
        <w:pStyle w:val="BodyText"/>
        <w:spacing w:line="235" w:lineRule="auto"/>
        <w:ind w:left="547" w:right="2003"/>
      </w:pPr>
      <w:r>
        <w:rPr>
          <w:w w:val="120"/>
        </w:rPr>
        <w:t>In order to make this clearer to members of Assembly we include the current definitions of membership of General Assembly and the proposed changes to the Structure to implement the above proposed changes.</w:t>
      </w:r>
    </w:p>
    <w:p>
      <w:pPr>
        <w:pStyle w:val="BodyText"/>
        <w:spacing w:before="10"/>
        <w:rPr>
          <w:sz w:val="19"/>
        </w:rPr>
      </w:pPr>
    </w:p>
    <w:p>
      <w:pPr>
        <w:pStyle w:val="BodyText"/>
        <w:spacing w:line="235" w:lineRule="auto"/>
        <w:ind w:left="547" w:right="2562"/>
        <w:jc w:val="both"/>
      </w:pPr>
      <w:r>
        <w:rPr>
          <w:w w:val="120"/>
        </w:rPr>
        <w:t>The purpose of this resolution is to change the wording in the Structure about the number and nature of synod representatives, as set out in the report. The existing wording is as follows:</w:t>
      </w:r>
    </w:p>
    <w:p>
      <w:pPr>
        <w:pStyle w:val="BodyText"/>
        <w:spacing w:line="235" w:lineRule="auto" w:before="2"/>
        <w:ind w:left="1227" w:right="2112"/>
      </w:pPr>
      <w:r>
        <w:rPr>
          <w:w w:val="120"/>
        </w:rPr>
        <w:t>2.(6) The General Assembly which shall embody the unity of the United Reformed Church and act as the central organ of its life and the final authority, under the Word of God and the promised guidance of the Holy Spirit, in all matters of doctrine and order and in all other concerns of its common life shall consist of:</w:t>
      </w:r>
    </w:p>
    <w:p>
      <w:pPr>
        <w:pStyle w:val="BodyText"/>
      </w:pPr>
    </w:p>
    <w:p>
      <w:pPr>
        <w:pStyle w:val="ListParagraph"/>
        <w:numPr>
          <w:ilvl w:val="0"/>
          <w:numId w:val="50"/>
        </w:numPr>
        <w:tabs>
          <w:tab w:pos="1987" w:val="left" w:leader="none"/>
          <w:tab w:pos="1988" w:val="left" w:leader="none"/>
        </w:tabs>
        <w:spacing w:line="235" w:lineRule="auto" w:before="0" w:after="0"/>
        <w:ind w:left="1227" w:right="2167" w:firstLine="0"/>
        <w:jc w:val="left"/>
        <w:rPr>
          <w:sz w:val="20"/>
        </w:rPr>
      </w:pPr>
      <w:r>
        <w:rPr>
          <w:w w:val="120"/>
          <w:sz w:val="20"/>
        </w:rPr>
        <w:t>Such number of representatives of synods (Ministerial and lay in equal numbers) as the General Assembly shall from time to time determine. These numbers shall be calculated proportionately to the total membership of each synod, as recorded in the year book of the United Reformed Church </w:t>
      </w:r>
      <w:r>
        <w:rPr>
          <w:spacing w:val="-7"/>
          <w:w w:val="120"/>
          <w:sz w:val="20"/>
        </w:rPr>
        <w:t>(at </w:t>
      </w:r>
      <w:r>
        <w:rPr>
          <w:w w:val="120"/>
          <w:sz w:val="20"/>
        </w:rPr>
        <w:t>present this calculation shall be such as to produce a total of synod representatives not exceeding</w:t>
      </w:r>
      <w:r>
        <w:rPr>
          <w:spacing w:val="2"/>
          <w:w w:val="120"/>
          <w:sz w:val="20"/>
        </w:rPr>
        <w:t> </w:t>
      </w:r>
      <w:r>
        <w:rPr>
          <w:spacing w:val="-5"/>
          <w:w w:val="120"/>
          <w:sz w:val="20"/>
        </w:rPr>
        <w:t>250);</w:t>
      </w:r>
    </w:p>
    <w:p>
      <w:pPr>
        <w:pStyle w:val="BodyText"/>
      </w:pPr>
    </w:p>
    <w:p>
      <w:pPr>
        <w:pStyle w:val="ListParagraph"/>
        <w:numPr>
          <w:ilvl w:val="0"/>
          <w:numId w:val="50"/>
        </w:numPr>
        <w:tabs>
          <w:tab w:pos="1987" w:val="left" w:leader="none"/>
          <w:tab w:pos="1988" w:val="left" w:leader="none"/>
        </w:tabs>
        <w:spacing w:line="235" w:lineRule="auto" w:before="0" w:after="0"/>
        <w:ind w:left="1227" w:right="2041" w:firstLine="0"/>
        <w:jc w:val="left"/>
        <w:rPr>
          <w:sz w:val="20"/>
        </w:rPr>
      </w:pPr>
      <w:r>
        <w:rPr>
          <w:w w:val="120"/>
          <w:sz w:val="20"/>
        </w:rPr>
        <w:t>Among the representatives of synods shall be included at least two from each synod aged 25 or under, at the date of appointment. These representatives need not be members of the United Reformed Church, but must be actively involved and engaged with the United Reformed Church at local, synod or assembly level, and have the confidence of their local church or the confidence of the synod’s youth forum, committee or equivalent; should a synod prove unable to make such an appointment it may appoint from another synod but these persons must be 25 or under at the date of</w:t>
      </w:r>
      <w:r>
        <w:rPr>
          <w:spacing w:val="22"/>
          <w:w w:val="120"/>
          <w:sz w:val="20"/>
        </w:rPr>
        <w:t> </w:t>
      </w:r>
      <w:r>
        <w:rPr>
          <w:w w:val="120"/>
          <w:sz w:val="20"/>
        </w:rPr>
        <w:t>appointment;</w:t>
      </w:r>
    </w:p>
    <w:p>
      <w:pPr>
        <w:pStyle w:val="BodyText"/>
        <w:spacing w:before="2"/>
      </w:pPr>
    </w:p>
    <w:p>
      <w:pPr>
        <w:pStyle w:val="ListParagraph"/>
        <w:numPr>
          <w:ilvl w:val="0"/>
          <w:numId w:val="50"/>
        </w:numPr>
        <w:tabs>
          <w:tab w:pos="1987" w:val="left" w:leader="none"/>
          <w:tab w:pos="1988" w:val="left" w:leader="none"/>
        </w:tabs>
        <w:spacing w:line="235" w:lineRule="auto" w:before="0" w:after="0"/>
        <w:ind w:left="1227" w:right="1996" w:firstLine="0"/>
        <w:jc w:val="left"/>
        <w:rPr>
          <w:sz w:val="20"/>
        </w:rPr>
      </w:pPr>
      <w:r>
        <w:rPr>
          <w:w w:val="120"/>
          <w:sz w:val="20"/>
        </w:rPr>
        <w:t>The Moderators of the General Assembly and of the synods, and such other officers of the General Assembly as the General Assembly shall from time to time determine (The Assembly has determined that the Clerk of Assembly and the General Secretary shall be members of</w:t>
      </w:r>
      <w:r>
        <w:rPr>
          <w:spacing w:val="14"/>
          <w:w w:val="120"/>
          <w:sz w:val="20"/>
        </w:rPr>
        <w:t> </w:t>
      </w:r>
      <w:r>
        <w:rPr>
          <w:w w:val="120"/>
          <w:sz w:val="20"/>
        </w:rPr>
        <w:t>Assembly);</w:t>
      </w:r>
    </w:p>
    <w:p>
      <w:pPr>
        <w:pStyle w:val="BodyText"/>
        <w:spacing w:before="11"/>
        <w:rPr>
          <w:sz w:val="19"/>
        </w:rPr>
      </w:pPr>
    </w:p>
    <w:p>
      <w:pPr>
        <w:pStyle w:val="ListParagraph"/>
        <w:numPr>
          <w:ilvl w:val="0"/>
          <w:numId w:val="50"/>
        </w:numPr>
        <w:tabs>
          <w:tab w:pos="1987" w:val="left" w:leader="none"/>
          <w:tab w:pos="1988" w:val="left" w:leader="none"/>
        </w:tabs>
        <w:spacing w:line="235" w:lineRule="auto" w:before="0" w:after="0"/>
        <w:ind w:left="1227" w:right="2277" w:firstLine="0"/>
        <w:jc w:val="left"/>
        <w:rPr>
          <w:sz w:val="20"/>
        </w:rPr>
      </w:pPr>
      <w:r>
        <w:rPr>
          <w:w w:val="120"/>
          <w:sz w:val="20"/>
        </w:rPr>
        <w:t>Where the Moderator of synod is an officer of the Assembly, the synod concerned shall appoint a substitute as its</w:t>
      </w:r>
      <w:r>
        <w:rPr>
          <w:spacing w:val="8"/>
          <w:w w:val="120"/>
          <w:sz w:val="20"/>
        </w:rPr>
        <w:t> </w:t>
      </w:r>
      <w:r>
        <w:rPr>
          <w:w w:val="120"/>
          <w:sz w:val="20"/>
        </w:rPr>
        <w:t>representative;</w:t>
      </w:r>
    </w:p>
    <w:p>
      <w:pPr>
        <w:pStyle w:val="BodyText"/>
        <w:spacing w:before="6"/>
        <w:rPr>
          <w:sz w:val="19"/>
        </w:rPr>
      </w:pPr>
    </w:p>
    <w:p>
      <w:pPr>
        <w:pStyle w:val="BodyText"/>
        <w:spacing w:line="242" w:lineRule="exact"/>
        <w:ind w:left="547"/>
      </w:pPr>
      <w:r>
        <w:rPr>
          <w:w w:val="120"/>
        </w:rPr>
        <w:t>The new wording is as follows:</w:t>
      </w:r>
    </w:p>
    <w:p>
      <w:pPr>
        <w:pStyle w:val="BodyText"/>
        <w:spacing w:line="235" w:lineRule="auto" w:before="2"/>
        <w:ind w:left="1227" w:right="2112" w:firstLine="39"/>
      </w:pPr>
      <w:r>
        <w:rPr>
          <w:w w:val="120"/>
        </w:rPr>
        <w:t>2.(6) The General Assembly which shall embody the unity of the United Reformed Church and act as the central organ of its life and the final authority, under the Word of God and the promised guidance of the Holy Spirit, in all matters of doctrine and order and in all other concerns of its common life shall consist of:</w:t>
      </w:r>
    </w:p>
    <w:p>
      <w:pPr>
        <w:spacing w:after="0" w:line="235" w:lineRule="auto"/>
        <w:sectPr>
          <w:headerReference w:type="even" r:id="rId186"/>
          <w:pgSz w:w="11910" w:h="16840"/>
          <w:pgMar w:header="0" w:footer="647" w:top="0" w:bottom="840" w:left="700" w:right="0"/>
        </w:sectPr>
      </w:pPr>
    </w:p>
    <w:p>
      <w:pPr>
        <w:pStyle w:val="BodyText"/>
      </w:pPr>
      <w:r>
        <w:rPr/>
        <w:drawing>
          <wp:anchor distT="0" distB="0" distL="0" distR="0" allowOverlap="1" layoutInCell="1" locked="0" behindDoc="0" simplePos="0" relativeHeight="251822080">
            <wp:simplePos x="0" y="0"/>
            <wp:positionH relativeFrom="page">
              <wp:posOffset>6974928</wp:posOffset>
            </wp:positionH>
            <wp:positionV relativeFrom="page">
              <wp:posOffset>0</wp:posOffset>
            </wp:positionV>
            <wp:extent cx="585076" cy="10692003"/>
            <wp:effectExtent l="0" t="0" r="0" b="0"/>
            <wp:wrapNone/>
            <wp:docPr id="111" name="image50.png"/>
            <wp:cNvGraphicFramePr>
              <a:graphicFrameLocks noChangeAspect="1"/>
            </wp:cNvGraphicFramePr>
            <a:graphic>
              <a:graphicData uri="http://schemas.openxmlformats.org/drawingml/2006/picture">
                <pic:pic>
                  <pic:nvPicPr>
                    <pic:cNvPr id="112"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02.2pt;mso-position-horizontal-relative:page;mso-position-vertical-relative:paragraph;z-index:251823104"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color w:val="7EAABF"/>
          <w:w w:val="120"/>
        </w:rPr>
        <w:t>Mission Council</w:t>
      </w:r>
    </w:p>
    <w:p>
      <w:pPr>
        <w:pStyle w:val="ListParagraph"/>
        <w:numPr>
          <w:ilvl w:val="1"/>
          <w:numId w:val="50"/>
        </w:numPr>
        <w:tabs>
          <w:tab w:pos="2724" w:val="left" w:leader="none"/>
          <w:tab w:pos="2725" w:val="left" w:leader="none"/>
        </w:tabs>
        <w:spacing w:line="235" w:lineRule="auto" w:before="222" w:after="0"/>
        <w:ind w:left="1964" w:right="1388" w:firstLine="0"/>
        <w:jc w:val="left"/>
        <w:rPr>
          <w:sz w:val="20"/>
        </w:rPr>
      </w:pPr>
      <w:r>
        <w:rPr>
          <w:w w:val="120"/>
          <w:sz w:val="20"/>
        </w:rPr>
        <w:t>Such number of representatives of synods as the General Assembly shall from time to time</w:t>
      </w:r>
      <w:r>
        <w:rPr>
          <w:spacing w:val="6"/>
          <w:w w:val="120"/>
          <w:sz w:val="20"/>
        </w:rPr>
        <w:t> </w:t>
      </w:r>
      <w:r>
        <w:rPr>
          <w:w w:val="120"/>
          <w:sz w:val="20"/>
        </w:rPr>
        <w:t>determine.;</w:t>
      </w:r>
    </w:p>
    <w:p>
      <w:pPr>
        <w:pStyle w:val="BodyText"/>
        <w:spacing w:before="9"/>
        <w:rPr>
          <w:sz w:val="19"/>
        </w:rPr>
      </w:pPr>
    </w:p>
    <w:p>
      <w:pPr>
        <w:pStyle w:val="ListParagraph"/>
        <w:numPr>
          <w:ilvl w:val="1"/>
          <w:numId w:val="50"/>
        </w:numPr>
        <w:tabs>
          <w:tab w:pos="2724" w:val="left" w:leader="none"/>
          <w:tab w:pos="2725" w:val="left" w:leader="none"/>
        </w:tabs>
        <w:spacing w:line="235" w:lineRule="auto" w:before="0" w:after="0"/>
        <w:ind w:left="1964" w:right="1304" w:firstLine="0"/>
        <w:jc w:val="left"/>
        <w:rPr>
          <w:sz w:val="20"/>
        </w:rPr>
      </w:pPr>
      <w:r>
        <w:rPr>
          <w:w w:val="120"/>
          <w:sz w:val="20"/>
        </w:rPr>
        <w:t>Among the representatives of synods shall be included at least two from each synod aged 25 or under, at the date of appointment. These representatives need not be members of the United Reformed Church, but must be actively involved and engaged with the United Reformed Church at local, synod or assembly level, and have the confidence of their local church or the confidence of the synod’s youth forum, committee or equivalent; should a synod prove unable to make such an appointment it may appoint from another synod but these persons must be 25 or under at the date of</w:t>
      </w:r>
      <w:r>
        <w:rPr>
          <w:spacing w:val="22"/>
          <w:w w:val="120"/>
          <w:sz w:val="20"/>
        </w:rPr>
        <w:t> </w:t>
      </w:r>
      <w:r>
        <w:rPr>
          <w:w w:val="120"/>
          <w:sz w:val="20"/>
        </w:rPr>
        <w:t>appointment;</w:t>
      </w:r>
    </w:p>
    <w:p>
      <w:pPr>
        <w:pStyle w:val="BodyText"/>
        <w:spacing w:before="2"/>
      </w:pPr>
    </w:p>
    <w:p>
      <w:pPr>
        <w:pStyle w:val="ListParagraph"/>
        <w:numPr>
          <w:ilvl w:val="1"/>
          <w:numId w:val="50"/>
        </w:numPr>
        <w:tabs>
          <w:tab w:pos="2724" w:val="left" w:leader="none"/>
          <w:tab w:pos="2725" w:val="left" w:leader="none"/>
        </w:tabs>
        <w:spacing w:line="235" w:lineRule="auto" w:before="0" w:after="0"/>
        <w:ind w:left="1964" w:right="1510" w:firstLine="0"/>
        <w:jc w:val="left"/>
        <w:rPr>
          <w:sz w:val="20"/>
        </w:rPr>
      </w:pPr>
      <w:r>
        <w:rPr>
          <w:w w:val="120"/>
          <w:sz w:val="20"/>
        </w:rPr>
        <w:t>The Moderators of the General Assembly and such other officers of the General Assembly as the General Assembly shall from time to time determine (The Assembly has determined that the Clerk of Assembly and the General Secretary shall be members of</w:t>
      </w:r>
      <w:r>
        <w:rPr>
          <w:spacing w:val="9"/>
          <w:w w:val="120"/>
          <w:sz w:val="20"/>
        </w:rPr>
        <w:t> </w:t>
      </w:r>
      <w:r>
        <w:rPr>
          <w:w w:val="120"/>
          <w:sz w:val="20"/>
        </w:rPr>
        <w:t>Assembly);</w:t>
      </w:r>
    </w:p>
    <w:p>
      <w:pPr>
        <w:pStyle w:val="BodyText"/>
        <w:spacing w:before="11"/>
        <w:rPr>
          <w:sz w:val="19"/>
        </w:rPr>
      </w:pPr>
    </w:p>
    <w:p>
      <w:pPr>
        <w:spacing w:line="235" w:lineRule="auto" w:before="0"/>
        <w:ind w:left="1284" w:right="1653" w:firstLine="0"/>
        <w:jc w:val="left"/>
        <w:rPr>
          <w:i/>
          <w:sz w:val="20"/>
        </w:rPr>
      </w:pPr>
      <w:r>
        <w:rPr>
          <w:i/>
          <w:w w:val="110"/>
          <w:sz w:val="20"/>
        </w:rPr>
        <w:t>If this resolution is passed, the General Secretary will move that it be referred to synods   </w:t>
      </w:r>
      <w:r>
        <w:rPr>
          <w:i/>
          <w:w w:val="110"/>
          <w:sz w:val="20"/>
        </w:rPr>
        <w:t>under paragraph </w:t>
      </w:r>
      <w:r>
        <w:rPr>
          <w:i/>
          <w:spacing w:val="-9"/>
          <w:w w:val="110"/>
          <w:sz w:val="20"/>
        </w:rPr>
        <w:t>3(1) </w:t>
      </w:r>
      <w:r>
        <w:rPr>
          <w:i/>
          <w:w w:val="110"/>
          <w:sz w:val="20"/>
        </w:rPr>
        <w:t>of the Structure, with responses to be made to him by 29 March </w:t>
      </w:r>
      <w:r>
        <w:rPr>
          <w:i/>
          <w:spacing w:val="-8"/>
          <w:w w:val="110"/>
          <w:sz w:val="20"/>
        </w:rPr>
        <w:t>2019. </w:t>
      </w:r>
      <w:r>
        <w:rPr>
          <w:i/>
          <w:w w:val="110"/>
          <w:sz w:val="20"/>
        </w:rPr>
        <w:t>The</w:t>
      </w:r>
      <w:r>
        <w:rPr>
          <w:i/>
          <w:spacing w:val="5"/>
          <w:w w:val="110"/>
          <w:sz w:val="20"/>
        </w:rPr>
        <w:t> </w:t>
      </w:r>
      <w:r>
        <w:rPr>
          <w:i/>
          <w:w w:val="110"/>
          <w:sz w:val="20"/>
        </w:rPr>
        <w:t>same</w:t>
      </w:r>
      <w:r>
        <w:rPr>
          <w:i/>
          <w:spacing w:val="5"/>
          <w:w w:val="110"/>
          <w:sz w:val="20"/>
        </w:rPr>
        <w:t> </w:t>
      </w:r>
      <w:r>
        <w:rPr>
          <w:i/>
          <w:w w:val="110"/>
          <w:sz w:val="20"/>
        </w:rPr>
        <w:t>provision</w:t>
      </w:r>
      <w:r>
        <w:rPr>
          <w:i/>
          <w:spacing w:val="5"/>
          <w:w w:val="110"/>
          <w:sz w:val="20"/>
        </w:rPr>
        <w:t> </w:t>
      </w:r>
      <w:r>
        <w:rPr>
          <w:i/>
          <w:w w:val="110"/>
          <w:sz w:val="20"/>
        </w:rPr>
        <w:t>will</w:t>
      </w:r>
      <w:r>
        <w:rPr>
          <w:i/>
          <w:spacing w:val="5"/>
          <w:w w:val="110"/>
          <w:sz w:val="20"/>
        </w:rPr>
        <w:t> </w:t>
      </w:r>
      <w:r>
        <w:rPr>
          <w:i/>
          <w:w w:val="110"/>
          <w:sz w:val="20"/>
        </w:rPr>
        <w:t>apply</w:t>
      </w:r>
      <w:r>
        <w:rPr>
          <w:i/>
          <w:spacing w:val="5"/>
          <w:w w:val="110"/>
          <w:sz w:val="20"/>
        </w:rPr>
        <w:t> </w:t>
      </w:r>
      <w:r>
        <w:rPr>
          <w:i/>
          <w:w w:val="110"/>
          <w:sz w:val="20"/>
        </w:rPr>
        <w:t>for</w:t>
      </w:r>
      <w:r>
        <w:rPr>
          <w:i/>
          <w:spacing w:val="5"/>
          <w:w w:val="110"/>
          <w:sz w:val="20"/>
        </w:rPr>
        <w:t> </w:t>
      </w:r>
      <w:r>
        <w:rPr>
          <w:i/>
          <w:w w:val="110"/>
          <w:sz w:val="20"/>
        </w:rPr>
        <w:t>a</w:t>
      </w:r>
      <w:r>
        <w:rPr>
          <w:i/>
          <w:spacing w:val="5"/>
          <w:w w:val="110"/>
          <w:sz w:val="20"/>
        </w:rPr>
        <w:t> </w:t>
      </w:r>
      <w:r>
        <w:rPr>
          <w:i/>
          <w:w w:val="110"/>
          <w:sz w:val="20"/>
        </w:rPr>
        <w:t>number</w:t>
      </w:r>
      <w:r>
        <w:rPr>
          <w:i/>
          <w:spacing w:val="5"/>
          <w:w w:val="110"/>
          <w:sz w:val="20"/>
        </w:rPr>
        <w:t> </w:t>
      </w:r>
      <w:r>
        <w:rPr>
          <w:i/>
          <w:w w:val="110"/>
          <w:sz w:val="20"/>
        </w:rPr>
        <w:t>of</w:t>
      </w:r>
      <w:r>
        <w:rPr>
          <w:i/>
          <w:spacing w:val="5"/>
          <w:w w:val="110"/>
          <w:sz w:val="20"/>
        </w:rPr>
        <w:t> </w:t>
      </w:r>
      <w:r>
        <w:rPr>
          <w:i/>
          <w:w w:val="110"/>
          <w:sz w:val="20"/>
        </w:rPr>
        <w:t>the</w:t>
      </w:r>
      <w:r>
        <w:rPr>
          <w:i/>
          <w:spacing w:val="5"/>
          <w:w w:val="110"/>
          <w:sz w:val="20"/>
        </w:rPr>
        <w:t> </w:t>
      </w:r>
      <w:r>
        <w:rPr>
          <w:i/>
          <w:w w:val="110"/>
          <w:sz w:val="20"/>
        </w:rPr>
        <w:t>resolutions</w:t>
      </w:r>
      <w:r>
        <w:rPr>
          <w:i/>
          <w:spacing w:val="5"/>
          <w:w w:val="110"/>
          <w:sz w:val="20"/>
        </w:rPr>
        <w:t> </w:t>
      </w:r>
      <w:r>
        <w:rPr>
          <w:i/>
          <w:w w:val="110"/>
          <w:sz w:val="20"/>
        </w:rPr>
        <w:t>that</w:t>
      </w:r>
      <w:r>
        <w:rPr>
          <w:i/>
          <w:spacing w:val="5"/>
          <w:w w:val="110"/>
          <w:sz w:val="20"/>
        </w:rPr>
        <w:t> </w:t>
      </w:r>
      <w:r>
        <w:rPr>
          <w:i/>
          <w:spacing w:val="-3"/>
          <w:w w:val="110"/>
          <w:sz w:val="20"/>
        </w:rPr>
        <w:t>follow.</w:t>
      </w:r>
    </w:p>
    <w:p>
      <w:pPr>
        <w:pStyle w:val="BodyText"/>
        <w:spacing w:before="2"/>
        <w:rPr>
          <w:i/>
          <w:sz w:val="22"/>
        </w:rPr>
      </w:pPr>
    </w:p>
    <w:p>
      <w:pPr>
        <w:pStyle w:val="Heading4"/>
        <w:numPr>
          <w:ilvl w:val="0"/>
          <w:numId w:val="43"/>
        </w:numPr>
        <w:tabs>
          <w:tab w:pos="2055" w:val="left" w:leader="none"/>
          <w:tab w:pos="2056" w:val="left" w:leader="none"/>
        </w:tabs>
        <w:spacing w:line="240" w:lineRule="auto" w:before="1" w:after="0"/>
        <w:ind w:left="2055" w:right="0" w:hanging="772"/>
        <w:jc w:val="left"/>
      </w:pPr>
      <w:r>
        <w:rPr>
          <w:spacing w:val="3"/>
          <w:w w:val="110"/>
        </w:rPr>
        <w:t>Options </w:t>
      </w:r>
      <w:r>
        <w:rPr>
          <w:spacing w:val="2"/>
          <w:w w:val="110"/>
        </w:rPr>
        <w:t>the </w:t>
      </w:r>
      <w:r>
        <w:rPr>
          <w:spacing w:val="3"/>
          <w:w w:val="110"/>
        </w:rPr>
        <w:t>task group </w:t>
      </w:r>
      <w:r>
        <w:rPr>
          <w:w w:val="110"/>
        </w:rPr>
        <w:t>is </w:t>
      </w:r>
      <w:r>
        <w:rPr>
          <w:spacing w:val="2"/>
          <w:w w:val="110"/>
        </w:rPr>
        <w:t>not</w:t>
      </w:r>
      <w:r>
        <w:rPr>
          <w:spacing w:val="70"/>
          <w:w w:val="110"/>
        </w:rPr>
        <w:t> </w:t>
      </w:r>
      <w:r>
        <w:rPr>
          <w:spacing w:val="4"/>
          <w:w w:val="110"/>
        </w:rPr>
        <w:t>recommending</w:t>
      </w:r>
    </w:p>
    <w:p>
      <w:pPr>
        <w:pStyle w:val="BodyText"/>
        <w:spacing w:line="235" w:lineRule="auto" w:before="69"/>
        <w:ind w:left="1284" w:right="1584"/>
      </w:pPr>
      <w:r>
        <w:rPr>
          <w:w w:val="120"/>
        </w:rPr>
        <w:t>Before we present options for the location, size and frequency of General Assembly, we need to lay out some options which we are not offering:</w:t>
      </w:r>
    </w:p>
    <w:p>
      <w:pPr>
        <w:pStyle w:val="BodyText"/>
        <w:spacing w:before="9"/>
        <w:rPr>
          <w:sz w:val="19"/>
        </w:rPr>
      </w:pPr>
    </w:p>
    <w:p>
      <w:pPr>
        <w:pStyle w:val="ListParagraph"/>
        <w:numPr>
          <w:ilvl w:val="1"/>
          <w:numId w:val="43"/>
        </w:numPr>
        <w:tabs>
          <w:tab w:pos="1964" w:val="left" w:leader="none"/>
          <w:tab w:pos="1965" w:val="left" w:leader="none"/>
        </w:tabs>
        <w:spacing w:line="235" w:lineRule="auto" w:before="0" w:after="0"/>
        <w:ind w:left="1284" w:right="1251" w:firstLine="0"/>
        <w:jc w:val="left"/>
        <w:rPr>
          <w:sz w:val="20"/>
        </w:rPr>
      </w:pPr>
      <w:r>
        <w:rPr>
          <w:w w:val="120"/>
          <w:sz w:val="20"/>
        </w:rPr>
        <w:t>Despite requests from some sections of the Church, the task group does not find any evidence that it is realistically possible for the Assembly to meet more often than it currently does yet with the same or a greater number of people attending. Both income to the ministry and mission fund and total church membership numbers have been gradually falling. We simply cannot afford the current or a larger Assembly more often, nor does this seem appropriate in a Church of our</w:t>
      </w:r>
      <w:r>
        <w:rPr>
          <w:spacing w:val="21"/>
          <w:w w:val="120"/>
          <w:sz w:val="20"/>
        </w:rPr>
        <w:t> </w:t>
      </w:r>
      <w:r>
        <w:rPr>
          <w:w w:val="120"/>
          <w:sz w:val="20"/>
        </w:rPr>
        <w:t>size.</w:t>
      </w:r>
    </w:p>
    <w:p>
      <w:pPr>
        <w:pStyle w:val="BodyText"/>
      </w:pPr>
    </w:p>
    <w:p>
      <w:pPr>
        <w:pStyle w:val="ListParagraph"/>
        <w:numPr>
          <w:ilvl w:val="1"/>
          <w:numId w:val="43"/>
        </w:numPr>
        <w:tabs>
          <w:tab w:pos="1965" w:val="left" w:leader="none"/>
        </w:tabs>
        <w:spacing w:line="235" w:lineRule="auto" w:before="0" w:after="0"/>
        <w:ind w:left="1284" w:right="1370" w:firstLine="0"/>
        <w:jc w:val="both"/>
        <w:rPr>
          <w:sz w:val="20"/>
        </w:rPr>
      </w:pPr>
      <w:r>
        <w:rPr>
          <w:w w:val="120"/>
          <w:sz w:val="20"/>
        </w:rPr>
        <w:t>Indeed, if the budget goes back from £230,000 to £200,000 after Nottingham, then we cannot afford a biennial Assembly of the same size and length as Nottingham on a regular basis. We should have to consider at least a modest reduction in numbers, if we were to stay with the biennial</w:t>
      </w:r>
      <w:r>
        <w:rPr>
          <w:spacing w:val="13"/>
          <w:w w:val="120"/>
          <w:sz w:val="20"/>
        </w:rPr>
        <w:t> </w:t>
      </w:r>
      <w:r>
        <w:rPr>
          <w:w w:val="120"/>
          <w:sz w:val="20"/>
        </w:rPr>
        <w:t>pattern.</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300" w:firstLine="0"/>
        <w:jc w:val="left"/>
        <w:rPr>
          <w:sz w:val="20"/>
        </w:rPr>
      </w:pPr>
      <w:r>
        <w:rPr>
          <w:w w:val="120"/>
          <w:sz w:val="20"/>
        </w:rPr>
        <w:t>Despite possible cost savings, the task group does not recommend that the Assembly meets less frequently than </w:t>
      </w:r>
      <w:r>
        <w:rPr>
          <w:spacing w:val="-3"/>
          <w:w w:val="120"/>
          <w:sz w:val="20"/>
        </w:rPr>
        <w:t>now. </w:t>
      </w:r>
      <w:r>
        <w:rPr>
          <w:w w:val="120"/>
          <w:sz w:val="20"/>
        </w:rPr>
        <w:t>The evidence we gathered showed that both the sense of detachment from decision making that currently exists, and the departure from the ecclesiology of conciliarity, would both be exacerbated by</w:t>
      </w:r>
      <w:r>
        <w:rPr>
          <w:spacing w:val="35"/>
          <w:w w:val="120"/>
          <w:sz w:val="20"/>
        </w:rPr>
        <w:t> </w:t>
      </w:r>
      <w:r>
        <w:rPr>
          <w:w w:val="120"/>
          <w:sz w:val="20"/>
        </w:rPr>
        <w:t>this.</w:t>
      </w:r>
    </w:p>
    <w:p>
      <w:pPr>
        <w:pStyle w:val="BodyText"/>
        <w:spacing w:before="4"/>
        <w:rPr>
          <w:sz w:val="22"/>
        </w:rPr>
      </w:pPr>
    </w:p>
    <w:p>
      <w:pPr>
        <w:pStyle w:val="Heading4"/>
        <w:numPr>
          <w:ilvl w:val="0"/>
          <w:numId w:val="43"/>
        </w:numPr>
        <w:tabs>
          <w:tab w:pos="1965" w:val="left" w:leader="none"/>
        </w:tabs>
        <w:spacing w:line="240" w:lineRule="auto" w:before="0" w:after="0"/>
        <w:ind w:left="1964" w:right="0" w:hanging="681"/>
        <w:jc w:val="both"/>
      </w:pPr>
      <w:r>
        <w:rPr>
          <w:spacing w:val="4"/>
          <w:w w:val="110"/>
        </w:rPr>
        <w:t>Location</w:t>
      </w:r>
    </w:p>
    <w:p>
      <w:pPr>
        <w:pStyle w:val="ListParagraph"/>
        <w:numPr>
          <w:ilvl w:val="1"/>
          <w:numId w:val="43"/>
        </w:numPr>
        <w:tabs>
          <w:tab w:pos="1964" w:val="left" w:leader="none"/>
          <w:tab w:pos="1965" w:val="left" w:leader="none"/>
        </w:tabs>
        <w:spacing w:line="235" w:lineRule="auto" w:before="69" w:after="0"/>
        <w:ind w:left="1284" w:right="1282" w:firstLine="0"/>
        <w:jc w:val="left"/>
        <w:rPr>
          <w:sz w:val="20"/>
        </w:rPr>
      </w:pPr>
      <w:r>
        <w:rPr>
          <w:w w:val="120"/>
          <w:sz w:val="20"/>
        </w:rPr>
        <w:t>The task group recommend abandoning the current pattern of rotation of venue around the </w:t>
      </w:r>
      <w:r>
        <w:rPr>
          <w:spacing w:val="2"/>
          <w:w w:val="120"/>
          <w:sz w:val="20"/>
        </w:rPr>
        <w:t>UK. </w:t>
      </w:r>
      <w:r>
        <w:rPr>
          <w:w w:val="120"/>
          <w:sz w:val="20"/>
        </w:rPr>
        <w:t>This pattern was agreed some years ago between the Assembly and the synods, and involves meeting in the nations of the UK in the sequence Wales, England, England, Scotland, England, England,</w:t>
      </w:r>
      <w:r>
        <w:rPr>
          <w:spacing w:val="12"/>
          <w:w w:val="120"/>
          <w:sz w:val="20"/>
        </w:rPr>
        <w:t> </w:t>
      </w:r>
      <w:r>
        <w:rPr>
          <w:w w:val="120"/>
          <w:sz w:val="20"/>
        </w:rPr>
        <w:t>Wales…</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271" w:firstLine="0"/>
        <w:jc w:val="left"/>
        <w:rPr>
          <w:sz w:val="20"/>
        </w:rPr>
      </w:pPr>
      <w:r>
        <w:rPr>
          <w:w w:val="120"/>
          <w:sz w:val="20"/>
        </w:rPr>
        <w:t>The</w:t>
      </w:r>
      <w:r>
        <w:rPr>
          <w:spacing w:val="-15"/>
          <w:w w:val="120"/>
          <w:sz w:val="20"/>
        </w:rPr>
        <w:t> </w:t>
      </w:r>
      <w:r>
        <w:rPr>
          <w:w w:val="120"/>
          <w:sz w:val="20"/>
        </w:rPr>
        <w:t>current</w:t>
      </w:r>
      <w:r>
        <w:rPr>
          <w:spacing w:val="-15"/>
          <w:w w:val="120"/>
          <w:sz w:val="20"/>
        </w:rPr>
        <w:t> </w:t>
      </w:r>
      <w:r>
        <w:rPr>
          <w:w w:val="120"/>
          <w:sz w:val="20"/>
        </w:rPr>
        <w:t>pattern</w:t>
      </w:r>
      <w:r>
        <w:rPr>
          <w:spacing w:val="-15"/>
          <w:w w:val="120"/>
          <w:sz w:val="20"/>
        </w:rPr>
        <w:t> </w:t>
      </w:r>
      <w:r>
        <w:rPr>
          <w:w w:val="120"/>
          <w:sz w:val="20"/>
        </w:rPr>
        <w:t>of</w:t>
      </w:r>
      <w:r>
        <w:rPr>
          <w:spacing w:val="-15"/>
          <w:w w:val="120"/>
          <w:sz w:val="20"/>
        </w:rPr>
        <w:t> </w:t>
      </w:r>
      <w:r>
        <w:rPr>
          <w:w w:val="120"/>
          <w:sz w:val="20"/>
        </w:rPr>
        <w:t>rotation</w:t>
      </w:r>
      <w:r>
        <w:rPr>
          <w:spacing w:val="-15"/>
          <w:w w:val="120"/>
          <w:sz w:val="20"/>
        </w:rPr>
        <w:t> </w:t>
      </w:r>
      <w:r>
        <w:rPr>
          <w:w w:val="120"/>
          <w:sz w:val="20"/>
        </w:rPr>
        <w:t>has</w:t>
      </w:r>
      <w:r>
        <w:rPr>
          <w:spacing w:val="-15"/>
          <w:w w:val="120"/>
          <w:sz w:val="20"/>
        </w:rPr>
        <w:t> </w:t>
      </w:r>
      <w:r>
        <w:rPr>
          <w:w w:val="120"/>
          <w:sz w:val="20"/>
        </w:rPr>
        <w:t>been</w:t>
      </w:r>
      <w:r>
        <w:rPr>
          <w:spacing w:val="-15"/>
          <w:w w:val="120"/>
          <w:sz w:val="20"/>
        </w:rPr>
        <w:t> </w:t>
      </w:r>
      <w:r>
        <w:rPr>
          <w:w w:val="120"/>
          <w:sz w:val="20"/>
        </w:rPr>
        <w:t>largely</w:t>
      </w:r>
      <w:r>
        <w:rPr>
          <w:spacing w:val="-15"/>
          <w:w w:val="120"/>
          <w:sz w:val="20"/>
        </w:rPr>
        <w:t> </w:t>
      </w:r>
      <w:r>
        <w:rPr>
          <w:spacing w:val="-3"/>
          <w:w w:val="120"/>
          <w:sz w:val="20"/>
        </w:rPr>
        <w:t>successful</w:t>
      </w:r>
      <w:r>
        <w:rPr>
          <w:spacing w:val="-15"/>
          <w:w w:val="120"/>
          <w:sz w:val="20"/>
        </w:rPr>
        <w:t> </w:t>
      </w:r>
      <w:r>
        <w:rPr>
          <w:w w:val="120"/>
          <w:sz w:val="20"/>
        </w:rPr>
        <w:t>in</w:t>
      </w:r>
      <w:r>
        <w:rPr>
          <w:spacing w:val="-15"/>
          <w:w w:val="120"/>
          <w:sz w:val="20"/>
        </w:rPr>
        <w:t> </w:t>
      </w:r>
      <w:r>
        <w:rPr>
          <w:w w:val="120"/>
          <w:sz w:val="20"/>
        </w:rPr>
        <w:t>ensuring</w:t>
      </w:r>
      <w:r>
        <w:rPr>
          <w:spacing w:val="-15"/>
          <w:w w:val="120"/>
          <w:sz w:val="20"/>
        </w:rPr>
        <w:t> </w:t>
      </w:r>
      <w:r>
        <w:rPr>
          <w:w w:val="120"/>
          <w:sz w:val="20"/>
        </w:rPr>
        <w:t>that</w:t>
      </w:r>
      <w:r>
        <w:rPr>
          <w:spacing w:val="-15"/>
          <w:w w:val="120"/>
          <w:sz w:val="20"/>
        </w:rPr>
        <w:t> </w:t>
      </w:r>
      <w:r>
        <w:rPr>
          <w:w w:val="120"/>
          <w:sz w:val="20"/>
        </w:rPr>
        <w:t>General Assembly visits all locations, </w:t>
      </w:r>
      <w:r>
        <w:rPr>
          <w:spacing w:val="-3"/>
          <w:w w:val="120"/>
          <w:sz w:val="20"/>
        </w:rPr>
        <w:t>however </w:t>
      </w:r>
      <w:r>
        <w:rPr>
          <w:w w:val="120"/>
          <w:sz w:val="20"/>
        </w:rPr>
        <w:t>the task group question the extent </w:t>
      </w:r>
      <w:r>
        <w:rPr>
          <w:spacing w:val="-3"/>
          <w:w w:val="120"/>
          <w:sz w:val="20"/>
        </w:rPr>
        <w:t>to </w:t>
      </w:r>
      <w:r>
        <w:rPr>
          <w:w w:val="120"/>
          <w:sz w:val="20"/>
        </w:rPr>
        <w:t>which the Assembly</w:t>
      </w:r>
      <w:r>
        <w:rPr>
          <w:spacing w:val="-12"/>
          <w:w w:val="120"/>
          <w:sz w:val="20"/>
        </w:rPr>
        <w:t> </w:t>
      </w:r>
      <w:r>
        <w:rPr>
          <w:w w:val="120"/>
          <w:sz w:val="20"/>
        </w:rPr>
        <w:t>reflects</w:t>
      </w:r>
      <w:r>
        <w:rPr>
          <w:spacing w:val="-12"/>
          <w:w w:val="120"/>
          <w:sz w:val="20"/>
        </w:rPr>
        <w:t> </w:t>
      </w:r>
      <w:r>
        <w:rPr>
          <w:w w:val="120"/>
          <w:sz w:val="20"/>
        </w:rPr>
        <w:t>the</w:t>
      </w:r>
      <w:r>
        <w:rPr>
          <w:spacing w:val="-11"/>
          <w:w w:val="120"/>
          <w:sz w:val="20"/>
        </w:rPr>
        <w:t> </w:t>
      </w:r>
      <w:r>
        <w:rPr>
          <w:spacing w:val="-3"/>
          <w:w w:val="120"/>
          <w:sz w:val="20"/>
        </w:rPr>
        <w:t>flavour</w:t>
      </w:r>
      <w:r>
        <w:rPr>
          <w:spacing w:val="-12"/>
          <w:w w:val="120"/>
          <w:sz w:val="20"/>
        </w:rPr>
        <w:t> </w:t>
      </w:r>
      <w:r>
        <w:rPr>
          <w:w w:val="120"/>
          <w:sz w:val="20"/>
        </w:rPr>
        <w:t>of</w:t>
      </w:r>
      <w:r>
        <w:rPr>
          <w:spacing w:val="-12"/>
          <w:w w:val="120"/>
          <w:sz w:val="20"/>
        </w:rPr>
        <w:t> </w:t>
      </w:r>
      <w:r>
        <w:rPr>
          <w:w w:val="120"/>
          <w:sz w:val="20"/>
        </w:rPr>
        <w:t>the</w:t>
      </w:r>
      <w:r>
        <w:rPr>
          <w:spacing w:val="-11"/>
          <w:w w:val="120"/>
          <w:sz w:val="20"/>
        </w:rPr>
        <w:t> </w:t>
      </w:r>
      <w:r>
        <w:rPr>
          <w:spacing w:val="-3"/>
          <w:w w:val="120"/>
          <w:sz w:val="20"/>
        </w:rPr>
        <w:t>place</w:t>
      </w:r>
      <w:r>
        <w:rPr>
          <w:spacing w:val="-12"/>
          <w:w w:val="120"/>
          <w:sz w:val="20"/>
        </w:rPr>
        <w:t> </w:t>
      </w:r>
      <w:r>
        <w:rPr>
          <w:w w:val="120"/>
          <w:sz w:val="20"/>
        </w:rPr>
        <w:t>where</w:t>
      </w:r>
      <w:r>
        <w:rPr>
          <w:spacing w:val="-11"/>
          <w:w w:val="120"/>
          <w:sz w:val="20"/>
        </w:rPr>
        <w:t> </w:t>
      </w:r>
      <w:r>
        <w:rPr>
          <w:w w:val="120"/>
          <w:sz w:val="20"/>
        </w:rPr>
        <w:t>it</w:t>
      </w:r>
      <w:r>
        <w:rPr>
          <w:spacing w:val="-12"/>
          <w:w w:val="120"/>
          <w:sz w:val="20"/>
        </w:rPr>
        <w:t> </w:t>
      </w:r>
      <w:r>
        <w:rPr>
          <w:w w:val="120"/>
          <w:sz w:val="20"/>
        </w:rPr>
        <w:t>is</w:t>
      </w:r>
      <w:r>
        <w:rPr>
          <w:spacing w:val="-12"/>
          <w:w w:val="120"/>
          <w:sz w:val="20"/>
        </w:rPr>
        <w:t> </w:t>
      </w:r>
      <w:r>
        <w:rPr>
          <w:w w:val="120"/>
          <w:sz w:val="20"/>
        </w:rPr>
        <w:t>meeting.</w:t>
      </w:r>
      <w:r>
        <w:rPr>
          <w:spacing w:val="-11"/>
          <w:w w:val="120"/>
          <w:sz w:val="20"/>
        </w:rPr>
        <w:t> </w:t>
      </w:r>
      <w:r>
        <w:rPr>
          <w:w w:val="120"/>
          <w:sz w:val="20"/>
        </w:rPr>
        <w:t>The</w:t>
      </w:r>
      <w:r>
        <w:rPr>
          <w:spacing w:val="-12"/>
          <w:w w:val="120"/>
          <w:sz w:val="20"/>
        </w:rPr>
        <w:t> </w:t>
      </w:r>
      <w:r>
        <w:rPr>
          <w:w w:val="120"/>
          <w:sz w:val="20"/>
        </w:rPr>
        <w:t>task</w:t>
      </w:r>
      <w:r>
        <w:rPr>
          <w:spacing w:val="-12"/>
          <w:w w:val="120"/>
          <w:sz w:val="20"/>
        </w:rPr>
        <w:t> </w:t>
      </w:r>
      <w:r>
        <w:rPr>
          <w:w w:val="120"/>
          <w:sz w:val="20"/>
        </w:rPr>
        <w:t>group</w:t>
      </w:r>
      <w:r>
        <w:rPr>
          <w:spacing w:val="-11"/>
          <w:w w:val="120"/>
          <w:sz w:val="20"/>
        </w:rPr>
        <w:t> </w:t>
      </w:r>
      <w:r>
        <w:rPr>
          <w:w w:val="120"/>
          <w:sz w:val="20"/>
        </w:rPr>
        <w:t>also</w:t>
      </w:r>
      <w:r>
        <w:rPr>
          <w:spacing w:val="-12"/>
          <w:w w:val="120"/>
          <w:sz w:val="20"/>
        </w:rPr>
        <w:t> </w:t>
      </w:r>
      <w:r>
        <w:rPr>
          <w:spacing w:val="-3"/>
          <w:w w:val="120"/>
          <w:sz w:val="20"/>
        </w:rPr>
        <w:t>received evidence</w:t>
      </w:r>
      <w:r>
        <w:rPr>
          <w:spacing w:val="-13"/>
          <w:w w:val="120"/>
          <w:sz w:val="20"/>
        </w:rPr>
        <w:t> </w:t>
      </w:r>
      <w:r>
        <w:rPr>
          <w:w w:val="120"/>
          <w:sz w:val="20"/>
        </w:rPr>
        <w:t>that</w:t>
      </w:r>
      <w:r>
        <w:rPr>
          <w:spacing w:val="-12"/>
          <w:w w:val="120"/>
          <w:sz w:val="20"/>
        </w:rPr>
        <w:t> </w:t>
      </w:r>
      <w:r>
        <w:rPr>
          <w:w w:val="120"/>
          <w:sz w:val="20"/>
        </w:rPr>
        <w:t>some</w:t>
      </w:r>
      <w:r>
        <w:rPr>
          <w:spacing w:val="-12"/>
          <w:w w:val="120"/>
          <w:sz w:val="20"/>
        </w:rPr>
        <w:t> </w:t>
      </w:r>
      <w:r>
        <w:rPr>
          <w:w w:val="120"/>
          <w:sz w:val="20"/>
        </w:rPr>
        <w:t>synods</w:t>
      </w:r>
      <w:r>
        <w:rPr>
          <w:spacing w:val="-12"/>
          <w:w w:val="120"/>
          <w:sz w:val="20"/>
        </w:rPr>
        <w:t> </w:t>
      </w:r>
      <w:r>
        <w:rPr>
          <w:w w:val="120"/>
          <w:sz w:val="20"/>
        </w:rPr>
        <w:t>view</w:t>
      </w:r>
      <w:r>
        <w:rPr>
          <w:spacing w:val="-12"/>
          <w:w w:val="120"/>
          <w:sz w:val="20"/>
        </w:rPr>
        <w:t> </w:t>
      </w:r>
      <w:r>
        <w:rPr>
          <w:w w:val="120"/>
          <w:sz w:val="20"/>
        </w:rPr>
        <w:t>hosting</w:t>
      </w:r>
      <w:r>
        <w:rPr>
          <w:spacing w:val="-12"/>
          <w:w w:val="120"/>
          <w:sz w:val="20"/>
        </w:rPr>
        <w:t> </w:t>
      </w:r>
      <w:r>
        <w:rPr>
          <w:w w:val="120"/>
          <w:sz w:val="20"/>
        </w:rPr>
        <w:t>the</w:t>
      </w:r>
      <w:r>
        <w:rPr>
          <w:spacing w:val="-12"/>
          <w:w w:val="120"/>
          <w:sz w:val="20"/>
        </w:rPr>
        <w:t> </w:t>
      </w:r>
      <w:r>
        <w:rPr>
          <w:w w:val="120"/>
          <w:sz w:val="20"/>
        </w:rPr>
        <w:t>Assembly</w:t>
      </w:r>
      <w:r>
        <w:rPr>
          <w:spacing w:val="-13"/>
          <w:w w:val="120"/>
          <w:sz w:val="20"/>
        </w:rPr>
        <w:t> </w:t>
      </w:r>
      <w:r>
        <w:rPr>
          <w:w w:val="120"/>
          <w:sz w:val="20"/>
        </w:rPr>
        <w:t>as</w:t>
      </w:r>
      <w:r>
        <w:rPr>
          <w:spacing w:val="-12"/>
          <w:w w:val="120"/>
          <w:sz w:val="20"/>
        </w:rPr>
        <w:t> </w:t>
      </w:r>
      <w:r>
        <w:rPr>
          <w:w w:val="120"/>
          <w:sz w:val="20"/>
        </w:rPr>
        <w:t>a</w:t>
      </w:r>
      <w:r>
        <w:rPr>
          <w:spacing w:val="-12"/>
          <w:w w:val="120"/>
          <w:sz w:val="20"/>
        </w:rPr>
        <w:t> </w:t>
      </w:r>
      <w:r>
        <w:rPr>
          <w:w w:val="120"/>
          <w:sz w:val="20"/>
        </w:rPr>
        <w:t>burden</w:t>
      </w:r>
      <w:r>
        <w:rPr>
          <w:spacing w:val="-12"/>
          <w:w w:val="120"/>
          <w:sz w:val="20"/>
        </w:rPr>
        <w:t> </w:t>
      </w:r>
      <w:r>
        <w:rPr>
          <w:w w:val="120"/>
          <w:sz w:val="20"/>
        </w:rPr>
        <w:t>rather</w:t>
      </w:r>
      <w:r>
        <w:rPr>
          <w:spacing w:val="-12"/>
          <w:w w:val="120"/>
          <w:sz w:val="20"/>
        </w:rPr>
        <w:t> </w:t>
      </w:r>
      <w:r>
        <w:rPr>
          <w:w w:val="120"/>
          <w:sz w:val="20"/>
        </w:rPr>
        <w:t>than</w:t>
      </w:r>
      <w:r>
        <w:rPr>
          <w:spacing w:val="-12"/>
          <w:w w:val="120"/>
          <w:sz w:val="20"/>
        </w:rPr>
        <w:t> </w:t>
      </w:r>
      <w:r>
        <w:rPr>
          <w:w w:val="120"/>
          <w:sz w:val="20"/>
        </w:rPr>
        <w:t>a</w:t>
      </w:r>
      <w:r>
        <w:rPr>
          <w:spacing w:val="-12"/>
          <w:w w:val="120"/>
          <w:sz w:val="20"/>
        </w:rPr>
        <w:t> </w:t>
      </w:r>
      <w:r>
        <w:rPr>
          <w:spacing w:val="-3"/>
          <w:w w:val="120"/>
          <w:sz w:val="20"/>
        </w:rPr>
        <w:t>pleasure.</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503" w:firstLine="0"/>
        <w:jc w:val="left"/>
        <w:rPr>
          <w:sz w:val="20"/>
        </w:rPr>
      </w:pPr>
      <w:r>
        <w:rPr>
          <w:w w:val="120"/>
          <w:sz w:val="20"/>
        </w:rPr>
        <w:t>The evidence the task group saw showed that the pattern of rotating venues is expensive in both finance and staff time. More site visits are needed to a new venue than to one where we return regularly. Venue hire is also more expensive, because suitable venues in some locations are limited. </w:t>
      </w:r>
      <w:r>
        <w:rPr>
          <w:spacing w:val="-3"/>
          <w:w w:val="120"/>
          <w:sz w:val="20"/>
        </w:rPr>
        <w:t>Travel </w:t>
      </w:r>
      <w:r>
        <w:rPr>
          <w:w w:val="120"/>
          <w:sz w:val="20"/>
        </w:rPr>
        <w:t>expenses for Assemblies further from the centre of the UK are higher than more central</w:t>
      </w:r>
      <w:r>
        <w:rPr>
          <w:spacing w:val="17"/>
          <w:w w:val="120"/>
          <w:sz w:val="20"/>
        </w:rPr>
        <w:t> </w:t>
      </w:r>
      <w:r>
        <w:rPr>
          <w:w w:val="120"/>
          <w:sz w:val="20"/>
        </w:rPr>
        <w:t>ones.</w:t>
      </w:r>
    </w:p>
    <w:p>
      <w:pPr>
        <w:spacing w:after="0" w:line="235" w:lineRule="auto"/>
        <w:jc w:val="left"/>
        <w:rPr>
          <w:sz w:val="20"/>
        </w:rPr>
        <w:sectPr>
          <w:headerReference w:type="default" r:id="rId187"/>
          <w:footerReference w:type="default" r:id="rId188"/>
          <w:footerReference w:type="even" r:id="rId189"/>
          <w:pgSz w:w="11910" w:h="16840"/>
          <w:pgMar w:header="0" w:footer="647" w:top="0" w:bottom="840" w:left="700" w:right="0"/>
          <w:pgNumType w:start="61"/>
        </w:sectPr>
      </w:pPr>
    </w:p>
    <w:p>
      <w:pPr>
        <w:pStyle w:val="BodyText"/>
      </w:pPr>
      <w:r>
        <w:rPr/>
        <w:drawing>
          <wp:anchor distT="0" distB="0" distL="0" distR="0" allowOverlap="1" layoutInCell="1" locked="0" behindDoc="1" simplePos="0" relativeHeight="235856896">
            <wp:simplePos x="0" y="0"/>
            <wp:positionH relativeFrom="page">
              <wp:posOffset>0</wp:posOffset>
            </wp:positionH>
            <wp:positionV relativeFrom="page">
              <wp:posOffset>0</wp:posOffset>
            </wp:positionV>
            <wp:extent cx="594067" cy="10692003"/>
            <wp:effectExtent l="0" t="0" r="0" b="0"/>
            <wp:wrapNone/>
            <wp:docPr id="113" name="image49.png"/>
            <wp:cNvGraphicFramePr>
              <a:graphicFrameLocks noChangeAspect="1"/>
            </wp:cNvGraphicFramePr>
            <a:graphic>
              <a:graphicData uri="http://schemas.openxmlformats.org/drawingml/2006/picture">
                <pic:pic>
                  <pic:nvPicPr>
                    <pic:cNvPr id="114"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58560"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ListParagraph"/>
        <w:numPr>
          <w:ilvl w:val="1"/>
          <w:numId w:val="43"/>
        </w:numPr>
        <w:tabs>
          <w:tab w:pos="1227" w:val="left" w:leader="none"/>
          <w:tab w:pos="1228" w:val="left" w:leader="none"/>
        </w:tabs>
        <w:spacing w:line="235" w:lineRule="auto" w:before="222" w:after="0"/>
        <w:ind w:left="547" w:right="2074" w:firstLine="0"/>
        <w:jc w:val="left"/>
        <w:rPr>
          <w:sz w:val="20"/>
        </w:rPr>
      </w:pPr>
      <w:r>
        <w:rPr>
          <w:w w:val="120"/>
          <w:sz w:val="20"/>
        </w:rPr>
        <w:t>The task group therefore proposes to General Assembly that the current pattern of rotation be abandoned, and that instead the Church seek a venue in the central </w:t>
      </w:r>
      <w:r>
        <w:rPr>
          <w:spacing w:val="2"/>
          <w:w w:val="120"/>
          <w:sz w:val="20"/>
        </w:rPr>
        <w:t>part </w:t>
      </w:r>
      <w:r>
        <w:rPr>
          <w:w w:val="120"/>
          <w:sz w:val="20"/>
        </w:rPr>
        <w:t>of the UK </w:t>
      </w:r>
      <w:r>
        <w:rPr>
          <w:spacing w:val="-3"/>
          <w:w w:val="120"/>
          <w:sz w:val="20"/>
        </w:rPr>
        <w:t>(which </w:t>
      </w:r>
      <w:r>
        <w:rPr>
          <w:w w:val="120"/>
          <w:sz w:val="20"/>
        </w:rPr>
        <w:t>we define as being roughly Yorkshire and Lancashire, down to the southern edge of the English </w:t>
      </w:r>
      <w:r>
        <w:rPr>
          <w:spacing w:val="-3"/>
          <w:w w:val="120"/>
          <w:sz w:val="20"/>
        </w:rPr>
        <w:t>Midlands). </w:t>
      </w:r>
      <w:r>
        <w:rPr>
          <w:w w:val="120"/>
          <w:sz w:val="20"/>
        </w:rPr>
        <w:t>The task group further propose that if a good enough venue can be found in this central </w:t>
      </w:r>
      <w:r>
        <w:rPr>
          <w:spacing w:val="2"/>
          <w:w w:val="120"/>
          <w:sz w:val="20"/>
        </w:rPr>
        <w:t>part </w:t>
      </w:r>
      <w:r>
        <w:rPr>
          <w:w w:val="120"/>
          <w:sz w:val="20"/>
        </w:rPr>
        <w:t>of the </w:t>
      </w:r>
      <w:r>
        <w:rPr>
          <w:spacing w:val="2"/>
          <w:w w:val="120"/>
          <w:sz w:val="20"/>
        </w:rPr>
        <w:t>UK, </w:t>
      </w:r>
      <w:r>
        <w:rPr>
          <w:w w:val="120"/>
          <w:sz w:val="20"/>
        </w:rPr>
        <w:t>then Assembly should return to it regularly. Even if we met consistently in one place, other synods could be involved in hosting and in shaping the ethos and flavour of the event, if they</w:t>
      </w:r>
      <w:r>
        <w:rPr>
          <w:spacing w:val="37"/>
          <w:w w:val="120"/>
          <w:sz w:val="20"/>
        </w:rPr>
        <w:t> </w:t>
      </w:r>
      <w:r>
        <w:rPr>
          <w:w w:val="120"/>
          <w:sz w:val="20"/>
        </w:rPr>
        <w:t>wished.</w:t>
      </w:r>
    </w:p>
    <w:p>
      <w:pPr>
        <w:pStyle w:val="BodyText"/>
        <w:spacing w:before="2"/>
        <w:rPr>
          <w:sz w:val="19"/>
        </w:rPr>
      </w:pPr>
    </w:p>
    <w:p>
      <w:pPr>
        <w:pStyle w:val="Heading6"/>
        <w:ind w:left="1227"/>
      </w:pPr>
      <w:r>
        <w:rPr>
          <w:w w:val="110"/>
        </w:rPr>
        <w:t>Draft Resolution 8</w:t>
      </w:r>
    </w:p>
    <w:p>
      <w:pPr>
        <w:pStyle w:val="BodyText"/>
        <w:spacing w:line="235" w:lineRule="auto" w:before="83"/>
        <w:ind w:left="1227" w:right="2269"/>
      </w:pPr>
      <w:r>
        <w:rPr>
          <w:w w:val="120"/>
        </w:rPr>
        <w:t>General Assembly resolves to cease the current pattern of rotation of venue, previously informally agreed, and to meet regularly in the centre of the UK, as outlined in pages 61 to 62 of the </w:t>
      </w:r>
      <w:r>
        <w:rPr>
          <w:i/>
          <w:w w:val="120"/>
        </w:rPr>
        <w:t>Book of Reports </w:t>
      </w:r>
      <w:r>
        <w:rPr>
          <w:w w:val="120"/>
        </w:rPr>
        <w:t>2018, with immediate effect.</w:t>
      </w:r>
    </w:p>
    <w:p>
      <w:pPr>
        <w:pStyle w:val="BodyText"/>
        <w:spacing w:before="2"/>
        <w:rPr>
          <w:sz w:val="22"/>
        </w:rPr>
      </w:pPr>
    </w:p>
    <w:p>
      <w:pPr>
        <w:pStyle w:val="Heading4"/>
        <w:numPr>
          <w:ilvl w:val="0"/>
          <w:numId w:val="43"/>
        </w:numPr>
        <w:tabs>
          <w:tab w:pos="1228" w:val="left" w:leader="none"/>
        </w:tabs>
        <w:spacing w:line="240" w:lineRule="auto" w:before="1" w:after="0"/>
        <w:ind w:left="1227" w:right="0" w:hanging="681"/>
        <w:jc w:val="left"/>
      </w:pPr>
      <w:r>
        <w:rPr>
          <w:spacing w:val="4"/>
          <w:w w:val="110"/>
        </w:rPr>
        <w:t>Reverting </w:t>
      </w:r>
      <w:r>
        <w:rPr>
          <w:w w:val="110"/>
        </w:rPr>
        <w:t>to an </w:t>
      </w:r>
      <w:r>
        <w:rPr>
          <w:spacing w:val="3"/>
          <w:w w:val="110"/>
        </w:rPr>
        <w:t>annual</w:t>
      </w:r>
      <w:r>
        <w:rPr>
          <w:spacing w:val="47"/>
          <w:w w:val="110"/>
        </w:rPr>
        <w:t> </w:t>
      </w:r>
      <w:r>
        <w:rPr>
          <w:spacing w:val="4"/>
          <w:w w:val="110"/>
        </w:rPr>
        <w:t>Assembly</w:t>
      </w:r>
    </w:p>
    <w:p>
      <w:pPr>
        <w:pStyle w:val="ListParagraph"/>
        <w:numPr>
          <w:ilvl w:val="1"/>
          <w:numId w:val="43"/>
        </w:numPr>
        <w:tabs>
          <w:tab w:pos="1227" w:val="left" w:leader="none"/>
          <w:tab w:pos="1228" w:val="left" w:leader="none"/>
        </w:tabs>
        <w:spacing w:line="235" w:lineRule="auto" w:before="69" w:after="0"/>
        <w:ind w:left="547" w:right="1986" w:firstLine="0"/>
        <w:jc w:val="left"/>
        <w:rPr>
          <w:sz w:val="20"/>
        </w:rPr>
      </w:pPr>
      <w:r>
        <w:rPr>
          <w:w w:val="120"/>
          <w:sz w:val="20"/>
        </w:rPr>
        <w:t>One motivation for Assembly’s setting up the task group was a desire to explore the possibility of reverting to an annual Assembly. This might appear to be a step backwards. However, the task group believes that no Church need fear to admit that something hasn’t worked as well as was hoped, and if that is the case, we should look to make</w:t>
      </w:r>
      <w:r>
        <w:rPr>
          <w:spacing w:val="2"/>
          <w:w w:val="120"/>
          <w:sz w:val="20"/>
        </w:rPr>
        <w:t> </w:t>
      </w:r>
      <w:r>
        <w:rPr>
          <w:w w:val="120"/>
          <w:sz w:val="20"/>
        </w:rPr>
        <w:t>changes.</w:t>
      </w:r>
    </w:p>
    <w:p>
      <w:pPr>
        <w:pStyle w:val="BodyText"/>
        <w:spacing w:before="11"/>
        <w:rPr>
          <w:sz w:val="19"/>
        </w:rPr>
      </w:pPr>
    </w:p>
    <w:p>
      <w:pPr>
        <w:pStyle w:val="ListParagraph"/>
        <w:numPr>
          <w:ilvl w:val="1"/>
          <w:numId w:val="43"/>
        </w:numPr>
        <w:tabs>
          <w:tab w:pos="1227" w:val="left" w:leader="none"/>
          <w:tab w:pos="1228" w:val="left" w:leader="none"/>
        </w:tabs>
        <w:spacing w:line="235" w:lineRule="auto" w:before="0" w:after="0"/>
        <w:ind w:left="547" w:right="1982" w:firstLine="0"/>
        <w:jc w:val="left"/>
        <w:rPr>
          <w:sz w:val="20"/>
        </w:rPr>
      </w:pPr>
      <w:r>
        <w:rPr>
          <w:w w:val="120"/>
          <w:sz w:val="20"/>
        </w:rPr>
        <w:t>The task group has seen some evidence that an increase in the number of decisions made by Mission Council has created difficulties in their acceptance, because the authority of Mission Council is challenged. (The termination of the ZI campaign,    and the closure of the Windermere Centre would be two examples.) The group    believes that reversing the current trend, and making more decisions at General Assembly, would increase confidence in and support of such decisions, and reduce challenge, thereby improving the unity and peace of the United Reformed Church. We cite as additional evidence that the </w:t>
      </w:r>
      <w:r>
        <w:rPr>
          <w:spacing w:val="-7"/>
          <w:w w:val="120"/>
          <w:sz w:val="20"/>
        </w:rPr>
        <w:t>2014 </w:t>
      </w:r>
      <w:r>
        <w:rPr>
          <w:w w:val="120"/>
          <w:sz w:val="20"/>
        </w:rPr>
        <w:t>Assembly came close to calling for the special meeting of Assembly that was eventually held in </w:t>
      </w:r>
      <w:r>
        <w:rPr>
          <w:spacing w:val="-7"/>
          <w:w w:val="120"/>
          <w:sz w:val="20"/>
        </w:rPr>
        <w:t>2015 </w:t>
      </w:r>
      <w:r>
        <w:rPr>
          <w:w w:val="120"/>
          <w:sz w:val="20"/>
        </w:rPr>
        <w:t>because it believed that the registration of buildings (in Scotland of celebrants) for the marriage of same sex couples needed to be based on decisions of the General Assembly</w:t>
      </w:r>
      <w:r>
        <w:rPr>
          <w:spacing w:val="25"/>
          <w:w w:val="120"/>
          <w:sz w:val="20"/>
        </w:rPr>
        <w:t> </w:t>
      </w:r>
      <w:r>
        <w:rPr>
          <w:w w:val="120"/>
          <w:sz w:val="20"/>
        </w:rPr>
        <w:t>itself.</w:t>
      </w:r>
    </w:p>
    <w:p>
      <w:pPr>
        <w:pStyle w:val="BodyText"/>
        <w:spacing w:before="4"/>
      </w:pPr>
    </w:p>
    <w:p>
      <w:pPr>
        <w:pStyle w:val="ListParagraph"/>
        <w:numPr>
          <w:ilvl w:val="1"/>
          <w:numId w:val="43"/>
        </w:numPr>
        <w:tabs>
          <w:tab w:pos="1227" w:val="left" w:leader="none"/>
          <w:tab w:pos="1228" w:val="left" w:leader="none"/>
        </w:tabs>
        <w:spacing w:line="235" w:lineRule="auto" w:before="0" w:after="0"/>
        <w:ind w:left="547" w:right="2118" w:firstLine="0"/>
        <w:jc w:val="left"/>
        <w:rPr>
          <w:sz w:val="20"/>
        </w:rPr>
      </w:pPr>
      <w:r>
        <w:rPr>
          <w:w w:val="120"/>
          <w:sz w:val="20"/>
        </w:rPr>
        <w:t>The task group therefore believes that the Church should consider seriously the chance to revert to an annual pattern, and that this would have a variety of benefits for our common life. We put four options before Assembly, one of these corresponding roughly to our present practice, and the other three exploring an annual</w:t>
      </w:r>
      <w:r>
        <w:rPr>
          <w:spacing w:val="52"/>
          <w:w w:val="120"/>
          <w:sz w:val="20"/>
        </w:rPr>
        <w:t> </w:t>
      </w:r>
      <w:r>
        <w:rPr>
          <w:w w:val="120"/>
          <w:sz w:val="20"/>
        </w:rPr>
        <w:t>pattern.</w:t>
      </w:r>
    </w:p>
    <w:p>
      <w:pPr>
        <w:pStyle w:val="BodyText"/>
        <w:spacing w:before="4"/>
        <w:rPr>
          <w:sz w:val="22"/>
        </w:rPr>
      </w:pPr>
    </w:p>
    <w:p>
      <w:pPr>
        <w:pStyle w:val="Heading4"/>
        <w:numPr>
          <w:ilvl w:val="0"/>
          <w:numId w:val="43"/>
        </w:numPr>
        <w:tabs>
          <w:tab w:pos="1228" w:val="left" w:leader="none"/>
        </w:tabs>
        <w:spacing w:line="240" w:lineRule="auto" w:before="0" w:after="0"/>
        <w:ind w:left="1227" w:right="0" w:hanging="681"/>
        <w:jc w:val="left"/>
      </w:pPr>
      <w:r>
        <w:rPr>
          <w:spacing w:val="4"/>
          <w:w w:val="110"/>
        </w:rPr>
        <w:t>The </w:t>
      </w:r>
      <w:r>
        <w:rPr>
          <w:spacing w:val="5"/>
          <w:w w:val="110"/>
        </w:rPr>
        <w:t>frequency </w:t>
      </w:r>
      <w:r>
        <w:rPr>
          <w:spacing w:val="3"/>
          <w:w w:val="110"/>
        </w:rPr>
        <w:t>and </w:t>
      </w:r>
      <w:r>
        <w:rPr>
          <w:w w:val="110"/>
        </w:rPr>
        <w:t>size of </w:t>
      </w:r>
      <w:r>
        <w:rPr>
          <w:spacing w:val="4"/>
          <w:w w:val="110"/>
        </w:rPr>
        <w:t>General</w:t>
      </w:r>
      <w:r>
        <w:rPr>
          <w:spacing w:val="68"/>
          <w:w w:val="110"/>
        </w:rPr>
        <w:t> </w:t>
      </w:r>
      <w:r>
        <w:rPr>
          <w:spacing w:val="4"/>
          <w:w w:val="110"/>
        </w:rPr>
        <w:t>Assembly</w:t>
      </w:r>
    </w:p>
    <w:p>
      <w:pPr>
        <w:pStyle w:val="BodyText"/>
        <w:spacing w:before="65"/>
        <w:ind w:left="547"/>
      </w:pPr>
      <w:r>
        <w:rPr>
          <w:w w:val="120"/>
        </w:rPr>
        <w:t>The four options we put before Assembly are these:</w:t>
      </w:r>
    </w:p>
    <w:p>
      <w:pPr>
        <w:pStyle w:val="BodyText"/>
        <w:spacing w:before="7"/>
        <w:rPr>
          <w:sz w:val="19"/>
        </w:rPr>
      </w:pPr>
    </w:p>
    <w:p>
      <w:pPr>
        <w:pStyle w:val="ListParagraph"/>
        <w:numPr>
          <w:ilvl w:val="1"/>
          <w:numId w:val="43"/>
        </w:numPr>
        <w:tabs>
          <w:tab w:pos="1227" w:val="left" w:leader="none"/>
          <w:tab w:pos="1228" w:val="left" w:leader="none"/>
        </w:tabs>
        <w:spacing w:line="235" w:lineRule="auto" w:before="1" w:after="0"/>
        <w:ind w:left="547" w:right="2052" w:firstLine="0"/>
        <w:jc w:val="left"/>
        <w:rPr>
          <w:sz w:val="20"/>
        </w:rPr>
      </w:pPr>
      <w:r>
        <w:rPr>
          <w:i/>
          <w:w w:val="120"/>
          <w:sz w:val="20"/>
        </w:rPr>
        <w:t>Option A: </w:t>
      </w:r>
      <w:r>
        <w:rPr>
          <w:w w:val="120"/>
          <w:sz w:val="20"/>
        </w:rPr>
        <w:t>roughly what we do at the moment. A biennial Assembly, about 20% smaller in size than at present, in the </w:t>
      </w:r>
      <w:r>
        <w:rPr>
          <w:spacing w:val="2"/>
          <w:w w:val="120"/>
          <w:sz w:val="20"/>
        </w:rPr>
        <w:t>sort </w:t>
      </w:r>
      <w:r>
        <w:rPr>
          <w:w w:val="120"/>
          <w:sz w:val="20"/>
        </w:rPr>
        <w:t>of conference centre we have used in recent years, plus four meetings of Mission Council in a two-year cycle. This option is costed</w:t>
      </w:r>
      <w:r>
        <w:rPr>
          <w:spacing w:val="47"/>
          <w:w w:val="120"/>
          <w:sz w:val="20"/>
        </w:rPr>
        <w:t> </w:t>
      </w:r>
      <w:r>
        <w:rPr>
          <w:w w:val="120"/>
          <w:sz w:val="20"/>
        </w:rPr>
        <w:t>at</w:t>
      </w:r>
    </w:p>
    <w:p>
      <w:pPr>
        <w:pStyle w:val="BodyText"/>
        <w:spacing w:line="223" w:lineRule="auto"/>
        <w:ind w:left="547" w:right="2011"/>
      </w:pPr>
      <w:r>
        <w:rPr>
          <w:w w:val="120"/>
        </w:rPr>
        <w:t>£203,000, with £20,000 for each Mission Council, i.e. </w:t>
      </w:r>
      <w:r>
        <w:rPr>
          <w:rFonts w:ascii="Stone Sans II ITC Std Bk" w:hAnsi="Stone Sans II ITC Std Bk"/>
          <w:b/>
          <w:w w:val="120"/>
        </w:rPr>
        <w:t>a total of £283,000 </w:t>
      </w:r>
      <w:r>
        <w:rPr>
          <w:w w:val="120"/>
        </w:rPr>
        <w:t>over a two- year cycle (the current budget over a two-year cycle is £280,000).</w:t>
      </w:r>
    </w:p>
    <w:p>
      <w:pPr>
        <w:pStyle w:val="BodyText"/>
        <w:spacing w:before="1"/>
      </w:pPr>
    </w:p>
    <w:p>
      <w:pPr>
        <w:pStyle w:val="ListParagraph"/>
        <w:numPr>
          <w:ilvl w:val="1"/>
          <w:numId w:val="43"/>
        </w:numPr>
        <w:tabs>
          <w:tab w:pos="1227" w:val="left" w:leader="none"/>
          <w:tab w:pos="1228" w:val="left" w:leader="none"/>
        </w:tabs>
        <w:spacing w:line="232" w:lineRule="auto" w:before="0" w:after="0"/>
        <w:ind w:left="547" w:right="2122" w:firstLine="0"/>
        <w:jc w:val="left"/>
        <w:rPr>
          <w:sz w:val="20"/>
        </w:rPr>
      </w:pPr>
      <w:r>
        <w:rPr>
          <w:i/>
          <w:w w:val="120"/>
          <w:sz w:val="20"/>
        </w:rPr>
        <w:t>Option B: </w:t>
      </w:r>
      <w:r>
        <w:rPr>
          <w:w w:val="120"/>
          <w:sz w:val="20"/>
        </w:rPr>
        <w:t>an annual meeting, again in the </w:t>
      </w:r>
      <w:r>
        <w:rPr>
          <w:spacing w:val="2"/>
          <w:w w:val="120"/>
          <w:sz w:val="20"/>
        </w:rPr>
        <w:t>sort </w:t>
      </w:r>
      <w:r>
        <w:rPr>
          <w:w w:val="120"/>
          <w:sz w:val="20"/>
        </w:rPr>
        <w:t>of venue we have used in recent years. </w:t>
      </w:r>
      <w:r>
        <w:rPr>
          <w:spacing w:val="3"/>
          <w:w w:val="120"/>
          <w:sz w:val="20"/>
        </w:rPr>
        <w:t>As </w:t>
      </w:r>
      <w:r>
        <w:rPr>
          <w:w w:val="120"/>
          <w:sz w:val="20"/>
        </w:rPr>
        <w:t>para </w:t>
      </w:r>
      <w:r>
        <w:rPr>
          <w:spacing w:val="-8"/>
          <w:w w:val="120"/>
          <w:sz w:val="20"/>
        </w:rPr>
        <w:t>10.1 </w:t>
      </w:r>
      <w:r>
        <w:rPr>
          <w:w w:val="120"/>
          <w:sz w:val="20"/>
        </w:rPr>
        <w:t>above indicates, this would have to be smaller or shorter than at present, if it is not to cost more. This option shrinks the size of Assembly by about 20% and shortens it by a </w:t>
      </w:r>
      <w:r>
        <w:rPr>
          <w:spacing w:val="-4"/>
          <w:w w:val="120"/>
          <w:sz w:val="20"/>
        </w:rPr>
        <w:t>day, </w:t>
      </w:r>
      <w:r>
        <w:rPr>
          <w:w w:val="120"/>
          <w:sz w:val="20"/>
        </w:rPr>
        <w:t>from 72 hours to 48. There would be one meeting of Mission Council per </w:t>
      </w:r>
      <w:r>
        <w:rPr>
          <w:spacing w:val="-4"/>
          <w:w w:val="120"/>
          <w:sz w:val="20"/>
        </w:rPr>
        <w:t>year. </w:t>
      </w:r>
      <w:r>
        <w:rPr>
          <w:w w:val="120"/>
          <w:sz w:val="20"/>
        </w:rPr>
        <w:t>This would cost at </w:t>
      </w:r>
      <w:r>
        <w:rPr>
          <w:spacing w:val="-4"/>
          <w:w w:val="120"/>
          <w:sz w:val="20"/>
        </w:rPr>
        <w:t>£135,000 </w:t>
      </w:r>
      <w:r>
        <w:rPr>
          <w:w w:val="120"/>
          <w:sz w:val="20"/>
        </w:rPr>
        <w:t>for the General Assembly, with £20,000 for each Mission Council, i.e. </w:t>
      </w:r>
      <w:r>
        <w:rPr>
          <w:rFonts w:ascii="Stone Sans II ITC Std Bk" w:hAnsi="Stone Sans II ITC Std Bk"/>
          <w:b/>
          <w:w w:val="120"/>
          <w:sz w:val="20"/>
        </w:rPr>
        <w:t>a total cost of </w:t>
      </w:r>
      <w:r>
        <w:rPr>
          <w:rFonts w:ascii="Stone Sans II ITC Std Bk" w:hAnsi="Stone Sans II ITC Std Bk"/>
          <w:b/>
          <w:spacing w:val="-3"/>
          <w:w w:val="120"/>
          <w:sz w:val="20"/>
        </w:rPr>
        <w:t>£310,000 </w:t>
      </w:r>
      <w:r>
        <w:rPr>
          <w:w w:val="120"/>
          <w:sz w:val="20"/>
        </w:rPr>
        <w:t>over a two-year cycle </w:t>
      </w:r>
      <w:r>
        <w:rPr>
          <w:spacing w:val="-3"/>
          <w:w w:val="120"/>
          <w:sz w:val="20"/>
        </w:rPr>
        <w:t>(the </w:t>
      </w:r>
      <w:r>
        <w:rPr>
          <w:w w:val="120"/>
          <w:sz w:val="20"/>
        </w:rPr>
        <w:t>current budget being</w:t>
      </w:r>
      <w:r>
        <w:rPr>
          <w:spacing w:val="9"/>
          <w:w w:val="120"/>
          <w:sz w:val="20"/>
        </w:rPr>
        <w:t> </w:t>
      </w:r>
      <w:r>
        <w:rPr>
          <w:w w:val="120"/>
          <w:sz w:val="20"/>
        </w:rPr>
        <w:t>£280,000).</w:t>
      </w:r>
    </w:p>
    <w:p>
      <w:pPr>
        <w:pStyle w:val="BodyText"/>
        <w:spacing w:before="3"/>
        <w:rPr>
          <w:sz w:val="19"/>
        </w:rPr>
      </w:pPr>
    </w:p>
    <w:p>
      <w:pPr>
        <w:pStyle w:val="ListParagraph"/>
        <w:numPr>
          <w:ilvl w:val="1"/>
          <w:numId w:val="43"/>
        </w:numPr>
        <w:tabs>
          <w:tab w:pos="1227" w:val="left" w:leader="none"/>
          <w:tab w:pos="1228" w:val="left" w:leader="none"/>
        </w:tabs>
        <w:spacing w:line="235" w:lineRule="auto" w:before="0" w:after="0"/>
        <w:ind w:left="547" w:right="2132" w:firstLine="0"/>
        <w:jc w:val="left"/>
        <w:rPr>
          <w:sz w:val="20"/>
        </w:rPr>
      </w:pPr>
      <w:r>
        <w:rPr>
          <w:i/>
          <w:w w:val="120"/>
          <w:sz w:val="20"/>
        </w:rPr>
        <w:t>Option C: </w:t>
      </w:r>
      <w:r>
        <w:rPr>
          <w:w w:val="120"/>
          <w:sz w:val="20"/>
        </w:rPr>
        <w:t>an annual meeting, as in B above, but we keep the length of Assembly at 72 hours and shrink its membership by close to 50%. Again, there would be one meeting of Mission Council per </w:t>
      </w:r>
      <w:r>
        <w:rPr>
          <w:spacing w:val="-4"/>
          <w:w w:val="120"/>
          <w:sz w:val="20"/>
        </w:rPr>
        <w:t>year. </w:t>
      </w:r>
      <w:r>
        <w:rPr>
          <w:w w:val="120"/>
          <w:sz w:val="20"/>
        </w:rPr>
        <w:t>Assembly would cost </w:t>
      </w:r>
      <w:r>
        <w:rPr>
          <w:spacing w:val="-4"/>
          <w:w w:val="120"/>
          <w:sz w:val="20"/>
        </w:rPr>
        <w:t>£133,000, </w:t>
      </w:r>
      <w:r>
        <w:rPr>
          <w:w w:val="120"/>
          <w:sz w:val="20"/>
        </w:rPr>
        <w:t>with £20,000</w:t>
      </w:r>
      <w:r>
        <w:rPr>
          <w:spacing w:val="50"/>
          <w:w w:val="120"/>
          <w:sz w:val="20"/>
        </w:rPr>
        <w:t> </w:t>
      </w:r>
      <w:r>
        <w:rPr>
          <w:w w:val="120"/>
          <w:sz w:val="20"/>
        </w:rPr>
        <w:t>for</w:t>
      </w:r>
    </w:p>
    <w:p>
      <w:pPr>
        <w:spacing w:after="0" w:line="235" w:lineRule="auto"/>
        <w:jc w:val="left"/>
        <w:rPr>
          <w:sz w:val="20"/>
        </w:rPr>
        <w:sectPr>
          <w:headerReference w:type="even" r:id="rId190"/>
          <w:pgSz w:w="11910" w:h="16840"/>
          <w:pgMar w:header="0" w:footer="647" w:top="0" w:bottom="840" w:left="700" w:right="0"/>
        </w:sectPr>
      </w:pPr>
    </w:p>
    <w:p>
      <w:pPr>
        <w:pStyle w:val="BodyText"/>
      </w:pPr>
      <w:r>
        <w:rPr/>
        <w:drawing>
          <wp:anchor distT="0" distB="0" distL="0" distR="0" allowOverlap="1" layoutInCell="1" locked="0" behindDoc="0" simplePos="0" relativeHeight="251826176">
            <wp:simplePos x="0" y="0"/>
            <wp:positionH relativeFrom="page">
              <wp:posOffset>6974928</wp:posOffset>
            </wp:positionH>
            <wp:positionV relativeFrom="page">
              <wp:posOffset>0</wp:posOffset>
            </wp:positionV>
            <wp:extent cx="585076" cy="10692003"/>
            <wp:effectExtent l="0" t="0" r="0" b="0"/>
            <wp:wrapNone/>
            <wp:docPr id="115" name="image50.png"/>
            <wp:cNvGraphicFramePr>
              <a:graphicFrameLocks noChangeAspect="1"/>
            </wp:cNvGraphicFramePr>
            <a:graphic>
              <a:graphicData uri="http://schemas.openxmlformats.org/drawingml/2006/picture">
                <pic:pic>
                  <pic:nvPicPr>
                    <pic:cNvPr id="116"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02.2pt;mso-position-horizontal-relative:page;mso-position-vertical-relative:paragraph;z-index:251827200"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color w:val="7EAABF"/>
          <w:w w:val="120"/>
        </w:rPr>
        <w:t>Mission Council</w:t>
      </w:r>
    </w:p>
    <w:p>
      <w:pPr>
        <w:pStyle w:val="BodyText"/>
        <w:spacing w:line="223" w:lineRule="auto" w:before="219"/>
        <w:ind w:left="1284" w:right="1560"/>
      </w:pPr>
      <w:r>
        <w:rPr>
          <w:w w:val="120"/>
        </w:rPr>
        <w:t>Mission Council, i.e. </w:t>
      </w:r>
      <w:r>
        <w:rPr>
          <w:rFonts w:ascii="Stone Sans II ITC Std Bk" w:hAnsi="Stone Sans II ITC Std Bk"/>
          <w:b/>
          <w:w w:val="120"/>
        </w:rPr>
        <w:t>a total of £306,000 </w:t>
      </w:r>
      <w:r>
        <w:rPr>
          <w:w w:val="120"/>
        </w:rPr>
        <w:t>over a two-year cycle </w:t>
      </w:r>
      <w:r>
        <w:rPr>
          <w:spacing w:val="-3"/>
          <w:w w:val="120"/>
        </w:rPr>
        <w:t>(the </w:t>
      </w:r>
      <w:r>
        <w:rPr>
          <w:w w:val="120"/>
        </w:rPr>
        <w:t>current budget being £280,000).</w:t>
      </w:r>
    </w:p>
    <w:p>
      <w:pPr>
        <w:pStyle w:val="BodyText"/>
      </w:pPr>
    </w:p>
    <w:p>
      <w:pPr>
        <w:pStyle w:val="ListParagraph"/>
        <w:numPr>
          <w:ilvl w:val="1"/>
          <w:numId w:val="43"/>
        </w:numPr>
        <w:tabs>
          <w:tab w:pos="1964" w:val="left" w:leader="none"/>
          <w:tab w:pos="1965" w:val="left" w:leader="none"/>
        </w:tabs>
        <w:spacing w:line="235" w:lineRule="auto" w:before="0" w:after="0"/>
        <w:ind w:left="1284" w:right="1437" w:firstLine="0"/>
        <w:jc w:val="left"/>
        <w:rPr>
          <w:sz w:val="20"/>
        </w:rPr>
      </w:pPr>
      <w:r>
        <w:rPr>
          <w:i/>
          <w:w w:val="120"/>
          <w:sz w:val="20"/>
        </w:rPr>
        <w:t>Option D: </w:t>
      </w:r>
      <w:r>
        <w:rPr>
          <w:w w:val="120"/>
          <w:sz w:val="20"/>
        </w:rPr>
        <w:t>we would go The Hayes, Swanwick, Derbyshire, annually, and would be the sole users of their site for the period of Assembly. This would allow us to combine the membership numbers from B above </w:t>
      </w:r>
      <w:r>
        <w:rPr>
          <w:spacing w:val="-3"/>
          <w:w w:val="120"/>
          <w:sz w:val="20"/>
        </w:rPr>
        <w:t>(20% </w:t>
      </w:r>
      <w:r>
        <w:rPr>
          <w:w w:val="120"/>
          <w:sz w:val="20"/>
        </w:rPr>
        <w:t>shrinkage), with a 72-hour Assembly as in C above. Again, there would be one meeting of Mission Council per </w:t>
      </w:r>
      <w:r>
        <w:rPr>
          <w:spacing w:val="-4"/>
          <w:w w:val="120"/>
          <w:sz w:val="20"/>
        </w:rPr>
        <w:t>year.</w:t>
      </w:r>
      <w:r>
        <w:rPr>
          <w:spacing w:val="10"/>
          <w:w w:val="120"/>
          <w:sz w:val="20"/>
        </w:rPr>
        <w:t> </w:t>
      </w:r>
      <w:r>
        <w:rPr>
          <w:w w:val="120"/>
          <w:sz w:val="20"/>
        </w:rPr>
        <w:t>The</w:t>
      </w:r>
      <w:r>
        <w:rPr>
          <w:spacing w:val="10"/>
          <w:w w:val="120"/>
          <w:sz w:val="20"/>
        </w:rPr>
        <w:t> </w:t>
      </w:r>
      <w:r>
        <w:rPr>
          <w:w w:val="120"/>
          <w:sz w:val="20"/>
        </w:rPr>
        <w:t>cost</w:t>
      </w:r>
      <w:r>
        <w:rPr>
          <w:spacing w:val="10"/>
          <w:w w:val="120"/>
          <w:sz w:val="20"/>
        </w:rPr>
        <w:t> </w:t>
      </w:r>
      <w:r>
        <w:rPr>
          <w:w w:val="120"/>
          <w:sz w:val="20"/>
        </w:rPr>
        <w:t>would</w:t>
      </w:r>
      <w:r>
        <w:rPr>
          <w:spacing w:val="10"/>
          <w:w w:val="120"/>
          <w:sz w:val="20"/>
        </w:rPr>
        <w:t> </w:t>
      </w:r>
      <w:r>
        <w:rPr>
          <w:w w:val="120"/>
          <w:sz w:val="20"/>
        </w:rPr>
        <w:t>be</w:t>
      </w:r>
      <w:r>
        <w:rPr>
          <w:spacing w:val="10"/>
          <w:w w:val="120"/>
          <w:sz w:val="20"/>
        </w:rPr>
        <w:t> </w:t>
      </w:r>
      <w:r>
        <w:rPr>
          <w:spacing w:val="-3"/>
          <w:w w:val="120"/>
          <w:sz w:val="20"/>
        </w:rPr>
        <w:t>£103,000</w:t>
      </w:r>
      <w:r>
        <w:rPr>
          <w:spacing w:val="10"/>
          <w:w w:val="120"/>
          <w:sz w:val="20"/>
        </w:rPr>
        <w:t> </w:t>
      </w:r>
      <w:r>
        <w:rPr>
          <w:w w:val="120"/>
          <w:sz w:val="20"/>
        </w:rPr>
        <w:t>for</w:t>
      </w:r>
      <w:r>
        <w:rPr>
          <w:spacing w:val="11"/>
          <w:w w:val="120"/>
          <w:sz w:val="20"/>
        </w:rPr>
        <w:t> </w:t>
      </w:r>
      <w:r>
        <w:rPr>
          <w:w w:val="120"/>
          <w:sz w:val="20"/>
        </w:rPr>
        <w:t>the</w:t>
      </w:r>
      <w:r>
        <w:rPr>
          <w:spacing w:val="10"/>
          <w:w w:val="120"/>
          <w:sz w:val="20"/>
        </w:rPr>
        <w:t> </w:t>
      </w:r>
      <w:r>
        <w:rPr>
          <w:w w:val="120"/>
          <w:sz w:val="20"/>
        </w:rPr>
        <w:t>Assembly,</w:t>
      </w:r>
      <w:r>
        <w:rPr>
          <w:spacing w:val="10"/>
          <w:w w:val="120"/>
          <w:sz w:val="20"/>
        </w:rPr>
        <w:t> </w:t>
      </w:r>
      <w:r>
        <w:rPr>
          <w:w w:val="120"/>
          <w:sz w:val="20"/>
        </w:rPr>
        <w:t>with</w:t>
      </w:r>
      <w:r>
        <w:rPr>
          <w:spacing w:val="10"/>
          <w:w w:val="120"/>
          <w:sz w:val="20"/>
        </w:rPr>
        <w:t> </w:t>
      </w:r>
      <w:r>
        <w:rPr>
          <w:w w:val="120"/>
          <w:sz w:val="20"/>
        </w:rPr>
        <w:t>£20,000</w:t>
      </w:r>
      <w:r>
        <w:rPr>
          <w:spacing w:val="10"/>
          <w:w w:val="120"/>
          <w:sz w:val="20"/>
        </w:rPr>
        <w:t> </w:t>
      </w:r>
      <w:r>
        <w:rPr>
          <w:w w:val="120"/>
          <w:sz w:val="20"/>
        </w:rPr>
        <w:t>for</w:t>
      </w:r>
      <w:r>
        <w:rPr>
          <w:spacing w:val="10"/>
          <w:w w:val="120"/>
          <w:sz w:val="20"/>
        </w:rPr>
        <w:t> </w:t>
      </w:r>
      <w:r>
        <w:rPr>
          <w:w w:val="120"/>
          <w:sz w:val="20"/>
        </w:rPr>
        <w:t>Mission</w:t>
      </w:r>
      <w:r>
        <w:rPr>
          <w:spacing w:val="11"/>
          <w:w w:val="120"/>
          <w:sz w:val="20"/>
        </w:rPr>
        <w:t> </w:t>
      </w:r>
      <w:r>
        <w:rPr>
          <w:w w:val="120"/>
          <w:sz w:val="20"/>
        </w:rPr>
        <w:t>Council,</w:t>
      </w:r>
    </w:p>
    <w:p>
      <w:pPr>
        <w:spacing w:line="258" w:lineRule="exact" w:before="0"/>
        <w:ind w:left="1284" w:right="0" w:firstLine="0"/>
        <w:jc w:val="left"/>
        <w:rPr>
          <w:sz w:val="20"/>
        </w:rPr>
      </w:pPr>
      <w:r>
        <w:rPr>
          <w:w w:val="120"/>
          <w:sz w:val="20"/>
        </w:rPr>
        <w:t>i.e. </w:t>
      </w:r>
      <w:r>
        <w:rPr>
          <w:rFonts w:ascii="Stone Sans II ITC Std Bk" w:hAnsi="Stone Sans II ITC Std Bk"/>
          <w:b/>
          <w:w w:val="120"/>
          <w:sz w:val="20"/>
        </w:rPr>
        <w:t>a total of £246,000 </w:t>
      </w:r>
      <w:r>
        <w:rPr>
          <w:w w:val="120"/>
          <w:sz w:val="20"/>
        </w:rPr>
        <w:t>over a two-year cycle (the current budget being £280,000).</w:t>
      </w:r>
    </w:p>
    <w:p>
      <w:pPr>
        <w:pStyle w:val="BodyText"/>
        <w:spacing w:before="11"/>
      </w:pPr>
    </w:p>
    <w:p>
      <w:pPr>
        <w:pStyle w:val="Heading4"/>
        <w:numPr>
          <w:ilvl w:val="0"/>
          <w:numId w:val="43"/>
        </w:numPr>
        <w:tabs>
          <w:tab w:pos="1965" w:val="left" w:leader="none"/>
        </w:tabs>
        <w:spacing w:line="240" w:lineRule="auto" w:before="0" w:after="0"/>
        <w:ind w:left="1964" w:right="0" w:hanging="681"/>
        <w:jc w:val="left"/>
      </w:pPr>
      <w:r>
        <w:rPr>
          <w:w w:val="110"/>
        </w:rPr>
        <w:t>A </w:t>
      </w:r>
      <w:r>
        <w:rPr>
          <w:spacing w:val="4"/>
          <w:w w:val="110"/>
        </w:rPr>
        <w:t>recommended</w:t>
      </w:r>
      <w:r>
        <w:rPr>
          <w:spacing w:val="25"/>
          <w:w w:val="110"/>
        </w:rPr>
        <w:t> </w:t>
      </w:r>
      <w:r>
        <w:rPr>
          <w:spacing w:val="4"/>
          <w:w w:val="110"/>
        </w:rPr>
        <w:t>option</w:t>
      </w:r>
    </w:p>
    <w:p>
      <w:pPr>
        <w:pStyle w:val="BodyText"/>
        <w:spacing w:before="65"/>
        <w:ind w:left="1284"/>
      </w:pPr>
      <w:r>
        <w:rPr>
          <w:w w:val="120"/>
        </w:rPr>
        <w:t>Option D is our preference. Here are the reasons.</w:t>
      </w:r>
    </w:p>
    <w:p>
      <w:pPr>
        <w:pStyle w:val="BodyText"/>
        <w:spacing w:before="8"/>
        <w:rPr>
          <w:sz w:val="19"/>
        </w:rPr>
      </w:pPr>
    </w:p>
    <w:p>
      <w:pPr>
        <w:pStyle w:val="ListParagraph"/>
        <w:numPr>
          <w:ilvl w:val="1"/>
          <w:numId w:val="43"/>
        </w:numPr>
        <w:tabs>
          <w:tab w:pos="1964" w:val="left" w:leader="none"/>
          <w:tab w:pos="1965" w:val="left" w:leader="none"/>
        </w:tabs>
        <w:spacing w:line="235" w:lineRule="auto" w:before="0" w:after="0"/>
        <w:ind w:left="1284" w:right="1432" w:firstLine="0"/>
        <w:jc w:val="left"/>
        <w:rPr>
          <w:sz w:val="20"/>
        </w:rPr>
      </w:pPr>
      <w:r>
        <w:rPr>
          <w:w w:val="120"/>
          <w:sz w:val="20"/>
        </w:rPr>
        <w:t>It would enable General Assembly to continue to meet for 72 hours, without reducing the number of representatives very much. This is because the charges at The Hayes, which include use of the full facilities, all catering, and </w:t>
      </w:r>
      <w:r>
        <w:rPr>
          <w:spacing w:val="-3"/>
          <w:w w:val="120"/>
          <w:sz w:val="20"/>
        </w:rPr>
        <w:t>AV </w:t>
      </w:r>
      <w:r>
        <w:rPr>
          <w:w w:val="120"/>
          <w:sz w:val="20"/>
        </w:rPr>
        <w:t>equipment, are close to the costs for accommodation alone in other centres. The accommodation at The Hayes has improved in recent years so that it now compares with the kinds of hotels used for recent Assemblies, far ahead of university accommodation. The food quality has also improved in recent times, to a level comparable with any other facility that  we could afford. Should the bedroom numbers at The Hayes prove insufficient (there are just enough rooms if </w:t>
      </w:r>
      <w:r>
        <w:rPr>
          <w:spacing w:val="2"/>
          <w:w w:val="120"/>
          <w:sz w:val="20"/>
        </w:rPr>
        <w:t>no-one </w:t>
      </w:r>
      <w:r>
        <w:rPr>
          <w:w w:val="120"/>
          <w:sz w:val="20"/>
        </w:rPr>
        <w:t>at all </w:t>
      </w:r>
      <w:r>
        <w:rPr>
          <w:spacing w:val="-4"/>
          <w:w w:val="120"/>
          <w:sz w:val="20"/>
        </w:rPr>
        <w:t>shares), </w:t>
      </w:r>
      <w:r>
        <w:rPr>
          <w:w w:val="120"/>
          <w:sz w:val="20"/>
        </w:rPr>
        <w:t>there is a Travelodge one and half miles </w:t>
      </w:r>
      <w:r>
        <w:rPr>
          <w:spacing w:val="-4"/>
          <w:w w:val="120"/>
          <w:sz w:val="20"/>
        </w:rPr>
        <w:t>away, </w:t>
      </w:r>
      <w:r>
        <w:rPr>
          <w:w w:val="120"/>
          <w:sz w:val="20"/>
        </w:rPr>
        <w:t>which could accommodate a few members of GA who travelled by </w:t>
      </w:r>
      <w:r>
        <w:rPr>
          <w:spacing w:val="-3"/>
          <w:w w:val="120"/>
          <w:sz w:val="20"/>
        </w:rPr>
        <w:t>car, </w:t>
      </w:r>
      <w:r>
        <w:rPr>
          <w:w w:val="120"/>
          <w:sz w:val="20"/>
        </w:rPr>
        <w:t>with all meals taken at The</w:t>
      </w:r>
      <w:r>
        <w:rPr>
          <w:spacing w:val="6"/>
          <w:w w:val="120"/>
          <w:sz w:val="20"/>
        </w:rPr>
        <w:t> </w:t>
      </w:r>
      <w:r>
        <w:rPr>
          <w:w w:val="120"/>
          <w:sz w:val="20"/>
        </w:rPr>
        <w:t>Hayes.</w:t>
      </w:r>
    </w:p>
    <w:p>
      <w:pPr>
        <w:pStyle w:val="BodyText"/>
        <w:spacing w:before="3"/>
      </w:pPr>
    </w:p>
    <w:p>
      <w:pPr>
        <w:pStyle w:val="ListParagraph"/>
        <w:numPr>
          <w:ilvl w:val="1"/>
          <w:numId w:val="43"/>
        </w:numPr>
        <w:tabs>
          <w:tab w:pos="1964" w:val="left" w:leader="none"/>
          <w:tab w:pos="1965" w:val="left" w:leader="none"/>
        </w:tabs>
        <w:spacing w:line="235" w:lineRule="auto" w:before="0" w:after="0"/>
        <w:ind w:left="1284" w:right="1515" w:firstLine="0"/>
        <w:jc w:val="left"/>
        <w:rPr>
          <w:sz w:val="20"/>
        </w:rPr>
      </w:pPr>
      <w:r>
        <w:rPr>
          <w:w w:val="120"/>
          <w:sz w:val="20"/>
        </w:rPr>
        <w:t>The </w:t>
      </w:r>
      <w:r>
        <w:rPr>
          <w:spacing w:val="-3"/>
          <w:w w:val="120"/>
          <w:sz w:val="20"/>
        </w:rPr>
        <w:t>AV </w:t>
      </w:r>
      <w:r>
        <w:rPr>
          <w:w w:val="120"/>
          <w:sz w:val="20"/>
        </w:rPr>
        <w:t>equipment does not allow for live streaming. However, we understand that there are URC members with the skills and equipment to provide basic live streaming at a very low</w:t>
      </w:r>
      <w:r>
        <w:rPr>
          <w:spacing w:val="9"/>
          <w:w w:val="120"/>
          <w:sz w:val="20"/>
        </w:rPr>
        <w:t> </w:t>
      </w:r>
      <w:r>
        <w:rPr>
          <w:w w:val="120"/>
          <w:sz w:val="20"/>
        </w:rPr>
        <w:t>cost.</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1" w:after="0"/>
        <w:ind w:left="1284" w:right="1977" w:firstLine="0"/>
        <w:jc w:val="left"/>
        <w:rPr>
          <w:sz w:val="20"/>
        </w:rPr>
      </w:pPr>
      <w:r>
        <w:rPr>
          <w:w w:val="120"/>
          <w:sz w:val="20"/>
        </w:rPr>
        <w:t>It may be necessary to arrange a coach to/from Derby station, which will be cheaper than a large number of taxis, as the local train service to Alfreton</w:t>
      </w:r>
      <w:r>
        <w:rPr>
          <w:spacing w:val="21"/>
          <w:w w:val="120"/>
          <w:sz w:val="20"/>
        </w:rPr>
        <w:t> </w:t>
      </w:r>
      <w:r>
        <w:rPr>
          <w:w w:val="120"/>
          <w:sz w:val="20"/>
        </w:rPr>
        <w:t>and</w:t>
      </w:r>
    </w:p>
    <w:p>
      <w:pPr>
        <w:pStyle w:val="BodyText"/>
        <w:spacing w:line="235" w:lineRule="auto" w:before="1"/>
        <w:ind w:left="1284" w:right="1417"/>
      </w:pPr>
      <w:r>
        <w:rPr>
          <w:w w:val="120"/>
        </w:rPr>
        <w:t>associated taxis may not cope with the volume of traffic. The cost of this is low within the overall costs.</w:t>
      </w:r>
    </w:p>
    <w:p>
      <w:pPr>
        <w:pStyle w:val="BodyText"/>
        <w:spacing w:before="9"/>
        <w:rPr>
          <w:sz w:val="19"/>
        </w:rPr>
      </w:pPr>
    </w:p>
    <w:p>
      <w:pPr>
        <w:pStyle w:val="ListParagraph"/>
        <w:numPr>
          <w:ilvl w:val="1"/>
          <w:numId w:val="43"/>
        </w:numPr>
        <w:tabs>
          <w:tab w:pos="1964" w:val="left" w:leader="none"/>
          <w:tab w:pos="1965" w:val="left" w:leader="none"/>
        </w:tabs>
        <w:spacing w:line="235" w:lineRule="auto" w:before="1" w:after="0"/>
        <w:ind w:left="1284" w:right="1370" w:firstLine="0"/>
        <w:jc w:val="left"/>
        <w:rPr>
          <w:sz w:val="20"/>
        </w:rPr>
      </w:pPr>
      <w:r>
        <w:rPr>
          <w:w w:val="120"/>
          <w:sz w:val="20"/>
        </w:rPr>
        <w:t>Even the largest hall at The Hayes may not be big enough for us to meet around tables. However, there are many breakout rooms, and as noted in paragraph</w:t>
      </w:r>
      <w:r>
        <w:rPr>
          <w:spacing w:val="31"/>
          <w:w w:val="120"/>
          <w:sz w:val="20"/>
        </w:rPr>
        <w:t> </w:t>
      </w:r>
      <w:r>
        <w:rPr>
          <w:spacing w:val="-4"/>
          <w:w w:val="120"/>
          <w:sz w:val="20"/>
        </w:rPr>
        <w:t>9.2,</w:t>
      </w:r>
    </w:p>
    <w:p>
      <w:pPr>
        <w:pStyle w:val="BodyText"/>
        <w:spacing w:line="242" w:lineRule="exact"/>
        <w:ind w:left="1284"/>
      </w:pPr>
      <w:r>
        <w:rPr>
          <w:w w:val="120"/>
        </w:rPr>
        <w:t>we believe that these do have some advantages over table top conversations.</w:t>
      </w:r>
    </w:p>
    <w:p>
      <w:pPr>
        <w:pStyle w:val="BodyText"/>
        <w:spacing w:before="7"/>
        <w:rPr>
          <w:sz w:val="19"/>
        </w:rPr>
      </w:pPr>
    </w:p>
    <w:p>
      <w:pPr>
        <w:pStyle w:val="ListParagraph"/>
        <w:numPr>
          <w:ilvl w:val="1"/>
          <w:numId w:val="43"/>
        </w:numPr>
        <w:tabs>
          <w:tab w:pos="1965" w:val="left" w:leader="none"/>
        </w:tabs>
        <w:spacing w:line="235" w:lineRule="auto" w:before="0" w:after="0"/>
        <w:ind w:left="1284" w:right="1946" w:firstLine="0"/>
        <w:jc w:val="both"/>
        <w:rPr>
          <w:sz w:val="20"/>
        </w:rPr>
      </w:pPr>
      <w:r>
        <w:rPr>
          <w:w w:val="120"/>
          <w:sz w:val="20"/>
        </w:rPr>
        <w:t>The task group feels that what we could get for our money at The Hayes is significantly more than at any other venue, and it is our considered view that the disadvantages are considerably outweighed by the many</w:t>
      </w:r>
      <w:r>
        <w:rPr>
          <w:spacing w:val="33"/>
          <w:w w:val="120"/>
          <w:sz w:val="20"/>
        </w:rPr>
        <w:t> </w:t>
      </w:r>
      <w:r>
        <w:rPr>
          <w:w w:val="120"/>
          <w:sz w:val="20"/>
        </w:rPr>
        <w:t>advantages.</w:t>
      </w:r>
    </w:p>
    <w:p>
      <w:pPr>
        <w:pStyle w:val="BodyText"/>
        <w:spacing w:before="6"/>
        <w:rPr>
          <w:sz w:val="19"/>
        </w:rPr>
      </w:pPr>
    </w:p>
    <w:p>
      <w:pPr>
        <w:pStyle w:val="ListParagraph"/>
        <w:numPr>
          <w:ilvl w:val="1"/>
          <w:numId w:val="43"/>
        </w:numPr>
        <w:tabs>
          <w:tab w:pos="1965" w:val="left" w:leader="none"/>
        </w:tabs>
        <w:spacing w:line="240" w:lineRule="auto" w:before="1" w:after="0"/>
        <w:ind w:left="1964" w:right="0" w:hanging="681"/>
        <w:jc w:val="both"/>
        <w:rPr>
          <w:sz w:val="20"/>
        </w:rPr>
      </w:pPr>
      <w:r>
        <w:rPr>
          <w:w w:val="120"/>
          <w:sz w:val="20"/>
        </w:rPr>
        <w:t>Swanwick can comfortably seat all attendees for meals at one</w:t>
      </w:r>
      <w:r>
        <w:rPr>
          <w:spacing w:val="14"/>
          <w:w w:val="120"/>
          <w:sz w:val="20"/>
        </w:rPr>
        <w:t> </w:t>
      </w:r>
      <w:r>
        <w:rPr>
          <w:w w:val="120"/>
          <w:sz w:val="20"/>
        </w:rPr>
        <w:t>sitting.</w:t>
      </w:r>
    </w:p>
    <w:p>
      <w:pPr>
        <w:pStyle w:val="BodyText"/>
        <w:rPr>
          <w:sz w:val="22"/>
        </w:rPr>
      </w:pPr>
    </w:p>
    <w:p>
      <w:pPr>
        <w:pStyle w:val="Heading4"/>
        <w:numPr>
          <w:ilvl w:val="0"/>
          <w:numId w:val="43"/>
        </w:numPr>
        <w:tabs>
          <w:tab w:pos="1965" w:val="left" w:leader="none"/>
        </w:tabs>
        <w:spacing w:line="240" w:lineRule="auto" w:before="0" w:after="0"/>
        <w:ind w:left="1964" w:right="0" w:hanging="681"/>
        <w:jc w:val="both"/>
      </w:pPr>
      <w:r>
        <w:rPr>
          <w:spacing w:val="4"/>
          <w:w w:val="110"/>
        </w:rPr>
        <w:t>Numbers </w:t>
      </w:r>
      <w:r>
        <w:rPr>
          <w:spacing w:val="3"/>
          <w:w w:val="110"/>
        </w:rPr>
        <w:t>and</w:t>
      </w:r>
      <w:r>
        <w:rPr>
          <w:spacing w:val="21"/>
          <w:w w:val="110"/>
        </w:rPr>
        <w:t> </w:t>
      </w:r>
      <w:r>
        <w:rPr>
          <w:spacing w:val="4"/>
          <w:w w:val="110"/>
        </w:rPr>
        <w:t>costs</w:t>
      </w:r>
    </w:p>
    <w:p>
      <w:pPr>
        <w:pStyle w:val="BodyText"/>
        <w:spacing w:line="235" w:lineRule="auto" w:before="69"/>
        <w:ind w:left="1284" w:right="1283"/>
      </w:pPr>
      <w:r>
        <w:rPr>
          <w:w w:val="120"/>
        </w:rPr>
        <w:t>All of the schemes above have been worked through in detail. The proposed membership numbers and the estimated costs are given in tables at the end of this paper. To illustrate within the body of the report some of the detailed work tabulated there, these figures are outlined now for the preferred Option D.</w:t>
      </w:r>
    </w:p>
    <w:p>
      <w:pPr>
        <w:pStyle w:val="BodyText"/>
        <w:spacing w:before="11"/>
        <w:rPr>
          <w:sz w:val="19"/>
        </w:rPr>
      </w:pPr>
    </w:p>
    <w:p>
      <w:pPr>
        <w:pStyle w:val="ListParagraph"/>
        <w:numPr>
          <w:ilvl w:val="1"/>
          <w:numId w:val="43"/>
        </w:numPr>
        <w:tabs>
          <w:tab w:pos="1964" w:val="left" w:leader="none"/>
          <w:tab w:pos="1965" w:val="left" w:leader="none"/>
          <w:tab w:pos="2644" w:val="left" w:leader="none"/>
        </w:tabs>
        <w:spacing w:line="235" w:lineRule="auto" w:before="0" w:after="0"/>
        <w:ind w:left="1964" w:right="5089" w:hanging="681"/>
        <w:jc w:val="left"/>
        <w:rPr>
          <w:sz w:val="20"/>
        </w:rPr>
      </w:pPr>
      <w:r>
        <w:rPr>
          <w:w w:val="120"/>
          <w:sz w:val="20"/>
        </w:rPr>
        <w:t>The detailed and underlying assumptions: A</w:t>
        <w:tab/>
        <w:t>Duration 72 hours (three</w:t>
      </w:r>
      <w:r>
        <w:rPr>
          <w:spacing w:val="23"/>
          <w:w w:val="120"/>
          <w:sz w:val="20"/>
        </w:rPr>
        <w:t> </w:t>
      </w:r>
      <w:r>
        <w:rPr>
          <w:w w:val="120"/>
          <w:sz w:val="20"/>
        </w:rPr>
        <w:t>nights)</w:t>
      </w:r>
    </w:p>
    <w:p>
      <w:pPr>
        <w:pStyle w:val="ListParagraph"/>
        <w:numPr>
          <w:ilvl w:val="0"/>
          <w:numId w:val="51"/>
        </w:numPr>
        <w:tabs>
          <w:tab w:pos="2644" w:val="left" w:leader="none"/>
          <w:tab w:pos="2645" w:val="left" w:leader="none"/>
        </w:tabs>
        <w:spacing w:line="235" w:lineRule="auto" w:before="1" w:after="0"/>
        <w:ind w:left="2644" w:right="2325" w:hanging="681"/>
        <w:jc w:val="left"/>
        <w:rPr>
          <w:sz w:val="20"/>
        </w:rPr>
      </w:pPr>
      <w:r>
        <w:rPr>
          <w:w w:val="120"/>
          <w:sz w:val="20"/>
        </w:rPr>
        <w:t>Representatives reduced to </w:t>
      </w:r>
      <w:r>
        <w:rPr>
          <w:spacing w:val="-8"/>
          <w:w w:val="120"/>
          <w:sz w:val="20"/>
        </w:rPr>
        <w:t>16 </w:t>
      </w:r>
      <w:r>
        <w:rPr>
          <w:w w:val="120"/>
          <w:sz w:val="20"/>
        </w:rPr>
        <w:t>per synod including Moderators (reducing the total from </w:t>
      </w:r>
      <w:r>
        <w:rPr>
          <w:spacing w:val="-5"/>
          <w:w w:val="120"/>
          <w:sz w:val="20"/>
        </w:rPr>
        <w:t>269 </w:t>
      </w:r>
      <w:r>
        <w:rPr>
          <w:w w:val="120"/>
          <w:sz w:val="20"/>
        </w:rPr>
        <w:t>to</w:t>
      </w:r>
      <w:r>
        <w:rPr>
          <w:spacing w:val="23"/>
          <w:w w:val="120"/>
          <w:sz w:val="20"/>
        </w:rPr>
        <w:t> </w:t>
      </w:r>
      <w:r>
        <w:rPr>
          <w:spacing w:val="-3"/>
          <w:w w:val="120"/>
          <w:sz w:val="20"/>
        </w:rPr>
        <w:t>208)</w:t>
      </w:r>
    </w:p>
    <w:p>
      <w:pPr>
        <w:pStyle w:val="ListParagraph"/>
        <w:numPr>
          <w:ilvl w:val="0"/>
          <w:numId w:val="51"/>
        </w:numPr>
        <w:tabs>
          <w:tab w:pos="2644" w:val="left" w:leader="none"/>
          <w:tab w:pos="2645" w:val="left" w:leader="none"/>
        </w:tabs>
        <w:spacing w:line="240" w:lineRule="exact" w:before="0" w:after="0"/>
        <w:ind w:left="2644" w:right="0" w:hanging="681"/>
        <w:jc w:val="left"/>
        <w:rPr>
          <w:sz w:val="20"/>
        </w:rPr>
      </w:pPr>
      <w:r>
        <w:rPr>
          <w:w w:val="120"/>
          <w:sz w:val="20"/>
        </w:rPr>
        <w:t>Other members of Assembly total 38 (currently</w:t>
      </w:r>
      <w:r>
        <w:rPr>
          <w:spacing w:val="16"/>
          <w:w w:val="120"/>
          <w:sz w:val="20"/>
        </w:rPr>
        <w:t> </w:t>
      </w:r>
      <w:r>
        <w:rPr>
          <w:w w:val="120"/>
          <w:sz w:val="20"/>
        </w:rPr>
        <w:t>46)</w:t>
      </w:r>
    </w:p>
    <w:p>
      <w:pPr>
        <w:pStyle w:val="ListParagraph"/>
        <w:numPr>
          <w:ilvl w:val="0"/>
          <w:numId w:val="51"/>
        </w:numPr>
        <w:tabs>
          <w:tab w:pos="2644" w:val="left" w:leader="none"/>
          <w:tab w:pos="2645" w:val="left" w:leader="none"/>
        </w:tabs>
        <w:spacing w:line="235" w:lineRule="auto" w:before="2" w:after="0"/>
        <w:ind w:left="1964" w:right="2923" w:firstLine="0"/>
        <w:jc w:val="left"/>
        <w:rPr>
          <w:sz w:val="20"/>
        </w:rPr>
      </w:pPr>
      <w:r>
        <w:rPr>
          <w:w w:val="120"/>
          <w:sz w:val="20"/>
        </w:rPr>
        <w:t>Cost is £60,000 for accommodation; catering is included. E</w:t>
        <w:tab/>
      </w:r>
      <w:r>
        <w:rPr>
          <w:spacing w:val="-3"/>
          <w:w w:val="120"/>
          <w:sz w:val="20"/>
        </w:rPr>
        <w:t>Travel </w:t>
      </w:r>
      <w:r>
        <w:rPr>
          <w:w w:val="120"/>
          <w:sz w:val="20"/>
        </w:rPr>
        <w:t>costs average</w:t>
      </w:r>
      <w:r>
        <w:rPr>
          <w:spacing w:val="9"/>
          <w:w w:val="120"/>
          <w:sz w:val="20"/>
        </w:rPr>
        <w:t> </w:t>
      </w:r>
      <w:r>
        <w:rPr>
          <w:w w:val="120"/>
          <w:sz w:val="20"/>
        </w:rPr>
        <w:t>£80</w:t>
      </w:r>
    </w:p>
    <w:p>
      <w:pPr>
        <w:pStyle w:val="BodyText"/>
        <w:tabs>
          <w:tab w:pos="2644" w:val="left" w:leader="none"/>
        </w:tabs>
        <w:spacing w:line="242" w:lineRule="exact"/>
        <w:ind w:left="1964"/>
      </w:pPr>
      <w:r>
        <w:rPr>
          <w:w w:val="120"/>
        </w:rPr>
        <w:t>F</w:t>
        <w:tab/>
        <w:t>Venue and </w:t>
      </w:r>
      <w:r>
        <w:rPr>
          <w:spacing w:val="-5"/>
          <w:w w:val="120"/>
        </w:rPr>
        <w:t>AV:</w:t>
      </w:r>
      <w:r>
        <w:rPr>
          <w:spacing w:val="34"/>
          <w:w w:val="120"/>
        </w:rPr>
        <w:t> </w:t>
      </w:r>
      <w:r>
        <w:rPr>
          <w:w w:val="120"/>
        </w:rPr>
        <w:t>included.</w:t>
      </w:r>
    </w:p>
    <w:p>
      <w:pPr>
        <w:spacing w:after="0" w:line="242" w:lineRule="exact"/>
        <w:sectPr>
          <w:headerReference w:type="default" r:id="rId191"/>
          <w:footerReference w:type="default" r:id="rId192"/>
          <w:footerReference w:type="even" r:id="rId193"/>
          <w:pgSz w:w="11910" w:h="16840"/>
          <w:pgMar w:header="0" w:footer="647" w:top="0" w:bottom="840" w:left="700" w:right="0"/>
          <w:pgNumType w:start="63"/>
        </w:sectPr>
      </w:pPr>
    </w:p>
    <w:p>
      <w:pPr>
        <w:pStyle w:val="BodyText"/>
      </w:pPr>
      <w:r>
        <w:rPr/>
        <w:drawing>
          <wp:anchor distT="0" distB="0" distL="0" distR="0" allowOverlap="1" layoutInCell="1" locked="0" behindDoc="1" simplePos="0" relativeHeight="235860992">
            <wp:simplePos x="0" y="0"/>
            <wp:positionH relativeFrom="page">
              <wp:posOffset>0</wp:posOffset>
            </wp:positionH>
            <wp:positionV relativeFrom="page">
              <wp:posOffset>0</wp:posOffset>
            </wp:positionV>
            <wp:extent cx="594067" cy="10692003"/>
            <wp:effectExtent l="0" t="0" r="0" b="0"/>
            <wp:wrapNone/>
            <wp:docPr id="117" name="image49.png"/>
            <wp:cNvGraphicFramePr>
              <a:graphicFrameLocks noChangeAspect="1"/>
            </wp:cNvGraphicFramePr>
            <a:graphic>
              <a:graphicData uri="http://schemas.openxmlformats.org/drawingml/2006/picture">
                <pic:pic>
                  <pic:nvPicPr>
                    <pic:cNvPr id="118"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54464"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pStyle w:val="Heading5"/>
        <w:ind w:left="547"/>
      </w:pPr>
      <w:r>
        <w:rPr>
          <w:color w:val="7EAABF"/>
          <w:w w:val="120"/>
        </w:rPr>
        <w:t>Mission Council</w:t>
      </w:r>
    </w:p>
    <w:p>
      <w:pPr>
        <w:pStyle w:val="BodyText"/>
        <w:tabs>
          <w:tab w:pos="1907" w:val="left" w:leader="none"/>
        </w:tabs>
        <w:spacing w:line="235" w:lineRule="auto" w:before="222"/>
        <w:ind w:left="1227" w:right="2771"/>
      </w:pPr>
      <w:r>
        <w:rPr>
          <w:w w:val="120"/>
        </w:rPr>
        <w:t>G.</w:t>
        <w:tab/>
        <w:t>Transportation </w:t>
      </w:r>
      <w:r>
        <w:rPr>
          <w:spacing w:val="-6"/>
          <w:w w:val="120"/>
        </w:rPr>
        <w:t>(of </w:t>
      </w:r>
      <w:r>
        <w:rPr>
          <w:w w:val="120"/>
        </w:rPr>
        <w:t>equipment and materials, from London) £1,500 H</w:t>
        <w:tab/>
        <w:t>Additional programme costs: £2,500 for Moderators’</w:t>
      </w:r>
      <w:r>
        <w:rPr>
          <w:spacing w:val="30"/>
          <w:w w:val="120"/>
        </w:rPr>
        <w:t> </w:t>
      </w:r>
      <w:r>
        <w:rPr>
          <w:w w:val="120"/>
        </w:rPr>
        <w:t>specials</w:t>
      </w:r>
    </w:p>
    <w:p>
      <w:pPr>
        <w:tabs>
          <w:tab w:pos="1907" w:val="left" w:leader="none"/>
        </w:tabs>
        <w:spacing w:line="235" w:lineRule="auto" w:before="1"/>
        <w:ind w:left="1227" w:right="3242" w:firstLine="0"/>
        <w:jc w:val="left"/>
        <w:rPr>
          <w:sz w:val="20"/>
        </w:rPr>
      </w:pPr>
      <w:r>
        <w:rPr>
          <w:w w:val="115"/>
          <w:sz w:val="20"/>
        </w:rPr>
        <w:t>I</w:t>
        <w:tab/>
        <w:t>£3,300 for </w:t>
      </w:r>
      <w:r>
        <w:rPr>
          <w:i/>
          <w:w w:val="115"/>
          <w:sz w:val="20"/>
        </w:rPr>
        <w:t>What do you think? </w:t>
      </w:r>
      <w:r>
        <w:rPr>
          <w:w w:val="115"/>
          <w:sz w:val="20"/>
        </w:rPr>
        <w:t>(URC </w:t>
      </w:r>
      <w:r>
        <w:rPr>
          <w:spacing w:val="-3"/>
          <w:w w:val="115"/>
          <w:sz w:val="20"/>
        </w:rPr>
        <w:t>Youth  </w:t>
      </w:r>
      <w:r>
        <w:rPr>
          <w:w w:val="115"/>
          <w:sz w:val="20"/>
        </w:rPr>
        <w:t>event, linked to GA)   J</w:t>
        <w:tab/>
        <w:t>Set-up</w:t>
      </w:r>
      <w:r>
        <w:rPr>
          <w:spacing w:val="4"/>
          <w:w w:val="115"/>
          <w:sz w:val="20"/>
        </w:rPr>
        <w:t> </w:t>
      </w:r>
      <w:r>
        <w:rPr>
          <w:w w:val="115"/>
          <w:sz w:val="20"/>
        </w:rPr>
        <w:t>costs:</w:t>
      </w:r>
    </w:p>
    <w:p>
      <w:pPr>
        <w:pStyle w:val="BodyText"/>
        <w:spacing w:line="240" w:lineRule="exact"/>
        <w:ind w:left="1907"/>
      </w:pPr>
      <w:r>
        <w:rPr>
          <w:w w:val="120"/>
        </w:rPr>
        <w:t>Printing £3,000 (based on papers requested) remainder by internet</w:t>
      </w:r>
    </w:p>
    <w:p>
      <w:pPr>
        <w:pStyle w:val="BodyText"/>
        <w:spacing w:line="235" w:lineRule="auto" w:before="2"/>
        <w:ind w:left="1907" w:right="1283"/>
      </w:pPr>
      <w:r>
        <w:rPr>
          <w:w w:val="120"/>
        </w:rPr>
        <w:t>Staff £5,000 (contribution to other Church House budgets for use of staff) Committee costs £1,250 (no site visits needed)</w:t>
      </w:r>
    </w:p>
    <w:p>
      <w:pPr>
        <w:pStyle w:val="BodyText"/>
        <w:tabs>
          <w:tab w:pos="1907" w:val="left" w:leader="none"/>
        </w:tabs>
        <w:spacing w:line="242" w:lineRule="exact"/>
        <w:ind w:left="1227"/>
      </w:pPr>
      <w:r>
        <w:rPr>
          <w:w w:val="125"/>
        </w:rPr>
        <w:t>K</w:t>
        <w:tab/>
        <w:t>Contingency</w:t>
      </w:r>
      <w:r>
        <w:rPr>
          <w:spacing w:val="-1"/>
          <w:w w:val="125"/>
        </w:rPr>
        <w:t> </w:t>
      </w:r>
      <w:r>
        <w:rPr>
          <w:w w:val="125"/>
        </w:rPr>
        <w:t>£5,000</w:t>
      </w:r>
    </w:p>
    <w:p>
      <w:pPr>
        <w:pStyle w:val="BodyText"/>
        <w:spacing w:before="7"/>
        <w:rPr>
          <w:sz w:val="19"/>
        </w:rPr>
      </w:pPr>
    </w:p>
    <w:p>
      <w:pPr>
        <w:pStyle w:val="ListParagraph"/>
        <w:numPr>
          <w:ilvl w:val="1"/>
          <w:numId w:val="43"/>
        </w:numPr>
        <w:tabs>
          <w:tab w:pos="1227" w:val="left" w:leader="none"/>
          <w:tab w:pos="1228" w:val="left" w:leader="none"/>
        </w:tabs>
        <w:spacing w:line="235" w:lineRule="auto" w:before="0" w:after="0"/>
        <w:ind w:left="547" w:right="2202" w:firstLine="0"/>
        <w:jc w:val="left"/>
        <w:rPr>
          <w:sz w:val="20"/>
        </w:rPr>
      </w:pPr>
      <w:r>
        <w:rPr>
          <w:w w:val="120"/>
          <w:sz w:val="20"/>
        </w:rPr>
        <w:t>While the task group has confidence that these figures are as realistic and achievable as any figures could be this far in advance, they are offered to demonstrate that the task group has undertaken proper research, not to provide a firm budget against which account can be held with suppliers that have not yet been identified,   let alone negotiations</w:t>
      </w:r>
      <w:r>
        <w:rPr>
          <w:spacing w:val="7"/>
          <w:w w:val="120"/>
          <w:sz w:val="20"/>
        </w:rPr>
        <w:t> </w:t>
      </w:r>
      <w:r>
        <w:rPr>
          <w:w w:val="120"/>
          <w:sz w:val="20"/>
        </w:rPr>
        <w:t>begun.</w:t>
      </w:r>
    </w:p>
    <w:p>
      <w:pPr>
        <w:pStyle w:val="BodyText"/>
        <w:spacing w:before="8"/>
        <w:rPr>
          <w:sz w:val="19"/>
        </w:rPr>
      </w:pPr>
    </w:p>
    <w:p>
      <w:pPr>
        <w:pStyle w:val="ListParagraph"/>
        <w:numPr>
          <w:ilvl w:val="1"/>
          <w:numId w:val="43"/>
        </w:numPr>
        <w:tabs>
          <w:tab w:pos="1227" w:val="left" w:leader="none"/>
          <w:tab w:pos="1228" w:val="left" w:leader="none"/>
        </w:tabs>
        <w:spacing w:line="242" w:lineRule="exact" w:before="1" w:after="0"/>
        <w:ind w:left="1227" w:right="0" w:hanging="681"/>
        <w:jc w:val="left"/>
        <w:rPr>
          <w:sz w:val="20"/>
        </w:rPr>
      </w:pPr>
      <w:r>
        <w:rPr>
          <w:w w:val="120"/>
          <w:sz w:val="20"/>
        </w:rPr>
        <w:t>Work of similar detail has been done for the other options, where</w:t>
      </w:r>
      <w:r>
        <w:rPr>
          <w:spacing w:val="22"/>
          <w:w w:val="120"/>
          <w:sz w:val="20"/>
        </w:rPr>
        <w:t> </w:t>
      </w:r>
      <w:r>
        <w:rPr>
          <w:w w:val="120"/>
          <w:sz w:val="20"/>
        </w:rPr>
        <w:t>catering,</w:t>
      </w:r>
    </w:p>
    <w:p>
      <w:pPr>
        <w:pStyle w:val="BodyText"/>
        <w:spacing w:line="235" w:lineRule="auto" w:before="1"/>
        <w:ind w:left="547" w:right="2112"/>
      </w:pPr>
      <w:r>
        <w:rPr>
          <w:w w:val="120"/>
        </w:rPr>
        <w:t>AV costs and venue costs also needed to be counted as lines of their own, as we could not expect them to be included as part of accommodation costs.</w:t>
      </w:r>
    </w:p>
    <w:p>
      <w:pPr>
        <w:pStyle w:val="BodyText"/>
        <w:spacing w:before="6"/>
        <w:rPr>
          <w:sz w:val="19"/>
        </w:rPr>
      </w:pPr>
    </w:p>
    <w:p>
      <w:pPr>
        <w:pStyle w:val="ListParagraph"/>
        <w:numPr>
          <w:ilvl w:val="1"/>
          <w:numId w:val="43"/>
        </w:numPr>
        <w:tabs>
          <w:tab w:pos="1227" w:val="left" w:leader="none"/>
          <w:tab w:pos="1228" w:val="left" w:leader="none"/>
        </w:tabs>
        <w:spacing w:line="242" w:lineRule="exact" w:before="0" w:after="0"/>
        <w:ind w:left="1227" w:right="0" w:hanging="681"/>
        <w:jc w:val="left"/>
        <w:rPr>
          <w:sz w:val="20"/>
        </w:rPr>
      </w:pPr>
      <w:r>
        <w:rPr>
          <w:w w:val="120"/>
          <w:sz w:val="20"/>
        </w:rPr>
        <w:t>The resolutions below on numbers make limited reductions</w:t>
      </w:r>
      <w:r>
        <w:rPr>
          <w:spacing w:val="19"/>
          <w:w w:val="120"/>
          <w:sz w:val="20"/>
        </w:rPr>
        <w:t> </w:t>
      </w:r>
      <w:r>
        <w:rPr>
          <w:w w:val="120"/>
          <w:sz w:val="20"/>
        </w:rPr>
        <w:t>in:</w:t>
      </w:r>
    </w:p>
    <w:p>
      <w:pPr>
        <w:pStyle w:val="ListParagraph"/>
        <w:numPr>
          <w:ilvl w:val="0"/>
          <w:numId w:val="52"/>
        </w:numPr>
        <w:tabs>
          <w:tab w:pos="1227" w:val="left" w:leader="none"/>
          <w:tab w:pos="1228" w:val="left" w:leader="none"/>
        </w:tabs>
        <w:spacing w:line="240" w:lineRule="exact" w:before="0" w:after="0"/>
        <w:ind w:left="1227" w:right="0" w:hanging="681"/>
        <w:jc w:val="left"/>
        <w:rPr>
          <w:sz w:val="20"/>
        </w:rPr>
      </w:pPr>
      <w:r>
        <w:rPr>
          <w:w w:val="120"/>
          <w:sz w:val="20"/>
        </w:rPr>
        <w:t>the number of ecumenical representatives, from six to</w:t>
      </w:r>
      <w:r>
        <w:rPr>
          <w:spacing w:val="12"/>
          <w:w w:val="120"/>
          <w:sz w:val="20"/>
        </w:rPr>
        <w:t> </w:t>
      </w:r>
      <w:r>
        <w:rPr>
          <w:w w:val="120"/>
          <w:sz w:val="20"/>
        </w:rPr>
        <w:t>five;</w:t>
      </w:r>
    </w:p>
    <w:p>
      <w:pPr>
        <w:pStyle w:val="ListParagraph"/>
        <w:numPr>
          <w:ilvl w:val="0"/>
          <w:numId w:val="52"/>
        </w:numPr>
        <w:tabs>
          <w:tab w:pos="1227" w:val="left" w:leader="none"/>
          <w:tab w:pos="1228" w:val="left" w:leader="none"/>
        </w:tabs>
        <w:spacing w:line="240" w:lineRule="exact" w:before="0" w:after="0"/>
        <w:ind w:left="1227" w:right="0" w:hanging="681"/>
        <w:jc w:val="left"/>
        <w:rPr>
          <w:sz w:val="20"/>
        </w:rPr>
      </w:pPr>
      <w:r>
        <w:rPr>
          <w:w w:val="120"/>
          <w:sz w:val="20"/>
        </w:rPr>
        <w:t>the international representation, from six to</w:t>
      </w:r>
      <w:r>
        <w:rPr>
          <w:spacing w:val="8"/>
          <w:w w:val="120"/>
          <w:sz w:val="20"/>
        </w:rPr>
        <w:t> </w:t>
      </w:r>
      <w:r>
        <w:rPr>
          <w:w w:val="120"/>
          <w:sz w:val="20"/>
        </w:rPr>
        <w:t>five;</w:t>
      </w:r>
    </w:p>
    <w:p>
      <w:pPr>
        <w:pStyle w:val="ListParagraph"/>
        <w:numPr>
          <w:ilvl w:val="0"/>
          <w:numId w:val="52"/>
        </w:numPr>
        <w:tabs>
          <w:tab w:pos="1227" w:val="left" w:leader="none"/>
          <w:tab w:pos="1228" w:val="left" w:leader="none"/>
        </w:tabs>
        <w:spacing w:line="240" w:lineRule="exact" w:before="0" w:after="0"/>
        <w:ind w:left="1227" w:right="0" w:hanging="681"/>
        <w:jc w:val="left"/>
        <w:rPr>
          <w:sz w:val="20"/>
        </w:rPr>
      </w:pPr>
      <w:r>
        <w:rPr>
          <w:w w:val="120"/>
          <w:sz w:val="20"/>
        </w:rPr>
        <w:t>URC </w:t>
      </w:r>
      <w:r>
        <w:rPr>
          <w:spacing w:val="-3"/>
          <w:w w:val="120"/>
          <w:sz w:val="20"/>
        </w:rPr>
        <w:t>Youth, </w:t>
      </w:r>
      <w:r>
        <w:rPr>
          <w:w w:val="120"/>
          <w:sz w:val="20"/>
        </w:rPr>
        <w:t>from three to two, as it was before the Assembly became</w:t>
      </w:r>
      <w:r>
        <w:rPr>
          <w:spacing w:val="30"/>
          <w:w w:val="120"/>
          <w:sz w:val="20"/>
        </w:rPr>
        <w:t> </w:t>
      </w:r>
      <w:r>
        <w:rPr>
          <w:w w:val="120"/>
          <w:sz w:val="20"/>
        </w:rPr>
        <w:t>biennial;</w:t>
      </w:r>
    </w:p>
    <w:p>
      <w:pPr>
        <w:pStyle w:val="ListParagraph"/>
        <w:numPr>
          <w:ilvl w:val="0"/>
          <w:numId w:val="52"/>
        </w:numPr>
        <w:tabs>
          <w:tab w:pos="1227" w:val="left" w:leader="none"/>
          <w:tab w:pos="1228" w:val="left" w:leader="none"/>
        </w:tabs>
        <w:spacing w:line="235" w:lineRule="auto" w:before="2" w:after="0"/>
        <w:ind w:left="1227" w:right="2148" w:hanging="681"/>
        <w:jc w:val="left"/>
        <w:rPr>
          <w:sz w:val="20"/>
        </w:rPr>
      </w:pPr>
      <w:r>
        <w:rPr>
          <w:w w:val="120"/>
          <w:sz w:val="20"/>
        </w:rPr>
        <w:t>Resource Centre for Learning representation, to reflect the present low number of </w:t>
      </w:r>
      <w:r>
        <w:rPr>
          <w:spacing w:val="-3"/>
          <w:w w:val="120"/>
          <w:sz w:val="20"/>
        </w:rPr>
        <w:t>EM1 </w:t>
      </w:r>
      <w:r>
        <w:rPr>
          <w:w w:val="120"/>
          <w:sz w:val="20"/>
        </w:rPr>
        <w:t>students, who indeed already have a common representation on the education and learning</w:t>
      </w:r>
      <w:r>
        <w:rPr>
          <w:spacing w:val="7"/>
          <w:w w:val="120"/>
          <w:sz w:val="20"/>
        </w:rPr>
        <w:t> </w:t>
      </w:r>
      <w:r>
        <w:rPr>
          <w:w w:val="120"/>
          <w:sz w:val="20"/>
        </w:rPr>
        <w:t>committee;</w:t>
      </w:r>
    </w:p>
    <w:p>
      <w:pPr>
        <w:pStyle w:val="ListParagraph"/>
        <w:numPr>
          <w:ilvl w:val="0"/>
          <w:numId w:val="52"/>
        </w:numPr>
        <w:tabs>
          <w:tab w:pos="1227" w:val="left" w:leader="none"/>
          <w:tab w:pos="1228" w:val="left" w:leader="none"/>
        </w:tabs>
        <w:spacing w:line="235" w:lineRule="auto" w:before="2" w:after="0"/>
        <w:ind w:left="1227" w:right="2178" w:hanging="681"/>
        <w:jc w:val="left"/>
        <w:rPr>
          <w:sz w:val="20"/>
        </w:rPr>
      </w:pPr>
      <w:r>
        <w:rPr>
          <w:w w:val="120"/>
          <w:sz w:val="20"/>
        </w:rPr>
        <w:t>the number of committee convenors. The pastoral reference and welfare committee is necessarily private in almost everything it does, and its convenors have not always found it necessary to attend central council</w:t>
      </w:r>
      <w:r>
        <w:rPr>
          <w:spacing w:val="18"/>
          <w:w w:val="120"/>
          <w:sz w:val="20"/>
        </w:rPr>
        <w:t> </w:t>
      </w:r>
      <w:r>
        <w:rPr>
          <w:w w:val="120"/>
          <w:sz w:val="20"/>
        </w:rPr>
        <w:t>meetings.</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2009" w:firstLine="0"/>
        <w:jc w:val="left"/>
        <w:rPr>
          <w:sz w:val="20"/>
        </w:rPr>
      </w:pPr>
      <w:r>
        <w:rPr>
          <w:w w:val="120"/>
          <w:sz w:val="20"/>
        </w:rPr>
        <w:t>One could find reasons for opposing any of the changes listed above. </w:t>
      </w:r>
      <w:r>
        <w:rPr>
          <w:spacing w:val="-7"/>
          <w:w w:val="120"/>
          <w:sz w:val="20"/>
        </w:rPr>
        <w:t>To </w:t>
      </w:r>
      <w:r>
        <w:rPr>
          <w:w w:val="120"/>
          <w:sz w:val="20"/>
        </w:rPr>
        <w:t>oppose them all would entail the synods, rather than other constituencies, contributing entirely to the reduction of Assembly numbers. The task group thought Assembly ought to consider making savings in other constituencies</w:t>
      </w:r>
      <w:r>
        <w:rPr>
          <w:spacing w:val="13"/>
          <w:w w:val="120"/>
          <w:sz w:val="20"/>
        </w:rPr>
        <w:t> </w:t>
      </w:r>
      <w:r>
        <w:rPr>
          <w:w w:val="120"/>
          <w:sz w:val="20"/>
        </w:rPr>
        <w:t>too.</w:t>
      </w:r>
    </w:p>
    <w:p>
      <w:pPr>
        <w:pStyle w:val="BodyText"/>
        <w:spacing w:before="1"/>
        <w:rPr>
          <w:sz w:val="19"/>
        </w:rPr>
      </w:pPr>
    </w:p>
    <w:p>
      <w:pPr>
        <w:pStyle w:val="Heading6"/>
        <w:ind w:left="1227"/>
      </w:pPr>
      <w:r>
        <w:rPr>
          <w:w w:val="110"/>
        </w:rPr>
        <w:t>Draft Resolution 9:</w:t>
      </w:r>
    </w:p>
    <w:p>
      <w:pPr>
        <w:pStyle w:val="BodyText"/>
        <w:spacing w:before="79"/>
        <w:ind w:left="1227"/>
      </w:pPr>
      <w:r>
        <w:rPr>
          <w:w w:val="120"/>
        </w:rPr>
        <w:t>General Assembly wishes its future of meetings to be that set out in Option D.</w:t>
      </w:r>
    </w:p>
    <w:p>
      <w:pPr>
        <w:pStyle w:val="BodyText"/>
        <w:spacing w:before="7"/>
        <w:rPr>
          <w:sz w:val="19"/>
        </w:rPr>
      </w:pPr>
    </w:p>
    <w:p>
      <w:pPr>
        <w:pStyle w:val="BodyText"/>
        <w:spacing w:line="235" w:lineRule="auto"/>
        <w:ind w:left="547" w:right="2429"/>
      </w:pPr>
      <w:r>
        <w:rPr>
          <w:w w:val="120"/>
        </w:rPr>
        <w:t>[Should Assembly opt instead for A, B or C, the numbers below may need to be amended before the following resolutions are considered.]</w:t>
      </w:r>
    </w:p>
    <w:p>
      <w:pPr>
        <w:pStyle w:val="BodyText"/>
        <w:spacing w:before="12"/>
        <w:rPr>
          <w:sz w:val="18"/>
        </w:rPr>
      </w:pPr>
    </w:p>
    <w:p>
      <w:pPr>
        <w:pStyle w:val="Heading6"/>
        <w:ind w:left="1227"/>
      </w:pPr>
      <w:r>
        <w:rPr>
          <w:w w:val="110"/>
        </w:rPr>
        <w:t>Draft Resolution 10:</w:t>
      </w:r>
    </w:p>
    <w:p>
      <w:pPr>
        <w:pStyle w:val="BodyText"/>
        <w:spacing w:line="235" w:lineRule="auto" w:before="82"/>
        <w:ind w:left="1227" w:right="2553"/>
      </w:pPr>
      <w:r>
        <w:rPr>
          <w:w w:val="120"/>
        </w:rPr>
        <w:t>The number of synod representatives shall be 208, who shall be divided between the synods equally. Within each synod, at least one third of its representatives shall be either Ministers of Word and Sacraments or Church Related Community Workers, and at least one third shall be lay.</w:t>
      </w:r>
    </w:p>
    <w:p>
      <w:pPr>
        <w:pStyle w:val="BodyText"/>
        <w:spacing w:before="1"/>
        <w:rPr>
          <w:sz w:val="19"/>
        </w:rPr>
      </w:pPr>
    </w:p>
    <w:p>
      <w:pPr>
        <w:pStyle w:val="Heading6"/>
        <w:ind w:left="1227"/>
      </w:pPr>
      <w:r>
        <w:rPr>
          <w:w w:val="110"/>
        </w:rPr>
        <w:t>Draft Resolution 11:</w:t>
      </w:r>
    </w:p>
    <w:p>
      <w:pPr>
        <w:pStyle w:val="BodyText"/>
        <w:spacing w:line="235" w:lineRule="auto" w:before="82"/>
        <w:ind w:left="1227" w:right="2112"/>
      </w:pPr>
      <w:r>
        <w:rPr>
          <w:w w:val="120"/>
        </w:rPr>
        <w:t>The number of representatives of churches outside Britain and Ireland shall be five, with a further place for a representative of the Council for World Mission, and there shall be five representatives from partner churches within Britain and Ireland.</w:t>
      </w:r>
    </w:p>
    <w:p>
      <w:pPr>
        <w:pStyle w:val="BodyText"/>
        <w:spacing w:before="1"/>
        <w:rPr>
          <w:sz w:val="19"/>
        </w:rPr>
      </w:pPr>
    </w:p>
    <w:p>
      <w:pPr>
        <w:pStyle w:val="Heading6"/>
        <w:ind w:left="1227"/>
      </w:pPr>
      <w:r>
        <w:rPr>
          <w:w w:val="110"/>
        </w:rPr>
        <w:t>Draft Resolution 12:</w:t>
      </w:r>
    </w:p>
    <w:p>
      <w:pPr>
        <w:pStyle w:val="BodyText"/>
        <w:spacing w:line="235" w:lineRule="auto" w:before="83"/>
        <w:ind w:left="1227" w:right="1584"/>
      </w:pPr>
      <w:r>
        <w:rPr>
          <w:w w:val="120"/>
        </w:rPr>
        <w:t>The number of representatives of URC Youth, in addition to the twenty-six youth places available for appointment by synods, shall be two.</w:t>
      </w:r>
    </w:p>
    <w:p>
      <w:pPr>
        <w:spacing w:after="0" w:line="235" w:lineRule="auto"/>
        <w:sectPr>
          <w:headerReference w:type="even" r:id="rId194"/>
          <w:pgSz w:w="11910" w:h="16840"/>
          <w:pgMar w:header="0" w:footer="647" w:top="0" w:bottom="840" w:left="700" w:right="0"/>
        </w:sectPr>
      </w:pPr>
    </w:p>
    <w:p>
      <w:pPr>
        <w:pStyle w:val="BodyText"/>
      </w:pPr>
      <w:r>
        <w:rPr/>
        <w:drawing>
          <wp:anchor distT="0" distB="0" distL="0" distR="0" allowOverlap="1" layoutInCell="1" locked="0" behindDoc="0" simplePos="0" relativeHeight="251830272">
            <wp:simplePos x="0" y="0"/>
            <wp:positionH relativeFrom="page">
              <wp:posOffset>6974928</wp:posOffset>
            </wp:positionH>
            <wp:positionV relativeFrom="page">
              <wp:posOffset>0</wp:posOffset>
            </wp:positionV>
            <wp:extent cx="585076" cy="10692003"/>
            <wp:effectExtent l="0" t="0" r="0" b="0"/>
            <wp:wrapNone/>
            <wp:docPr id="119" name="image50.png"/>
            <wp:cNvGraphicFramePr>
              <a:graphicFrameLocks noChangeAspect="1"/>
            </wp:cNvGraphicFramePr>
            <a:graphic>
              <a:graphicData uri="http://schemas.openxmlformats.org/drawingml/2006/picture">
                <pic:pic>
                  <pic:nvPicPr>
                    <pic:cNvPr id="12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1245"/>
        <w:jc w:val="right"/>
      </w:pPr>
      <w:r>
        <w:rPr/>
        <w:pict>
          <v:shape style="position:absolute;margin-left:554.141174pt;margin-top:22.693945pt;width:26pt;height:302.2pt;mso-position-horizontal-relative:page;mso-position-vertical-relative:paragraph;z-index:251831296"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color w:val="7EAABF"/>
          <w:w w:val="120"/>
        </w:rPr>
        <w:t>Mission Council</w:t>
      </w:r>
    </w:p>
    <w:p>
      <w:pPr>
        <w:pStyle w:val="Heading6"/>
        <w:spacing w:line="303" w:lineRule="exact" w:before="215"/>
        <w:ind w:left="1964"/>
      </w:pPr>
      <w:r>
        <w:rPr>
          <w:w w:val="110"/>
        </w:rPr>
        <w:t>Draft Resolution 13:</w:t>
      </w:r>
    </w:p>
    <w:p>
      <w:pPr>
        <w:pStyle w:val="BodyText"/>
        <w:spacing w:line="235" w:lineRule="auto" w:before="4"/>
        <w:ind w:left="1964" w:right="1283"/>
      </w:pPr>
      <w:r>
        <w:rPr>
          <w:w w:val="120"/>
        </w:rPr>
        <w:t>The number of EMI students shall be one, rather than one from each Resource Centre for Learning.</w:t>
      </w:r>
    </w:p>
    <w:p>
      <w:pPr>
        <w:pStyle w:val="BodyText"/>
        <w:spacing w:before="11"/>
        <w:rPr>
          <w:sz w:val="18"/>
        </w:rPr>
      </w:pPr>
    </w:p>
    <w:p>
      <w:pPr>
        <w:pStyle w:val="Heading6"/>
        <w:ind w:left="1964"/>
      </w:pPr>
      <w:r>
        <w:rPr>
          <w:w w:val="110"/>
        </w:rPr>
        <w:t>Draft Resolution 14:</w:t>
      </w:r>
    </w:p>
    <w:p>
      <w:pPr>
        <w:pStyle w:val="BodyText"/>
        <w:spacing w:line="235" w:lineRule="auto" w:before="83"/>
        <w:ind w:left="1964" w:right="1283"/>
      </w:pPr>
      <w:r>
        <w:rPr>
          <w:w w:val="120"/>
        </w:rPr>
        <w:t>The convenor of the pastoral reference and welfare committee shall not be a member of Assembly.</w:t>
      </w:r>
    </w:p>
    <w:p>
      <w:pPr>
        <w:pStyle w:val="BodyText"/>
        <w:spacing w:before="2"/>
        <w:rPr>
          <w:sz w:val="22"/>
        </w:rPr>
      </w:pPr>
    </w:p>
    <w:p>
      <w:pPr>
        <w:pStyle w:val="Heading4"/>
        <w:numPr>
          <w:ilvl w:val="0"/>
          <w:numId w:val="43"/>
        </w:numPr>
        <w:tabs>
          <w:tab w:pos="1965" w:val="left" w:leader="none"/>
        </w:tabs>
        <w:spacing w:line="240" w:lineRule="auto" w:before="0" w:after="0"/>
        <w:ind w:left="1964" w:right="0" w:hanging="681"/>
        <w:jc w:val="left"/>
      </w:pPr>
      <w:r>
        <w:rPr>
          <w:spacing w:val="4"/>
          <w:w w:val="110"/>
        </w:rPr>
        <w:t>Number </w:t>
      </w:r>
      <w:r>
        <w:rPr>
          <w:w w:val="110"/>
        </w:rPr>
        <w:t>of</w:t>
      </w:r>
      <w:r>
        <w:rPr>
          <w:spacing w:val="21"/>
          <w:w w:val="110"/>
        </w:rPr>
        <w:t> </w:t>
      </w:r>
      <w:r>
        <w:rPr>
          <w:spacing w:val="4"/>
          <w:w w:val="110"/>
        </w:rPr>
        <w:t>Moderators</w:t>
      </w:r>
    </w:p>
    <w:p>
      <w:pPr>
        <w:pStyle w:val="ListParagraph"/>
        <w:numPr>
          <w:ilvl w:val="1"/>
          <w:numId w:val="43"/>
        </w:numPr>
        <w:tabs>
          <w:tab w:pos="1964" w:val="left" w:leader="none"/>
          <w:tab w:pos="1965" w:val="left" w:leader="none"/>
        </w:tabs>
        <w:spacing w:line="235" w:lineRule="auto" w:before="69" w:after="0"/>
        <w:ind w:left="1284" w:right="1278" w:firstLine="0"/>
        <w:jc w:val="left"/>
        <w:rPr>
          <w:sz w:val="20"/>
        </w:rPr>
      </w:pPr>
      <w:r>
        <w:rPr>
          <w:w w:val="120"/>
          <w:sz w:val="20"/>
        </w:rPr>
        <w:t>The task </w:t>
      </w:r>
      <w:r>
        <w:rPr>
          <w:spacing w:val="-3"/>
          <w:w w:val="120"/>
          <w:sz w:val="20"/>
        </w:rPr>
        <w:t>group’s </w:t>
      </w:r>
      <w:r>
        <w:rPr>
          <w:w w:val="120"/>
          <w:sz w:val="20"/>
        </w:rPr>
        <w:t>consultations have revealed that in general terms an Assembly Moderatorship which requires a six year commitment places a very significant limitation upon the number of people who can offer themselves for this</w:t>
      </w:r>
      <w:r>
        <w:rPr>
          <w:spacing w:val="22"/>
          <w:w w:val="120"/>
          <w:sz w:val="20"/>
        </w:rPr>
        <w:t> </w:t>
      </w:r>
      <w:r>
        <w:rPr>
          <w:w w:val="120"/>
          <w:sz w:val="20"/>
        </w:rPr>
        <w:t>service.</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449" w:firstLine="0"/>
        <w:jc w:val="left"/>
        <w:rPr>
          <w:sz w:val="20"/>
        </w:rPr>
      </w:pPr>
      <w:r>
        <w:rPr>
          <w:w w:val="120"/>
          <w:sz w:val="20"/>
        </w:rPr>
        <w:t>The task group has also observed that the pool of such people available for this role is not great, and is shrinking, so it is reasonable to suppose that, while there have been no difficulties hitherto, there might be difficulties in finding the right person in the</w:t>
      </w:r>
      <w:r>
        <w:rPr>
          <w:spacing w:val="1"/>
          <w:w w:val="120"/>
          <w:sz w:val="20"/>
        </w:rPr>
        <w:t> </w:t>
      </w:r>
      <w:r>
        <w:rPr>
          <w:w w:val="120"/>
          <w:sz w:val="20"/>
        </w:rPr>
        <w:t>future.</w:t>
      </w:r>
    </w:p>
    <w:p>
      <w:pPr>
        <w:pStyle w:val="BodyText"/>
        <w:spacing w:before="11"/>
        <w:rPr>
          <w:sz w:val="19"/>
        </w:rPr>
      </w:pPr>
    </w:p>
    <w:p>
      <w:pPr>
        <w:pStyle w:val="ListParagraph"/>
        <w:numPr>
          <w:ilvl w:val="1"/>
          <w:numId w:val="43"/>
        </w:numPr>
        <w:tabs>
          <w:tab w:pos="1964" w:val="left" w:leader="none"/>
          <w:tab w:pos="1965" w:val="left" w:leader="none"/>
        </w:tabs>
        <w:spacing w:line="235" w:lineRule="auto" w:before="0" w:after="0"/>
        <w:ind w:left="1284" w:right="1467" w:firstLine="0"/>
        <w:jc w:val="left"/>
        <w:rPr>
          <w:sz w:val="20"/>
        </w:rPr>
      </w:pPr>
      <w:r>
        <w:rPr>
          <w:w w:val="120"/>
          <w:sz w:val="20"/>
        </w:rPr>
        <w:t>How many Moderators should there then </w:t>
      </w:r>
      <w:r>
        <w:rPr>
          <w:spacing w:val="-3"/>
          <w:w w:val="120"/>
          <w:sz w:val="20"/>
        </w:rPr>
        <w:t>be? </w:t>
      </w:r>
      <w:r>
        <w:rPr>
          <w:w w:val="120"/>
          <w:sz w:val="20"/>
        </w:rPr>
        <w:t>One Moderator provides greater clarity for governance, and avoids the issue of what the Church would do if two Moderators disagreed upon a question that required a moderatorial</w:t>
      </w:r>
      <w:r>
        <w:rPr>
          <w:spacing w:val="31"/>
          <w:w w:val="120"/>
          <w:sz w:val="20"/>
        </w:rPr>
        <w:t> </w:t>
      </w:r>
      <w:r>
        <w:rPr>
          <w:w w:val="120"/>
          <w:sz w:val="20"/>
        </w:rPr>
        <w:t>decision.</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424" w:firstLine="0"/>
        <w:jc w:val="left"/>
        <w:rPr>
          <w:sz w:val="20"/>
        </w:rPr>
      </w:pPr>
      <w:r>
        <w:rPr>
          <w:spacing w:val="-6"/>
          <w:w w:val="120"/>
          <w:sz w:val="20"/>
        </w:rPr>
        <w:t>Two </w:t>
      </w:r>
      <w:r>
        <w:rPr>
          <w:w w:val="120"/>
          <w:sz w:val="20"/>
        </w:rPr>
        <w:t>Moderators offer the advantages of sharing the work, covering more  things than one Moderator could do, being able to consult one another about difficult decisions, and increasing the profile of our Church through greater</w:t>
      </w:r>
      <w:r>
        <w:rPr>
          <w:spacing w:val="46"/>
          <w:w w:val="120"/>
          <w:sz w:val="20"/>
        </w:rPr>
        <w:t> </w:t>
      </w:r>
      <w:r>
        <w:rPr>
          <w:w w:val="120"/>
          <w:sz w:val="20"/>
        </w:rPr>
        <w:t>exposure.</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345" w:firstLine="0"/>
        <w:jc w:val="left"/>
        <w:rPr>
          <w:sz w:val="20"/>
        </w:rPr>
      </w:pPr>
      <w:r>
        <w:rPr>
          <w:w w:val="120"/>
          <w:sz w:val="20"/>
        </w:rPr>
        <w:t>While there might be some small financial savings in only having one Moderator at a time, these are not significant enough to be a driving</w:t>
      </w:r>
      <w:r>
        <w:rPr>
          <w:spacing w:val="27"/>
          <w:w w:val="120"/>
          <w:sz w:val="20"/>
        </w:rPr>
        <w:t> </w:t>
      </w:r>
      <w:r>
        <w:rPr>
          <w:w w:val="120"/>
          <w:sz w:val="20"/>
        </w:rPr>
        <w:t>factor.</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281" w:firstLine="0"/>
        <w:jc w:val="left"/>
        <w:rPr>
          <w:sz w:val="20"/>
        </w:rPr>
      </w:pPr>
      <w:r>
        <w:rPr>
          <w:w w:val="120"/>
          <w:sz w:val="20"/>
        </w:rPr>
        <w:t>The task group proposes that if the Assembly returns to being annual, it should revert to one Moderator who could be a Minister of Word and Sacrament, a CRCW, or an </w:t>
      </w:r>
      <w:r>
        <w:rPr>
          <w:spacing w:val="-3"/>
          <w:w w:val="120"/>
          <w:sz w:val="20"/>
        </w:rPr>
        <w:t>Elder. </w:t>
      </w:r>
      <w:r>
        <w:rPr>
          <w:w w:val="120"/>
          <w:sz w:val="20"/>
        </w:rPr>
        <w:t>If the Assembly remains biennial, then the case for two Moderators remains. (N.B. This issue recently animated Mission Council, and the task </w:t>
      </w:r>
      <w:r>
        <w:rPr>
          <w:spacing w:val="-3"/>
          <w:w w:val="120"/>
          <w:sz w:val="20"/>
        </w:rPr>
        <w:t>group’s </w:t>
      </w:r>
      <w:r>
        <w:rPr>
          <w:w w:val="120"/>
          <w:sz w:val="20"/>
        </w:rPr>
        <w:t>Resolution </w:t>
      </w:r>
      <w:r>
        <w:rPr>
          <w:spacing w:val="-8"/>
          <w:w w:val="120"/>
          <w:sz w:val="20"/>
        </w:rPr>
        <w:t>16 </w:t>
      </w:r>
      <w:r>
        <w:rPr>
          <w:w w:val="120"/>
          <w:sz w:val="20"/>
        </w:rPr>
        <w:t>is put forward with some ambivalence, yet as a way of helping Assembly to focus its own opinion and make up its mind how many Moderators it</w:t>
      </w:r>
      <w:r>
        <w:rPr>
          <w:spacing w:val="23"/>
          <w:w w:val="120"/>
          <w:sz w:val="20"/>
        </w:rPr>
        <w:t> </w:t>
      </w:r>
      <w:r>
        <w:rPr>
          <w:w w:val="120"/>
          <w:sz w:val="20"/>
        </w:rPr>
        <w:t>wants.)</w:t>
      </w:r>
    </w:p>
    <w:p>
      <w:pPr>
        <w:pStyle w:val="BodyText"/>
      </w:pPr>
    </w:p>
    <w:p>
      <w:pPr>
        <w:pStyle w:val="ListParagraph"/>
        <w:numPr>
          <w:ilvl w:val="1"/>
          <w:numId w:val="43"/>
        </w:numPr>
        <w:tabs>
          <w:tab w:pos="1964" w:val="left" w:leader="none"/>
          <w:tab w:pos="1965" w:val="left" w:leader="none"/>
        </w:tabs>
        <w:spacing w:line="235" w:lineRule="auto" w:before="0" w:after="0"/>
        <w:ind w:left="1284" w:right="1693" w:firstLine="0"/>
        <w:jc w:val="left"/>
        <w:rPr>
          <w:sz w:val="20"/>
        </w:rPr>
      </w:pPr>
      <w:r>
        <w:rPr>
          <w:w w:val="120"/>
          <w:sz w:val="20"/>
        </w:rPr>
        <w:t>Resolutions </w:t>
      </w:r>
      <w:r>
        <w:rPr>
          <w:spacing w:val="-9"/>
          <w:w w:val="120"/>
          <w:sz w:val="20"/>
        </w:rPr>
        <w:t>15 </w:t>
      </w:r>
      <w:r>
        <w:rPr>
          <w:w w:val="120"/>
          <w:sz w:val="20"/>
        </w:rPr>
        <w:t>and </w:t>
      </w:r>
      <w:r>
        <w:rPr>
          <w:spacing w:val="-8"/>
          <w:w w:val="120"/>
          <w:sz w:val="20"/>
        </w:rPr>
        <w:t>16 </w:t>
      </w:r>
      <w:r>
        <w:rPr>
          <w:w w:val="120"/>
          <w:sz w:val="20"/>
        </w:rPr>
        <w:t>will only be moved if appropriate in the light of earlier decisions.</w:t>
      </w:r>
    </w:p>
    <w:p>
      <w:pPr>
        <w:pStyle w:val="BodyText"/>
        <w:spacing w:before="12"/>
        <w:rPr>
          <w:sz w:val="18"/>
        </w:rPr>
      </w:pPr>
    </w:p>
    <w:p>
      <w:pPr>
        <w:pStyle w:val="Heading6"/>
        <w:ind w:left="1964"/>
      </w:pPr>
      <w:r>
        <w:rPr>
          <w:w w:val="110"/>
        </w:rPr>
        <w:t>Draft Resolution 15:</w:t>
      </w:r>
    </w:p>
    <w:p>
      <w:pPr>
        <w:pStyle w:val="BodyText"/>
        <w:spacing w:line="235" w:lineRule="auto" w:before="82"/>
        <w:ind w:left="1964" w:right="1283"/>
      </w:pPr>
      <w:r>
        <w:rPr>
          <w:w w:val="120"/>
        </w:rPr>
        <w:t>Those elected as Moderator of General Assembly at the 2018 General Assembly shall serve from 2020 to 2022, chairing the Assemblies of 2021 and 2022 in whatever manner they shall determine.</w:t>
      </w:r>
    </w:p>
    <w:p>
      <w:pPr>
        <w:pStyle w:val="BodyText"/>
        <w:rPr>
          <w:sz w:val="19"/>
        </w:rPr>
      </w:pPr>
    </w:p>
    <w:p>
      <w:pPr>
        <w:pStyle w:val="Heading6"/>
        <w:ind w:left="1964"/>
      </w:pPr>
      <w:r>
        <w:rPr>
          <w:w w:val="110"/>
        </w:rPr>
        <w:t>Draft Resolution 16:</w:t>
      </w:r>
    </w:p>
    <w:p>
      <w:pPr>
        <w:pStyle w:val="BodyText"/>
        <w:spacing w:line="235" w:lineRule="auto" w:before="83"/>
        <w:ind w:left="1964" w:right="1257"/>
      </w:pPr>
      <w:r>
        <w:rPr>
          <w:w w:val="120"/>
        </w:rPr>
        <w:t>After 2022 there shall be one Moderator of General Assembly at any one time, and Assembly resolves to amend the Structure of the United Reformed Church to reflect this change and make it clear.</w:t>
      </w:r>
    </w:p>
    <w:p>
      <w:pPr>
        <w:pStyle w:val="BodyText"/>
        <w:spacing w:before="10"/>
        <w:rPr>
          <w:sz w:val="19"/>
        </w:rPr>
      </w:pPr>
    </w:p>
    <w:p>
      <w:pPr>
        <w:pStyle w:val="ListParagraph"/>
        <w:numPr>
          <w:ilvl w:val="1"/>
          <w:numId w:val="43"/>
        </w:numPr>
        <w:tabs>
          <w:tab w:pos="1964" w:val="left" w:leader="none"/>
          <w:tab w:pos="1965" w:val="left" w:leader="none"/>
        </w:tabs>
        <w:spacing w:line="235" w:lineRule="auto" w:before="0" w:after="0"/>
        <w:ind w:left="1284" w:right="1247" w:firstLine="0"/>
        <w:jc w:val="left"/>
        <w:rPr>
          <w:sz w:val="20"/>
        </w:rPr>
      </w:pPr>
      <w:r>
        <w:rPr>
          <w:w w:val="120"/>
          <w:sz w:val="20"/>
        </w:rPr>
        <w:t>The General Assembly of </w:t>
      </w:r>
      <w:r>
        <w:rPr>
          <w:spacing w:val="-6"/>
          <w:w w:val="120"/>
          <w:sz w:val="20"/>
        </w:rPr>
        <w:t>2021 </w:t>
      </w:r>
      <w:r>
        <w:rPr>
          <w:spacing w:val="-3"/>
          <w:w w:val="120"/>
          <w:sz w:val="20"/>
        </w:rPr>
        <w:t>shall </w:t>
      </w:r>
      <w:r>
        <w:rPr>
          <w:w w:val="120"/>
          <w:sz w:val="20"/>
        </w:rPr>
        <w:t>be </w:t>
      </w:r>
      <w:r>
        <w:rPr>
          <w:spacing w:val="-3"/>
          <w:w w:val="120"/>
          <w:sz w:val="20"/>
        </w:rPr>
        <w:t>asked to </w:t>
      </w:r>
      <w:r>
        <w:rPr>
          <w:w w:val="120"/>
          <w:sz w:val="20"/>
        </w:rPr>
        <w:t>elect a Moderator </w:t>
      </w:r>
      <w:r>
        <w:rPr>
          <w:spacing w:val="-5"/>
          <w:w w:val="120"/>
          <w:sz w:val="20"/>
        </w:rPr>
        <w:t>(either </w:t>
      </w:r>
      <w:r>
        <w:rPr>
          <w:w w:val="120"/>
          <w:sz w:val="20"/>
        </w:rPr>
        <w:t>a </w:t>
      </w:r>
      <w:r>
        <w:rPr>
          <w:spacing w:val="-3"/>
          <w:w w:val="120"/>
          <w:sz w:val="20"/>
        </w:rPr>
        <w:t>Minister </w:t>
      </w:r>
      <w:r>
        <w:rPr>
          <w:w w:val="120"/>
          <w:sz w:val="20"/>
        </w:rPr>
        <w:t>of </w:t>
      </w:r>
      <w:r>
        <w:rPr>
          <w:spacing w:val="-3"/>
          <w:w w:val="120"/>
          <w:sz w:val="20"/>
        </w:rPr>
        <w:t>Word </w:t>
      </w:r>
      <w:r>
        <w:rPr>
          <w:w w:val="120"/>
          <w:sz w:val="20"/>
        </w:rPr>
        <w:t>and Sacraments, a </w:t>
      </w:r>
      <w:r>
        <w:rPr>
          <w:spacing w:val="-3"/>
          <w:w w:val="120"/>
          <w:sz w:val="20"/>
        </w:rPr>
        <w:t>Church Related Community </w:t>
      </w:r>
      <w:r>
        <w:rPr>
          <w:spacing w:val="-4"/>
          <w:w w:val="120"/>
          <w:sz w:val="20"/>
        </w:rPr>
        <w:t>Worker, </w:t>
      </w:r>
      <w:r>
        <w:rPr>
          <w:w w:val="120"/>
          <w:sz w:val="20"/>
        </w:rPr>
        <w:t>or an </w:t>
      </w:r>
      <w:r>
        <w:rPr>
          <w:spacing w:val="-5"/>
          <w:w w:val="120"/>
          <w:sz w:val="20"/>
        </w:rPr>
        <w:t>Elder),  </w:t>
      </w:r>
      <w:r>
        <w:rPr>
          <w:w w:val="120"/>
          <w:sz w:val="20"/>
        </w:rPr>
        <w:t>who </w:t>
      </w:r>
      <w:r>
        <w:rPr>
          <w:spacing w:val="-3"/>
          <w:w w:val="120"/>
          <w:sz w:val="20"/>
        </w:rPr>
        <w:t>shall </w:t>
      </w:r>
      <w:r>
        <w:rPr>
          <w:w w:val="120"/>
          <w:sz w:val="20"/>
        </w:rPr>
        <w:t>serve from </w:t>
      </w:r>
      <w:r>
        <w:rPr>
          <w:spacing w:val="-4"/>
          <w:w w:val="120"/>
          <w:sz w:val="20"/>
        </w:rPr>
        <w:t>2022 </w:t>
      </w:r>
      <w:r>
        <w:rPr>
          <w:spacing w:val="-3"/>
          <w:w w:val="120"/>
          <w:sz w:val="20"/>
        </w:rPr>
        <w:t>to </w:t>
      </w:r>
      <w:r>
        <w:rPr>
          <w:spacing w:val="-5"/>
          <w:w w:val="120"/>
          <w:sz w:val="20"/>
        </w:rPr>
        <w:t>2023, </w:t>
      </w:r>
      <w:r>
        <w:rPr>
          <w:w w:val="120"/>
          <w:sz w:val="20"/>
        </w:rPr>
        <w:t>chairing the </w:t>
      </w:r>
      <w:r>
        <w:rPr>
          <w:spacing w:val="-5"/>
          <w:w w:val="120"/>
          <w:sz w:val="20"/>
        </w:rPr>
        <w:t>2023 </w:t>
      </w:r>
      <w:r>
        <w:rPr>
          <w:w w:val="120"/>
          <w:sz w:val="20"/>
        </w:rPr>
        <w:t>General </w:t>
      </w:r>
      <w:r>
        <w:rPr>
          <w:spacing w:val="-3"/>
          <w:w w:val="120"/>
          <w:sz w:val="20"/>
        </w:rPr>
        <w:t>Assembly. </w:t>
      </w:r>
      <w:r>
        <w:rPr>
          <w:w w:val="120"/>
          <w:sz w:val="20"/>
        </w:rPr>
        <w:t>This pattern  </w:t>
      </w:r>
      <w:r>
        <w:rPr>
          <w:spacing w:val="-3"/>
          <w:w w:val="120"/>
          <w:sz w:val="20"/>
        </w:rPr>
        <w:t>shall </w:t>
      </w:r>
      <w:r>
        <w:rPr>
          <w:w w:val="120"/>
          <w:sz w:val="20"/>
        </w:rPr>
        <w:t>then be repeated each </w:t>
      </w:r>
      <w:r>
        <w:rPr>
          <w:spacing w:val="-5"/>
          <w:w w:val="120"/>
          <w:sz w:val="20"/>
        </w:rPr>
        <w:t>year. </w:t>
      </w:r>
      <w:r>
        <w:rPr>
          <w:spacing w:val="-3"/>
          <w:w w:val="120"/>
          <w:sz w:val="20"/>
        </w:rPr>
        <w:t>Synods shall continue to </w:t>
      </w:r>
      <w:r>
        <w:rPr>
          <w:w w:val="120"/>
          <w:sz w:val="20"/>
        </w:rPr>
        <w:t>be </w:t>
      </w:r>
      <w:r>
        <w:rPr>
          <w:spacing w:val="-3"/>
          <w:w w:val="120"/>
          <w:sz w:val="20"/>
        </w:rPr>
        <w:t>allowed to make </w:t>
      </w:r>
      <w:r>
        <w:rPr>
          <w:w w:val="120"/>
          <w:sz w:val="20"/>
        </w:rPr>
        <w:t>two </w:t>
      </w:r>
      <w:r>
        <w:rPr>
          <w:spacing w:val="-3"/>
          <w:w w:val="120"/>
          <w:sz w:val="20"/>
        </w:rPr>
        <w:t>nominations, </w:t>
      </w:r>
      <w:r>
        <w:rPr>
          <w:w w:val="120"/>
          <w:sz w:val="20"/>
        </w:rPr>
        <w:t>one of a </w:t>
      </w:r>
      <w:r>
        <w:rPr>
          <w:spacing w:val="-3"/>
          <w:w w:val="120"/>
          <w:sz w:val="20"/>
        </w:rPr>
        <w:t>Minister </w:t>
      </w:r>
      <w:r>
        <w:rPr>
          <w:w w:val="120"/>
          <w:sz w:val="20"/>
        </w:rPr>
        <w:t>of </w:t>
      </w:r>
      <w:r>
        <w:rPr>
          <w:spacing w:val="-3"/>
          <w:w w:val="120"/>
          <w:sz w:val="20"/>
        </w:rPr>
        <w:t>Word </w:t>
      </w:r>
      <w:r>
        <w:rPr>
          <w:w w:val="120"/>
          <w:sz w:val="20"/>
        </w:rPr>
        <w:t>and Sacraments or a </w:t>
      </w:r>
      <w:r>
        <w:rPr>
          <w:spacing w:val="-3"/>
          <w:w w:val="120"/>
          <w:sz w:val="20"/>
        </w:rPr>
        <w:t>Church Related Community </w:t>
      </w:r>
      <w:r>
        <w:rPr>
          <w:spacing w:val="-4"/>
          <w:w w:val="120"/>
          <w:sz w:val="20"/>
        </w:rPr>
        <w:t>Worker, </w:t>
      </w:r>
      <w:r>
        <w:rPr>
          <w:w w:val="120"/>
          <w:sz w:val="20"/>
        </w:rPr>
        <w:t>and one of an </w:t>
      </w:r>
      <w:r>
        <w:rPr>
          <w:spacing w:val="-5"/>
          <w:w w:val="120"/>
          <w:sz w:val="20"/>
        </w:rPr>
        <w:t>Elder, </w:t>
      </w:r>
      <w:r>
        <w:rPr>
          <w:w w:val="120"/>
          <w:sz w:val="20"/>
        </w:rPr>
        <w:t>so as </w:t>
      </w:r>
      <w:r>
        <w:rPr>
          <w:spacing w:val="-3"/>
          <w:w w:val="120"/>
          <w:sz w:val="20"/>
        </w:rPr>
        <w:t>to maximize </w:t>
      </w:r>
      <w:r>
        <w:rPr>
          <w:w w:val="120"/>
          <w:sz w:val="20"/>
        </w:rPr>
        <w:t>the pool of people </w:t>
      </w:r>
      <w:r>
        <w:rPr>
          <w:spacing w:val="-3"/>
          <w:w w:val="120"/>
          <w:sz w:val="20"/>
        </w:rPr>
        <w:t>available, </w:t>
      </w:r>
      <w:r>
        <w:rPr>
          <w:w w:val="120"/>
          <w:sz w:val="20"/>
        </w:rPr>
        <w:t>and </w:t>
      </w:r>
      <w:r>
        <w:rPr>
          <w:spacing w:val="-3"/>
          <w:w w:val="120"/>
          <w:sz w:val="20"/>
        </w:rPr>
        <w:t>maximize </w:t>
      </w:r>
      <w:r>
        <w:rPr>
          <w:w w:val="120"/>
          <w:sz w:val="20"/>
        </w:rPr>
        <w:t>opportunities</w:t>
      </w:r>
      <w:r>
        <w:rPr>
          <w:spacing w:val="-6"/>
          <w:w w:val="120"/>
          <w:sz w:val="20"/>
        </w:rPr>
        <w:t> </w:t>
      </w:r>
      <w:r>
        <w:rPr>
          <w:w w:val="120"/>
          <w:sz w:val="20"/>
        </w:rPr>
        <w:t>for</w:t>
      </w:r>
      <w:r>
        <w:rPr>
          <w:spacing w:val="-5"/>
          <w:w w:val="120"/>
          <w:sz w:val="20"/>
        </w:rPr>
        <w:t> </w:t>
      </w:r>
      <w:r>
        <w:rPr>
          <w:w w:val="120"/>
          <w:sz w:val="20"/>
        </w:rPr>
        <w:t>elders</w:t>
      </w:r>
      <w:r>
        <w:rPr>
          <w:spacing w:val="-5"/>
          <w:w w:val="120"/>
          <w:sz w:val="20"/>
        </w:rPr>
        <w:t> </w:t>
      </w:r>
      <w:r>
        <w:rPr>
          <w:spacing w:val="-3"/>
          <w:w w:val="120"/>
          <w:sz w:val="20"/>
        </w:rPr>
        <w:t>to</w:t>
      </w:r>
      <w:r>
        <w:rPr>
          <w:spacing w:val="-6"/>
          <w:w w:val="120"/>
          <w:sz w:val="20"/>
        </w:rPr>
        <w:t> </w:t>
      </w:r>
      <w:r>
        <w:rPr>
          <w:w w:val="120"/>
          <w:sz w:val="20"/>
        </w:rPr>
        <w:t>serve</w:t>
      </w:r>
      <w:r>
        <w:rPr>
          <w:spacing w:val="-5"/>
          <w:w w:val="120"/>
          <w:sz w:val="20"/>
        </w:rPr>
        <w:t> </w:t>
      </w:r>
      <w:r>
        <w:rPr>
          <w:w w:val="120"/>
          <w:sz w:val="20"/>
        </w:rPr>
        <w:t>as</w:t>
      </w:r>
      <w:r>
        <w:rPr>
          <w:spacing w:val="-5"/>
          <w:w w:val="120"/>
          <w:sz w:val="20"/>
        </w:rPr>
        <w:t> </w:t>
      </w:r>
      <w:r>
        <w:rPr>
          <w:spacing w:val="-3"/>
          <w:w w:val="120"/>
          <w:sz w:val="20"/>
        </w:rPr>
        <w:t>Moderator,</w:t>
      </w:r>
      <w:r>
        <w:rPr>
          <w:spacing w:val="-6"/>
          <w:w w:val="120"/>
          <w:sz w:val="20"/>
        </w:rPr>
        <w:t> </w:t>
      </w:r>
      <w:r>
        <w:rPr>
          <w:w w:val="120"/>
          <w:sz w:val="20"/>
        </w:rPr>
        <w:t>while</w:t>
      </w:r>
      <w:r>
        <w:rPr>
          <w:spacing w:val="-5"/>
          <w:w w:val="120"/>
          <w:sz w:val="20"/>
        </w:rPr>
        <w:t> </w:t>
      </w:r>
      <w:r>
        <w:rPr>
          <w:w w:val="120"/>
          <w:sz w:val="20"/>
        </w:rPr>
        <w:t>retaining</w:t>
      </w:r>
      <w:r>
        <w:rPr>
          <w:spacing w:val="-5"/>
          <w:w w:val="120"/>
          <w:sz w:val="20"/>
        </w:rPr>
        <w:t> </w:t>
      </w:r>
      <w:r>
        <w:rPr>
          <w:w w:val="120"/>
          <w:sz w:val="20"/>
        </w:rPr>
        <w:t>maximum</w:t>
      </w:r>
      <w:r>
        <w:rPr>
          <w:spacing w:val="-5"/>
          <w:w w:val="120"/>
          <w:sz w:val="20"/>
        </w:rPr>
        <w:t> </w:t>
      </w:r>
      <w:r>
        <w:rPr>
          <w:spacing w:val="-3"/>
          <w:w w:val="120"/>
          <w:sz w:val="20"/>
        </w:rPr>
        <w:t>flexibility.</w:t>
      </w:r>
    </w:p>
    <w:p>
      <w:pPr>
        <w:spacing w:after="0" w:line="235" w:lineRule="auto"/>
        <w:jc w:val="left"/>
        <w:rPr>
          <w:sz w:val="20"/>
        </w:rPr>
        <w:sectPr>
          <w:headerReference w:type="default" r:id="rId195"/>
          <w:footerReference w:type="default" r:id="rId196"/>
          <w:footerReference w:type="even" r:id="rId197"/>
          <w:pgSz w:w="11910" w:h="16840"/>
          <w:pgMar w:header="0" w:footer="647" w:top="0" w:bottom="840" w:left="700" w:right="0"/>
          <w:pgNumType w:start="65"/>
        </w:sectPr>
      </w:pPr>
    </w:p>
    <w:p>
      <w:pPr>
        <w:pStyle w:val="BodyText"/>
      </w:pPr>
      <w:r>
        <w:rPr/>
        <w:drawing>
          <wp:anchor distT="0" distB="0" distL="0" distR="0" allowOverlap="1" layoutInCell="1" locked="0" behindDoc="1" simplePos="0" relativeHeight="235865088">
            <wp:simplePos x="0" y="0"/>
            <wp:positionH relativeFrom="page">
              <wp:posOffset>0</wp:posOffset>
            </wp:positionH>
            <wp:positionV relativeFrom="page">
              <wp:posOffset>0</wp:posOffset>
            </wp:positionV>
            <wp:extent cx="594067" cy="10692003"/>
            <wp:effectExtent l="0" t="0" r="0" b="0"/>
            <wp:wrapNone/>
            <wp:docPr id="121" name="image49.png"/>
            <wp:cNvGraphicFramePr>
              <a:graphicFrameLocks noChangeAspect="1"/>
            </wp:cNvGraphicFramePr>
            <a:graphic>
              <a:graphicData uri="http://schemas.openxmlformats.org/drawingml/2006/picture">
                <pic:pic>
                  <pic:nvPicPr>
                    <pic:cNvPr id="122" name="image49.png"/>
                    <pic:cNvPicPr/>
                  </pic:nvPicPr>
                  <pic:blipFill>
                    <a:blip r:embed="rId62"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302.2pt;mso-position-horizontal-relative:page;mso-position-vertical-relative:page;z-index:-267450368"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p>
    <w:p>
      <w:pPr>
        <w:pStyle w:val="BodyText"/>
        <w:spacing w:before="5"/>
        <w:rPr>
          <w:sz w:val="21"/>
        </w:rPr>
      </w:pPr>
    </w:p>
    <w:p>
      <w:pPr>
        <w:spacing w:before="108"/>
        <w:ind w:left="547" w:right="0" w:firstLine="0"/>
        <w:jc w:val="left"/>
        <w:rPr>
          <w:sz w:val="26"/>
        </w:rPr>
      </w:pPr>
      <w:r>
        <w:rPr>
          <w:color w:val="7EAABF"/>
          <w:w w:val="120"/>
          <w:sz w:val="26"/>
        </w:rPr>
        <w:t>Mission Council</w:t>
      </w:r>
    </w:p>
    <w:p>
      <w:pPr>
        <w:pStyle w:val="Heading6"/>
        <w:spacing w:before="215"/>
        <w:ind w:left="1227"/>
      </w:pPr>
      <w:r>
        <w:rPr>
          <w:w w:val="110"/>
        </w:rPr>
        <w:t>Draft Resolution 17:</w:t>
      </w:r>
    </w:p>
    <w:p>
      <w:pPr>
        <w:pStyle w:val="BodyText"/>
        <w:spacing w:line="235" w:lineRule="auto" w:before="83"/>
        <w:ind w:left="1227" w:right="2112"/>
      </w:pPr>
      <w:r>
        <w:rPr>
          <w:w w:val="120"/>
        </w:rPr>
        <w:t>General Assembly instructs the Mission Council to make detailed alterations to sections 1, 2, and 3 of the Rules of Procedure, upon the advice of the Clerk, to effect the decisions of principle that it has made.</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2135" w:firstLine="0"/>
        <w:jc w:val="left"/>
        <w:rPr>
          <w:sz w:val="20"/>
        </w:rPr>
      </w:pPr>
      <w:r>
        <w:rPr>
          <w:spacing w:val="-3"/>
          <w:w w:val="120"/>
          <w:sz w:val="20"/>
        </w:rPr>
        <w:t>Discussion </w:t>
      </w:r>
      <w:r>
        <w:rPr>
          <w:w w:val="120"/>
          <w:sz w:val="20"/>
        </w:rPr>
        <w:t>about the role of the Moderator in Assembly </w:t>
      </w:r>
      <w:r>
        <w:rPr>
          <w:spacing w:val="-3"/>
          <w:w w:val="120"/>
          <w:sz w:val="20"/>
        </w:rPr>
        <w:t>gave </w:t>
      </w:r>
      <w:r>
        <w:rPr>
          <w:w w:val="120"/>
          <w:sz w:val="20"/>
        </w:rPr>
        <w:t>rise at Mission </w:t>
      </w:r>
      <w:r>
        <w:rPr>
          <w:spacing w:val="-3"/>
          <w:w w:val="120"/>
          <w:sz w:val="20"/>
        </w:rPr>
        <w:t>Council to </w:t>
      </w:r>
      <w:r>
        <w:rPr>
          <w:w w:val="120"/>
          <w:sz w:val="20"/>
        </w:rPr>
        <w:t>a wider-ranging </w:t>
      </w:r>
      <w:r>
        <w:rPr>
          <w:spacing w:val="-3"/>
          <w:w w:val="120"/>
          <w:sz w:val="20"/>
        </w:rPr>
        <w:t>discussion </w:t>
      </w:r>
      <w:r>
        <w:rPr>
          <w:w w:val="120"/>
          <w:sz w:val="20"/>
        </w:rPr>
        <w:t>about the work of the </w:t>
      </w:r>
      <w:r>
        <w:rPr>
          <w:spacing w:val="-3"/>
          <w:w w:val="120"/>
          <w:sz w:val="20"/>
        </w:rPr>
        <w:t>Assembly’s </w:t>
      </w:r>
      <w:r>
        <w:rPr>
          <w:w w:val="120"/>
          <w:sz w:val="20"/>
        </w:rPr>
        <w:t>Moderator </w:t>
      </w:r>
      <w:r>
        <w:rPr>
          <w:spacing w:val="-2"/>
          <w:w w:val="120"/>
          <w:sz w:val="20"/>
        </w:rPr>
        <w:t>beyond </w:t>
      </w:r>
      <w:r>
        <w:rPr>
          <w:w w:val="120"/>
          <w:sz w:val="20"/>
        </w:rPr>
        <w:t>the meetings of Assembly and Mission </w:t>
      </w:r>
      <w:r>
        <w:rPr>
          <w:spacing w:val="-3"/>
          <w:w w:val="120"/>
          <w:sz w:val="20"/>
        </w:rPr>
        <w:t>Council. </w:t>
      </w:r>
      <w:r>
        <w:rPr>
          <w:w w:val="120"/>
          <w:sz w:val="20"/>
        </w:rPr>
        <w:t>The task group </w:t>
      </w:r>
      <w:r>
        <w:rPr>
          <w:spacing w:val="-3"/>
          <w:w w:val="120"/>
          <w:sz w:val="20"/>
        </w:rPr>
        <w:t>would </w:t>
      </w:r>
      <w:r>
        <w:rPr>
          <w:w w:val="120"/>
          <w:sz w:val="20"/>
        </w:rPr>
        <w:t>be </w:t>
      </w:r>
      <w:r>
        <w:rPr>
          <w:spacing w:val="-3"/>
          <w:w w:val="120"/>
          <w:sz w:val="20"/>
        </w:rPr>
        <w:t>willing to </w:t>
      </w:r>
      <w:r>
        <w:rPr>
          <w:w w:val="120"/>
          <w:sz w:val="20"/>
        </w:rPr>
        <w:t>look at </w:t>
      </w:r>
      <w:r>
        <w:rPr>
          <w:spacing w:val="-3"/>
          <w:w w:val="120"/>
          <w:sz w:val="20"/>
        </w:rPr>
        <w:t>this issue, </w:t>
      </w:r>
      <w:r>
        <w:rPr>
          <w:w w:val="120"/>
          <w:sz w:val="20"/>
        </w:rPr>
        <w:t>if </w:t>
      </w:r>
      <w:r>
        <w:rPr>
          <w:spacing w:val="-3"/>
          <w:w w:val="120"/>
          <w:sz w:val="20"/>
        </w:rPr>
        <w:t>asked </w:t>
      </w:r>
      <w:r>
        <w:rPr>
          <w:spacing w:val="-4"/>
          <w:w w:val="120"/>
          <w:sz w:val="20"/>
        </w:rPr>
        <w:t>to, </w:t>
      </w:r>
      <w:r>
        <w:rPr>
          <w:w w:val="120"/>
          <w:sz w:val="20"/>
        </w:rPr>
        <w:t>and </w:t>
      </w:r>
      <w:r>
        <w:rPr>
          <w:spacing w:val="-3"/>
          <w:w w:val="120"/>
          <w:sz w:val="20"/>
        </w:rPr>
        <w:t>invites </w:t>
      </w:r>
      <w:r>
        <w:rPr>
          <w:w w:val="120"/>
          <w:sz w:val="20"/>
        </w:rPr>
        <w:t>Assembly </w:t>
      </w:r>
      <w:r>
        <w:rPr>
          <w:spacing w:val="-3"/>
          <w:w w:val="120"/>
          <w:sz w:val="20"/>
        </w:rPr>
        <w:t>to </w:t>
      </w:r>
      <w:r>
        <w:rPr>
          <w:w w:val="120"/>
          <w:sz w:val="20"/>
        </w:rPr>
        <w:t>take a </w:t>
      </w:r>
      <w:r>
        <w:rPr>
          <w:spacing w:val="-3"/>
          <w:w w:val="120"/>
          <w:sz w:val="20"/>
        </w:rPr>
        <w:t>decision </w:t>
      </w:r>
      <w:r>
        <w:rPr>
          <w:w w:val="120"/>
          <w:sz w:val="20"/>
        </w:rPr>
        <w:t>about</w:t>
      </w:r>
      <w:r>
        <w:rPr>
          <w:spacing w:val="-34"/>
          <w:w w:val="120"/>
          <w:sz w:val="20"/>
        </w:rPr>
        <w:t> </w:t>
      </w:r>
      <w:r>
        <w:rPr>
          <w:spacing w:val="-3"/>
          <w:w w:val="120"/>
          <w:sz w:val="20"/>
        </w:rPr>
        <w:t>this.</w:t>
      </w:r>
    </w:p>
    <w:p>
      <w:pPr>
        <w:pStyle w:val="BodyText"/>
        <w:spacing w:before="1"/>
        <w:rPr>
          <w:sz w:val="19"/>
        </w:rPr>
      </w:pPr>
    </w:p>
    <w:p>
      <w:pPr>
        <w:pStyle w:val="Heading6"/>
        <w:ind w:left="1227"/>
      </w:pPr>
      <w:r>
        <w:rPr>
          <w:w w:val="110"/>
        </w:rPr>
        <w:t>Draft Resolution 18:</w:t>
      </w:r>
    </w:p>
    <w:p>
      <w:pPr>
        <w:pStyle w:val="BodyText"/>
        <w:spacing w:line="235" w:lineRule="auto" w:before="82"/>
        <w:ind w:left="1227" w:right="2143"/>
      </w:pPr>
      <w:r>
        <w:rPr>
          <w:w w:val="120"/>
        </w:rPr>
        <w:t>General Assembly extends the remit of the task group on the future of General Assembly to propose recommendations on the expectations of General Assembly on the activities to be undertaken by the Assembly</w:t>
      </w:r>
      <w:r>
        <w:rPr>
          <w:spacing w:val="52"/>
          <w:w w:val="120"/>
        </w:rPr>
        <w:t> </w:t>
      </w:r>
      <w:r>
        <w:rPr>
          <w:spacing w:val="-3"/>
          <w:w w:val="120"/>
        </w:rPr>
        <w:t>Moderator(s).</w:t>
      </w:r>
    </w:p>
    <w:p>
      <w:pPr>
        <w:pStyle w:val="BodyText"/>
        <w:spacing w:before="3"/>
        <w:rPr>
          <w:sz w:val="22"/>
        </w:rPr>
      </w:pPr>
    </w:p>
    <w:p>
      <w:pPr>
        <w:pStyle w:val="Heading4"/>
        <w:numPr>
          <w:ilvl w:val="0"/>
          <w:numId w:val="43"/>
        </w:numPr>
        <w:tabs>
          <w:tab w:pos="1227" w:val="left" w:leader="none"/>
          <w:tab w:pos="1228" w:val="left" w:leader="none"/>
        </w:tabs>
        <w:spacing w:line="240" w:lineRule="auto" w:before="0" w:after="0"/>
        <w:ind w:left="1227" w:right="0" w:hanging="681"/>
        <w:jc w:val="left"/>
      </w:pPr>
      <w:r>
        <w:rPr>
          <w:spacing w:val="3"/>
          <w:w w:val="110"/>
        </w:rPr>
        <w:t>Mission</w:t>
      </w:r>
      <w:r>
        <w:rPr>
          <w:spacing w:val="12"/>
          <w:w w:val="110"/>
        </w:rPr>
        <w:t> </w:t>
      </w:r>
      <w:r>
        <w:rPr>
          <w:spacing w:val="2"/>
          <w:w w:val="110"/>
        </w:rPr>
        <w:t>Council</w:t>
      </w:r>
    </w:p>
    <w:p>
      <w:pPr>
        <w:pStyle w:val="ListParagraph"/>
        <w:numPr>
          <w:ilvl w:val="1"/>
          <w:numId w:val="43"/>
        </w:numPr>
        <w:tabs>
          <w:tab w:pos="1227" w:val="left" w:leader="none"/>
          <w:tab w:pos="1228" w:val="left" w:leader="none"/>
        </w:tabs>
        <w:spacing w:line="235" w:lineRule="auto" w:before="69" w:after="0"/>
        <w:ind w:left="547" w:right="2331" w:firstLine="0"/>
        <w:jc w:val="left"/>
        <w:rPr>
          <w:sz w:val="20"/>
        </w:rPr>
      </w:pPr>
      <w:r>
        <w:rPr>
          <w:w w:val="120"/>
          <w:sz w:val="20"/>
        </w:rPr>
        <w:t>If the Assembly were to opt for Options B, C or </w:t>
      </w:r>
      <w:r>
        <w:rPr>
          <w:spacing w:val="-4"/>
          <w:w w:val="120"/>
          <w:sz w:val="20"/>
        </w:rPr>
        <w:t>D, </w:t>
      </w:r>
      <w:r>
        <w:rPr>
          <w:w w:val="120"/>
          <w:sz w:val="20"/>
        </w:rPr>
        <w:t>the </w:t>
      </w:r>
      <w:r>
        <w:rPr>
          <w:spacing w:val="-4"/>
          <w:w w:val="120"/>
          <w:sz w:val="20"/>
        </w:rPr>
        <w:t>Task </w:t>
      </w:r>
      <w:r>
        <w:rPr>
          <w:spacing w:val="-3"/>
          <w:w w:val="120"/>
          <w:sz w:val="20"/>
        </w:rPr>
        <w:t>Group’s </w:t>
      </w:r>
      <w:r>
        <w:rPr>
          <w:w w:val="120"/>
          <w:sz w:val="20"/>
        </w:rPr>
        <w:t>response  to</w:t>
      </w:r>
      <w:r>
        <w:rPr>
          <w:spacing w:val="4"/>
          <w:w w:val="120"/>
          <w:sz w:val="20"/>
        </w:rPr>
        <w:t> </w:t>
      </w:r>
      <w:r>
        <w:rPr>
          <w:w w:val="120"/>
          <w:sz w:val="20"/>
        </w:rPr>
        <w:t>the</w:t>
      </w:r>
      <w:r>
        <w:rPr>
          <w:spacing w:val="5"/>
          <w:w w:val="120"/>
          <w:sz w:val="20"/>
        </w:rPr>
        <w:t> </w:t>
      </w:r>
      <w:r>
        <w:rPr>
          <w:w w:val="120"/>
          <w:sz w:val="20"/>
        </w:rPr>
        <w:t>evidence</w:t>
      </w:r>
      <w:r>
        <w:rPr>
          <w:spacing w:val="5"/>
          <w:w w:val="120"/>
          <w:sz w:val="20"/>
        </w:rPr>
        <w:t> </w:t>
      </w:r>
      <w:r>
        <w:rPr>
          <w:w w:val="120"/>
          <w:sz w:val="20"/>
        </w:rPr>
        <w:t>and</w:t>
      </w:r>
      <w:r>
        <w:rPr>
          <w:spacing w:val="5"/>
          <w:w w:val="120"/>
          <w:sz w:val="20"/>
        </w:rPr>
        <w:t> </w:t>
      </w:r>
      <w:r>
        <w:rPr>
          <w:w w:val="120"/>
          <w:sz w:val="20"/>
        </w:rPr>
        <w:t>theology</w:t>
      </w:r>
      <w:r>
        <w:rPr>
          <w:spacing w:val="5"/>
          <w:w w:val="120"/>
          <w:sz w:val="20"/>
        </w:rPr>
        <w:t> </w:t>
      </w:r>
      <w:r>
        <w:rPr>
          <w:w w:val="120"/>
          <w:sz w:val="20"/>
        </w:rPr>
        <w:t>is</w:t>
      </w:r>
      <w:r>
        <w:rPr>
          <w:spacing w:val="5"/>
          <w:w w:val="120"/>
          <w:sz w:val="20"/>
        </w:rPr>
        <w:t> </w:t>
      </w:r>
      <w:r>
        <w:rPr>
          <w:w w:val="120"/>
          <w:sz w:val="20"/>
        </w:rPr>
        <w:t>to</w:t>
      </w:r>
      <w:r>
        <w:rPr>
          <w:spacing w:val="5"/>
          <w:w w:val="120"/>
          <w:sz w:val="20"/>
        </w:rPr>
        <w:t> </w:t>
      </w:r>
      <w:r>
        <w:rPr>
          <w:w w:val="120"/>
          <w:sz w:val="20"/>
        </w:rPr>
        <w:t>suggest</w:t>
      </w:r>
      <w:r>
        <w:rPr>
          <w:spacing w:val="5"/>
          <w:w w:val="120"/>
          <w:sz w:val="20"/>
        </w:rPr>
        <w:t> </w:t>
      </w:r>
      <w:r>
        <w:rPr>
          <w:w w:val="120"/>
          <w:sz w:val="20"/>
        </w:rPr>
        <w:t>that</w:t>
      </w:r>
      <w:r>
        <w:rPr>
          <w:spacing w:val="5"/>
          <w:w w:val="120"/>
          <w:sz w:val="20"/>
        </w:rPr>
        <w:t> </w:t>
      </w:r>
      <w:r>
        <w:rPr>
          <w:w w:val="120"/>
          <w:sz w:val="20"/>
        </w:rPr>
        <w:t>there</w:t>
      </w:r>
      <w:r>
        <w:rPr>
          <w:spacing w:val="5"/>
          <w:w w:val="120"/>
          <w:sz w:val="20"/>
        </w:rPr>
        <w:t> </w:t>
      </w:r>
      <w:r>
        <w:rPr>
          <w:w w:val="120"/>
          <w:sz w:val="20"/>
        </w:rPr>
        <w:t>would</w:t>
      </w:r>
      <w:r>
        <w:rPr>
          <w:spacing w:val="5"/>
          <w:w w:val="120"/>
          <w:sz w:val="20"/>
        </w:rPr>
        <w:t> </w:t>
      </w:r>
      <w:r>
        <w:rPr>
          <w:w w:val="120"/>
          <w:sz w:val="20"/>
        </w:rPr>
        <w:t>be</w:t>
      </w:r>
      <w:r>
        <w:rPr>
          <w:spacing w:val="5"/>
          <w:w w:val="120"/>
          <w:sz w:val="20"/>
        </w:rPr>
        <w:t> </w:t>
      </w:r>
      <w:r>
        <w:rPr>
          <w:w w:val="120"/>
          <w:sz w:val="20"/>
        </w:rPr>
        <w:t>less</w:t>
      </w:r>
      <w:r>
        <w:rPr>
          <w:spacing w:val="5"/>
          <w:w w:val="120"/>
          <w:sz w:val="20"/>
        </w:rPr>
        <w:t> </w:t>
      </w:r>
      <w:r>
        <w:rPr>
          <w:w w:val="120"/>
          <w:sz w:val="20"/>
        </w:rPr>
        <w:t>need</w:t>
      </w:r>
      <w:r>
        <w:rPr>
          <w:spacing w:val="5"/>
          <w:w w:val="120"/>
          <w:sz w:val="20"/>
        </w:rPr>
        <w:t> </w:t>
      </w:r>
      <w:r>
        <w:rPr>
          <w:w w:val="120"/>
          <w:sz w:val="20"/>
        </w:rPr>
        <w:t>for</w:t>
      </w:r>
      <w:r>
        <w:rPr>
          <w:spacing w:val="5"/>
          <w:w w:val="120"/>
          <w:sz w:val="20"/>
        </w:rPr>
        <w:t> </w:t>
      </w:r>
      <w:r>
        <w:rPr>
          <w:w w:val="120"/>
          <w:sz w:val="20"/>
        </w:rPr>
        <w:t>Mission</w:t>
      </w:r>
    </w:p>
    <w:p>
      <w:pPr>
        <w:pStyle w:val="BodyText"/>
        <w:spacing w:line="235" w:lineRule="auto" w:before="1"/>
        <w:ind w:left="547" w:right="1816"/>
      </w:pPr>
      <w:r>
        <w:rPr>
          <w:w w:val="120"/>
        </w:rPr>
        <w:t>Council to act as it does now, which would mean that Mission Council had a smaller and more focused task, which would then merit a smaller and more focused membership.</w:t>
      </w:r>
    </w:p>
    <w:p>
      <w:pPr>
        <w:pStyle w:val="BodyText"/>
        <w:spacing w:before="10"/>
        <w:rPr>
          <w:sz w:val="19"/>
        </w:rPr>
      </w:pPr>
    </w:p>
    <w:p>
      <w:pPr>
        <w:pStyle w:val="ListParagraph"/>
        <w:numPr>
          <w:ilvl w:val="1"/>
          <w:numId w:val="43"/>
        </w:numPr>
        <w:tabs>
          <w:tab w:pos="1227" w:val="left" w:leader="none"/>
          <w:tab w:pos="1228" w:val="left" w:leader="none"/>
        </w:tabs>
        <w:spacing w:line="235" w:lineRule="auto" w:before="0" w:after="0"/>
        <w:ind w:left="547" w:right="1983" w:firstLine="0"/>
        <w:jc w:val="left"/>
        <w:rPr>
          <w:sz w:val="20"/>
        </w:rPr>
      </w:pPr>
      <w:r>
        <w:rPr>
          <w:w w:val="120"/>
          <w:sz w:val="20"/>
        </w:rPr>
        <w:t>Therefore, the task group propose that if Assembly were </w:t>
      </w:r>
      <w:r>
        <w:rPr>
          <w:spacing w:val="-3"/>
          <w:w w:val="120"/>
          <w:sz w:val="20"/>
        </w:rPr>
        <w:t>annual, </w:t>
      </w:r>
      <w:r>
        <w:rPr>
          <w:w w:val="120"/>
          <w:sz w:val="20"/>
        </w:rPr>
        <w:t>Mission </w:t>
      </w:r>
      <w:r>
        <w:rPr>
          <w:spacing w:val="-3"/>
          <w:w w:val="120"/>
          <w:sz w:val="20"/>
        </w:rPr>
        <w:t>Council would</w:t>
      </w:r>
      <w:r>
        <w:rPr>
          <w:spacing w:val="-4"/>
          <w:w w:val="120"/>
          <w:sz w:val="20"/>
        </w:rPr>
        <w:t> </w:t>
      </w:r>
      <w:r>
        <w:rPr>
          <w:w w:val="120"/>
          <w:sz w:val="20"/>
        </w:rPr>
        <w:t>only</w:t>
      </w:r>
      <w:r>
        <w:rPr>
          <w:spacing w:val="-4"/>
          <w:w w:val="120"/>
          <w:sz w:val="20"/>
        </w:rPr>
        <w:t> </w:t>
      </w:r>
      <w:r>
        <w:rPr>
          <w:w w:val="120"/>
          <w:sz w:val="20"/>
        </w:rPr>
        <w:t>need</w:t>
      </w:r>
      <w:r>
        <w:rPr>
          <w:spacing w:val="-4"/>
          <w:w w:val="120"/>
          <w:sz w:val="20"/>
        </w:rPr>
        <w:t> </w:t>
      </w:r>
      <w:r>
        <w:rPr>
          <w:spacing w:val="-3"/>
          <w:w w:val="120"/>
          <w:sz w:val="20"/>
        </w:rPr>
        <w:t>to</w:t>
      </w:r>
      <w:r>
        <w:rPr>
          <w:spacing w:val="-4"/>
          <w:w w:val="120"/>
          <w:sz w:val="20"/>
        </w:rPr>
        <w:t> </w:t>
      </w:r>
      <w:r>
        <w:rPr>
          <w:w w:val="120"/>
          <w:sz w:val="20"/>
        </w:rPr>
        <w:t>meet</w:t>
      </w:r>
      <w:r>
        <w:rPr>
          <w:spacing w:val="-4"/>
          <w:w w:val="120"/>
          <w:sz w:val="20"/>
        </w:rPr>
        <w:t> </w:t>
      </w:r>
      <w:r>
        <w:rPr>
          <w:w w:val="120"/>
          <w:sz w:val="20"/>
        </w:rPr>
        <w:t>either</w:t>
      </w:r>
      <w:r>
        <w:rPr>
          <w:spacing w:val="-4"/>
          <w:w w:val="120"/>
          <w:sz w:val="20"/>
        </w:rPr>
        <w:t> </w:t>
      </w:r>
      <w:r>
        <w:rPr>
          <w:w w:val="120"/>
          <w:sz w:val="20"/>
        </w:rPr>
        <w:t>for</w:t>
      </w:r>
      <w:r>
        <w:rPr>
          <w:spacing w:val="-4"/>
          <w:w w:val="120"/>
          <w:sz w:val="20"/>
        </w:rPr>
        <w:t> </w:t>
      </w:r>
      <w:r>
        <w:rPr>
          <w:w w:val="120"/>
          <w:sz w:val="20"/>
        </w:rPr>
        <w:t>one</w:t>
      </w:r>
      <w:r>
        <w:rPr>
          <w:spacing w:val="-4"/>
          <w:w w:val="120"/>
          <w:sz w:val="20"/>
        </w:rPr>
        <w:t> </w:t>
      </w:r>
      <w:r>
        <w:rPr>
          <w:spacing w:val="-3"/>
          <w:w w:val="120"/>
          <w:sz w:val="20"/>
        </w:rPr>
        <w:t>residential</w:t>
      </w:r>
      <w:r>
        <w:rPr>
          <w:spacing w:val="-4"/>
          <w:w w:val="120"/>
          <w:sz w:val="20"/>
        </w:rPr>
        <w:t> </w:t>
      </w:r>
      <w:r>
        <w:rPr>
          <w:w w:val="120"/>
          <w:sz w:val="20"/>
        </w:rPr>
        <w:t>meeting,</w:t>
      </w:r>
      <w:r>
        <w:rPr>
          <w:spacing w:val="-4"/>
          <w:w w:val="120"/>
          <w:sz w:val="20"/>
        </w:rPr>
        <w:t> </w:t>
      </w:r>
      <w:r>
        <w:rPr>
          <w:w w:val="120"/>
          <w:sz w:val="20"/>
        </w:rPr>
        <w:t>or</w:t>
      </w:r>
      <w:r>
        <w:rPr>
          <w:spacing w:val="-4"/>
          <w:w w:val="120"/>
          <w:sz w:val="20"/>
        </w:rPr>
        <w:t> </w:t>
      </w:r>
      <w:r>
        <w:rPr>
          <w:w w:val="120"/>
          <w:sz w:val="20"/>
        </w:rPr>
        <w:t>for</w:t>
      </w:r>
      <w:r>
        <w:rPr>
          <w:spacing w:val="-4"/>
          <w:w w:val="120"/>
          <w:sz w:val="20"/>
        </w:rPr>
        <w:t> </w:t>
      </w:r>
      <w:r>
        <w:rPr>
          <w:w w:val="120"/>
          <w:sz w:val="20"/>
        </w:rPr>
        <w:t>two</w:t>
      </w:r>
      <w:r>
        <w:rPr>
          <w:spacing w:val="-4"/>
          <w:w w:val="120"/>
          <w:sz w:val="20"/>
        </w:rPr>
        <w:t> </w:t>
      </w:r>
      <w:r>
        <w:rPr>
          <w:w w:val="120"/>
          <w:sz w:val="20"/>
        </w:rPr>
        <w:t>one-day</w:t>
      </w:r>
      <w:r>
        <w:rPr>
          <w:spacing w:val="-4"/>
          <w:w w:val="120"/>
          <w:sz w:val="20"/>
        </w:rPr>
        <w:t> </w:t>
      </w:r>
      <w:r>
        <w:rPr>
          <w:w w:val="120"/>
          <w:sz w:val="20"/>
        </w:rPr>
        <w:t>meetings. The </w:t>
      </w:r>
      <w:r>
        <w:rPr>
          <w:spacing w:val="-5"/>
          <w:w w:val="120"/>
          <w:sz w:val="20"/>
        </w:rPr>
        <w:t>group’s </w:t>
      </w:r>
      <w:r>
        <w:rPr>
          <w:w w:val="120"/>
          <w:sz w:val="20"/>
        </w:rPr>
        <w:t>view is that more is </w:t>
      </w:r>
      <w:r>
        <w:rPr>
          <w:spacing w:val="-3"/>
          <w:w w:val="120"/>
          <w:sz w:val="20"/>
        </w:rPr>
        <w:t>achieved </w:t>
      </w:r>
      <w:r>
        <w:rPr>
          <w:w w:val="120"/>
          <w:sz w:val="20"/>
        </w:rPr>
        <w:t>in one </w:t>
      </w:r>
      <w:r>
        <w:rPr>
          <w:spacing w:val="-3"/>
          <w:w w:val="120"/>
          <w:sz w:val="20"/>
        </w:rPr>
        <w:t>residential </w:t>
      </w:r>
      <w:r>
        <w:rPr>
          <w:w w:val="120"/>
          <w:sz w:val="20"/>
        </w:rPr>
        <w:t>meeting at </w:t>
      </w:r>
      <w:r>
        <w:rPr>
          <w:spacing w:val="-3"/>
          <w:w w:val="120"/>
          <w:sz w:val="20"/>
        </w:rPr>
        <w:t>smaller </w:t>
      </w:r>
      <w:r>
        <w:rPr>
          <w:w w:val="120"/>
          <w:sz w:val="20"/>
        </w:rPr>
        <w:t>travel costs, although two one-day meetings </w:t>
      </w:r>
      <w:r>
        <w:rPr>
          <w:spacing w:val="-3"/>
          <w:w w:val="120"/>
          <w:sz w:val="20"/>
        </w:rPr>
        <w:t>may </w:t>
      </w:r>
      <w:r>
        <w:rPr>
          <w:w w:val="120"/>
          <w:sz w:val="20"/>
        </w:rPr>
        <w:t>be better for </w:t>
      </w:r>
      <w:r>
        <w:rPr>
          <w:spacing w:val="-3"/>
          <w:w w:val="120"/>
          <w:sz w:val="20"/>
        </w:rPr>
        <w:t>disposing </w:t>
      </w:r>
      <w:r>
        <w:rPr>
          <w:w w:val="120"/>
          <w:sz w:val="20"/>
        </w:rPr>
        <w:t>of minor business more</w:t>
      </w:r>
      <w:r>
        <w:rPr>
          <w:spacing w:val="-2"/>
          <w:w w:val="120"/>
          <w:sz w:val="20"/>
        </w:rPr>
        <w:t> </w:t>
      </w:r>
      <w:r>
        <w:rPr>
          <w:spacing w:val="-3"/>
          <w:w w:val="120"/>
          <w:sz w:val="20"/>
        </w:rPr>
        <w:t>expeditiously.</w:t>
      </w:r>
    </w:p>
    <w:p>
      <w:pPr>
        <w:pStyle w:val="BodyText"/>
        <w:spacing w:before="11"/>
        <w:rPr>
          <w:sz w:val="19"/>
        </w:rPr>
      </w:pPr>
    </w:p>
    <w:p>
      <w:pPr>
        <w:pStyle w:val="ListParagraph"/>
        <w:numPr>
          <w:ilvl w:val="1"/>
          <w:numId w:val="43"/>
        </w:numPr>
        <w:tabs>
          <w:tab w:pos="1227" w:val="left" w:leader="none"/>
          <w:tab w:pos="1228" w:val="left" w:leader="none"/>
        </w:tabs>
        <w:spacing w:line="235" w:lineRule="auto" w:before="0" w:after="0"/>
        <w:ind w:left="547" w:right="2094" w:firstLine="0"/>
        <w:jc w:val="left"/>
        <w:rPr>
          <w:sz w:val="20"/>
        </w:rPr>
      </w:pPr>
      <w:r>
        <w:rPr>
          <w:w w:val="120"/>
          <w:sz w:val="20"/>
        </w:rPr>
        <w:t>At the moment it is possible for members of Mission Council not to be members of the General Assembly. It is unusual, if not unique, for people to be members of an executive body without being members of the body of which they are an executive. This could be resolved if synods were asked to nominate which of their reps to General Assembly were to be members of Mission Council in the forthcoming</w:t>
      </w:r>
      <w:r>
        <w:rPr>
          <w:spacing w:val="36"/>
          <w:w w:val="120"/>
          <w:sz w:val="20"/>
        </w:rPr>
        <w:t> </w:t>
      </w:r>
      <w:r>
        <w:rPr>
          <w:spacing w:val="-4"/>
          <w:w w:val="120"/>
          <w:sz w:val="20"/>
        </w:rPr>
        <w:t>year.</w:t>
      </w:r>
    </w:p>
    <w:p>
      <w:pPr>
        <w:pStyle w:val="BodyText"/>
      </w:pPr>
    </w:p>
    <w:p>
      <w:pPr>
        <w:pStyle w:val="ListParagraph"/>
        <w:numPr>
          <w:ilvl w:val="1"/>
          <w:numId w:val="43"/>
        </w:numPr>
        <w:tabs>
          <w:tab w:pos="1227" w:val="left" w:leader="none"/>
          <w:tab w:pos="1228" w:val="left" w:leader="none"/>
        </w:tabs>
        <w:spacing w:line="235" w:lineRule="auto" w:before="0" w:after="0"/>
        <w:ind w:left="547" w:right="2190" w:firstLine="0"/>
        <w:jc w:val="left"/>
        <w:rPr>
          <w:sz w:val="20"/>
        </w:rPr>
      </w:pPr>
      <w:r>
        <w:rPr>
          <w:w w:val="120"/>
          <w:sz w:val="20"/>
        </w:rPr>
        <w:t>Unintended consequences of reducing Mission Council’s work might be a weakening of the relationships within that body that help it to handle controversial and complex matters, and a weakening of the support given to the small number of Advisory Groups (for example, law and polity, or safeguarding) that </w:t>
      </w:r>
      <w:r>
        <w:rPr>
          <w:spacing w:val="2"/>
          <w:w w:val="120"/>
          <w:sz w:val="20"/>
        </w:rPr>
        <w:t>report </w:t>
      </w:r>
      <w:r>
        <w:rPr>
          <w:w w:val="120"/>
          <w:sz w:val="20"/>
        </w:rPr>
        <w:t>to Mission Council.</w:t>
      </w:r>
      <w:r>
        <w:rPr>
          <w:spacing w:val="6"/>
          <w:w w:val="120"/>
          <w:sz w:val="20"/>
        </w:rPr>
        <w:t> </w:t>
      </w:r>
      <w:r>
        <w:rPr>
          <w:w w:val="120"/>
          <w:sz w:val="20"/>
        </w:rPr>
        <w:t>Whether</w:t>
      </w:r>
      <w:r>
        <w:rPr>
          <w:spacing w:val="6"/>
          <w:w w:val="120"/>
          <w:sz w:val="20"/>
        </w:rPr>
        <w:t> </w:t>
      </w:r>
      <w:r>
        <w:rPr>
          <w:w w:val="120"/>
          <w:sz w:val="20"/>
        </w:rPr>
        <w:t>we</w:t>
      </w:r>
      <w:r>
        <w:rPr>
          <w:spacing w:val="7"/>
          <w:w w:val="120"/>
          <w:sz w:val="20"/>
        </w:rPr>
        <w:t> </w:t>
      </w:r>
      <w:r>
        <w:rPr>
          <w:w w:val="120"/>
          <w:sz w:val="20"/>
        </w:rPr>
        <w:t>think</w:t>
      </w:r>
      <w:r>
        <w:rPr>
          <w:spacing w:val="6"/>
          <w:w w:val="120"/>
          <w:sz w:val="20"/>
        </w:rPr>
        <w:t> </w:t>
      </w:r>
      <w:r>
        <w:rPr>
          <w:w w:val="120"/>
          <w:sz w:val="20"/>
        </w:rPr>
        <w:t>that</w:t>
      </w:r>
      <w:r>
        <w:rPr>
          <w:spacing w:val="6"/>
          <w:w w:val="120"/>
          <w:sz w:val="20"/>
        </w:rPr>
        <w:t> </w:t>
      </w:r>
      <w:r>
        <w:rPr>
          <w:w w:val="120"/>
          <w:sz w:val="20"/>
        </w:rPr>
        <w:t>Mission</w:t>
      </w:r>
      <w:r>
        <w:rPr>
          <w:spacing w:val="7"/>
          <w:w w:val="120"/>
          <w:sz w:val="20"/>
        </w:rPr>
        <w:t> </w:t>
      </w:r>
      <w:r>
        <w:rPr>
          <w:w w:val="120"/>
          <w:sz w:val="20"/>
        </w:rPr>
        <w:t>Council</w:t>
      </w:r>
      <w:r>
        <w:rPr>
          <w:spacing w:val="6"/>
          <w:w w:val="120"/>
          <w:sz w:val="20"/>
        </w:rPr>
        <w:t> </w:t>
      </w:r>
      <w:r>
        <w:rPr>
          <w:w w:val="120"/>
          <w:sz w:val="20"/>
        </w:rPr>
        <w:t>undermines</w:t>
      </w:r>
      <w:r>
        <w:rPr>
          <w:spacing w:val="7"/>
          <w:w w:val="120"/>
          <w:sz w:val="20"/>
        </w:rPr>
        <w:t> </w:t>
      </w:r>
      <w:r>
        <w:rPr>
          <w:w w:val="120"/>
          <w:sz w:val="20"/>
        </w:rPr>
        <w:t>our</w:t>
      </w:r>
      <w:r>
        <w:rPr>
          <w:spacing w:val="6"/>
          <w:w w:val="120"/>
          <w:sz w:val="20"/>
        </w:rPr>
        <w:t> </w:t>
      </w:r>
      <w:r>
        <w:rPr>
          <w:w w:val="120"/>
          <w:sz w:val="20"/>
        </w:rPr>
        <w:t>conciliar</w:t>
      </w:r>
      <w:r>
        <w:rPr>
          <w:spacing w:val="6"/>
          <w:w w:val="120"/>
          <w:sz w:val="20"/>
        </w:rPr>
        <w:t> </w:t>
      </w:r>
      <w:r>
        <w:rPr>
          <w:w w:val="120"/>
          <w:sz w:val="20"/>
        </w:rPr>
        <w:t>theology,</w:t>
      </w:r>
      <w:r>
        <w:rPr>
          <w:spacing w:val="7"/>
          <w:w w:val="120"/>
          <w:sz w:val="20"/>
        </w:rPr>
        <w:t> </w:t>
      </w:r>
      <w:r>
        <w:rPr>
          <w:w w:val="120"/>
          <w:sz w:val="20"/>
        </w:rPr>
        <w:t>or</w:t>
      </w:r>
    </w:p>
    <w:p>
      <w:pPr>
        <w:pStyle w:val="BodyText"/>
        <w:spacing w:line="235" w:lineRule="auto" w:before="3"/>
        <w:ind w:left="547" w:right="1880"/>
      </w:pPr>
      <w:r>
        <w:rPr>
          <w:w w:val="120"/>
        </w:rPr>
        <w:t>expresses it in a manner that complements the work of Assembly, there do seem to be a few things that a body of under 100 people does better than an Assembly of 300. These factors do not suggest that change cannot be considered, but that the implications of change ought to be considered too, and remind us that any change we make may still have unexpected consequences.</w:t>
      </w:r>
    </w:p>
    <w:p>
      <w:pPr>
        <w:pStyle w:val="BodyText"/>
      </w:pPr>
    </w:p>
    <w:p>
      <w:pPr>
        <w:pStyle w:val="ListParagraph"/>
        <w:numPr>
          <w:ilvl w:val="1"/>
          <w:numId w:val="43"/>
        </w:numPr>
        <w:tabs>
          <w:tab w:pos="1227" w:val="left" w:leader="none"/>
          <w:tab w:pos="1228" w:val="left" w:leader="none"/>
        </w:tabs>
        <w:spacing w:line="235" w:lineRule="auto" w:before="0" w:after="0"/>
        <w:ind w:left="547" w:right="2474" w:firstLine="0"/>
        <w:jc w:val="left"/>
        <w:rPr>
          <w:sz w:val="20"/>
        </w:rPr>
      </w:pPr>
      <w:r>
        <w:rPr>
          <w:w w:val="120"/>
          <w:sz w:val="20"/>
        </w:rPr>
        <w:t>If one of Options B, C or D is chosen, more work needs to be done on the consequent changes to Mission Council, and therefore the resolution below will be moved:</w:t>
      </w:r>
    </w:p>
    <w:p>
      <w:pPr>
        <w:pStyle w:val="BodyText"/>
        <w:rPr>
          <w:sz w:val="19"/>
        </w:rPr>
      </w:pPr>
    </w:p>
    <w:p>
      <w:pPr>
        <w:pStyle w:val="Heading6"/>
        <w:ind w:left="1227"/>
      </w:pPr>
      <w:r>
        <w:rPr>
          <w:w w:val="110"/>
        </w:rPr>
        <w:t>Draft Resolution 19:</w:t>
      </w:r>
    </w:p>
    <w:p>
      <w:pPr>
        <w:pStyle w:val="BodyText"/>
        <w:spacing w:line="242" w:lineRule="exact" w:before="79"/>
        <w:ind w:left="1227"/>
      </w:pPr>
      <w:r>
        <w:rPr>
          <w:w w:val="120"/>
        </w:rPr>
        <w:t>General Assembly:</w:t>
      </w:r>
    </w:p>
    <w:p>
      <w:pPr>
        <w:pStyle w:val="ListParagraph"/>
        <w:numPr>
          <w:ilvl w:val="0"/>
          <w:numId w:val="53"/>
        </w:numPr>
        <w:tabs>
          <w:tab w:pos="1907" w:val="left" w:leader="none"/>
          <w:tab w:pos="1908" w:val="left" w:leader="none"/>
        </w:tabs>
        <w:spacing w:line="235" w:lineRule="auto" w:before="2" w:after="0"/>
        <w:ind w:left="1907" w:right="2115" w:hanging="681"/>
        <w:jc w:val="left"/>
        <w:rPr>
          <w:sz w:val="20"/>
        </w:rPr>
      </w:pPr>
      <w:r>
        <w:rPr>
          <w:w w:val="120"/>
          <w:sz w:val="20"/>
        </w:rPr>
        <w:t>further extends the remit of the task group on the future of General Assembly to consider changes to Mission Council in the light of decisions made by the General</w:t>
      </w:r>
      <w:r>
        <w:rPr>
          <w:spacing w:val="8"/>
          <w:w w:val="120"/>
          <w:sz w:val="20"/>
        </w:rPr>
        <w:t> </w:t>
      </w:r>
      <w:r>
        <w:rPr>
          <w:w w:val="120"/>
          <w:sz w:val="20"/>
        </w:rPr>
        <w:t>Assembly,</w:t>
      </w:r>
    </w:p>
    <w:p>
      <w:pPr>
        <w:pStyle w:val="ListParagraph"/>
        <w:numPr>
          <w:ilvl w:val="0"/>
          <w:numId w:val="53"/>
        </w:numPr>
        <w:tabs>
          <w:tab w:pos="1907" w:val="left" w:leader="none"/>
          <w:tab w:pos="1908" w:val="left" w:leader="none"/>
        </w:tabs>
        <w:spacing w:line="240" w:lineRule="exact" w:before="0" w:after="0"/>
        <w:ind w:left="1907" w:right="0" w:hanging="681"/>
        <w:jc w:val="left"/>
        <w:rPr>
          <w:sz w:val="20"/>
        </w:rPr>
      </w:pPr>
      <w:r>
        <w:rPr>
          <w:w w:val="120"/>
          <w:sz w:val="20"/>
        </w:rPr>
        <w:t>instructs the task group to </w:t>
      </w:r>
      <w:r>
        <w:rPr>
          <w:spacing w:val="2"/>
          <w:w w:val="120"/>
          <w:sz w:val="20"/>
        </w:rPr>
        <w:t>report </w:t>
      </w:r>
      <w:r>
        <w:rPr>
          <w:w w:val="120"/>
          <w:sz w:val="20"/>
        </w:rPr>
        <w:t>to each meeting of Mission Council,</w:t>
      </w:r>
      <w:r>
        <w:rPr>
          <w:spacing w:val="32"/>
          <w:w w:val="120"/>
          <w:sz w:val="20"/>
        </w:rPr>
        <w:t> </w:t>
      </w:r>
      <w:r>
        <w:rPr>
          <w:w w:val="120"/>
          <w:sz w:val="20"/>
        </w:rPr>
        <w:t>and</w:t>
      </w:r>
    </w:p>
    <w:p>
      <w:pPr>
        <w:pStyle w:val="ListParagraph"/>
        <w:numPr>
          <w:ilvl w:val="0"/>
          <w:numId w:val="53"/>
        </w:numPr>
        <w:tabs>
          <w:tab w:pos="1907" w:val="left" w:leader="none"/>
          <w:tab w:pos="1908" w:val="left" w:leader="none"/>
        </w:tabs>
        <w:spacing w:line="235" w:lineRule="auto" w:before="2" w:after="0"/>
        <w:ind w:left="1907" w:right="2269" w:hanging="681"/>
        <w:jc w:val="left"/>
        <w:rPr>
          <w:sz w:val="20"/>
        </w:rPr>
      </w:pPr>
      <w:r>
        <w:rPr>
          <w:w w:val="120"/>
          <w:sz w:val="20"/>
        </w:rPr>
        <w:t>instructs Mission Council to make appropriate changes to its size, composition, and meeting pattern if these are ready to be made before the next meeting of General</w:t>
      </w:r>
      <w:r>
        <w:rPr>
          <w:spacing w:val="11"/>
          <w:w w:val="120"/>
          <w:sz w:val="20"/>
        </w:rPr>
        <w:t> </w:t>
      </w:r>
      <w:r>
        <w:rPr>
          <w:w w:val="120"/>
          <w:sz w:val="20"/>
        </w:rPr>
        <w:t>Assembly.</w:t>
      </w:r>
    </w:p>
    <w:p>
      <w:pPr>
        <w:spacing w:after="0" w:line="235" w:lineRule="auto"/>
        <w:jc w:val="left"/>
        <w:rPr>
          <w:sz w:val="20"/>
        </w:rPr>
        <w:sectPr>
          <w:headerReference w:type="even" r:id="rId198"/>
          <w:pgSz w:w="11910" w:h="16840"/>
          <w:pgMar w:header="0" w:footer="647" w:top="0" w:bottom="840" w:left="700" w:right="0"/>
        </w:sectPr>
      </w:pPr>
    </w:p>
    <w:p>
      <w:pPr>
        <w:pStyle w:val="BodyText"/>
      </w:pPr>
    </w:p>
    <w:p>
      <w:pPr>
        <w:pStyle w:val="BodyText"/>
        <w:spacing w:before="5"/>
        <w:rPr>
          <w:sz w:val="21"/>
        </w:rPr>
      </w:pPr>
    </w:p>
    <w:p>
      <w:pPr>
        <w:spacing w:after="0"/>
        <w:rPr>
          <w:sz w:val="21"/>
        </w:rPr>
        <w:sectPr>
          <w:headerReference w:type="default" r:id="rId199"/>
          <w:footerReference w:type="default" r:id="rId200"/>
          <w:footerReference w:type="even" r:id="rId201"/>
          <w:pgSz w:w="11910" w:h="16840"/>
          <w:pgMar w:header="0" w:footer="647" w:top="0" w:bottom="840" w:left="700" w:right="0"/>
          <w:pgNumType w:start="67"/>
        </w:sectPr>
      </w:pPr>
    </w:p>
    <w:p>
      <w:pPr>
        <w:pStyle w:val="BodyText"/>
        <w:spacing w:before="6"/>
        <w:rPr>
          <w:sz w:val="52"/>
        </w:rPr>
      </w:pPr>
    </w:p>
    <w:p>
      <w:pPr>
        <w:pStyle w:val="Heading4"/>
        <w:numPr>
          <w:ilvl w:val="0"/>
          <w:numId w:val="43"/>
        </w:numPr>
        <w:tabs>
          <w:tab w:pos="1965" w:val="left" w:leader="none"/>
        </w:tabs>
        <w:spacing w:line="240" w:lineRule="auto" w:before="0" w:after="0"/>
        <w:ind w:left="1964" w:right="0" w:hanging="681"/>
        <w:jc w:val="left"/>
      </w:pPr>
      <w:r>
        <w:rPr>
          <w:spacing w:val="4"/>
          <w:w w:val="110"/>
        </w:rPr>
        <w:t>Staffing</w:t>
      </w:r>
    </w:p>
    <w:p>
      <w:pPr>
        <w:pStyle w:val="Heading5"/>
        <w:ind w:left="1284"/>
      </w:pPr>
      <w:r>
        <w:rPr/>
        <w:br w:type="column"/>
      </w:r>
      <w:r>
        <w:rPr>
          <w:color w:val="7EAABF"/>
          <w:w w:val="120"/>
        </w:rPr>
        <w:t>Mission Council</w:t>
      </w:r>
    </w:p>
    <w:p>
      <w:pPr>
        <w:spacing w:after="0"/>
        <w:sectPr>
          <w:type w:val="continuous"/>
          <w:pgSz w:w="11910" w:h="16840"/>
          <w:pgMar w:top="1580" w:bottom="280" w:left="700" w:right="0"/>
          <w:cols w:num="2" w:equalWidth="0">
            <w:col w:w="3246" w:space="3451"/>
            <w:col w:w="4513"/>
          </w:cols>
        </w:sectPr>
      </w:pPr>
    </w:p>
    <w:p>
      <w:pPr>
        <w:pStyle w:val="ListParagraph"/>
        <w:numPr>
          <w:ilvl w:val="1"/>
          <w:numId w:val="43"/>
        </w:numPr>
        <w:tabs>
          <w:tab w:pos="1964" w:val="left" w:leader="none"/>
          <w:tab w:pos="1965" w:val="left" w:leader="none"/>
        </w:tabs>
        <w:spacing w:line="235" w:lineRule="auto" w:before="69" w:after="0"/>
        <w:ind w:left="1284" w:right="1419" w:firstLine="0"/>
        <w:jc w:val="left"/>
        <w:rPr>
          <w:sz w:val="20"/>
        </w:rPr>
      </w:pPr>
      <w:r>
        <w:rPr/>
        <w:drawing>
          <wp:anchor distT="0" distB="0" distL="0" distR="0" allowOverlap="1" layoutInCell="1" locked="0" behindDoc="0" simplePos="0" relativeHeight="251834368">
            <wp:simplePos x="0" y="0"/>
            <wp:positionH relativeFrom="page">
              <wp:posOffset>6974928</wp:posOffset>
            </wp:positionH>
            <wp:positionV relativeFrom="page">
              <wp:posOffset>0</wp:posOffset>
            </wp:positionV>
            <wp:extent cx="585076" cy="10692003"/>
            <wp:effectExtent l="0" t="0" r="0" b="0"/>
            <wp:wrapNone/>
            <wp:docPr id="123" name="image50.png"/>
            <wp:cNvGraphicFramePr>
              <a:graphicFrameLocks noChangeAspect="1"/>
            </wp:cNvGraphicFramePr>
            <a:graphic>
              <a:graphicData uri="http://schemas.openxmlformats.org/drawingml/2006/picture">
                <pic:pic>
                  <pic:nvPicPr>
                    <pic:cNvPr id="124" name="image50.png"/>
                    <pic:cNvPicPr/>
                  </pic:nvPicPr>
                  <pic:blipFill>
                    <a:blip r:embed="rId64" cstate="print"/>
                    <a:stretch>
                      <a:fillRect/>
                    </a:stretch>
                  </pic:blipFill>
                  <pic:spPr>
                    <a:xfrm>
                      <a:off x="0" y="0"/>
                      <a:ext cx="585076" cy="10692003"/>
                    </a:xfrm>
                    <a:prstGeom prst="rect">
                      <a:avLst/>
                    </a:prstGeom>
                  </pic:spPr>
                </pic:pic>
              </a:graphicData>
            </a:graphic>
          </wp:anchor>
        </w:drawing>
      </w:r>
      <w:r>
        <w:rPr/>
        <w:pict>
          <v:shape style="position:absolute;margin-left:554.141174pt;margin-top:-28.931347pt;width:26pt;height:302.2pt;mso-position-horizontal-relative:page;mso-position-vertical-relative:paragraph;z-index:251835392" type="#_x0000_t202" filled="false" stroked="false">
            <v:textbox inset="0,0,0,0" style="layout-flow:vertical">
              <w:txbxContent>
                <w:p>
                  <w:pPr>
                    <w:spacing w:before="29"/>
                    <w:ind w:left="20" w:right="0" w:firstLine="0"/>
                    <w:jc w:val="left"/>
                    <w:rPr>
                      <w:sz w:val="39"/>
                    </w:rPr>
                  </w:pPr>
                  <w:r>
                    <w:rPr>
                      <w:color w:val="FFFFFF"/>
                      <w:w w:val="125"/>
                      <w:sz w:val="39"/>
                    </w:rPr>
                    <w:t>General Assembly task group</w:t>
                  </w:r>
                </w:p>
              </w:txbxContent>
            </v:textbox>
            <w10:wrap type="none"/>
          </v:shape>
        </w:pict>
      </w:r>
      <w:r>
        <w:rPr>
          <w:w w:val="120"/>
          <w:sz w:val="20"/>
        </w:rPr>
        <w:t>The bulk of the organisation of Assembly is currently handled by staff at Church House, with assistance from volunteers. In the future this could be handled either by URC staff, or by using an events management </w:t>
      </w:r>
      <w:r>
        <w:rPr>
          <w:spacing w:val="-3"/>
          <w:w w:val="120"/>
          <w:sz w:val="20"/>
        </w:rPr>
        <w:t>company. </w:t>
      </w:r>
      <w:r>
        <w:rPr>
          <w:w w:val="120"/>
          <w:sz w:val="20"/>
        </w:rPr>
        <w:t>There would be an inevitable tradeoff between in-house management of Assembly and a professional </w:t>
      </w:r>
      <w:r>
        <w:rPr>
          <w:spacing w:val="-3"/>
          <w:w w:val="120"/>
          <w:sz w:val="20"/>
        </w:rPr>
        <w:t>company.</w:t>
      </w:r>
      <w:r>
        <w:rPr>
          <w:spacing w:val="29"/>
          <w:w w:val="120"/>
          <w:sz w:val="20"/>
        </w:rPr>
        <w:t> </w:t>
      </w:r>
      <w:r>
        <w:rPr>
          <w:w w:val="120"/>
          <w:sz w:val="20"/>
        </w:rPr>
        <w:t>It</w:t>
      </w:r>
    </w:p>
    <w:p>
      <w:pPr>
        <w:pStyle w:val="BodyText"/>
        <w:spacing w:line="235" w:lineRule="auto" w:before="3"/>
        <w:ind w:left="1284" w:right="1381"/>
      </w:pPr>
      <w:r>
        <w:rPr>
          <w:w w:val="120"/>
        </w:rPr>
        <w:t>is likely that professionals would manage the task more efficiently, and perhaps more cheaply. Whereas if we took some of the task away from Church House staff, the event would lose something of its family feel; members would place their bookings with strangers rather than with URC people, and some may feel that they are not as well understood as they would like to be. We have gathered some data on the potential costs of using an events management </w:t>
      </w:r>
      <w:r>
        <w:rPr>
          <w:spacing w:val="-3"/>
          <w:w w:val="120"/>
        </w:rPr>
        <w:t>company, </w:t>
      </w:r>
      <w:r>
        <w:rPr>
          <w:w w:val="120"/>
        </w:rPr>
        <w:t>to assist those in Church House who are charged with making operational decisions. If General Assembly chooses Option </w:t>
      </w:r>
      <w:r>
        <w:rPr>
          <w:spacing w:val="-4"/>
          <w:w w:val="120"/>
        </w:rPr>
        <w:t>D, </w:t>
      </w:r>
      <w:r>
        <w:rPr>
          <w:w w:val="120"/>
        </w:rPr>
        <w:t>the task </w:t>
      </w:r>
      <w:r>
        <w:rPr>
          <w:spacing w:val="-3"/>
          <w:w w:val="120"/>
        </w:rPr>
        <w:t>group’s </w:t>
      </w:r>
      <w:r>
        <w:rPr>
          <w:w w:val="120"/>
        </w:rPr>
        <w:t>preferred option, it is likely that Assembly could be largely organised from within existing staff resources. If General Assembly chooses Option </w:t>
      </w:r>
      <w:r>
        <w:rPr>
          <w:spacing w:val="3"/>
          <w:w w:val="120"/>
        </w:rPr>
        <w:t>A, </w:t>
      </w:r>
      <w:r>
        <w:rPr>
          <w:w w:val="120"/>
        </w:rPr>
        <w:t>B or C, this might strengthen the case for considering the use of external professional</w:t>
      </w:r>
      <w:r>
        <w:rPr>
          <w:spacing w:val="30"/>
          <w:w w:val="120"/>
        </w:rPr>
        <w:t> </w:t>
      </w:r>
      <w:r>
        <w:rPr>
          <w:w w:val="120"/>
        </w:rPr>
        <w:t>help.</w:t>
      </w:r>
    </w:p>
    <w:p>
      <w:pPr>
        <w:spacing w:after="0" w:line="235" w:lineRule="auto"/>
        <w:sectPr>
          <w:type w:val="continuous"/>
          <w:pgSz w:w="11910" w:h="16840"/>
          <w:pgMar w:top="1580" w:bottom="280" w:left="700" w:right="0"/>
        </w:sectPr>
      </w:pPr>
    </w:p>
    <w:p>
      <w:pPr>
        <w:pStyle w:val="BodyText"/>
      </w:pPr>
    </w:p>
    <w:p>
      <w:pPr>
        <w:pStyle w:val="BodyText"/>
        <w:spacing w:before="5"/>
        <w:rPr>
          <w:sz w:val="21"/>
        </w:rPr>
      </w:pPr>
    </w:p>
    <w:p>
      <w:pPr>
        <w:spacing w:after="0"/>
        <w:rPr>
          <w:sz w:val="21"/>
        </w:rPr>
        <w:sectPr>
          <w:headerReference w:type="even" r:id="rId202"/>
          <w:pgSz w:w="11910" w:h="16840"/>
          <w:pgMar w:header="0" w:footer="647" w:top="0" w:bottom="840" w:left="700" w:right="0"/>
        </w:sectPr>
      </w:pPr>
    </w:p>
    <w:p>
      <w:pPr>
        <w:pStyle w:val="Heading5"/>
        <w:ind w:left="547"/>
      </w:pPr>
      <w:r>
        <w:rPr>
          <w:color w:val="7EAABF"/>
          <w:w w:val="120"/>
        </w:rPr>
        <w:t>Mission </w:t>
      </w:r>
      <w:r>
        <w:rPr>
          <w:color w:val="7EAABF"/>
          <w:spacing w:val="-3"/>
          <w:w w:val="120"/>
        </w:rPr>
        <w:t>Council</w:t>
      </w:r>
    </w:p>
    <w:p>
      <w:pPr>
        <w:pStyle w:val="BodyText"/>
        <w:rPr>
          <w:sz w:val="55"/>
        </w:rPr>
      </w:pPr>
      <w:r>
        <w:rPr/>
        <w:br w:type="column"/>
      </w:r>
      <w:r>
        <w:rPr>
          <w:sz w:val="55"/>
        </w:rPr>
      </w:r>
    </w:p>
    <w:p>
      <w:pPr>
        <w:spacing w:before="0"/>
        <w:ind w:left="381" w:right="0" w:firstLine="0"/>
        <w:jc w:val="left"/>
        <w:rPr>
          <w:rFonts w:ascii="Stone Sans II ITC Std Bk"/>
          <w:b/>
          <w:sz w:val="50"/>
        </w:rPr>
      </w:pPr>
      <w:r>
        <w:rPr>
          <w:rFonts w:ascii="Stone Sans II ITC Std Bk"/>
          <w:b/>
          <w:color w:val="0090D4"/>
          <w:w w:val="110"/>
          <w:sz w:val="50"/>
        </w:rPr>
        <w:t>Appendix one</w:t>
      </w:r>
    </w:p>
    <w:p>
      <w:pPr>
        <w:spacing w:after="0"/>
        <w:jc w:val="left"/>
        <w:rPr>
          <w:rFonts w:ascii="Stone Sans II ITC Std Bk"/>
          <w:sz w:val="50"/>
        </w:rPr>
        <w:sectPr>
          <w:type w:val="continuous"/>
          <w:pgSz w:w="11910" w:h="16840"/>
          <w:pgMar w:top="1580" w:bottom="280" w:left="700" w:right="0"/>
          <w:cols w:num="2" w:equalWidth="0">
            <w:col w:w="2525" w:space="40"/>
            <w:col w:w="8645"/>
          </w:cols>
        </w:sectPr>
      </w:pPr>
    </w:p>
    <w:p>
      <w:pPr>
        <w:pStyle w:val="BodyText"/>
        <w:spacing w:before="7"/>
        <w:rPr>
          <w:rFonts w:ascii="Stone Sans II ITC Std Bk"/>
          <w:b/>
          <w:sz w:val="16"/>
        </w:rPr>
      </w:pPr>
      <w:r>
        <w:rPr/>
        <w:drawing>
          <wp:anchor distT="0" distB="0" distL="0" distR="0" allowOverlap="1" layoutInCell="1" locked="0" behindDoc="1" simplePos="0" relativeHeight="235869184">
            <wp:simplePos x="0" y="0"/>
            <wp:positionH relativeFrom="page">
              <wp:posOffset>0</wp:posOffset>
            </wp:positionH>
            <wp:positionV relativeFrom="page">
              <wp:posOffset>0</wp:posOffset>
            </wp:positionV>
            <wp:extent cx="594067" cy="10692003"/>
            <wp:effectExtent l="0" t="0" r="0" b="0"/>
            <wp:wrapNone/>
            <wp:docPr id="125" name="image54.png"/>
            <wp:cNvGraphicFramePr>
              <a:graphicFrameLocks noChangeAspect="1"/>
            </wp:cNvGraphicFramePr>
            <a:graphic>
              <a:graphicData uri="http://schemas.openxmlformats.org/drawingml/2006/picture">
                <pic:pic>
                  <pic:nvPicPr>
                    <pic:cNvPr id="126" name="image54.png"/>
                    <pic:cNvPicPr/>
                  </pic:nvPicPr>
                  <pic:blipFill>
                    <a:blip r:embed="rId203" cstate="print"/>
                    <a:stretch>
                      <a:fillRect/>
                    </a:stretch>
                  </pic:blipFill>
                  <pic:spPr>
                    <a:xfrm>
                      <a:off x="0" y="0"/>
                      <a:ext cx="594067" cy="10692003"/>
                    </a:xfrm>
                    <a:prstGeom prst="rect">
                      <a:avLst/>
                    </a:prstGeom>
                  </pic:spPr>
                </pic:pic>
              </a:graphicData>
            </a:graphic>
          </wp:anchor>
        </w:drawing>
      </w:r>
      <w:r>
        <w:rPr/>
        <w:pict>
          <v:shape style="position:absolute;margin-left:20.519100pt;margin-top:48.890015pt;width:26pt;height:467.5pt;mso-position-horizontal-relative:page;mso-position-vertical-relative:page;z-index:-267446272" type="#_x0000_t202" filled="false" stroked="false">
            <v:textbox inset="0,0,0,0" style="layout-flow:vertical">
              <w:txbxContent>
                <w:p>
                  <w:pPr>
                    <w:spacing w:line="515" w:lineRule="exact" w:before="4"/>
                    <w:ind w:left="20" w:right="0" w:firstLine="0"/>
                    <w:jc w:val="left"/>
                    <w:rPr>
                      <w:rFonts w:ascii="Stone Sans II ITC Std Lt" w:hAnsi="Stone Sans II ITC Std Lt"/>
                      <w:b w:val="0"/>
                      <w:sz w:val="39"/>
                    </w:rPr>
                  </w:pPr>
                  <w:r>
                    <w:rPr>
                      <w:w w:val="120"/>
                      <w:sz w:val="39"/>
                    </w:rPr>
                    <w:t>General Assembly task group – </w:t>
                  </w:r>
                  <w:r>
                    <w:rPr>
                      <w:rFonts w:ascii="Stone Sans II ITC Std Lt" w:hAnsi="Stone Sans II ITC Std Lt"/>
                      <w:b w:val="0"/>
                      <w:w w:val="120"/>
                      <w:sz w:val="39"/>
                    </w:rPr>
                    <w:t>Appendix one</w:t>
                  </w:r>
                </w:p>
              </w:txbxContent>
            </v:textbox>
            <w10:wrap type="none"/>
          </v:shape>
        </w:pict>
      </w:r>
    </w:p>
    <w:p>
      <w:pPr>
        <w:spacing w:line="196" w:lineRule="auto" w:before="143"/>
        <w:ind w:left="547" w:right="2429" w:firstLine="0"/>
        <w:jc w:val="left"/>
        <w:rPr>
          <w:rFonts w:ascii="Stone Sans II ITC Std Bk"/>
          <w:b/>
          <w:sz w:val="29"/>
        </w:rPr>
      </w:pPr>
      <w:r>
        <w:rPr>
          <w:rFonts w:ascii="Stone Sans II ITC Std Bk"/>
          <w:b/>
          <w:w w:val="110"/>
          <w:sz w:val="29"/>
        </w:rPr>
        <w:t>Comparison of the numbers of members of General Assembly in different categories under the various options.</w:t>
      </w:r>
    </w:p>
    <w:p>
      <w:pPr>
        <w:pStyle w:val="BodyText"/>
        <w:rPr>
          <w:rFonts w:ascii="Stone Sans II ITC Std Bk"/>
          <w:b/>
        </w:rPr>
      </w:pPr>
    </w:p>
    <w:p>
      <w:pPr>
        <w:pStyle w:val="BodyText"/>
        <w:spacing w:before="9"/>
        <w:rPr>
          <w:rFonts w:ascii="Stone Sans II ITC Std Bk"/>
          <w:b/>
          <w:sz w:val="23"/>
        </w:rPr>
      </w:pPr>
    </w:p>
    <w:tbl>
      <w:tblPr>
        <w:tblW w:w="0" w:type="auto"/>
        <w:jc w:val="left"/>
        <w:tblInd w:w="5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093"/>
        <w:gridCol w:w="1588"/>
        <w:gridCol w:w="1333"/>
        <w:gridCol w:w="1220"/>
        <w:gridCol w:w="1248"/>
        <w:gridCol w:w="1186"/>
      </w:tblGrid>
      <w:tr>
        <w:trPr>
          <w:trHeight w:val="633" w:hRule="atLeast"/>
        </w:trPr>
        <w:tc>
          <w:tcPr>
            <w:tcW w:w="2093" w:type="dxa"/>
            <w:tcBorders>
              <w:top w:val="nil"/>
              <w:left w:val="nil"/>
              <w:bottom w:val="nil"/>
            </w:tcBorders>
            <w:shd w:val="clear" w:color="auto" w:fill="F1B400"/>
          </w:tcPr>
          <w:p>
            <w:pPr>
              <w:pStyle w:val="TableParagraph"/>
              <w:spacing w:before="105"/>
              <w:ind w:left="85"/>
              <w:rPr>
                <w:rFonts w:ascii="Stone Sans II ITC Std Bk"/>
                <w:b/>
                <w:sz w:val="20"/>
              </w:rPr>
            </w:pPr>
            <w:r>
              <w:rPr>
                <w:rFonts w:ascii="Stone Sans II ITC Std Bk"/>
                <w:b/>
                <w:color w:val="FFFFFF"/>
                <w:w w:val="110"/>
                <w:sz w:val="20"/>
              </w:rPr>
              <w:t>Category</w:t>
            </w:r>
          </w:p>
        </w:tc>
        <w:tc>
          <w:tcPr>
            <w:tcW w:w="1588" w:type="dxa"/>
            <w:tcBorders>
              <w:top w:val="nil"/>
              <w:bottom w:val="nil"/>
            </w:tcBorders>
            <w:shd w:val="clear" w:color="auto" w:fill="F1B400"/>
          </w:tcPr>
          <w:p>
            <w:pPr>
              <w:pStyle w:val="TableParagraph"/>
              <w:spacing w:line="213" w:lineRule="auto" w:before="127"/>
              <w:ind w:left="79" w:right="230"/>
              <w:rPr>
                <w:rFonts w:ascii="Stone Sans II ITC Std Bk"/>
                <w:b/>
                <w:sz w:val="20"/>
              </w:rPr>
            </w:pPr>
            <w:r>
              <w:rPr>
                <w:rFonts w:ascii="Stone Sans II ITC Std Bk"/>
                <w:b/>
                <w:color w:val="FFFFFF"/>
                <w:w w:val="110"/>
                <w:sz w:val="20"/>
              </w:rPr>
              <w:t>The current position</w:t>
            </w:r>
          </w:p>
        </w:tc>
        <w:tc>
          <w:tcPr>
            <w:tcW w:w="1333" w:type="dxa"/>
            <w:tcBorders>
              <w:top w:val="nil"/>
              <w:bottom w:val="nil"/>
            </w:tcBorders>
            <w:shd w:val="clear" w:color="auto" w:fill="F1B400"/>
          </w:tcPr>
          <w:p>
            <w:pPr>
              <w:pStyle w:val="TableParagraph"/>
              <w:spacing w:before="105"/>
              <w:ind w:left="78"/>
              <w:rPr>
                <w:rFonts w:ascii="Stone Sans II ITC Std Bk"/>
                <w:b/>
                <w:sz w:val="20"/>
              </w:rPr>
            </w:pPr>
            <w:r>
              <w:rPr>
                <w:rFonts w:ascii="Stone Sans II ITC Std Bk"/>
                <w:b/>
                <w:color w:val="FFFFFF"/>
                <w:w w:val="110"/>
                <w:sz w:val="20"/>
              </w:rPr>
              <w:t>Option A</w:t>
            </w:r>
          </w:p>
        </w:tc>
        <w:tc>
          <w:tcPr>
            <w:tcW w:w="1220" w:type="dxa"/>
            <w:tcBorders>
              <w:top w:val="nil"/>
              <w:bottom w:val="nil"/>
            </w:tcBorders>
            <w:shd w:val="clear" w:color="auto" w:fill="F1B400"/>
          </w:tcPr>
          <w:p>
            <w:pPr>
              <w:pStyle w:val="TableParagraph"/>
              <w:spacing w:before="105"/>
              <w:ind w:left="78"/>
              <w:rPr>
                <w:rFonts w:ascii="Stone Sans II ITC Std Bk"/>
                <w:b/>
                <w:sz w:val="20"/>
              </w:rPr>
            </w:pPr>
            <w:r>
              <w:rPr>
                <w:rFonts w:ascii="Stone Sans II ITC Std Bk"/>
                <w:b/>
                <w:color w:val="FFFFFF"/>
                <w:w w:val="110"/>
                <w:sz w:val="20"/>
              </w:rPr>
              <w:t>Option B</w:t>
            </w:r>
          </w:p>
        </w:tc>
        <w:tc>
          <w:tcPr>
            <w:tcW w:w="1248" w:type="dxa"/>
            <w:tcBorders>
              <w:top w:val="nil"/>
              <w:bottom w:val="nil"/>
            </w:tcBorders>
            <w:shd w:val="clear" w:color="auto" w:fill="F1B400"/>
          </w:tcPr>
          <w:p>
            <w:pPr>
              <w:pStyle w:val="TableParagraph"/>
              <w:spacing w:before="105"/>
              <w:ind w:left="77"/>
              <w:rPr>
                <w:rFonts w:ascii="Stone Sans II ITC Std Bk"/>
                <w:b/>
                <w:sz w:val="20"/>
              </w:rPr>
            </w:pPr>
            <w:r>
              <w:rPr>
                <w:rFonts w:ascii="Stone Sans II ITC Std Bk"/>
                <w:b/>
                <w:color w:val="FFFFFF"/>
                <w:w w:val="110"/>
                <w:sz w:val="20"/>
              </w:rPr>
              <w:t>Option C</w:t>
            </w:r>
          </w:p>
        </w:tc>
        <w:tc>
          <w:tcPr>
            <w:tcW w:w="1186" w:type="dxa"/>
            <w:tcBorders>
              <w:top w:val="nil"/>
              <w:bottom w:val="nil"/>
              <w:right w:val="nil"/>
            </w:tcBorders>
            <w:shd w:val="clear" w:color="auto" w:fill="F1B400"/>
          </w:tcPr>
          <w:p>
            <w:pPr>
              <w:pStyle w:val="TableParagraph"/>
              <w:spacing w:before="105"/>
              <w:ind w:left="76"/>
              <w:rPr>
                <w:rFonts w:ascii="Stone Sans II ITC Std Bk"/>
                <w:b/>
                <w:sz w:val="20"/>
              </w:rPr>
            </w:pPr>
            <w:r>
              <w:rPr>
                <w:rFonts w:ascii="Stone Sans II ITC Std Bk"/>
                <w:b/>
                <w:color w:val="FFFFFF"/>
                <w:w w:val="110"/>
                <w:sz w:val="20"/>
              </w:rPr>
              <w:t>Option D</w:t>
            </w:r>
          </w:p>
        </w:tc>
      </w:tr>
      <w:tr>
        <w:trPr>
          <w:trHeight w:val="863" w:hRule="atLeast"/>
        </w:trPr>
        <w:tc>
          <w:tcPr>
            <w:tcW w:w="2093" w:type="dxa"/>
            <w:tcBorders>
              <w:top w:val="nil"/>
              <w:left w:val="single" w:sz="4" w:space="0" w:color="F1B400"/>
              <w:bottom w:val="single" w:sz="4" w:space="0" w:color="F1B400"/>
              <w:right w:val="single" w:sz="4" w:space="0" w:color="F1B400"/>
            </w:tcBorders>
          </w:tcPr>
          <w:p>
            <w:pPr>
              <w:pStyle w:val="TableParagraph"/>
              <w:spacing w:line="235" w:lineRule="auto" w:before="111"/>
              <w:ind w:left="79" w:right="415"/>
              <w:rPr>
                <w:sz w:val="20"/>
              </w:rPr>
            </w:pPr>
            <w:r>
              <w:rPr>
                <w:w w:val="120"/>
                <w:sz w:val="20"/>
              </w:rPr>
              <w:t>Synods representatives and moderators</w:t>
            </w:r>
          </w:p>
        </w:tc>
        <w:tc>
          <w:tcPr>
            <w:tcW w:w="1588" w:type="dxa"/>
            <w:tcBorders>
              <w:top w:val="nil"/>
              <w:left w:val="single" w:sz="4" w:space="0" w:color="F1B400"/>
              <w:bottom w:val="single" w:sz="4" w:space="0" w:color="F1B400"/>
              <w:right w:val="single" w:sz="4" w:space="0" w:color="F1B400"/>
            </w:tcBorders>
          </w:tcPr>
          <w:p>
            <w:pPr>
              <w:pStyle w:val="TableParagraph"/>
              <w:spacing w:before="108"/>
              <w:ind w:left="79"/>
              <w:rPr>
                <w:sz w:val="20"/>
              </w:rPr>
            </w:pPr>
            <w:r>
              <w:rPr>
                <w:w w:val="125"/>
                <w:sz w:val="20"/>
              </w:rPr>
              <w:t>269</w:t>
            </w:r>
          </w:p>
        </w:tc>
        <w:tc>
          <w:tcPr>
            <w:tcW w:w="1333" w:type="dxa"/>
            <w:tcBorders>
              <w:top w:val="nil"/>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208</w:t>
            </w:r>
          </w:p>
        </w:tc>
        <w:tc>
          <w:tcPr>
            <w:tcW w:w="1220" w:type="dxa"/>
            <w:tcBorders>
              <w:top w:val="nil"/>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208</w:t>
            </w:r>
          </w:p>
        </w:tc>
        <w:tc>
          <w:tcPr>
            <w:tcW w:w="1248" w:type="dxa"/>
            <w:tcBorders>
              <w:top w:val="nil"/>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130</w:t>
            </w:r>
          </w:p>
        </w:tc>
        <w:tc>
          <w:tcPr>
            <w:tcW w:w="1186" w:type="dxa"/>
            <w:tcBorders>
              <w:top w:val="nil"/>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208</w:t>
            </w:r>
          </w:p>
        </w:tc>
      </w:tr>
      <w:tr>
        <w:trPr>
          <w:trHeight w:val="847"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9"/>
              <w:rPr>
                <w:sz w:val="20"/>
              </w:rPr>
            </w:pPr>
            <w:r>
              <w:rPr>
                <w:w w:val="120"/>
                <w:sz w:val="20"/>
              </w:rPr>
              <w:t>Serving Assembly Moderator(s)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5"/>
                <w:sz w:val="20"/>
              </w:rPr>
              <w:t>2</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2</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7"/>
              <w:ind w:left="79"/>
              <w:rPr>
                <w:sz w:val="20"/>
              </w:rPr>
            </w:pPr>
            <w:r>
              <w:rPr>
                <w:w w:val="125"/>
                <w:sz w:val="20"/>
              </w:rPr>
              <w:t>Clerk</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7"/>
              <w:ind w:left="78"/>
              <w:rPr>
                <w:sz w:val="20"/>
              </w:rPr>
            </w:pPr>
            <w:r>
              <w:rPr>
                <w:w w:val="125"/>
                <w:sz w:val="20"/>
              </w:rPr>
              <w:t>1</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7"/>
              <w:ind w:left="78"/>
              <w:rPr>
                <w:sz w:val="20"/>
              </w:rPr>
            </w:pPr>
            <w:r>
              <w:rPr>
                <w:w w:val="125"/>
                <w:sz w:val="20"/>
              </w:rPr>
              <w:t>1</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7"/>
              <w:ind w:left="77"/>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7"/>
              <w:ind w:left="76"/>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7"/>
              <w:ind w:left="75"/>
              <w:rPr>
                <w:sz w:val="20"/>
              </w:rPr>
            </w:pPr>
            <w:r>
              <w:rPr>
                <w:w w:val="125"/>
                <w:sz w:val="20"/>
              </w:rPr>
              <w:t>1</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9"/>
              <w:rPr>
                <w:sz w:val="20"/>
              </w:rPr>
            </w:pPr>
            <w:r>
              <w:rPr>
                <w:w w:val="120"/>
                <w:sz w:val="20"/>
              </w:rPr>
              <w:t>General Secretary</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1</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1</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w:t>
            </w:r>
          </w:p>
        </w:tc>
      </w:tr>
      <w:tr>
        <w:trPr>
          <w:trHeight w:val="61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8" w:right="415"/>
              <w:rPr>
                <w:sz w:val="20"/>
              </w:rPr>
            </w:pPr>
            <w:r>
              <w:rPr>
                <w:w w:val="120"/>
                <w:sz w:val="20"/>
              </w:rPr>
              <w:t>Deputy General Secretaries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3</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3</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3</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3</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3</w:t>
            </w:r>
          </w:p>
        </w:tc>
      </w:tr>
      <w:tr>
        <w:trPr>
          <w:trHeight w:val="61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8" w:right="415"/>
              <w:rPr>
                <w:sz w:val="20"/>
              </w:rPr>
            </w:pPr>
            <w:r>
              <w:rPr>
                <w:w w:val="120"/>
                <w:sz w:val="20"/>
              </w:rPr>
              <w:t>Committee convenors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11</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10</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10</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10</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10</w:t>
            </w:r>
          </w:p>
        </w:tc>
      </w:tr>
      <w:tr>
        <w:trPr>
          <w:trHeight w:val="61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8" w:right="1017"/>
              <w:rPr>
                <w:sz w:val="20"/>
              </w:rPr>
            </w:pPr>
            <w:r>
              <w:rPr>
                <w:w w:val="120"/>
                <w:sz w:val="20"/>
              </w:rPr>
              <w:t>URC Trust convenor</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8"/>
              <w:rPr>
                <w:sz w:val="20"/>
              </w:rPr>
            </w:pPr>
            <w:r>
              <w:rPr>
                <w:w w:val="125"/>
                <w:sz w:val="20"/>
              </w:rPr>
              <w:t>1</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1</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1</w:t>
            </w:r>
          </w:p>
        </w:tc>
      </w:tr>
      <w:tr>
        <w:trPr>
          <w:trHeight w:val="61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8" w:right="415"/>
              <w:rPr>
                <w:sz w:val="20"/>
              </w:rPr>
            </w:pPr>
            <w:r>
              <w:rPr>
                <w:w w:val="115"/>
                <w:sz w:val="20"/>
              </w:rPr>
              <w:t>Immediate Past Moderators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2</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2</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1</w:t>
            </w:r>
          </w:p>
        </w:tc>
      </w:tr>
      <w:tr>
        <w:trPr>
          <w:trHeight w:val="85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78" w:right="415"/>
              <w:rPr>
                <w:sz w:val="20"/>
              </w:rPr>
            </w:pPr>
            <w:r>
              <w:rPr>
                <w:w w:val="120"/>
                <w:sz w:val="20"/>
              </w:rPr>
              <w:t>Former Mods (elected by all former Mods)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2</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2</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2</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2</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2</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RCL</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6</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4</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4</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4</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4</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0"/>
                <w:sz w:val="20"/>
              </w:rPr>
              <w:t>URC Youth</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3</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3</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2</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2</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3"/>
              <w:rPr>
                <w:sz w:val="20"/>
              </w:rPr>
            </w:pPr>
            <w:r>
              <w:rPr>
                <w:w w:val="125"/>
                <w:sz w:val="20"/>
              </w:rPr>
              <w:t>2</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0"/>
                <w:sz w:val="20"/>
              </w:rPr>
              <w:t>Forces Chaplain</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5"/>
                <w:sz w:val="20"/>
              </w:rPr>
              <w:t>1</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1</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1</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1</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3"/>
              <w:rPr>
                <w:sz w:val="20"/>
              </w:rPr>
            </w:pPr>
            <w:r>
              <w:rPr>
                <w:w w:val="125"/>
                <w:sz w:val="20"/>
              </w:rPr>
              <w:t>1</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7"/>
              <w:rPr>
                <w:sz w:val="20"/>
              </w:rPr>
            </w:pPr>
            <w:r>
              <w:rPr>
                <w:w w:val="120"/>
                <w:sz w:val="20"/>
              </w:rPr>
              <w:t>Ecumenical</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6</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5</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5</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4"/>
              <w:rPr>
                <w:sz w:val="20"/>
              </w:rPr>
            </w:pPr>
            <w:r>
              <w:rPr>
                <w:w w:val="125"/>
                <w:sz w:val="20"/>
              </w:rPr>
              <w:t>4</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3"/>
              <w:rPr>
                <w:sz w:val="20"/>
              </w:rPr>
            </w:pPr>
            <w:r>
              <w:rPr>
                <w:w w:val="125"/>
                <w:sz w:val="20"/>
              </w:rPr>
              <w:t>5</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0"/>
                <w:sz w:val="20"/>
              </w:rPr>
              <w:t>Int/ CWM reps</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before="108"/>
              <w:ind w:left="76"/>
              <w:rPr>
                <w:sz w:val="20"/>
              </w:rPr>
            </w:pPr>
            <w:r>
              <w:rPr>
                <w:w w:val="125"/>
                <w:sz w:val="20"/>
              </w:rPr>
              <w:t>7</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6</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before="108"/>
              <w:ind w:left="75"/>
              <w:rPr>
                <w:sz w:val="20"/>
              </w:rPr>
            </w:pPr>
            <w:r>
              <w:rPr>
                <w:w w:val="125"/>
                <w:sz w:val="20"/>
              </w:rPr>
              <w:t>6</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before="108"/>
              <w:ind w:left="73"/>
              <w:rPr>
                <w:sz w:val="20"/>
              </w:rPr>
            </w:pPr>
            <w:r>
              <w:rPr>
                <w:w w:val="125"/>
                <w:sz w:val="20"/>
              </w:rPr>
              <w:t>4</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before="108"/>
              <w:ind w:left="73"/>
              <w:rPr>
                <w:sz w:val="20"/>
              </w:rPr>
            </w:pPr>
            <w:r>
              <w:rPr>
                <w:w w:val="125"/>
                <w:sz w:val="20"/>
              </w:rPr>
              <w:t>6</w:t>
            </w:r>
          </w:p>
        </w:tc>
      </w:tr>
      <w:tr>
        <w:trPr>
          <w:trHeight w:val="373" w:hRule="atLeast"/>
        </w:trPr>
        <w:tc>
          <w:tcPr>
            <w:tcW w:w="2093"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6"/>
              <w:rPr>
                <w:rFonts w:ascii="Stone Sans II ITC Std Bk"/>
                <w:b/>
                <w:sz w:val="20"/>
              </w:rPr>
            </w:pPr>
            <w:r>
              <w:rPr>
                <w:rFonts w:ascii="Stone Sans II ITC Std Bk"/>
                <w:b/>
                <w:w w:val="110"/>
                <w:sz w:val="20"/>
              </w:rPr>
              <w:t>TOTAL</w:t>
            </w:r>
          </w:p>
        </w:tc>
        <w:tc>
          <w:tcPr>
            <w:tcW w:w="1588"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6"/>
              <w:rPr>
                <w:rFonts w:ascii="Stone Sans II ITC Std Bk"/>
                <w:b/>
                <w:sz w:val="20"/>
              </w:rPr>
            </w:pPr>
            <w:r>
              <w:rPr>
                <w:rFonts w:ascii="Stone Sans II ITC Std Bk"/>
                <w:b/>
                <w:w w:val="110"/>
                <w:sz w:val="20"/>
              </w:rPr>
              <w:t>315</w:t>
            </w:r>
          </w:p>
        </w:tc>
        <w:tc>
          <w:tcPr>
            <w:tcW w:w="1333"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5"/>
              <w:rPr>
                <w:rFonts w:ascii="Stone Sans II ITC Std Bk"/>
                <w:b/>
                <w:sz w:val="20"/>
              </w:rPr>
            </w:pPr>
            <w:r>
              <w:rPr>
                <w:rFonts w:ascii="Stone Sans II ITC Std Bk"/>
                <w:b/>
                <w:w w:val="110"/>
                <w:sz w:val="20"/>
              </w:rPr>
              <w:t>249</w:t>
            </w:r>
          </w:p>
        </w:tc>
        <w:tc>
          <w:tcPr>
            <w:tcW w:w="1220"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4"/>
              <w:rPr>
                <w:rFonts w:ascii="Stone Sans II ITC Std Bk"/>
                <w:b/>
                <w:sz w:val="20"/>
              </w:rPr>
            </w:pPr>
            <w:r>
              <w:rPr>
                <w:rFonts w:ascii="Stone Sans II ITC Std Bk"/>
                <w:b/>
                <w:w w:val="110"/>
                <w:sz w:val="20"/>
              </w:rPr>
              <w:t>246</w:t>
            </w:r>
          </w:p>
        </w:tc>
        <w:tc>
          <w:tcPr>
            <w:tcW w:w="1248"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3"/>
              <w:rPr>
                <w:rFonts w:ascii="Stone Sans II ITC Std Bk"/>
                <w:b/>
                <w:sz w:val="20"/>
              </w:rPr>
            </w:pPr>
            <w:r>
              <w:rPr>
                <w:rFonts w:ascii="Stone Sans II ITC Std Bk"/>
                <w:b/>
                <w:w w:val="110"/>
                <w:sz w:val="20"/>
              </w:rPr>
              <w:t>165</w:t>
            </w:r>
          </w:p>
        </w:tc>
        <w:tc>
          <w:tcPr>
            <w:tcW w:w="1186" w:type="dxa"/>
            <w:tcBorders>
              <w:top w:val="single" w:sz="4" w:space="0" w:color="F1B400"/>
              <w:left w:val="single" w:sz="4" w:space="0" w:color="F1B400"/>
              <w:bottom w:val="single" w:sz="4" w:space="0" w:color="F1B400"/>
              <w:right w:val="single" w:sz="4" w:space="0" w:color="F1B400"/>
            </w:tcBorders>
          </w:tcPr>
          <w:p>
            <w:pPr>
              <w:pStyle w:val="TableParagraph"/>
              <w:spacing w:line="258" w:lineRule="exact" w:before="95"/>
              <w:ind w:left="72"/>
              <w:rPr>
                <w:rFonts w:ascii="Stone Sans II ITC Std Bk"/>
                <w:b/>
                <w:sz w:val="20"/>
              </w:rPr>
            </w:pPr>
            <w:r>
              <w:rPr>
                <w:rFonts w:ascii="Stone Sans II ITC Std Bk"/>
                <w:b/>
                <w:w w:val="110"/>
                <w:sz w:val="20"/>
              </w:rPr>
              <w:t>246</w:t>
            </w:r>
          </w:p>
        </w:tc>
      </w:tr>
    </w:tbl>
    <w:p>
      <w:pPr>
        <w:spacing w:after="0" w:line="258" w:lineRule="exact"/>
        <w:rPr>
          <w:rFonts w:ascii="Stone Sans II ITC Std Bk"/>
          <w:sz w:val="20"/>
        </w:rPr>
        <w:sectPr>
          <w:type w:val="continuous"/>
          <w:pgSz w:w="11910" w:h="16840"/>
          <w:pgMar w:top="1580" w:bottom="280" w:left="700" w:right="0"/>
        </w:sectPr>
      </w:pPr>
    </w:p>
    <w:p>
      <w:pPr>
        <w:pStyle w:val="BodyText"/>
        <w:rPr>
          <w:rFonts w:ascii="Stone Sans II ITC Std Bk"/>
          <w:b/>
        </w:rPr>
      </w:pPr>
      <w:r>
        <w:rPr/>
        <w:drawing>
          <wp:anchor distT="0" distB="0" distL="0" distR="0" allowOverlap="1" layoutInCell="1" locked="0" behindDoc="0" simplePos="0" relativeHeight="251838464">
            <wp:simplePos x="0" y="0"/>
            <wp:positionH relativeFrom="page">
              <wp:posOffset>0</wp:posOffset>
            </wp:positionH>
            <wp:positionV relativeFrom="page">
              <wp:posOffset>6974928</wp:posOffset>
            </wp:positionV>
            <wp:extent cx="10692003" cy="585063"/>
            <wp:effectExtent l="0" t="0" r="0" b="0"/>
            <wp:wrapNone/>
            <wp:docPr id="127" name="image55.png"/>
            <wp:cNvGraphicFramePr>
              <a:graphicFrameLocks noChangeAspect="1"/>
            </wp:cNvGraphicFramePr>
            <a:graphic>
              <a:graphicData uri="http://schemas.openxmlformats.org/drawingml/2006/picture">
                <pic:pic>
                  <pic:nvPicPr>
                    <pic:cNvPr id="128" name="image55.png"/>
                    <pic:cNvPicPr/>
                  </pic:nvPicPr>
                  <pic:blipFill>
                    <a:blip r:embed="rId206" cstate="print"/>
                    <a:stretch>
                      <a:fillRect/>
                    </a:stretch>
                  </pic:blipFill>
                  <pic:spPr>
                    <a:xfrm>
                      <a:off x="0" y="0"/>
                      <a:ext cx="10692003" cy="585063"/>
                    </a:xfrm>
                    <a:prstGeom prst="rect">
                      <a:avLst/>
                    </a:prstGeom>
                  </pic:spPr>
                </pic:pic>
              </a:graphicData>
            </a:graphic>
          </wp:anchor>
        </w:drawing>
      </w:r>
      <w:r>
        <w:rPr/>
        <w:pict>
          <v:group style="position:absolute;margin-left:86.707001pt;margin-top:99.817001pt;width:390.95pt;height:29.15pt;mso-position-horizontal-relative:page;mso-position-vertical-relative:page;z-index:-267444224" coordorigin="1734,1996" coordsize="7819,583">
            <v:rect style="position:absolute;left:1734;top:1996;width:7809;height:583" filled="true" fillcolor="#f1b400" stroked="false">
              <v:fill type="solid"/>
            </v:rect>
            <v:line style="position:absolute" from="5556,2574" to="5556,2001" stroked="true" strokeweight="1pt" strokecolor="#ffffff">
              <v:stroke dashstyle="solid"/>
            </v:line>
            <v:line style="position:absolute" from="7564,2574" to="7564,2001" stroked="true" strokeweight="1pt" strokecolor="#ffffff">
              <v:stroke dashstyle="solid"/>
            </v:line>
            <v:line style="position:absolute" from="9543,2574" to="9543,2001" stroked="true" strokeweight="1pt" strokecolor="#ffffff">
              <v:stroke dashstyle="solid"/>
            </v:line>
            <w10:wrap type="none"/>
          </v:group>
        </w:pict>
      </w:r>
      <w:r>
        <w:rPr/>
        <w:pict>
          <v:line style="position:absolute;mso-position-horizontal-relative:page;mso-position-vertical-relative:page;z-index:-267443200" from="577.5177pt,128.716902pt" to="577.5177pt,100.066902pt" stroked="true" strokeweight="1pt" strokecolor="#ffffff">
            <v:stroke dashstyle="solid"/>
            <w10:wrap type="none"/>
          </v:line>
        </w:pict>
      </w:r>
      <w:r>
        <w:rPr/>
        <w:pict>
          <v:shape style="position:absolute;margin-left:793.577698pt;margin-top:433.046509pt;width:18.150pt;height:106.15pt;mso-position-horizontal-relative:page;mso-position-vertical-relative:page;z-index:251841536" type="#_x0000_t202" filled="false" stroked="false">
            <v:textbox inset="0,0,0,0" style="layout-flow:vertical">
              <w:txbxContent>
                <w:p>
                  <w:pPr>
                    <w:spacing w:before="28"/>
                    <w:ind w:left="20" w:right="0" w:firstLine="0"/>
                    <w:jc w:val="left"/>
                    <w:rPr>
                      <w:sz w:val="26"/>
                    </w:rPr>
                  </w:pPr>
                  <w:r>
                    <w:rPr>
                      <w:color w:val="7EAABF"/>
                      <w:w w:val="120"/>
                      <w:sz w:val="26"/>
                    </w:rPr>
                    <w:t>Mission Council</w:t>
                  </w:r>
                </w:p>
              </w:txbxContent>
            </v:textbox>
            <w10:wrap type="none"/>
          </v:shape>
        </w:pict>
      </w:r>
      <w:r>
        <w:rPr/>
        <w:pict>
          <v:shape style="position:absolute;margin-left:725.342285pt;margin-top:97.503899pt;width:57.35pt;height:316.350pt;mso-position-horizontal-relative:page;mso-position-vertical-relative:page;z-index:251842560" type="#_x0000_t202" filled="false" stroked="false">
            <v:textbox inset="0,0,0,0" style="layout-flow:vertical">
              <w:txbxContent>
                <w:p>
                  <w:pPr>
                    <w:spacing w:before="10"/>
                    <w:ind w:left="2406" w:right="0" w:firstLine="0"/>
                    <w:jc w:val="left"/>
                    <w:rPr>
                      <w:rFonts w:ascii="Stone Sans II ITC Std Bk"/>
                      <w:b/>
                      <w:sz w:val="50"/>
                    </w:rPr>
                  </w:pPr>
                  <w:r>
                    <w:rPr>
                      <w:rFonts w:ascii="Stone Sans II ITC Std Bk"/>
                      <w:b/>
                      <w:color w:val="0090D4"/>
                      <w:spacing w:val="6"/>
                      <w:w w:val="110"/>
                      <w:sz w:val="50"/>
                    </w:rPr>
                    <w:t>Appendix</w:t>
                  </w:r>
                  <w:r>
                    <w:rPr>
                      <w:rFonts w:ascii="Stone Sans II ITC Std Bk"/>
                      <w:b/>
                      <w:color w:val="0090D4"/>
                      <w:spacing w:val="88"/>
                      <w:w w:val="110"/>
                      <w:sz w:val="50"/>
                    </w:rPr>
                    <w:t> </w:t>
                  </w:r>
                  <w:r>
                    <w:rPr>
                      <w:rFonts w:ascii="Stone Sans II ITC Std Bk"/>
                      <w:b/>
                      <w:color w:val="0090D4"/>
                      <w:spacing w:val="5"/>
                      <w:w w:val="110"/>
                      <w:sz w:val="50"/>
                    </w:rPr>
                    <w:t>two</w:t>
                  </w:r>
                </w:p>
                <w:p>
                  <w:pPr>
                    <w:spacing w:line="386" w:lineRule="exact" w:before="74"/>
                    <w:ind w:left="20" w:right="0" w:firstLine="0"/>
                    <w:jc w:val="left"/>
                    <w:rPr>
                      <w:rFonts w:ascii="Stone Sans II ITC Std Bk"/>
                      <w:b/>
                      <w:sz w:val="29"/>
                    </w:rPr>
                  </w:pPr>
                  <w:r>
                    <w:rPr>
                      <w:rFonts w:ascii="Stone Sans II ITC Std Bk"/>
                      <w:b/>
                      <w:spacing w:val="2"/>
                      <w:w w:val="110"/>
                      <w:sz w:val="29"/>
                    </w:rPr>
                    <w:t>Summary Budget </w:t>
                  </w:r>
                  <w:r>
                    <w:rPr>
                      <w:rFonts w:ascii="Stone Sans II ITC Std Bk"/>
                      <w:b/>
                      <w:w w:val="110"/>
                      <w:sz w:val="29"/>
                    </w:rPr>
                    <w:t>for General</w:t>
                  </w:r>
                  <w:r>
                    <w:rPr>
                      <w:rFonts w:ascii="Stone Sans II ITC Std Bk"/>
                      <w:b/>
                      <w:spacing w:val="57"/>
                      <w:w w:val="110"/>
                      <w:sz w:val="29"/>
                    </w:rPr>
                    <w:t> </w:t>
                  </w:r>
                  <w:r>
                    <w:rPr>
                      <w:rFonts w:ascii="Stone Sans II ITC Std Bk"/>
                      <w:b/>
                      <w:w w:val="110"/>
                      <w:sz w:val="29"/>
                    </w:rPr>
                    <w:t>Assembly</w:t>
                  </w:r>
                </w:p>
              </w:txbxContent>
            </v:textbox>
            <w10:wrap type="none"/>
          </v:shape>
        </w:pict>
      </w:r>
      <w:r>
        <w:rPr/>
        <w:pict>
          <v:shape style="position:absolute;margin-left:26.231701pt;margin-top:219.737793pt;width:17.150pt;height:314.8pt;mso-position-horizontal-relative:page;mso-position-vertical-relative:page;z-index:251843584" type="#_x0000_t202" filled="false" stroked="false">
            <v:textbox inset="0,0,0,0" style="layout-flow:vertical">
              <w:txbxContent>
                <w:p>
                  <w:pPr>
                    <w:spacing w:before="16"/>
                    <w:ind w:left="20" w:right="0" w:firstLine="0"/>
                    <w:jc w:val="left"/>
                    <w:rPr>
                      <w:rFonts w:ascii="Stone Sans II ITC Std X Bd" w:hAnsi="Stone Sans II ITC Std X Bd"/>
                      <w:b/>
                      <w:sz w:val="24"/>
                    </w:rPr>
                  </w:pPr>
                  <w:r>
                    <w:rPr>
                      <w:color w:val="7EAABF"/>
                      <w:spacing w:val="7"/>
                      <w:w w:val="112"/>
                      <w:sz w:val="23"/>
                    </w:rPr>
                    <w:t>U</w:t>
                  </w:r>
                  <w:r>
                    <w:rPr>
                      <w:color w:val="7EAABF"/>
                      <w:spacing w:val="6"/>
                      <w:w w:val="113"/>
                      <w:sz w:val="23"/>
                    </w:rPr>
                    <w:t>ni</w:t>
                  </w:r>
                  <w:r>
                    <w:rPr>
                      <w:color w:val="7EAABF"/>
                      <w:spacing w:val="3"/>
                      <w:w w:val="113"/>
                      <w:sz w:val="23"/>
                    </w:rPr>
                    <w:t>t</w:t>
                  </w:r>
                  <w:r>
                    <w:rPr>
                      <w:color w:val="7EAABF"/>
                      <w:spacing w:val="6"/>
                      <w:w w:val="117"/>
                      <w:sz w:val="23"/>
                    </w:rPr>
                    <w:t>e</w:t>
                  </w:r>
                  <w:r>
                    <w:rPr>
                      <w:color w:val="7EAABF"/>
                      <w:w w:val="117"/>
                      <w:sz w:val="23"/>
                    </w:rPr>
                    <w:t>d</w:t>
                  </w:r>
                  <w:r>
                    <w:rPr>
                      <w:color w:val="7EAABF"/>
                      <w:spacing w:val="21"/>
                      <w:sz w:val="23"/>
                    </w:rPr>
                    <w:t> </w:t>
                  </w:r>
                  <w:r>
                    <w:rPr>
                      <w:color w:val="7EAABF"/>
                      <w:spacing w:val="5"/>
                      <w:w w:val="108"/>
                      <w:sz w:val="23"/>
                    </w:rPr>
                    <w:t>R</w:t>
                  </w:r>
                  <w:r>
                    <w:rPr>
                      <w:color w:val="7EAABF"/>
                      <w:spacing w:val="6"/>
                      <w:w w:val="106"/>
                      <w:sz w:val="23"/>
                    </w:rPr>
                    <w:t>e</w:t>
                  </w:r>
                  <w:r>
                    <w:rPr>
                      <w:color w:val="7EAABF"/>
                      <w:spacing w:val="4"/>
                      <w:w w:val="106"/>
                      <w:sz w:val="23"/>
                    </w:rPr>
                    <w:t>f</w:t>
                  </w:r>
                  <w:r>
                    <w:rPr>
                      <w:color w:val="7EAABF"/>
                      <w:spacing w:val="6"/>
                      <w:w w:val="112"/>
                      <w:sz w:val="23"/>
                    </w:rPr>
                    <w:t>o</w:t>
                  </w:r>
                  <w:r>
                    <w:rPr>
                      <w:color w:val="7EAABF"/>
                      <w:spacing w:val="7"/>
                      <w:w w:val="112"/>
                      <w:sz w:val="23"/>
                    </w:rPr>
                    <w:t>r</w:t>
                  </w:r>
                  <w:r>
                    <w:rPr>
                      <w:color w:val="7EAABF"/>
                      <w:spacing w:val="6"/>
                      <w:w w:val="116"/>
                      <w:sz w:val="23"/>
                    </w:rPr>
                    <w:t>me</w:t>
                  </w:r>
                  <w:r>
                    <w:rPr>
                      <w:color w:val="7EAABF"/>
                      <w:w w:val="116"/>
                      <w:sz w:val="23"/>
                    </w:rPr>
                    <w:t>d</w:t>
                  </w:r>
                  <w:r>
                    <w:rPr>
                      <w:color w:val="7EAABF"/>
                      <w:spacing w:val="21"/>
                      <w:sz w:val="23"/>
                    </w:rPr>
                    <w:t> </w:t>
                  </w:r>
                  <w:r>
                    <w:rPr>
                      <w:color w:val="7EAABF"/>
                      <w:spacing w:val="6"/>
                      <w:w w:val="119"/>
                      <w:sz w:val="23"/>
                    </w:rPr>
                    <w:t>Chu</w:t>
                  </w:r>
                  <w:r>
                    <w:rPr>
                      <w:color w:val="7EAABF"/>
                      <w:spacing w:val="3"/>
                      <w:w w:val="119"/>
                      <w:sz w:val="23"/>
                    </w:rPr>
                    <w:t>r</w:t>
                  </w:r>
                  <w:r>
                    <w:rPr>
                      <w:color w:val="7EAABF"/>
                      <w:spacing w:val="6"/>
                      <w:w w:val="120"/>
                      <w:sz w:val="23"/>
                    </w:rPr>
                    <w:t>c</w:t>
                  </w:r>
                  <w:r>
                    <w:rPr>
                      <w:color w:val="7EAABF"/>
                      <w:w w:val="115"/>
                      <w:sz w:val="23"/>
                    </w:rPr>
                    <w:t>h</w:t>
                  </w:r>
                  <w:r>
                    <w:rPr>
                      <w:color w:val="7EAABF"/>
                      <w:sz w:val="23"/>
                    </w:rPr>
                    <w:t>  </w:t>
                  </w:r>
                  <w:r>
                    <w:rPr>
                      <w:color w:val="7EAABF"/>
                      <w:spacing w:val="-11"/>
                      <w:sz w:val="23"/>
                    </w:rPr>
                    <w:t> </w:t>
                  </w:r>
                  <w:r>
                    <w:rPr>
                      <w:rFonts w:ascii="Symbol" w:hAnsi="Symbol"/>
                      <w:color w:val="7EAABF"/>
                      <w:w w:val="104"/>
                      <w:sz w:val="23"/>
                    </w:rPr>
                    <w:t></w:t>
                  </w:r>
                  <w:r>
                    <w:rPr>
                      <w:rFonts w:ascii="Times New Roman" w:hAnsi="Times New Roman"/>
                      <w:color w:val="7EAABF"/>
                      <w:sz w:val="23"/>
                    </w:rPr>
                    <w:t> </w:t>
                  </w:r>
                  <w:r>
                    <w:rPr>
                      <w:rFonts w:ascii="Times New Roman" w:hAnsi="Times New Roman"/>
                      <w:color w:val="7EAABF"/>
                      <w:spacing w:val="23"/>
                      <w:sz w:val="23"/>
                    </w:rPr>
                    <w:t> </w:t>
                  </w:r>
                  <w:r>
                    <w:rPr>
                      <w:color w:val="7EAABF"/>
                      <w:spacing w:val="6"/>
                      <w:w w:val="114"/>
                      <w:sz w:val="23"/>
                    </w:rPr>
                    <w:t>Gene</w:t>
                  </w:r>
                  <w:r>
                    <w:rPr>
                      <w:color w:val="7EAABF"/>
                      <w:spacing w:val="3"/>
                      <w:w w:val="114"/>
                      <w:sz w:val="23"/>
                    </w:rPr>
                    <w:t>r</w:t>
                  </w:r>
                  <w:r>
                    <w:rPr>
                      <w:color w:val="7EAABF"/>
                      <w:spacing w:val="6"/>
                      <w:w w:val="110"/>
                      <w:sz w:val="23"/>
                    </w:rPr>
                    <w:t>a</w:t>
                  </w:r>
                  <w:r>
                    <w:rPr>
                      <w:color w:val="7EAABF"/>
                      <w:w w:val="110"/>
                      <w:sz w:val="23"/>
                    </w:rPr>
                    <w:t>l</w:t>
                  </w:r>
                  <w:r>
                    <w:rPr>
                      <w:color w:val="7EAABF"/>
                      <w:spacing w:val="21"/>
                      <w:sz w:val="23"/>
                    </w:rPr>
                    <w:t> </w:t>
                  </w:r>
                  <w:r>
                    <w:rPr>
                      <w:color w:val="7EAABF"/>
                      <w:spacing w:val="6"/>
                      <w:w w:val="113"/>
                      <w:sz w:val="23"/>
                    </w:rPr>
                    <w:t>Assemb</w:t>
                  </w:r>
                  <w:r>
                    <w:rPr>
                      <w:color w:val="7EAABF"/>
                      <w:spacing w:val="5"/>
                      <w:w w:val="113"/>
                      <w:sz w:val="23"/>
                    </w:rPr>
                    <w:t>l</w:t>
                  </w:r>
                  <w:r>
                    <w:rPr>
                      <w:color w:val="7EAABF"/>
                      <w:w w:val="115"/>
                      <w:sz w:val="23"/>
                    </w:rPr>
                    <w:t>y</w:t>
                  </w:r>
                  <w:r>
                    <w:rPr>
                      <w:color w:val="7EAABF"/>
                      <w:spacing w:val="21"/>
                      <w:sz w:val="23"/>
                    </w:rPr>
                    <w:t> </w:t>
                  </w:r>
                  <w:r>
                    <w:rPr>
                      <w:color w:val="7EAABF"/>
                      <w:spacing w:val="6"/>
                      <w:w w:val="118"/>
                      <w:sz w:val="23"/>
                    </w:rPr>
                    <w:t>201</w:t>
                  </w:r>
                  <w:r>
                    <w:rPr>
                      <w:color w:val="7EAABF"/>
                      <w:w w:val="118"/>
                      <w:sz w:val="23"/>
                    </w:rPr>
                    <w:t>8</w:t>
                  </w:r>
                  <w:r>
                    <w:rPr>
                      <w:color w:val="7EAABF"/>
                      <w:spacing w:val="24"/>
                      <w:sz w:val="23"/>
                    </w:rPr>
                    <w:t> </w:t>
                  </w:r>
                  <w:r>
                    <w:rPr>
                      <w:rFonts w:ascii="Stone Sans II ITC Std X Bd" w:hAnsi="Stone Sans II ITC Std X Bd"/>
                      <w:b/>
                      <w:spacing w:val="-91"/>
                      <w:sz w:val="24"/>
                    </w:rPr>
                    <w:t>6</w:t>
                  </w:r>
                  <w:r>
                    <w:rPr>
                      <w:rFonts w:ascii="Symbol" w:hAnsi="Symbol"/>
                      <w:color w:val="7EAABF"/>
                      <w:spacing w:val="-14"/>
                      <w:w w:val="104"/>
                      <w:sz w:val="23"/>
                    </w:rPr>
                    <w:t></w:t>
                  </w:r>
                  <w:r>
                    <w:rPr>
                      <w:rFonts w:ascii="Stone Sans II ITC Std X Bd" w:hAnsi="Stone Sans II ITC Std X Bd"/>
                      <w:b/>
                      <w:spacing w:val="6"/>
                      <w:sz w:val="24"/>
                    </w:rPr>
                    <w:t>9</w:t>
                  </w:r>
                </w:p>
              </w:txbxContent>
            </v:textbox>
            <w10:wrap type="none"/>
          </v:shape>
        </w:pict>
      </w:r>
      <w:r>
        <w:rPr/>
        <w:pict>
          <v:shape style="position:absolute;margin-left:326.787964pt;margin-top:557.23999pt;width:465.25pt;height:19.8pt;mso-position-horizontal-relative:page;mso-position-vertical-relative:page;z-index:251844608;rotation:180" type="#_x0000_t136" fillcolor="#000000" stroked="f">
            <o:extrusion v:ext="view" autorotationcenter="t"/>
            <v:textpath style="font-family:&quot;Calibri&quot;;font-size:19pt;v-text-kern:t;mso-text-shadow:auto" string="General Assembly task group – Appendix two"/>
            <w10:wrap type="none"/>
          </v:shape>
        </w:pict>
      </w:r>
    </w:p>
    <w:p>
      <w:pPr>
        <w:pStyle w:val="BodyText"/>
        <w:rPr>
          <w:rFonts w:ascii="Stone Sans II ITC Std Bk"/>
          <w:b/>
        </w:rPr>
      </w:pPr>
    </w:p>
    <w:p>
      <w:pPr>
        <w:pStyle w:val="BodyText"/>
        <w:rPr>
          <w:rFonts w:ascii="Stone Sans II ITC Std Bk"/>
          <w:b/>
        </w:rPr>
      </w:pPr>
    </w:p>
    <w:p>
      <w:pPr>
        <w:pStyle w:val="BodyText"/>
        <w:rPr>
          <w:rFonts w:ascii="Stone Sans II ITC Std Bk"/>
          <w:b/>
        </w:rPr>
      </w:pPr>
    </w:p>
    <w:p>
      <w:pPr>
        <w:pStyle w:val="BodyText"/>
        <w:rPr>
          <w:rFonts w:ascii="Stone Sans II ITC Std Bk"/>
          <w:b/>
        </w:rPr>
      </w:pPr>
    </w:p>
    <w:p>
      <w:pPr>
        <w:pStyle w:val="BodyText"/>
        <w:rPr>
          <w:rFonts w:ascii="Stone Sans II ITC Std Bk"/>
          <w:b/>
        </w:rPr>
      </w:pPr>
    </w:p>
    <w:p>
      <w:pPr>
        <w:pStyle w:val="BodyText"/>
        <w:spacing w:before="6" w:after="1"/>
        <w:rPr>
          <w:rFonts w:ascii="Stone Sans II ITC Std Bk"/>
          <w:b/>
          <w:sz w:val="26"/>
        </w:rPr>
      </w:pPr>
    </w:p>
    <w:tbl>
      <w:tblPr>
        <w:tblW w:w="0" w:type="auto"/>
        <w:jc w:val="left"/>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1"/>
        <w:gridCol w:w="888"/>
        <w:gridCol w:w="1152"/>
        <w:gridCol w:w="979"/>
        <w:gridCol w:w="1029"/>
        <w:gridCol w:w="978"/>
        <w:gridCol w:w="1001"/>
        <w:gridCol w:w="982"/>
        <w:gridCol w:w="1026"/>
        <w:gridCol w:w="1056"/>
        <w:gridCol w:w="1542"/>
      </w:tblGrid>
      <w:tr>
        <w:trPr>
          <w:trHeight w:val="593" w:hRule="atLeast"/>
        </w:trPr>
        <w:tc>
          <w:tcPr>
            <w:tcW w:w="4800" w:type="dxa"/>
            <w:gridSpan w:val="4"/>
          </w:tcPr>
          <w:p>
            <w:pPr>
              <w:pStyle w:val="TableParagraph"/>
              <w:spacing w:line="232" w:lineRule="exact" w:before="105"/>
              <w:ind w:left="3906"/>
              <w:rPr>
                <w:rFonts w:ascii="Stone Sans II ITC Std Bk"/>
                <w:b/>
                <w:sz w:val="18"/>
              </w:rPr>
            </w:pPr>
            <w:r>
              <w:rPr>
                <w:rFonts w:ascii="Stone Sans II ITC Std Bk"/>
                <w:b/>
                <w:color w:val="FFFFFF"/>
                <w:w w:val="110"/>
                <w:sz w:val="18"/>
              </w:rPr>
              <w:t>Option</w:t>
            </w:r>
          </w:p>
          <w:p>
            <w:pPr>
              <w:pStyle w:val="TableParagraph"/>
              <w:tabs>
                <w:tab w:pos="3906" w:val="left" w:leader="none"/>
              </w:tabs>
              <w:spacing w:line="232" w:lineRule="exact"/>
              <w:ind w:left="1927"/>
              <w:rPr>
                <w:rFonts w:ascii="Stone Sans II ITC Std Bk"/>
                <w:b/>
                <w:sz w:val="18"/>
              </w:rPr>
            </w:pPr>
            <w:r>
              <w:rPr>
                <w:rFonts w:ascii="Stone Sans II ITC Std Bk"/>
                <w:b/>
                <w:color w:val="FFFFFF"/>
                <w:spacing w:val="-4"/>
                <w:w w:val="110"/>
                <w:sz w:val="18"/>
              </w:rPr>
              <w:t>2018</w:t>
              <w:tab/>
            </w:r>
            <w:r>
              <w:rPr>
                <w:rFonts w:ascii="Stone Sans II ITC Std Bk"/>
                <w:b/>
                <w:color w:val="FFFFFF"/>
                <w:w w:val="110"/>
                <w:sz w:val="18"/>
              </w:rPr>
              <w:t>A</w:t>
            </w:r>
          </w:p>
        </w:tc>
        <w:tc>
          <w:tcPr>
            <w:tcW w:w="1029" w:type="dxa"/>
          </w:tcPr>
          <w:p>
            <w:pPr>
              <w:pStyle w:val="TableParagraph"/>
              <w:rPr>
                <w:rFonts w:ascii="Times New Roman"/>
                <w:sz w:val="24"/>
              </w:rPr>
            </w:pPr>
          </w:p>
        </w:tc>
        <w:tc>
          <w:tcPr>
            <w:tcW w:w="978" w:type="dxa"/>
          </w:tcPr>
          <w:p>
            <w:pPr>
              <w:pStyle w:val="TableParagraph"/>
              <w:spacing w:line="216" w:lineRule="auto" w:before="123"/>
              <w:ind w:left="85" w:right="201"/>
              <w:rPr>
                <w:rFonts w:ascii="Stone Sans II ITC Std Bk"/>
                <w:b/>
                <w:sz w:val="18"/>
              </w:rPr>
            </w:pPr>
            <w:r>
              <w:rPr>
                <w:rFonts w:ascii="Stone Sans II ITC Std Bk"/>
                <w:b/>
                <w:color w:val="FFFFFF"/>
                <w:w w:val="110"/>
                <w:sz w:val="18"/>
              </w:rPr>
              <w:t>Option B</w:t>
            </w:r>
          </w:p>
        </w:tc>
        <w:tc>
          <w:tcPr>
            <w:tcW w:w="1001" w:type="dxa"/>
          </w:tcPr>
          <w:p>
            <w:pPr>
              <w:pStyle w:val="TableParagraph"/>
              <w:rPr>
                <w:rFonts w:ascii="Times New Roman"/>
                <w:sz w:val="24"/>
              </w:rPr>
            </w:pPr>
          </w:p>
        </w:tc>
        <w:tc>
          <w:tcPr>
            <w:tcW w:w="982" w:type="dxa"/>
          </w:tcPr>
          <w:p>
            <w:pPr>
              <w:pStyle w:val="TableParagraph"/>
              <w:spacing w:line="216" w:lineRule="auto" w:before="123"/>
              <w:ind w:left="85" w:right="205"/>
              <w:rPr>
                <w:rFonts w:ascii="Stone Sans II ITC Std Bk"/>
                <w:b/>
                <w:sz w:val="18"/>
              </w:rPr>
            </w:pPr>
            <w:r>
              <w:rPr>
                <w:rFonts w:ascii="Stone Sans II ITC Std Bk"/>
                <w:b/>
                <w:color w:val="FFFFFF"/>
                <w:w w:val="110"/>
                <w:sz w:val="18"/>
              </w:rPr>
              <w:t>Option C</w:t>
            </w:r>
          </w:p>
        </w:tc>
        <w:tc>
          <w:tcPr>
            <w:tcW w:w="3624" w:type="dxa"/>
            <w:gridSpan w:val="3"/>
          </w:tcPr>
          <w:p>
            <w:pPr>
              <w:pStyle w:val="TableParagraph"/>
              <w:spacing w:line="216" w:lineRule="auto" w:before="123"/>
              <w:ind w:left="1111" w:right="1821"/>
              <w:rPr>
                <w:rFonts w:ascii="Stone Sans II ITC Std Bk"/>
                <w:b/>
                <w:sz w:val="18"/>
              </w:rPr>
            </w:pPr>
            <w:r>
              <w:rPr>
                <w:rFonts w:ascii="Stone Sans II ITC Std Bk"/>
                <w:b/>
                <w:color w:val="FFFFFF"/>
                <w:w w:val="110"/>
                <w:sz w:val="18"/>
              </w:rPr>
              <w:t>Option D</w:t>
            </w:r>
          </w:p>
        </w:tc>
      </w:tr>
      <w:tr>
        <w:trPr>
          <w:trHeight w:val="710" w:hRule="atLeast"/>
        </w:trPr>
        <w:tc>
          <w:tcPr>
            <w:tcW w:w="1781" w:type="dxa"/>
            <w:tcBorders>
              <w:left w:val="single" w:sz="4" w:space="0" w:color="F1B400"/>
              <w:bottom w:val="single" w:sz="8" w:space="0" w:color="F1B400"/>
            </w:tcBorders>
          </w:tcPr>
          <w:p>
            <w:pPr>
              <w:pStyle w:val="TableParagraph"/>
              <w:spacing w:before="95"/>
              <w:ind w:left="113"/>
              <w:rPr>
                <w:rFonts w:ascii="Stone Sans II ITC Std Bk"/>
                <w:b/>
                <w:sz w:val="18"/>
              </w:rPr>
            </w:pPr>
            <w:r>
              <w:rPr>
                <w:rFonts w:ascii="Stone Sans II ITC Std Bk"/>
                <w:b/>
                <w:w w:val="110"/>
                <w:sz w:val="18"/>
              </w:rPr>
              <w:t>Accomodation</w:t>
            </w:r>
          </w:p>
          <w:p>
            <w:pPr>
              <w:pStyle w:val="TableParagraph"/>
              <w:spacing w:before="131"/>
              <w:ind w:left="731"/>
              <w:rPr>
                <w:sz w:val="18"/>
              </w:rPr>
            </w:pPr>
            <w:r>
              <w:rPr>
                <w:w w:val="125"/>
                <w:sz w:val="18"/>
              </w:rPr>
              <w:t>Nights</w:t>
            </w:r>
          </w:p>
        </w:tc>
        <w:tc>
          <w:tcPr>
            <w:tcW w:w="2040" w:type="dxa"/>
            <w:gridSpan w:val="2"/>
            <w:tcBorders>
              <w:bottom w:val="single" w:sz="8" w:space="0" w:color="F1B400"/>
              <w:right w:val="single" w:sz="8" w:space="0" w:color="F1B400"/>
            </w:tcBorders>
          </w:tcPr>
          <w:p>
            <w:pPr>
              <w:pStyle w:val="TableParagraph"/>
              <w:rPr>
                <w:rFonts w:ascii="Stone Sans II ITC Std Bk"/>
                <w:b/>
                <w:sz w:val="22"/>
              </w:rPr>
            </w:pPr>
          </w:p>
          <w:p>
            <w:pPr>
              <w:pStyle w:val="TableParagraph"/>
              <w:spacing w:before="172"/>
              <w:ind w:left="198"/>
              <w:rPr>
                <w:sz w:val="18"/>
              </w:rPr>
            </w:pPr>
            <w:r>
              <w:rPr>
                <w:w w:val="126"/>
                <w:sz w:val="18"/>
              </w:rPr>
              <w:t>3</w:t>
            </w:r>
          </w:p>
        </w:tc>
        <w:tc>
          <w:tcPr>
            <w:tcW w:w="2008" w:type="dxa"/>
            <w:gridSpan w:val="2"/>
            <w:tcBorders>
              <w:left w:val="single" w:sz="8" w:space="0" w:color="F1B400"/>
              <w:bottom w:val="single" w:sz="8" w:space="0" w:color="F1B400"/>
              <w:right w:val="single" w:sz="8" w:space="0" w:color="F1B400"/>
            </w:tcBorders>
          </w:tcPr>
          <w:p>
            <w:pPr>
              <w:pStyle w:val="TableParagraph"/>
              <w:rPr>
                <w:rFonts w:ascii="Stone Sans II ITC Std Bk"/>
                <w:b/>
                <w:sz w:val="22"/>
              </w:rPr>
            </w:pPr>
          </w:p>
          <w:p>
            <w:pPr>
              <w:pStyle w:val="TableParagraph"/>
              <w:spacing w:before="172"/>
              <w:ind w:left="127"/>
              <w:rPr>
                <w:sz w:val="18"/>
              </w:rPr>
            </w:pPr>
            <w:r>
              <w:rPr>
                <w:w w:val="126"/>
                <w:sz w:val="18"/>
              </w:rPr>
              <w:t>3</w:t>
            </w:r>
          </w:p>
        </w:tc>
        <w:tc>
          <w:tcPr>
            <w:tcW w:w="1979" w:type="dxa"/>
            <w:gridSpan w:val="2"/>
            <w:tcBorders>
              <w:left w:val="single" w:sz="8" w:space="0" w:color="F1B400"/>
              <w:bottom w:val="single" w:sz="8" w:space="0" w:color="F1B400"/>
              <w:right w:val="single" w:sz="8" w:space="0" w:color="F1B400"/>
            </w:tcBorders>
          </w:tcPr>
          <w:p>
            <w:pPr>
              <w:pStyle w:val="TableParagraph"/>
              <w:rPr>
                <w:rFonts w:ascii="Stone Sans II ITC Std Bk"/>
                <w:b/>
                <w:sz w:val="22"/>
              </w:rPr>
            </w:pPr>
          </w:p>
          <w:p>
            <w:pPr>
              <w:pStyle w:val="TableParagraph"/>
              <w:spacing w:before="172"/>
              <w:ind w:left="126"/>
              <w:rPr>
                <w:sz w:val="18"/>
              </w:rPr>
            </w:pPr>
            <w:r>
              <w:rPr>
                <w:w w:val="126"/>
                <w:sz w:val="18"/>
              </w:rPr>
              <w:t>2</w:t>
            </w:r>
          </w:p>
        </w:tc>
        <w:tc>
          <w:tcPr>
            <w:tcW w:w="2008" w:type="dxa"/>
            <w:gridSpan w:val="2"/>
            <w:tcBorders>
              <w:left w:val="single" w:sz="8" w:space="0" w:color="F1B400"/>
              <w:bottom w:val="single" w:sz="8" w:space="0" w:color="F1B400"/>
              <w:right w:val="single" w:sz="8" w:space="0" w:color="F1B400"/>
            </w:tcBorders>
          </w:tcPr>
          <w:p>
            <w:pPr>
              <w:pStyle w:val="TableParagraph"/>
              <w:rPr>
                <w:rFonts w:ascii="Stone Sans II ITC Std Bk"/>
                <w:b/>
                <w:sz w:val="22"/>
              </w:rPr>
            </w:pPr>
          </w:p>
          <w:p>
            <w:pPr>
              <w:pStyle w:val="TableParagraph"/>
              <w:spacing w:before="172"/>
              <w:ind w:left="127"/>
              <w:rPr>
                <w:sz w:val="18"/>
              </w:rPr>
            </w:pPr>
            <w:r>
              <w:rPr>
                <w:w w:val="126"/>
                <w:sz w:val="18"/>
              </w:rPr>
              <w:t>3</w:t>
            </w:r>
          </w:p>
        </w:tc>
        <w:tc>
          <w:tcPr>
            <w:tcW w:w="2598" w:type="dxa"/>
            <w:gridSpan w:val="2"/>
            <w:tcBorders>
              <w:left w:val="single" w:sz="8" w:space="0" w:color="F1B400"/>
              <w:bottom w:val="single" w:sz="8" w:space="0" w:color="F1B400"/>
              <w:right w:val="single" w:sz="4" w:space="0" w:color="F1B400"/>
            </w:tcBorders>
          </w:tcPr>
          <w:p>
            <w:pPr>
              <w:pStyle w:val="TableParagraph"/>
              <w:rPr>
                <w:rFonts w:ascii="Stone Sans II ITC Std Bk"/>
                <w:b/>
                <w:sz w:val="22"/>
              </w:rPr>
            </w:pPr>
          </w:p>
          <w:p>
            <w:pPr>
              <w:pStyle w:val="TableParagraph"/>
              <w:spacing w:before="172"/>
              <w:ind w:left="126"/>
              <w:rPr>
                <w:sz w:val="18"/>
              </w:rPr>
            </w:pPr>
            <w:r>
              <w:rPr>
                <w:w w:val="126"/>
                <w:sz w:val="18"/>
              </w:rPr>
              <w:t>3</w:t>
            </w:r>
          </w:p>
        </w:tc>
      </w:tr>
      <w:tr>
        <w:trPr>
          <w:trHeight w:val="390" w:hRule="atLeast"/>
        </w:trPr>
        <w:tc>
          <w:tcPr>
            <w:tcW w:w="1781" w:type="dxa"/>
            <w:vMerge w:val="restart"/>
            <w:tcBorders>
              <w:top w:val="single" w:sz="8" w:space="0" w:color="F1B400"/>
              <w:left w:val="single" w:sz="6" w:space="0" w:color="F1B400"/>
            </w:tcBorders>
          </w:tcPr>
          <w:p>
            <w:pPr>
              <w:pStyle w:val="TableParagraph"/>
              <w:spacing w:before="101"/>
              <w:ind w:left="729"/>
              <w:rPr>
                <w:sz w:val="18"/>
              </w:rPr>
            </w:pPr>
            <w:r>
              <w:rPr>
                <w:w w:val="120"/>
                <w:sz w:val="18"/>
              </w:rPr>
              <w:t>Members</w:t>
            </w:r>
          </w:p>
          <w:p>
            <w:pPr>
              <w:pStyle w:val="TableParagraph"/>
              <w:spacing w:before="144"/>
              <w:ind w:left="729"/>
              <w:rPr>
                <w:sz w:val="18"/>
              </w:rPr>
            </w:pPr>
            <w:r>
              <w:rPr>
                <w:w w:val="120"/>
                <w:sz w:val="18"/>
              </w:rPr>
              <w:t>Others</w:t>
            </w:r>
          </w:p>
          <w:p>
            <w:pPr>
              <w:pStyle w:val="TableParagraph"/>
              <w:spacing w:before="143"/>
              <w:ind w:left="729"/>
              <w:rPr>
                <w:sz w:val="18"/>
              </w:rPr>
            </w:pPr>
            <w:r>
              <w:rPr>
                <w:w w:val="125"/>
                <w:sz w:val="18"/>
              </w:rPr>
              <w:t>Non </w:t>
            </w:r>
            <w:r>
              <w:rPr>
                <w:w w:val="120"/>
                <w:sz w:val="18"/>
              </w:rPr>
              <w:t>members</w:t>
            </w:r>
          </w:p>
          <w:p>
            <w:pPr>
              <w:pStyle w:val="TableParagraph"/>
              <w:spacing w:before="144"/>
              <w:ind w:left="729"/>
              <w:rPr>
                <w:sz w:val="18"/>
              </w:rPr>
            </w:pPr>
            <w:r>
              <w:rPr>
                <w:w w:val="125"/>
                <w:sz w:val="18"/>
              </w:rPr>
              <w:t>Avg cost</w:t>
            </w:r>
          </w:p>
          <w:p>
            <w:pPr>
              <w:pStyle w:val="TableParagraph"/>
              <w:spacing w:before="132"/>
              <w:ind w:left="110"/>
              <w:rPr>
                <w:rFonts w:ascii="Stone Sans II ITC Std Bk"/>
                <w:b/>
                <w:sz w:val="18"/>
              </w:rPr>
            </w:pPr>
            <w:r>
              <w:rPr>
                <w:rFonts w:ascii="Stone Sans II ITC Std Bk"/>
                <w:b/>
                <w:w w:val="110"/>
                <w:sz w:val="18"/>
              </w:rPr>
              <w:t>Total accom</w:t>
            </w:r>
          </w:p>
          <w:p>
            <w:pPr>
              <w:pStyle w:val="TableParagraph"/>
              <w:rPr>
                <w:rFonts w:ascii="Stone Sans II ITC Std Bk"/>
                <w:b/>
                <w:sz w:val="22"/>
              </w:rPr>
            </w:pPr>
          </w:p>
          <w:p>
            <w:pPr>
              <w:pStyle w:val="TableParagraph"/>
              <w:spacing w:before="185"/>
              <w:ind w:left="111"/>
              <w:rPr>
                <w:rFonts w:ascii="Stone Sans II ITC Std Bk"/>
                <w:b/>
                <w:sz w:val="18"/>
              </w:rPr>
            </w:pPr>
            <w:r>
              <w:rPr>
                <w:rFonts w:ascii="Stone Sans II ITC Std Bk"/>
                <w:b/>
                <w:w w:val="110"/>
                <w:sz w:val="18"/>
              </w:rPr>
              <w:t>Catering</w:t>
            </w:r>
          </w:p>
          <w:p>
            <w:pPr>
              <w:pStyle w:val="TableParagraph"/>
              <w:spacing w:line="396" w:lineRule="auto" w:before="131"/>
              <w:ind w:left="729" w:right="64"/>
              <w:rPr>
                <w:sz w:val="18"/>
              </w:rPr>
            </w:pPr>
            <w:r>
              <w:rPr>
                <w:w w:val="120"/>
                <w:sz w:val="18"/>
              </w:rPr>
              <w:t>Lunches dinners Snacks Misc</w:t>
            </w:r>
          </w:p>
          <w:p>
            <w:pPr>
              <w:pStyle w:val="TableParagraph"/>
              <w:spacing w:line="234" w:lineRule="exact"/>
              <w:ind w:left="111"/>
              <w:rPr>
                <w:rFonts w:ascii="Stone Sans II ITC Std Bk"/>
                <w:b/>
                <w:sz w:val="18"/>
              </w:rPr>
            </w:pPr>
            <w:r>
              <w:rPr>
                <w:rFonts w:ascii="Stone Sans II ITC Std Bk"/>
                <w:b/>
                <w:w w:val="110"/>
                <w:sz w:val="18"/>
              </w:rPr>
              <w:t>Total</w:t>
            </w:r>
          </w:p>
          <w:p>
            <w:pPr>
              <w:pStyle w:val="TableParagraph"/>
              <w:rPr>
                <w:rFonts w:ascii="Stone Sans II ITC Std Bk"/>
                <w:b/>
                <w:sz w:val="22"/>
              </w:rPr>
            </w:pPr>
          </w:p>
          <w:p>
            <w:pPr>
              <w:pStyle w:val="TableParagraph"/>
              <w:spacing w:before="185"/>
              <w:ind w:left="111"/>
              <w:rPr>
                <w:rFonts w:ascii="Stone Sans II ITC Std Bk"/>
                <w:b/>
                <w:sz w:val="18"/>
              </w:rPr>
            </w:pPr>
            <w:r>
              <w:rPr>
                <w:rFonts w:ascii="Stone Sans II ITC Std Bk"/>
                <w:b/>
                <w:w w:val="110"/>
                <w:sz w:val="18"/>
              </w:rPr>
              <w:t>Travel costs</w:t>
            </w:r>
          </w:p>
          <w:p>
            <w:pPr>
              <w:pStyle w:val="TableParagraph"/>
              <w:spacing w:before="131"/>
              <w:ind w:left="729"/>
              <w:rPr>
                <w:sz w:val="18"/>
              </w:rPr>
            </w:pPr>
            <w:r>
              <w:rPr>
                <w:w w:val="125"/>
                <w:sz w:val="18"/>
              </w:rPr>
              <w:t>Avg cost</w:t>
            </w:r>
          </w:p>
        </w:tc>
        <w:tc>
          <w:tcPr>
            <w:tcW w:w="888" w:type="dxa"/>
            <w:vMerge w:val="restart"/>
            <w:tcBorders>
              <w:top w:val="single" w:sz="8" w:space="0" w:color="F1B400"/>
            </w:tcBorders>
          </w:tcPr>
          <w:p>
            <w:pPr>
              <w:pStyle w:val="TableParagraph"/>
              <w:spacing w:before="101"/>
              <w:ind w:left="198"/>
              <w:rPr>
                <w:sz w:val="18"/>
              </w:rPr>
            </w:pPr>
            <w:r>
              <w:rPr>
                <w:w w:val="125"/>
                <w:sz w:val="18"/>
              </w:rPr>
              <w:t>269</w:t>
            </w:r>
          </w:p>
          <w:p>
            <w:pPr>
              <w:pStyle w:val="TableParagraph"/>
              <w:spacing w:before="144"/>
              <w:ind w:left="198"/>
              <w:rPr>
                <w:sz w:val="18"/>
              </w:rPr>
            </w:pPr>
            <w:r>
              <w:rPr>
                <w:w w:val="125"/>
                <w:sz w:val="18"/>
              </w:rPr>
              <w:t>46</w:t>
            </w:r>
          </w:p>
          <w:p>
            <w:pPr>
              <w:pStyle w:val="TableParagraph"/>
              <w:spacing w:before="11"/>
              <w:rPr>
                <w:rFonts w:ascii="Stone Sans II ITC Std Bk"/>
                <w:b/>
                <w:sz w:val="26"/>
              </w:rPr>
            </w:pPr>
          </w:p>
          <w:p>
            <w:pPr>
              <w:pStyle w:val="TableParagraph"/>
              <w:spacing w:before="1"/>
              <w:ind w:left="198"/>
              <w:rPr>
                <w:sz w:val="18"/>
              </w:rPr>
            </w:pPr>
            <w:r>
              <w:rPr>
                <w:spacing w:val="-6"/>
                <w:w w:val="125"/>
                <w:sz w:val="18"/>
              </w:rPr>
              <w:t>21</w:t>
            </w:r>
          </w:p>
          <w:p>
            <w:pPr>
              <w:pStyle w:val="TableParagraph"/>
              <w:spacing w:before="143"/>
              <w:ind w:left="198"/>
              <w:rPr>
                <w:sz w:val="18"/>
              </w:rPr>
            </w:pPr>
            <w:r>
              <w:rPr>
                <w:spacing w:val="-10"/>
                <w:w w:val="125"/>
                <w:sz w:val="18"/>
              </w:rPr>
              <w:t>75</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2"/>
              <w:rPr>
                <w:rFonts w:ascii="Stone Sans II ITC Std Bk"/>
                <w:b/>
                <w:sz w:val="25"/>
              </w:rPr>
            </w:pPr>
          </w:p>
          <w:p>
            <w:pPr>
              <w:pStyle w:val="TableParagraph"/>
              <w:ind w:left="198"/>
              <w:rPr>
                <w:sz w:val="18"/>
              </w:rPr>
            </w:pPr>
            <w:r>
              <w:rPr>
                <w:w w:val="126"/>
                <w:sz w:val="18"/>
              </w:rPr>
              <w:t>9</w:t>
            </w:r>
          </w:p>
          <w:p>
            <w:pPr>
              <w:pStyle w:val="TableParagraph"/>
              <w:spacing w:before="143"/>
              <w:ind w:left="198"/>
              <w:rPr>
                <w:sz w:val="18"/>
              </w:rPr>
            </w:pPr>
            <w:r>
              <w:rPr>
                <w:spacing w:val="-14"/>
                <w:w w:val="125"/>
                <w:sz w:val="18"/>
              </w:rPr>
              <w:t>15</w:t>
            </w:r>
          </w:p>
          <w:p>
            <w:pPr>
              <w:pStyle w:val="TableParagraph"/>
              <w:spacing w:before="144"/>
              <w:ind w:left="198"/>
              <w:rPr>
                <w:sz w:val="18"/>
              </w:rPr>
            </w:pPr>
            <w:r>
              <w:rPr>
                <w:w w:val="126"/>
                <w:sz w:val="18"/>
              </w:rPr>
              <w:t>2</w:t>
            </w:r>
          </w:p>
          <w:p>
            <w:pPr>
              <w:pStyle w:val="TableParagraph"/>
              <w:spacing w:before="143"/>
              <w:ind w:left="198"/>
              <w:rPr>
                <w:sz w:val="18"/>
              </w:rPr>
            </w:pPr>
            <w:r>
              <w:rPr>
                <w:w w:val="125"/>
                <w:sz w:val="18"/>
              </w:rPr>
              <w:t>600</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2"/>
              <w:rPr>
                <w:rFonts w:ascii="Stone Sans II ITC Std Bk"/>
                <w:b/>
                <w:sz w:val="25"/>
              </w:rPr>
            </w:pPr>
          </w:p>
          <w:p>
            <w:pPr>
              <w:pStyle w:val="TableParagraph"/>
              <w:ind w:left="198"/>
              <w:rPr>
                <w:sz w:val="18"/>
              </w:rPr>
            </w:pPr>
            <w:r>
              <w:rPr>
                <w:w w:val="125"/>
                <w:sz w:val="18"/>
              </w:rPr>
              <w:t>75</w:t>
            </w:r>
          </w:p>
        </w:tc>
        <w:tc>
          <w:tcPr>
            <w:tcW w:w="1152" w:type="dxa"/>
            <w:vMerge w:val="restart"/>
            <w:tcBorders>
              <w:top w:val="single" w:sz="8" w:space="0" w:color="F1B400"/>
              <w:right w:val="single" w:sz="12" w:space="0" w:color="F1B400"/>
            </w:tcBorders>
          </w:tcPr>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2"/>
              <w:rPr>
                <w:rFonts w:ascii="Stone Sans II ITC Std Bk"/>
                <w:b/>
                <w:sz w:val="21"/>
              </w:rPr>
            </w:pPr>
          </w:p>
          <w:p>
            <w:pPr>
              <w:pStyle w:val="TableParagraph"/>
              <w:spacing w:before="1"/>
              <w:ind w:left="357"/>
              <w:rPr>
                <w:sz w:val="18"/>
              </w:rPr>
            </w:pPr>
            <w:r>
              <w:rPr>
                <w:w w:val="125"/>
                <w:sz w:val="18"/>
              </w:rPr>
              <w:t>75,600</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9"/>
              <w:rPr>
                <w:rFonts w:ascii="Stone Sans II ITC Std Bk"/>
                <w:b/>
                <w:sz w:val="17"/>
              </w:rPr>
            </w:pPr>
          </w:p>
          <w:p>
            <w:pPr>
              <w:pStyle w:val="TableParagraph"/>
              <w:ind w:left="349"/>
              <w:rPr>
                <w:sz w:val="18"/>
              </w:rPr>
            </w:pPr>
            <w:r>
              <w:rPr>
                <w:w w:val="125"/>
                <w:sz w:val="18"/>
              </w:rPr>
              <w:t>26,808</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2"/>
              <w:rPr>
                <w:rFonts w:ascii="Stone Sans II ITC Std Bk"/>
                <w:b/>
                <w:sz w:val="25"/>
              </w:rPr>
            </w:pPr>
          </w:p>
          <w:p>
            <w:pPr>
              <w:pStyle w:val="TableParagraph"/>
              <w:spacing w:before="1"/>
              <w:ind w:left="345"/>
              <w:rPr>
                <w:sz w:val="18"/>
              </w:rPr>
            </w:pPr>
            <w:r>
              <w:rPr>
                <w:w w:val="125"/>
                <w:sz w:val="18"/>
              </w:rPr>
              <w:t>25,200</w:t>
            </w:r>
          </w:p>
        </w:tc>
        <w:tc>
          <w:tcPr>
            <w:tcW w:w="979" w:type="dxa"/>
            <w:tcBorders>
              <w:top w:val="single" w:sz="8" w:space="0" w:color="F1B400"/>
              <w:left w:val="single" w:sz="8" w:space="0" w:color="F1B400"/>
            </w:tcBorders>
          </w:tcPr>
          <w:p>
            <w:pPr>
              <w:pStyle w:val="TableParagraph"/>
              <w:spacing w:before="101"/>
              <w:ind w:left="127"/>
              <w:rPr>
                <w:sz w:val="18"/>
              </w:rPr>
            </w:pPr>
            <w:r>
              <w:rPr>
                <w:w w:val="125"/>
                <w:sz w:val="18"/>
              </w:rPr>
              <w:t>208</w:t>
            </w:r>
          </w:p>
        </w:tc>
        <w:tc>
          <w:tcPr>
            <w:tcW w:w="1029" w:type="dxa"/>
            <w:tcBorders>
              <w:top w:val="single" w:sz="8" w:space="0" w:color="F1B400"/>
              <w:right w:val="single" w:sz="8" w:space="0" w:color="F1B400"/>
            </w:tcBorders>
          </w:tcPr>
          <w:p>
            <w:pPr>
              <w:pStyle w:val="TableParagraph"/>
              <w:rPr>
                <w:rFonts w:ascii="Times New Roman"/>
                <w:sz w:val="24"/>
              </w:rPr>
            </w:pPr>
          </w:p>
        </w:tc>
        <w:tc>
          <w:tcPr>
            <w:tcW w:w="978" w:type="dxa"/>
            <w:tcBorders>
              <w:top w:val="single" w:sz="8" w:space="0" w:color="F1B400"/>
              <w:left w:val="single" w:sz="8" w:space="0" w:color="F1B400"/>
            </w:tcBorders>
          </w:tcPr>
          <w:p>
            <w:pPr>
              <w:pStyle w:val="TableParagraph"/>
              <w:spacing w:before="101"/>
              <w:ind w:left="126"/>
              <w:rPr>
                <w:sz w:val="18"/>
              </w:rPr>
            </w:pPr>
            <w:r>
              <w:rPr>
                <w:w w:val="125"/>
                <w:sz w:val="18"/>
              </w:rPr>
              <w:t>208</w:t>
            </w:r>
          </w:p>
        </w:tc>
        <w:tc>
          <w:tcPr>
            <w:tcW w:w="1001" w:type="dxa"/>
            <w:tcBorders>
              <w:top w:val="single" w:sz="8" w:space="0" w:color="F1B400"/>
              <w:right w:val="single" w:sz="8" w:space="0" w:color="F1B400"/>
            </w:tcBorders>
          </w:tcPr>
          <w:p>
            <w:pPr>
              <w:pStyle w:val="TableParagraph"/>
              <w:rPr>
                <w:rFonts w:ascii="Times New Roman"/>
                <w:sz w:val="24"/>
              </w:rPr>
            </w:pPr>
          </w:p>
        </w:tc>
        <w:tc>
          <w:tcPr>
            <w:tcW w:w="982" w:type="dxa"/>
            <w:tcBorders>
              <w:top w:val="single" w:sz="8" w:space="0" w:color="F1B400"/>
              <w:left w:val="single" w:sz="8" w:space="0" w:color="F1B400"/>
            </w:tcBorders>
          </w:tcPr>
          <w:p>
            <w:pPr>
              <w:pStyle w:val="TableParagraph"/>
              <w:spacing w:before="101"/>
              <w:ind w:left="127"/>
              <w:rPr>
                <w:sz w:val="18"/>
              </w:rPr>
            </w:pPr>
            <w:r>
              <w:rPr>
                <w:w w:val="125"/>
                <w:sz w:val="18"/>
              </w:rPr>
              <w:t>130</w:t>
            </w:r>
          </w:p>
        </w:tc>
        <w:tc>
          <w:tcPr>
            <w:tcW w:w="1026" w:type="dxa"/>
            <w:tcBorders>
              <w:top w:val="single" w:sz="8" w:space="0" w:color="F1B400"/>
              <w:right w:val="single" w:sz="8" w:space="0" w:color="F1B400"/>
            </w:tcBorders>
          </w:tcPr>
          <w:p>
            <w:pPr>
              <w:pStyle w:val="TableParagraph"/>
              <w:rPr>
                <w:rFonts w:ascii="Times New Roman"/>
                <w:sz w:val="24"/>
              </w:rPr>
            </w:pPr>
          </w:p>
        </w:tc>
        <w:tc>
          <w:tcPr>
            <w:tcW w:w="1056" w:type="dxa"/>
            <w:tcBorders>
              <w:top w:val="single" w:sz="8" w:space="0" w:color="F1B400"/>
              <w:left w:val="single" w:sz="8" w:space="0" w:color="F1B400"/>
            </w:tcBorders>
          </w:tcPr>
          <w:p>
            <w:pPr>
              <w:pStyle w:val="TableParagraph"/>
              <w:spacing w:before="101"/>
              <w:ind w:left="126"/>
              <w:rPr>
                <w:sz w:val="18"/>
              </w:rPr>
            </w:pPr>
            <w:r>
              <w:rPr>
                <w:w w:val="125"/>
                <w:sz w:val="18"/>
              </w:rPr>
              <w:t>208</w:t>
            </w:r>
          </w:p>
        </w:tc>
        <w:tc>
          <w:tcPr>
            <w:tcW w:w="1542" w:type="dxa"/>
            <w:tcBorders>
              <w:top w:val="single" w:sz="8" w:space="0" w:color="F1B400"/>
              <w:right w:val="single" w:sz="4" w:space="0" w:color="F1B400"/>
            </w:tcBorders>
          </w:tcPr>
          <w:p>
            <w:pPr>
              <w:pStyle w:val="TableParagraph"/>
              <w:rPr>
                <w:rFonts w:ascii="Times New Roman"/>
                <w:sz w:val="24"/>
              </w:rPr>
            </w:pPr>
          </w:p>
        </w:tc>
      </w:tr>
      <w:tr>
        <w:trPr>
          <w:trHeight w:val="47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74"/>
              <w:ind w:left="75"/>
              <w:rPr>
                <w:sz w:val="18"/>
              </w:rPr>
            </w:pPr>
            <w:r>
              <w:rPr>
                <w:w w:val="125"/>
                <w:sz w:val="18"/>
              </w:rPr>
              <w:t>41</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74"/>
              <w:ind w:left="126"/>
              <w:rPr>
                <w:sz w:val="18"/>
              </w:rPr>
            </w:pPr>
            <w:r>
              <w:rPr>
                <w:w w:val="125"/>
                <w:sz w:val="18"/>
              </w:rPr>
              <w:t>38</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74"/>
              <w:ind w:left="127"/>
              <w:rPr>
                <w:sz w:val="18"/>
              </w:rPr>
            </w:pPr>
            <w:r>
              <w:rPr>
                <w:w w:val="125"/>
                <w:sz w:val="18"/>
              </w:rPr>
              <w:t>35</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spacing w:before="74"/>
              <w:ind w:left="75"/>
              <w:rPr>
                <w:sz w:val="18"/>
              </w:rPr>
            </w:pPr>
            <w:r>
              <w:rPr>
                <w:w w:val="125"/>
                <w:sz w:val="18"/>
              </w:rPr>
              <w:t>38</w:t>
            </w:r>
          </w:p>
        </w:tc>
        <w:tc>
          <w:tcPr>
            <w:tcW w:w="1542" w:type="dxa"/>
            <w:tcBorders>
              <w:right w:val="single" w:sz="4" w:space="0" w:color="F1B400"/>
            </w:tcBorders>
          </w:tcPr>
          <w:p>
            <w:pPr>
              <w:pStyle w:val="TableParagraph"/>
              <w:rPr>
                <w:rFonts w:ascii="Times New Roman"/>
                <w:sz w:val="24"/>
              </w:rPr>
            </w:pPr>
          </w:p>
        </w:tc>
      </w:tr>
      <w:tr>
        <w:trPr>
          <w:trHeight w:val="47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184"/>
              <w:ind w:left="127"/>
              <w:rPr>
                <w:sz w:val="18"/>
              </w:rPr>
            </w:pPr>
            <w:r>
              <w:rPr>
                <w:w w:val="125"/>
                <w:sz w:val="18"/>
              </w:rPr>
              <w:t>21</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184"/>
              <w:ind w:left="126"/>
              <w:rPr>
                <w:sz w:val="18"/>
              </w:rPr>
            </w:pPr>
            <w:r>
              <w:rPr>
                <w:w w:val="125"/>
                <w:sz w:val="18"/>
              </w:rPr>
              <w:t>21</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184"/>
              <w:ind w:left="127"/>
              <w:rPr>
                <w:sz w:val="18"/>
              </w:rPr>
            </w:pPr>
            <w:r>
              <w:rPr>
                <w:w w:val="125"/>
                <w:sz w:val="18"/>
              </w:rPr>
              <w:t>21</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spacing w:before="184"/>
              <w:ind w:left="126"/>
              <w:rPr>
                <w:sz w:val="18"/>
              </w:rPr>
            </w:pPr>
            <w:r>
              <w:rPr>
                <w:w w:val="125"/>
                <w:sz w:val="18"/>
              </w:rPr>
              <w:t>21</w:t>
            </w:r>
          </w:p>
        </w:tc>
        <w:tc>
          <w:tcPr>
            <w:tcW w:w="1542" w:type="dxa"/>
            <w:tcBorders>
              <w:right w:val="single" w:sz="4" w:space="0" w:color="F1B400"/>
            </w:tcBorders>
          </w:tcPr>
          <w:p>
            <w:pPr>
              <w:pStyle w:val="TableParagraph"/>
              <w:rPr>
                <w:rFonts w:ascii="Times New Roman"/>
                <w:sz w:val="24"/>
              </w:rPr>
            </w:pPr>
          </w:p>
        </w:tc>
      </w:tr>
      <w:tr>
        <w:trPr>
          <w:trHeight w:val="36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74"/>
              <w:ind w:left="75"/>
              <w:rPr>
                <w:sz w:val="18"/>
              </w:rPr>
            </w:pPr>
            <w:r>
              <w:rPr>
                <w:w w:val="125"/>
                <w:sz w:val="18"/>
              </w:rPr>
              <w:t>80</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74"/>
              <w:ind w:left="126"/>
              <w:rPr>
                <w:sz w:val="18"/>
              </w:rPr>
            </w:pPr>
            <w:r>
              <w:rPr>
                <w:w w:val="125"/>
                <w:sz w:val="18"/>
              </w:rPr>
              <w:t>80</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74"/>
              <w:ind w:left="127"/>
              <w:rPr>
                <w:sz w:val="18"/>
              </w:rPr>
            </w:pPr>
            <w:r>
              <w:rPr>
                <w:w w:val="125"/>
                <w:sz w:val="18"/>
              </w:rPr>
              <w:t>80</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rPr>
                <w:rFonts w:ascii="Times New Roman"/>
                <w:sz w:val="24"/>
              </w:rPr>
            </w:pPr>
          </w:p>
        </w:tc>
      </w:tr>
      <w:tr>
        <w:trPr>
          <w:trHeight w:val="726"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rPr>
                <w:rFonts w:ascii="Times New Roman"/>
                <w:sz w:val="24"/>
              </w:rPr>
            </w:pPr>
          </w:p>
        </w:tc>
        <w:tc>
          <w:tcPr>
            <w:tcW w:w="1029" w:type="dxa"/>
            <w:tcBorders>
              <w:right w:val="single" w:sz="8" w:space="0" w:color="F1B400"/>
            </w:tcBorders>
          </w:tcPr>
          <w:p>
            <w:pPr>
              <w:pStyle w:val="TableParagraph"/>
              <w:spacing w:before="74"/>
              <w:ind w:left="218"/>
              <w:rPr>
                <w:sz w:val="18"/>
              </w:rPr>
            </w:pPr>
            <w:r>
              <w:rPr>
                <w:w w:val="125"/>
                <w:sz w:val="18"/>
              </w:rPr>
              <w:t>64,800</w:t>
            </w:r>
          </w:p>
        </w:tc>
        <w:tc>
          <w:tcPr>
            <w:tcW w:w="978" w:type="dxa"/>
            <w:tcBorders>
              <w:left w:val="single" w:sz="8" w:space="0" w:color="F1B400"/>
            </w:tcBorders>
          </w:tcPr>
          <w:p>
            <w:pPr>
              <w:pStyle w:val="TableParagraph"/>
              <w:rPr>
                <w:rFonts w:ascii="Times New Roman"/>
                <w:sz w:val="24"/>
              </w:rPr>
            </w:pPr>
          </w:p>
        </w:tc>
        <w:tc>
          <w:tcPr>
            <w:tcW w:w="1001" w:type="dxa"/>
            <w:tcBorders>
              <w:right w:val="single" w:sz="8" w:space="0" w:color="F1B400"/>
            </w:tcBorders>
          </w:tcPr>
          <w:p>
            <w:pPr>
              <w:pStyle w:val="TableParagraph"/>
              <w:spacing w:before="74"/>
              <w:ind w:left="176" w:right="114"/>
              <w:jc w:val="center"/>
              <w:rPr>
                <w:sz w:val="18"/>
              </w:rPr>
            </w:pPr>
            <w:r>
              <w:rPr>
                <w:w w:val="125"/>
                <w:sz w:val="18"/>
              </w:rPr>
              <w:t>42,720</w:t>
            </w:r>
          </w:p>
        </w:tc>
        <w:tc>
          <w:tcPr>
            <w:tcW w:w="982" w:type="dxa"/>
            <w:tcBorders>
              <w:left w:val="single" w:sz="8" w:space="0" w:color="F1B400"/>
            </w:tcBorders>
          </w:tcPr>
          <w:p>
            <w:pPr>
              <w:pStyle w:val="TableParagraph"/>
              <w:rPr>
                <w:rFonts w:ascii="Times New Roman"/>
                <w:sz w:val="24"/>
              </w:rPr>
            </w:pPr>
          </w:p>
        </w:tc>
        <w:tc>
          <w:tcPr>
            <w:tcW w:w="1026" w:type="dxa"/>
            <w:tcBorders>
              <w:right w:val="single" w:sz="8" w:space="0" w:color="F1B400"/>
            </w:tcBorders>
          </w:tcPr>
          <w:p>
            <w:pPr>
              <w:pStyle w:val="TableParagraph"/>
              <w:spacing w:before="74"/>
              <w:ind w:left="189" w:right="123"/>
              <w:jc w:val="center"/>
              <w:rPr>
                <w:sz w:val="18"/>
              </w:rPr>
            </w:pPr>
            <w:r>
              <w:rPr>
                <w:w w:val="125"/>
                <w:sz w:val="18"/>
              </w:rPr>
              <w:t>44,640</w:t>
            </w: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spacing w:before="74"/>
              <w:ind w:right="151"/>
              <w:jc w:val="right"/>
              <w:rPr>
                <w:sz w:val="18"/>
              </w:rPr>
            </w:pPr>
            <w:r>
              <w:rPr>
                <w:w w:val="125"/>
                <w:sz w:val="18"/>
              </w:rPr>
              <w:t>60,000</w:t>
            </w:r>
          </w:p>
        </w:tc>
      </w:tr>
      <w:tr>
        <w:trPr>
          <w:trHeight w:val="726"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4"/>
              <w:rPr>
                <w:rFonts w:ascii="Stone Sans II ITC Std Bk"/>
                <w:b/>
                <w:sz w:val="32"/>
              </w:rPr>
            </w:pPr>
          </w:p>
          <w:p>
            <w:pPr>
              <w:pStyle w:val="TableParagraph"/>
              <w:ind w:left="75"/>
              <w:rPr>
                <w:sz w:val="18"/>
              </w:rPr>
            </w:pPr>
            <w:r>
              <w:rPr>
                <w:w w:val="126"/>
                <w:sz w:val="18"/>
              </w:rPr>
              <w:t>9</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4"/>
              <w:rPr>
                <w:rFonts w:ascii="Stone Sans II ITC Std Bk"/>
                <w:b/>
                <w:sz w:val="32"/>
              </w:rPr>
            </w:pPr>
          </w:p>
          <w:p>
            <w:pPr>
              <w:pStyle w:val="TableParagraph"/>
              <w:ind w:left="127"/>
              <w:rPr>
                <w:sz w:val="18"/>
              </w:rPr>
            </w:pPr>
            <w:r>
              <w:rPr>
                <w:w w:val="126"/>
                <w:sz w:val="18"/>
              </w:rPr>
              <w:t>9</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4"/>
              <w:rPr>
                <w:rFonts w:ascii="Stone Sans II ITC Std Bk"/>
                <w:b/>
                <w:sz w:val="32"/>
              </w:rPr>
            </w:pPr>
          </w:p>
          <w:p>
            <w:pPr>
              <w:pStyle w:val="TableParagraph"/>
              <w:ind w:left="127"/>
              <w:rPr>
                <w:sz w:val="18"/>
              </w:rPr>
            </w:pPr>
            <w:r>
              <w:rPr>
                <w:w w:val="126"/>
                <w:sz w:val="18"/>
              </w:rPr>
              <w:t>9</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rPr>
                <w:rFonts w:ascii="Times New Roman"/>
                <w:sz w:val="24"/>
              </w:rPr>
            </w:pPr>
          </w:p>
        </w:tc>
      </w:tr>
      <w:tr>
        <w:trPr>
          <w:trHeight w:val="36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74"/>
              <w:ind w:left="75"/>
              <w:rPr>
                <w:sz w:val="18"/>
              </w:rPr>
            </w:pPr>
            <w:r>
              <w:rPr>
                <w:w w:val="125"/>
                <w:sz w:val="18"/>
              </w:rPr>
              <w:t>15</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74"/>
              <w:ind w:left="127"/>
              <w:rPr>
                <w:sz w:val="18"/>
              </w:rPr>
            </w:pPr>
            <w:r>
              <w:rPr>
                <w:w w:val="125"/>
                <w:sz w:val="18"/>
              </w:rPr>
              <w:t>15</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74"/>
              <w:ind w:left="127"/>
              <w:rPr>
                <w:sz w:val="18"/>
              </w:rPr>
            </w:pPr>
            <w:r>
              <w:rPr>
                <w:w w:val="125"/>
                <w:sz w:val="18"/>
              </w:rPr>
              <w:t>15</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rPr>
                <w:rFonts w:ascii="Times New Roman"/>
                <w:sz w:val="24"/>
              </w:rPr>
            </w:pPr>
          </w:p>
        </w:tc>
      </w:tr>
      <w:tr>
        <w:trPr>
          <w:trHeight w:val="36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74"/>
              <w:ind w:left="75"/>
              <w:rPr>
                <w:sz w:val="18"/>
              </w:rPr>
            </w:pPr>
            <w:r>
              <w:rPr>
                <w:w w:val="126"/>
                <w:sz w:val="18"/>
              </w:rPr>
              <w:t>2</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74"/>
              <w:ind w:left="127"/>
              <w:rPr>
                <w:sz w:val="18"/>
              </w:rPr>
            </w:pPr>
            <w:r>
              <w:rPr>
                <w:w w:val="126"/>
                <w:sz w:val="18"/>
              </w:rPr>
              <w:t>2</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74"/>
              <w:ind w:left="127"/>
              <w:rPr>
                <w:sz w:val="18"/>
              </w:rPr>
            </w:pPr>
            <w:r>
              <w:rPr>
                <w:w w:val="126"/>
                <w:sz w:val="18"/>
              </w:rPr>
              <w:t>2</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rPr>
                <w:rFonts w:ascii="Times New Roman"/>
                <w:sz w:val="24"/>
              </w:rPr>
            </w:pPr>
          </w:p>
        </w:tc>
      </w:tr>
      <w:tr>
        <w:trPr>
          <w:trHeight w:val="363"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74"/>
              <w:ind w:left="75"/>
              <w:rPr>
                <w:sz w:val="18"/>
              </w:rPr>
            </w:pPr>
            <w:r>
              <w:rPr>
                <w:w w:val="125"/>
                <w:sz w:val="18"/>
              </w:rPr>
              <w:t>600</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74"/>
              <w:ind w:left="127"/>
              <w:rPr>
                <w:sz w:val="18"/>
              </w:rPr>
            </w:pPr>
            <w:r>
              <w:rPr>
                <w:w w:val="125"/>
                <w:sz w:val="18"/>
              </w:rPr>
              <w:t>250</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74"/>
              <w:ind w:left="127"/>
              <w:rPr>
                <w:sz w:val="18"/>
              </w:rPr>
            </w:pPr>
            <w:r>
              <w:rPr>
                <w:w w:val="125"/>
                <w:sz w:val="18"/>
              </w:rPr>
              <w:t>250</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rPr>
                <w:rFonts w:ascii="Times New Roman"/>
                <w:sz w:val="24"/>
              </w:rPr>
            </w:pPr>
          </w:p>
        </w:tc>
      </w:tr>
      <w:tr>
        <w:trPr>
          <w:trHeight w:val="726"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rPr>
                <w:rFonts w:ascii="Times New Roman"/>
                <w:sz w:val="24"/>
              </w:rPr>
            </w:pPr>
          </w:p>
        </w:tc>
        <w:tc>
          <w:tcPr>
            <w:tcW w:w="1029" w:type="dxa"/>
            <w:tcBorders>
              <w:right w:val="single" w:sz="8" w:space="0" w:color="F1B400"/>
            </w:tcBorders>
          </w:tcPr>
          <w:p>
            <w:pPr>
              <w:pStyle w:val="TableParagraph"/>
              <w:spacing w:before="74"/>
              <w:ind w:left="244"/>
              <w:rPr>
                <w:sz w:val="18"/>
              </w:rPr>
            </w:pPr>
            <w:r>
              <w:rPr>
                <w:w w:val="125"/>
                <w:sz w:val="18"/>
              </w:rPr>
              <w:t>21,660</w:t>
            </w:r>
          </w:p>
        </w:tc>
        <w:tc>
          <w:tcPr>
            <w:tcW w:w="978" w:type="dxa"/>
            <w:tcBorders>
              <w:left w:val="single" w:sz="8" w:space="0" w:color="F1B400"/>
            </w:tcBorders>
          </w:tcPr>
          <w:p>
            <w:pPr>
              <w:pStyle w:val="TableParagraph"/>
              <w:rPr>
                <w:rFonts w:ascii="Times New Roman"/>
                <w:sz w:val="24"/>
              </w:rPr>
            </w:pPr>
          </w:p>
        </w:tc>
        <w:tc>
          <w:tcPr>
            <w:tcW w:w="1001" w:type="dxa"/>
            <w:tcBorders>
              <w:right w:val="single" w:sz="8" w:space="0" w:color="F1B400"/>
            </w:tcBorders>
          </w:tcPr>
          <w:p>
            <w:pPr>
              <w:pStyle w:val="TableParagraph"/>
              <w:spacing w:before="74"/>
              <w:ind w:left="193" w:right="98"/>
              <w:jc w:val="center"/>
              <w:rPr>
                <w:sz w:val="18"/>
              </w:rPr>
            </w:pPr>
            <w:r>
              <w:rPr>
                <w:w w:val="125"/>
                <w:sz w:val="18"/>
              </w:rPr>
              <w:t>14,134</w:t>
            </w:r>
          </w:p>
        </w:tc>
        <w:tc>
          <w:tcPr>
            <w:tcW w:w="982" w:type="dxa"/>
            <w:tcBorders>
              <w:left w:val="single" w:sz="8" w:space="0" w:color="F1B400"/>
            </w:tcBorders>
          </w:tcPr>
          <w:p>
            <w:pPr>
              <w:pStyle w:val="TableParagraph"/>
              <w:rPr>
                <w:rFonts w:ascii="Times New Roman"/>
                <w:sz w:val="24"/>
              </w:rPr>
            </w:pPr>
          </w:p>
        </w:tc>
        <w:tc>
          <w:tcPr>
            <w:tcW w:w="1026" w:type="dxa"/>
            <w:tcBorders>
              <w:right w:val="single" w:sz="8" w:space="0" w:color="F1B400"/>
            </w:tcBorders>
          </w:tcPr>
          <w:p>
            <w:pPr>
              <w:pStyle w:val="TableParagraph"/>
              <w:spacing w:before="74"/>
              <w:ind w:left="207" w:right="104"/>
              <w:jc w:val="center"/>
              <w:rPr>
                <w:sz w:val="18"/>
              </w:rPr>
            </w:pPr>
            <w:r>
              <w:rPr>
                <w:w w:val="125"/>
                <w:sz w:val="18"/>
              </w:rPr>
              <w:t>14,758</w:t>
            </w: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spacing w:before="74"/>
              <w:ind w:right="157"/>
              <w:jc w:val="right"/>
              <w:rPr>
                <w:sz w:val="18"/>
              </w:rPr>
            </w:pPr>
            <w:r>
              <w:rPr>
                <w:w w:val="125"/>
                <w:sz w:val="18"/>
              </w:rPr>
              <w:t>Included</w:t>
            </w:r>
          </w:p>
        </w:tc>
      </w:tr>
      <w:tr>
        <w:trPr>
          <w:trHeight w:val="726"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spacing w:before="4"/>
              <w:rPr>
                <w:rFonts w:ascii="Stone Sans II ITC Std Bk"/>
                <w:b/>
                <w:sz w:val="32"/>
              </w:rPr>
            </w:pPr>
          </w:p>
          <w:p>
            <w:pPr>
              <w:pStyle w:val="TableParagraph"/>
              <w:ind w:left="127"/>
              <w:rPr>
                <w:sz w:val="18"/>
              </w:rPr>
            </w:pPr>
            <w:r>
              <w:rPr>
                <w:w w:val="125"/>
                <w:sz w:val="18"/>
              </w:rPr>
              <w:t>80</w:t>
            </w:r>
          </w:p>
        </w:tc>
        <w:tc>
          <w:tcPr>
            <w:tcW w:w="1029" w:type="dxa"/>
            <w:tcBorders>
              <w:right w:val="single" w:sz="8" w:space="0" w:color="F1B400"/>
            </w:tcBorders>
          </w:tcPr>
          <w:p>
            <w:pPr>
              <w:pStyle w:val="TableParagraph"/>
              <w:rPr>
                <w:rFonts w:ascii="Times New Roman"/>
                <w:sz w:val="24"/>
              </w:rPr>
            </w:pPr>
          </w:p>
        </w:tc>
        <w:tc>
          <w:tcPr>
            <w:tcW w:w="978" w:type="dxa"/>
            <w:tcBorders>
              <w:left w:val="single" w:sz="8" w:space="0" w:color="F1B400"/>
            </w:tcBorders>
          </w:tcPr>
          <w:p>
            <w:pPr>
              <w:pStyle w:val="TableParagraph"/>
              <w:spacing w:before="4"/>
              <w:rPr>
                <w:rFonts w:ascii="Stone Sans II ITC Std Bk"/>
                <w:b/>
                <w:sz w:val="32"/>
              </w:rPr>
            </w:pPr>
          </w:p>
          <w:p>
            <w:pPr>
              <w:pStyle w:val="TableParagraph"/>
              <w:ind w:left="127"/>
              <w:rPr>
                <w:sz w:val="18"/>
              </w:rPr>
            </w:pPr>
            <w:r>
              <w:rPr>
                <w:w w:val="125"/>
                <w:sz w:val="18"/>
              </w:rPr>
              <w:t>80</w:t>
            </w:r>
          </w:p>
        </w:tc>
        <w:tc>
          <w:tcPr>
            <w:tcW w:w="1001" w:type="dxa"/>
            <w:tcBorders>
              <w:right w:val="single" w:sz="8" w:space="0" w:color="F1B400"/>
            </w:tcBorders>
          </w:tcPr>
          <w:p>
            <w:pPr>
              <w:pStyle w:val="TableParagraph"/>
              <w:rPr>
                <w:rFonts w:ascii="Times New Roman"/>
                <w:sz w:val="24"/>
              </w:rPr>
            </w:pPr>
          </w:p>
        </w:tc>
        <w:tc>
          <w:tcPr>
            <w:tcW w:w="982" w:type="dxa"/>
            <w:tcBorders>
              <w:left w:val="single" w:sz="8" w:space="0" w:color="F1B400"/>
            </w:tcBorders>
          </w:tcPr>
          <w:p>
            <w:pPr>
              <w:pStyle w:val="TableParagraph"/>
              <w:spacing w:before="4"/>
              <w:rPr>
                <w:rFonts w:ascii="Stone Sans II ITC Std Bk"/>
                <w:b/>
                <w:sz w:val="32"/>
              </w:rPr>
            </w:pPr>
          </w:p>
          <w:p>
            <w:pPr>
              <w:pStyle w:val="TableParagraph"/>
              <w:ind w:left="127"/>
              <w:rPr>
                <w:sz w:val="18"/>
              </w:rPr>
            </w:pPr>
            <w:r>
              <w:rPr>
                <w:w w:val="125"/>
                <w:sz w:val="18"/>
              </w:rPr>
              <w:t>80</w:t>
            </w:r>
          </w:p>
        </w:tc>
        <w:tc>
          <w:tcPr>
            <w:tcW w:w="1026" w:type="dxa"/>
            <w:tcBorders>
              <w:right w:val="single" w:sz="8" w:space="0" w:color="F1B400"/>
            </w:tcBorders>
          </w:tcPr>
          <w:p>
            <w:pPr>
              <w:pStyle w:val="TableParagraph"/>
              <w:rPr>
                <w:rFonts w:ascii="Times New Roman"/>
                <w:sz w:val="24"/>
              </w:rPr>
            </w:pPr>
          </w:p>
        </w:tc>
        <w:tc>
          <w:tcPr>
            <w:tcW w:w="1056" w:type="dxa"/>
            <w:tcBorders>
              <w:left w:val="single" w:sz="8" w:space="0" w:color="F1B400"/>
            </w:tcBorders>
          </w:tcPr>
          <w:p>
            <w:pPr>
              <w:pStyle w:val="TableParagraph"/>
              <w:spacing w:before="4"/>
              <w:rPr>
                <w:rFonts w:ascii="Stone Sans II ITC Std Bk"/>
                <w:b/>
                <w:sz w:val="32"/>
              </w:rPr>
            </w:pPr>
          </w:p>
          <w:p>
            <w:pPr>
              <w:pStyle w:val="TableParagraph"/>
              <w:ind w:left="126"/>
              <w:rPr>
                <w:sz w:val="18"/>
              </w:rPr>
            </w:pPr>
            <w:r>
              <w:rPr>
                <w:w w:val="125"/>
                <w:sz w:val="18"/>
              </w:rPr>
              <w:t>80</w:t>
            </w:r>
          </w:p>
        </w:tc>
        <w:tc>
          <w:tcPr>
            <w:tcW w:w="1542" w:type="dxa"/>
            <w:tcBorders>
              <w:right w:val="single" w:sz="4" w:space="0" w:color="F1B400"/>
            </w:tcBorders>
          </w:tcPr>
          <w:p>
            <w:pPr>
              <w:pStyle w:val="TableParagraph"/>
              <w:rPr>
                <w:rFonts w:ascii="Times New Roman"/>
                <w:sz w:val="24"/>
              </w:rPr>
            </w:pPr>
          </w:p>
        </w:tc>
      </w:tr>
      <w:tr>
        <w:trPr>
          <w:trHeight w:val="687" w:hRule="atLeast"/>
        </w:trPr>
        <w:tc>
          <w:tcPr>
            <w:tcW w:w="1781" w:type="dxa"/>
            <w:vMerge/>
            <w:tcBorders>
              <w:top w:val="nil"/>
              <w:left w:val="single" w:sz="6" w:space="0" w:color="F1B400"/>
            </w:tcBorders>
          </w:tcPr>
          <w:p>
            <w:pPr>
              <w:rPr>
                <w:sz w:val="2"/>
                <w:szCs w:val="2"/>
              </w:rPr>
            </w:pPr>
          </w:p>
        </w:tc>
        <w:tc>
          <w:tcPr>
            <w:tcW w:w="888" w:type="dxa"/>
            <w:vMerge/>
            <w:tcBorders>
              <w:top w:val="nil"/>
            </w:tcBorders>
          </w:tcPr>
          <w:p>
            <w:pPr>
              <w:rPr>
                <w:sz w:val="2"/>
                <w:szCs w:val="2"/>
              </w:rPr>
            </w:pPr>
          </w:p>
        </w:tc>
        <w:tc>
          <w:tcPr>
            <w:tcW w:w="1152" w:type="dxa"/>
            <w:vMerge/>
            <w:tcBorders>
              <w:top w:val="nil"/>
              <w:right w:val="single" w:sz="12" w:space="0" w:color="F1B400"/>
            </w:tcBorders>
          </w:tcPr>
          <w:p>
            <w:pPr>
              <w:rPr>
                <w:sz w:val="2"/>
                <w:szCs w:val="2"/>
              </w:rPr>
            </w:pPr>
          </w:p>
        </w:tc>
        <w:tc>
          <w:tcPr>
            <w:tcW w:w="979" w:type="dxa"/>
            <w:tcBorders>
              <w:left w:val="single" w:sz="8" w:space="0" w:color="F1B400"/>
            </w:tcBorders>
          </w:tcPr>
          <w:p>
            <w:pPr>
              <w:pStyle w:val="TableParagraph"/>
              <w:rPr>
                <w:rFonts w:ascii="Times New Roman"/>
                <w:sz w:val="24"/>
              </w:rPr>
            </w:pPr>
          </w:p>
        </w:tc>
        <w:tc>
          <w:tcPr>
            <w:tcW w:w="1029" w:type="dxa"/>
            <w:tcBorders>
              <w:right w:val="single" w:sz="8" w:space="0" w:color="F1B400"/>
            </w:tcBorders>
          </w:tcPr>
          <w:p>
            <w:pPr>
              <w:pStyle w:val="TableParagraph"/>
              <w:spacing w:before="74"/>
              <w:ind w:left="238"/>
              <w:rPr>
                <w:sz w:val="18"/>
              </w:rPr>
            </w:pPr>
            <w:r>
              <w:rPr>
                <w:w w:val="125"/>
                <w:sz w:val="18"/>
              </w:rPr>
              <w:t>21,600</w:t>
            </w:r>
          </w:p>
        </w:tc>
        <w:tc>
          <w:tcPr>
            <w:tcW w:w="978" w:type="dxa"/>
            <w:tcBorders>
              <w:left w:val="single" w:sz="8" w:space="0" w:color="F1B400"/>
            </w:tcBorders>
          </w:tcPr>
          <w:p>
            <w:pPr>
              <w:pStyle w:val="TableParagraph"/>
              <w:rPr>
                <w:rFonts w:ascii="Times New Roman"/>
                <w:sz w:val="24"/>
              </w:rPr>
            </w:pPr>
          </w:p>
        </w:tc>
        <w:tc>
          <w:tcPr>
            <w:tcW w:w="1001" w:type="dxa"/>
            <w:tcBorders>
              <w:right w:val="single" w:sz="8" w:space="0" w:color="F1B400"/>
            </w:tcBorders>
          </w:tcPr>
          <w:p>
            <w:pPr>
              <w:pStyle w:val="TableParagraph"/>
              <w:spacing w:before="74"/>
              <w:ind w:left="179" w:right="114"/>
              <w:jc w:val="center"/>
              <w:rPr>
                <w:sz w:val="18"/>
              </w:rPr>
            </w:pPr>
            <w:r>
              <w:rPr>
                <w:w w:val="125"/>
                <w:sz w:val="18"/>
              </w:rPr>
              <w:t>21,360</w:t>
            </w:r>
          </w:p>
        </w:tc>
        <w:tc>
          <w:tcPr>
            <w:tcW w:w="982" w:type="dxa"/>
            <w:tcBorders>
              <w:left w:val="single" w:sz="8" w:space="0" w:color="F1B400"/>
            </w:tcBorders>
          </w:tcPr>
          <w:p>
            <w:pPr>
              <w:pStyle w:val="TableParagraph"/>
              <w:rPr>
                <w:rFonts w:ascii="Times New Roman"/>
                <w:sz w:val="24"/>
              </w:rPr>
            </w:pPr>
          </w:p>
        </w:tc>
        <w:tc>
          <w:tcPr>
            <w:tcW w:w="1026" w:type="dxa"/>
            <w:tcBorders>
              <w:right w:val="single" w:sz="8" w:space="0" w:color="F1B400"/>
            </w:tcBorders>
          </w:tcPr>
          <w:p>
            <w:pPr>
              <w:pStyle w:val="TableParagraph"/>
              <w:spacing w:before="74"/>
              <w:ind w:left="204" w:right="123"/>
              <w:jc w:val="center"/>
              <w:rPr>
                <w:sz w:val="18"/>
              </w:rPr>
            </w:pPr>
            <w:r>
              <w:rPr>
                <w:w w:val="125"/>
                <w:sz w:val="18"/>
              </w:rPr>
              <w:t>14,880</w:t>
            </w:r>
          </w:p>
        </w:tc>
        <w:tc>
          <w:tcPr>
            <w:tcW w:w="1056" w:type="dxa"/>
            <w:tcBorders>
              <w:left w:val="single" w:sz="8" w:space="0" w:color="F1B400"/>
            </w:tcBorders>
          </w:tcPr>
          <w:p>
            <w:pPr>
              <w:pStyle w:val="TableParagraph"/>
              <w:rPr>
                <w:rFonts w:ascii="Times New Roman"/>
                <w:sz w:val="24"/>
              </w:rPr>
            </w:pPr>
          </w:p>
        </w:tc>
        <w:tc>
          <w:tcPr>
            <w:tcW w:w="1542" w:type="dxa"/>
            <w:tcBorders>
              <w:right w:val="single" w:sz="4" w:space="0" w:color="F1B400"/>
            </w:tcBorders>
          </w:tcPr>
          <w:p>
            <w:pPr>
              <w:pStyle w:val="TableParagraph"/>
              <w:spacing w:before="74"/>
              <w:ind w:right="158"/>
              <w:jc w:val="right"/>
              <w:rPr>
                <w:sz w:val="18"/>
              </w:rPr>
            </w:pPr>
            <w:r>
              <w:rPr>
                <w:w w:val="125"/>
                <w:sz w:val="18"/>
              </w:rPr>
              <w:t>21,360</w:t>
            </w:r>
          </w:p>
        </w:tc>
      </w:tr>
    </w:tbl>
    <w:p>
      <w:pPr>
        <w:spacing w:after="0"/>
        <w:jc w:val="right"/>
        <w:rPr>
          <w:sz w:val="18"/>
        </w:rPr>
        <w:sectPr>
          <w:headerReference w:type="default" r:id="rId204"/>
          <w:footerReference w:type="default" r:id="rId205"/>
          <w:pgSz w:w="16840" w:h="11910" w:orient="landscape"/>
          <w:pgMar w:header="0" w:footer="0" w:top="0" w:bottom="0" w:left="860" w:right="1120"/>
        </w:sectPr>
      </w:pPr>
    </w:p>
    <w:p>
      <w:pPr>
        <w:pStyle w:val="BodyText"/>
        <w:rPr>
          <w:rFonts w:ascii="Stone Sans II ITC Std Bk"/>
          <w:b/>
        </w:rPr>
      </w:pPr>
      <w:r>
        <w:rPr/>
        <w:drawing>
          <wp:anchor distT="0" distB="0" distL="0" distR="0" allowOverlap="1" layoutInCell="1" locked="0" behindDoc="1" simplePos="0" relativeHeight="235878400">
            <wp:simplePos x="0" y="0"/>
            <wp:positionH relativeFrom="page">
              <wp:posOffset>0</wp:posOffset>
            </wp:positionH>
            <wp:positionV relativeFrom="page">
              <wp:posOffset>0</wp:posOffset>
            </wp:positionV>
            <wp:extent cx="10692003" cy="594067"/>
            <wp:effectExtent l="0" t="0" r="0" b="0"/>
            <wp:wrapNone/>
            <wp:docPr id="129" name="image56.png"/>
            <wp:cNvGraphicFramePr>
              <a:graphicFrameLocks noChangeAspect="1"/>
            </wp:cNvGraphicFramePr>
            <a:graphic>
              <a:graphicData uri="http://schemas.openxmlformats.org/drawingml/2006/picture">
                <pic:pic>
                  <pic:nvPicPr>
                    <pic:cNvPr id="130" name="image56.png"/>
                    <pic:cNvPicPr/>
                  </pic:nvPicPr>
                  <pic:blipFill>
                    <a:blip r:embed="rId209" cstate="print"/>
                    <a:stretch>
                      <a:fillRect/>
                    </a:stretch>
                  </pic:blipFill>
                  <pic:spPr>
                    <a:xfrm>
                      <a:off x="0" y="0"/>
                      <a:ext cx="10692003" cy="594067"/>
                    </a:xfrm>
                    <a:prstGeom prst="rect">
                      <a:avLst/>
                    </a:prstGeom>
                  </pic:spPr>
                </pic:pic>
              </a:graphicData>
            </a:graphic>
          </wp:anchor>
        </w:drawing>
      </w:r>
      <w:r>
        <w:rPr/>
        <w:pict>
          <v:shape style="position:absolute;margin-left:793.577698pt;margin-top:61.362202pt;width:18.150pt;height:106.15pt;mso-position-horizontal-relative:page;mso-position-vertical-relative:page;z-index:251846656" type="#_x0000_t202" filled="false" stroked="false">
            <v:textbox inset="0,0,0,0" style="layout-flow:vertical">
              <w:txbxContent>
                <w:p>
                  <w:pPr>
                    <w:spacing w:before="28"/>
                    <w:ind w:left="20" w:right="0" w:firstLine="0"/>
                    <w:jc w:val="left"/>
                    <w:rPr>
                      <w:sz w:val="26"/>
                    </w:rPr>
                  </w:pPr>
                  <w:r>
                    <w:rPr>
                      <w:color w:val="7EAABF"/>
                      <w:w w:val="120"/>
                      <w:sz w:val="26"/>
                    </w:rPr>
                    <w:t>Mission Council</w:t>
                  </w:r>
                </w:p>
              </w:txbxContent>
            </v:textbox>
            <w10:wrap type="none"/>
          </v:shape>
        </w:pict>
      </w:r>
      <w:r>
        <w:rPr/>
        <w:pict>
          <v:shape style="position:absolute;margin-left:26.231701pt;margin-top:61.362202pt;width:17.150pt;height:177.25pt;mso-position-horizontal-relative:page;mso-position-vertical-relative:page;z-index:251847680" type="#_x0000_t202" filled="false" stroked="false">
            <v:textbox inset="0,0,0,0" style="layout-flow:vertical">
              <w:txbxContent>
                <w:p>
                  <w:pPr>
                    <w:spacing w:before="16"/>
                    <w:ind w:left="20" w:right="0" w:firstLine="0"/>
                    <w:jc w:val="left"/>
                    <w:rPr>
                      <w:sz w:val="23"/>
                    </w:rPr>
                  </w:pPr>
                  <w:r>
                    <w:rPr>
                      <w:rFonts w:ascii="Stone Sans II ITC Std X Bd" w:hAnsi="Stone Sans II ITC Std X Bd"/>
                      <w:b/>
                      <w:w w:val="110"/>
                      <w:sz w:val="24"/>
                    </w:rPr>
                    <w:t>70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w:t>
                  </w:r>
                </w:p>
              </w:txbxContent>
            </v:textbox>
            <w10:wrap type="none"/>
          </v:shape>
        </w:pict>
      </w:r>
      <w:r>
        <w:rPr/>
        <w:pict>
          <v:shape style="position:absolute;margin-left:26.4783pt;margin-top:243.880081pt;width:16.3500pt;height:147pt;mso-position-horizontal-relative:page;mso-position-vertical-relative:page;z-index:251848704" type="#_x0000_t202" filled="false" stroked="false">
            <v:textbox inset="0,0,0,0" style="layout-flow:vertical">
              <w:txbxContent>
                <w:p>
                  <w:pPr>
                    <w:numPr>
                      <w:ilvl w:val="0"/>
                      <w:numId w:val="54"/>
                    </w:numPr>
                    <w:tabs>
                      <w:tab w:pos="269" w:val="left" w:leader="none"/>
                    </w:tabs>
                    <w:spacing w:before="18"/>
                    <w:ind w:left="268" w:right="0" w:hanging="249"/>
                    <w:jc w:val="left"/>
                    <w:rPr>
                      <w:sz w:val="23"/>
                    </w:rPr>
                  </w:pPr>
                  <w:r>
                    <w:rPr>
                      <w:color w:val="7EAABF"/>
                      <w:spacing w:val="4"/>
                      <w:w w:val="115"/>
                      <w:sz w:val="23"/>
                    </w:rPr>
                    <w:t>General </w:t>
                  </w:r>
                  <w:r>
                    <w:rPr>
                      <w:color w:val="7EAABF"/>
                      <w:spacing w:val="5"/>
                      <w:w w:val="115"/>
                      <w:sz w:val="23"/>
                    </w:rPr>
                    <w:t>Assembly</w:t>
                  </w:r>
                  <w:r>
                    <w:rPr>
                      <w:color w:val="7EAABF"/>
                      <w:spacing w:val="24"/>
                      <w:w w:val="115"/>
                      <w:sz w:val="23"/>
                    </w:rPr>
                    <w:t> </w:t>
                  </w:r>
                  <w:r>
                    <w:rPr>
                      <w:color w:val="7EAABF"/>
                      <w:spacing w:val="6"/>
                      <w:w w:val="115"/>
                      <w:sz w:val="23"/>
                    </w:rPr>
                    <w:t>2018</w:t>
                  </w:r>
                </w:p>
              </w:txbxContent>
            </v:textbox>
            <w10:wrap type="none"/>
          </v:shape>
        </w:pict>
      </w:r>
      <w:r>
        <w:rPr/>
        <w:pict>
          <v:shape style="position:absolute;margin-left:326.787964pt;margin-top:23.617901pt;width:465.25pt;height:19.8pt;mso-position-horizontal-relative:page;mso-position-vertical-relative:page;z-index:251849728;rotation:180" type="#_x0000_t136" fillcolor="#000000" stroked="f">
            <o:extrusion v:ext="view" autorotationcenter="t"/>
            <v:textpath style="font-family:&quot;Calibri&quot;;font-size:19pt;v-text-kern:t;mso-text-shadow:auto" string="General Assembly task group – Appendix two"/>
            <w10:wrap type="none"/>
          </v:shape>
        </w:pict>
      </w:r>
    </w:p>
    <w:p>
      <w:pPr>
        <w:pStyle w:val="BodyText"/>
        <w:rPr>
          <w:rFonts w:ascii="Stone Sans II ITC Std Bk"/>
          <w:b/>
        </w:rPr>
      </w:pPr>
    </w:p>
    <w:p>
      <w:pPr>
        <w:pStyle w:val="BodyText"/>
        <w:rPr>
          <w:rFonts w:ascii="Stone Sans II ITC Std Bk"/>
          <w:b/>
        </w:rPr>
      </w:pPr>
    </w:p>
    <w:p>
      <w:pPr>
        <w:pStyle w:val="BodyText"/>
        <w:rPr>
          <w:rFonts w:ascii="Stone Sans II ITC Std Bk"/>
          <w:b/>
        </w:rPr>
      </w:pPr>
    </w:p>
    <w:p>
      <w:pPr>
        <w:pStyle w:val="BodyText"/>
        <w:spacing w:before="6"/>
        <w:rPr>
          <w:rFonts w:ascii="Stone Sans II ITC Std Bk"/>
          <w:b/>
          <w:sz w:val="11"/>
        </w:rPr>
      </w:pPr>
    </w:p>
    <w:tbl>
      <w:tblPr>
        <w:tblW w:w="0" w:type="auto"/>
        <w:jc w:val="left"/>
        <w:tblInd w:w="2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gridCol w:w="857"/>
        <w:gridCol w:w="1103"/>
        <w:gridCol w:w="982"/>
        <w:gridCol w:w="1024"/>
        <w:gridCol w:w="963"/>
        <w:gridCol w:w="1014"/>
        <w:gridCol w:w="980"/>
        <w:gridCol w:w="1024"/>
        <w:gridCol w:w="1530"/>
        <w:gridCol w:w="1065"/>
      </w:tblGrid>
      <w:tr>
        <w:trPr>
          <w:trHeight w:val="758" w:hRule="atLeast"/>
        </w:trPr>
        <w:tc>
          <w:tcPr>
            <w:tcW w:w="1860" w:type="dxa"/>
            <w:vMerge w:val="restart"/>
            <w:tcBorders>
              <w:left w:val="single" w:sz="6" w:space="0" w:color="F1B400"/>
              <w:bottom w:val="single" w:sz="4" w:space="0" w:color="F1B400"/>
            </w:tcBorders>
          </w:tcPr>
          <w:p>
            <w:pPr>
              <w:pStyle w:val="TableParagraph"/>
              <w:spacing w:before="100"/>
              <w:ind w:left="110"/>
              <w:rPr>
                <w:rFonts w:ascii="Stone Sans II ITC Std Bk"/>
                <w:b/>
                <w:sz w:val="18"/>
              </w:rPr>
            </w:pPr>
            <w:r>
              <w:rPr>
                <w:rFonts w:ascii="Stone Sans II ITC Std Bk"/>
                <w:b/>
                <w:w w:val="110"/>
                <w:sz w:val="18"/>
              </w:rPr>
              <w:t>Venue costs</w:t>
            </w:r>
          </w:p>
          <w:p>
            <w:pPr>
              <w:pStyle w:val="TableParagraph"/>
              <w:spacing w:line="396" w:lineRule="auto" w:before="131"/>
              <w:ind w:left="729" w:right="164"/>
              <w:rPr>
                <w:sz w:val="18"/>
              </w:rPr>
            </w:pPr>
            <w:r>
              <w:rPr>
                <w:w w:val="120"/>
                <w:sz w:val="18"/>
              </w:rPr>
              <w:t>Hall hire AV</w:t>
            </w:r>
          </w:p>
          <w:p>
            <w:pPr>
              <w:pStyle w:val="TableParagraph"/>
              <w:spacing w:before="1"/>
              <w:ind w:left="729"/>
              <w:rPr>
                <w:sz w:val="18"/>
              </w:rPr>
            </w:pPr>
            <w:r>
              <w:rPr>
                <w:w w:val="120"/>
                <w:sz w:val="18"/>
              </w:rPr>
              <w:t>Transport</w:t>
            </w:r>
          </w:p>
          <w:p>
            <w:pPr>
              <w:pStyle w:val="TableParagraph"/>
              <w:rPr>
                <w:rFonts w:ascii="Stone Sans II ITC Std Bk"/>
                <w:b/>
                <w:sz w:val="22"/>
              </w:rPr>
            </w:pPr>
          </w:p>
          <w:p>
            <w:pPr>
              <w:pStyle w:val="TableParagraph"/>
              <w:spacing w:before="198"/>
              <w:ind w:left="111"/>
              <w:rPr>
                <w:rFonts w:ascii="Stone Sans II ITC Std Bk"/>
                <w:b/>
                <w:sz w:val="18"/>
              </w:rPr>
            </w:pPr>
            <w:r>
              <w:rPr>
                <w:rFonts w:ascii="Stone Sans II ITC Std Bk"/>
                <w:b/>
                <w:w w:val="110"/>
                <w:sz w:val="18"/>
              </w:rPr>
              <w:t>Program costs</w:t>
            </w:r>
          </w:p>
          <w:p>
            <w:pPr>
              <w:pStyle w:val="TableParagraph"/>
              <w:spacing w:before="131"/>
              <w:ind w:left="729"/>
              <w:rPr>
                <w:sz w:val="18"/>
              </w:rPr>
            </w:pPr>
            <w:r>
              <w:rPr>
                <w:w w:val="120"/>
                <w:sz w:val="18"/>
              </w:rPr>
              <w:t>Main</w:t>
            </w:r>
          </w:p>
          <w:p>
            <w:pPr>
              <w:pStyle w:val="TableParagraph"/>
              <w:spacing w:before="143"/>
              <w:ind w:left="729" w:right="164"/>
              <w:rPr>
                <w:sz w:val="18"/>
              </w:rPr>
            </w:pPr>
            <w:r>
              <w:rPr>
                <w:w w:val="120"/>
                <w:sz w:val="18"/>
              </w:rPr>
              <w:t>What do you think</w:t>
            </w:r>
          </w:p>
          <w:p>
            <w:pPr>
              <w:pStyle w:val="TableParagraph"/>
              <w:rPr>
                <w:rFonts w:ascii="Stone Sans II ITC Std Bk"/>
                <w:b/>
                <w:sz w:val="22"/>
              </w:rPr>
            </w:pPr>
          </w:p>
          <w:p>
            <w:pPr>
              <w:pStyle w:val="TableParagraph"/>
              <w:spacing w:before="8"/>
              <w:rPr>
                <w:rFonts w:ascii="Stone Sans II ITC Std Bk"/>
                <w:b/>
                <w:sz w:val="14"/>
              </w:rPr>
            </w:pPr>
          </w:p>
          <w:p>
            <w:pPr>
              <w:pStyle w:val="TableParagraph"/>
              <w:spacing w:before="1"/>
              <w:ind w:left="111"/>
              <w:rPr>
                <w:rFonts w:ascii="Stone Sans II ITC Std Bk"/>
                <w:b/>
                <w:sz w:val="18"/>
              </w:rPr>
            </w:pPr>
            <w:r>
              <w:rPr>
                <w:rFonts w:ascii="Stone Sans II ITC Std Bk"/>
                <w:b/>
                <w:w w:val="110"/>
                <w:sz w:val="18"/>
              </w:rPr>
              <w:t>Set up costs</w:t>
            </w:r>
          </w:p>
          <w:p>
            <w:pPr>
              <w:pStyle w:val="TableParagraph"/>
              <w:spacing w:line="396" w:lineRule="auto" w:before="131"/>
              <w:ind w:left="729" w:right="49"/>
              <w:rPr>
                <w:sz w:val="18"/>
              </w:rPr>
            </w:pPr>
            <w:r>
              <w:rPr>
                <w:w w:val="120"/>
                <w:sz w:val="18"/>
              </w:rPr>
              <w:t>Printing Staff Committee Site visits</w:t>
            </w:r>
          </w:p>
          <w:p>
            <w:pPr>
              <w:pStyle w:val="TableParagraph"/>
              <w:spacing w:before="10"/>
              <w:rPr>
                <w:rFonts w:ascii="Stone Sans II ITC Std Bk"/>
                <w:b/>
                <w:sz w:val="17"/>
              </w:rPr>
            </w:pPr>
          </w:p>
          <w:p>
            <w:pPr>
              <w:pStyle w:val="TableParagraph"/>
              <w:spacing w:line="720" w:lineRule="atLeast"/>
              <w:ind w:left="110"/>
              <w:rPr>
                <w:rFonts w:ascii="Stone Sans II ITC Std Bk"/>
                <w:b/>
                <w:sz w:val="18"/>
              </w:rPr>
            </w:pPr>
            <w:r>
              <w:rPr>
                <w:rFonts w:ascii="Stone Sans II ITC Std Bk"/>
                <w:b/>
                <w:w w:val="110"/>
                <w:sz w:val="18"/>
              </w:rPr>
              <w:t>Contingency Donations</w:t>
            </w:r>
          </w:p>
        </w:tc>
        <w:tc>
          <w:tcPr>
            <w:tcW w:w="857" w:type="dxa"/>
            <w:vMerge w:val="restart"/>
            <w:tcBorders>
              <w:bottom w:val="single" w:sz="4" w:space="0" w:color="F1B400"/>
            </w:tcBorders>
          </w:tcPr>
          <w:p>
            <w:pPr>
              <w:pStyle w:val="TableParagraph"/>
              <w:rPr>
                <w:rFonts w:ascii="Stone Sans II ITC Std Bk"/>
                <w:b/>
                <w:sz w:val="22"/>
              </w:rPr>
            </w:pPr>
          </w:p>
          <w:p>
            <w:pPr>
              <w:pStyle w:val="TableParagraph"/>
              <w:spacing w:before="177"/>
              <w:ind w:left="117"/>
              <w:rPr>
                <w:sz w:val="18"/>
              </w:rPr>
            </w:pPr>
            <w:r>
              <w:rPr>
                <w:spacing w:val="2"/>
                <w:w w:val="125"/>
                <w:sz w:val="18"/>
              </w:rPr>
              <w:t>20,000</w:t>
            </w:r>
          </w:p>
          <w:p>
            <w:pPr>
              <w:pStyle w:val="TableParagraph"/>
              <w:spacing w:before="143"/>
              <w:ind w:left="118"/>
              <w:rPr>
                <w:sz w:val="18"/>
              </w:rPr>
            </w:pPr>
            <w:r>
              <w:rPr>
                <w:spacing w:val="2"/>
                <w:w w:val="125"/>
                <w:sz w:val="18"/>
              </w:rPr>
              <w:t>36,000</w:t>
            </w:r>
          </w:p>
          <w:p>
            <w:pPr>
              <w:pStyle w:val="TableParagraph"/>
              <w:spacing w:before="144"/>
              <w:ind w:left="119"/>
              <w:rPr>
                <w:sz w:val="18"/>
              </w:rPr>
            </w:pPr>
            <w:r>
              <w:rPr>
                <w:spacing w:val="3"/>
                <w:w w:val="125"/>
                <w:sz w:val="18"/>
              </w:rPr>
              <w:t>6,000</w:t>
            </w:r>
          </w:p>
          <w:p>
            <w:pPr>
              <w:pStyle w:val="TableParagraph"/>
              <w:rPr>
                <w:rFonts w:ascii="Stone Sans II ITC Std Bk"/>
                <w:b/>
                <w:sz w:val="22"/>
              </w:rPr>
            </w:pPr>
          </w:p>
          <w:p>
            <w:pPr>
              <w:pStyle w:val="TableParagraph"/>
              <w:rPr>
                <w:rFonts w:ascii="Stone Sans II ITC Std Bk"/>
                <w:b/>
                <w:sz w:val="22"/>
              </w:rPr>
            </w:pPr>
          </w:p>
          <w:p>
            <w:pPr>
              <w:pStyle w:val="TableParagraph"/>
              <w:spacing w:before="4"/>
              <w:rPr>
                <w:rFonts w:ascii="Stone Sans II ITC Std Bk"/>
                <w:b/>
                <w:sz w:val="20"/>
              </w:rPr>
            </w:pPr>
          </w:p>
          <w:p>
            <w:pPr>
              <w:pStyle w:val="TableParagraph"/>
              <w:ind w:left="119"/>
              <w:rPr>
                <w:sz w:val="18"/>
              </w:rPr>
            </w:pPr>
            <w:r>
              <w:rPr>
                <w:spacing w:val="3"/>
                <w:w w:val="125"/>
                <w:sz w:val="18"/>
              </w:rPr>
              <w:t>6,000</w:t>
            </w:r>
          </w:p>
          <w:p>
            <w:pPr>
              <w:pStyle w:val="TableParagraph"/>
              <w:spacing w:before="11"/>
              <w:rPr>
                <w:rFonts w:ascii="Stone Sans II ITC Std Bk"/>
                <w:b/>
                <w:sz w:val="26"/>
              </w:rPr>
            </w:pPr>
          </w:p>
          <w:p>
            <w:pPr>
              <w:pStyle w:val="TableParagraph"/>
              <w:spacing w:before="1"/>
              <w:ind w:left="119"/>
              <w:rPr>
                <w:sz w:val="18"/>
              </w:rPr>
            </w:pPr>
            <w:r>
              <w:rPr>
                <w:spacing w:val="3"/>
                <w:w w:val="125"/>
                <w:sz w:val="18"/>
              </w:rPr>
              <w:t>3,000</w:t>
            </w:r>
          </w:p>
          <w:p>
            <w:pPr>
              <w:pStyle w:val="TableParagraph"/>
              <w:rPr>
                <w:rFonts w:ascii="Stone Sans II ITC Std Bk"/>
                <w:b/>
                <w:sz w:val="22"/>
              </w:rPr>
            </w:pPr>
          </w:p>
          <w:p>
            <w:pPr>
              <w:pStyle w:val="TableParagraph"/>
              <w:rPr>
                <w:rFonts w:ascii="Stone Sans II ITC Std Bk"/>
                <w:b/>
                <w:sz w:val="22"/>
              </w:rPr>
            </w:pPr>
          </w:p>
          <w:p>
            <w:pPr>
              <w:pStyle w:val="TableParagraph"/>
              <w:spacing w:before="4"/>
              <w:rPr>
                <w:rFonts w:ascii="Stone Sans II ITC Std Bk"/>
                <w:b/>
                <w:sz w:val="20"/>
              </w:rPr>
            </w:pPr>
          </w:p>
          <w:p>
            <w:pPr>
              <w:pStyle w:val="TableParagraph"/>
              <w:ind w:left="119"/>
              <w:rPr>
                <w:sz w:val="18"/>
              </w:rPr>
            </w:pPr>
            <w:r>
              <w:rPr>
                <w:w w:val="125"/>
                <w:sz w:val="18"/>
              </w:rPr>
              <w:t>12,000</w:t>
            </w:r>
          </w:p>
          <w:p>
            <w:pPr>
              <w:pStyle w:val="TableParagraph"/>
              <w:spacing w:before="143"/>
              <w:ind w:left="119"/>
              <w:rPr>
                <w:sz w:val="18"/>
              </w:rPr>
            </w:pPr>
            <w:r>
              <w:rPr>
                <w:w w:val="125"/>
                <w:sz w:val="18"/>
              </w:rPr>
              <w:t>12,000</w:t>
            </w:r>
          </w:p>
          <w:p>
            <w:pPr>
              <w:pStyle w:val="TableParagraph"/>
              <w:spacing w:before="143"/>
              <w:ind w:left="119"/>
              <w:rPr>
                <w:sz w:val="18"/>
              </w:rPr>
            </w:pPr>
            <w:r>
              <w:rPr>
                <w:spacing w:val="2"/>
                <w:w w:val="125"/>
                <w:sz w:val="18"/>
              </w:rPr>
              <w:t>5,000</w:t>
            </w:r>
          </w:p>
          <w:p>
            <w:pPr>
              <w:pStyle w:val="TableParagraph"/>
              <w:spacing w:before="144"/>
              <w:ind w:left="119"/>
              <w:rPr>
                <w:sz w:val="18"/>
              </w:rPr>
            </w:pPr>
            <w:r>
              <w:rPr>
                <w:spacing w:val="2"/>
                <w:w w:val="125"/>
                <w:sz w:val="18"/>
              </w:rPr>
              <w:t>5,000</w:t>
            </w:r>
          </w:p>
          <w:p>
            <w:pPr>
              <w:pStyle w:val="TableParagraph"/>
              <w:rPr>
                <w:rFonts w:ascii="Stone Sans II ITC Std Bk"/>
                <w:b/>
                <w:sz w:val="22"/>
              </w:rPr>
            </w:pPr>
          </w:p>
          <w:p>
            <w:pPr>
              <w:pStyle w:val="TableParagraph"/>
              <w:rPr>
                <w:rFonts w:ascii="Stone Sans II ITC Std Bk"/>
                <w:b/>
                <w:sz w:val="22"/>
              </w:rPr>
            </w:pPr>
          </w:p>
          <w:p>
            <w:pPr>
              <w:pStyle w:val="TableParagraph"/>
              <w:spacing w:before="4"/>
              <w:rPr>
                <w:rFonts w:ascii="Stone Sans II ITC Std Bk"/>
                <w:b/>
                <w:sz w:val="20"/>
              </w:rPr>
            </w:pPr>
          </w:p>
          <w:p>
            <w:pPr>
              <w:pStyle w:val="TableParagraph"/>
              <w:ind w:left="119"/>
              <w:rPr>
                <w:sz w:val="18"/>
              </w:rPr>
            </w:pPr>
            <w:r>
              <w:rPr>
                <w:w w:val="125"/>
                <w:sz w:val="18"/>
              </w:rPr>
              <w:t>10,000</w:t>
            </w:r>
          </w:p>
        </w:tc>
        <w:tc>
          <w:tcPr>
            <w:tcW w:w="1103" w:type="dxa"/>
            <w:vMerge w:val="restart"/>
            <w:tcBorders>
              <w:bottom w:val="single" w:sz="4" w:space="0" w:color="F1B400"/>
              <w:right w:val="single" w:sz="8" w:space="0" w:color="F1B400"/>
            </w:tcBorders>
          </w:tcPr>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9"/>
              <w:rPr>
                <w:rFonts w:ascii="Stone Sans II ITC Std Bk"/>
                <w:b/>
                <w:sz w:val="27"/>
              </w:rPr>
            </w:pPr>
          </w:p>
          <w:p>
            <w:pPr>
              <w:pStyle w:val="TableParagraph"/>
              <w:ind w:right="144"/>
              <w:jc w:val="right"/>
              <w:rPr>
                <w:sz w:val="18"/>
              </w:rPr>
            </w:pPr>
            <w:r>
              <w:rPr>
                <w:w w:val="125"/>
                <w:sz w:val="18"/>
              </w:rPr>
              <w:t>62,000</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5"/>
              <w:rPr>
                <w:rFonts w:ascii="Stone Sans II ITC Std Bk"/>
                <w:b/>
                <w:sz w:val="19"/>
              </w:rPr>
            </w:pPr>
          </w:p>
          <w:p>
            <w:pPr>
              <w:pStyle w:val="TableParagraph"/>
              <w:spacing w:before="1"/>
              <w:ind w:right="144"/>
              <w:jc w:val="right"/>
              <w:rPr>
                <w:sz w:val="18"/>
              </w:rPr>
            </w:pPr>
            <w:r>
              <w:rPr>
                <w:w w:val="125"/>
                <w:sz w:val="18"/>
              </w:rPr>
              <w:t>9,000</w:t>
            </w: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rPr>
                <w:rFonts w:ascii="Stone Sans II ITC Std Bk"/>
                <w:b/>
                <w:sz w:val="22"/>
              </w:rPr>
            </w:pPr>
          </w:p>
          <w:p>
            <w:pPr>
              <w:pStyle w:val="TableParagraph"/>
              <w:spacing w:before="174"/>
              <w:ind w:right="144"/>
              <w:jc w:val="right"/>
              <w:rPr>
                <w:sz w:val="18"/>
              </w:rPr>
            </w:pPr>
            <w:r>
              <w:rPr>
                <w:spacing w:val="2"/>
                <w:w w:val="125"/>
                <w:sz w:val="18"/>
              </w:rPr>
              <w:t>34,000</w:t>
            </w:r>
          </w:p>
          <w:p>
            <w:pPr>
              <w:pStyle w:val="TableParagraph"/>
              <w:rPr>
                <w:rFonts w:ascii="Stone Sans II ITC Std Bk"/>
                <w:b/>
                <w:sz w:val="22"/>
              </w:rPr>
            </w:pPr>
          </w:p>
          <w:p>
            <w:pPr>
              <w:pStyle w:val="TableParagraph"/>
              <w:rPr>
                <w:rFonts w:ascii="Stone Sans II ITC Std Bk"/>
                <w:b/>
                <w:sz w:val="22"/>
              </w:rPr>
            </w:pPr>
          </w:p>
          <w:p>
            <w:pPr>
              <w:pStyle w:val="TableParagraph"/>
              <w:spacing w:before="4"/>
              <w:rPr>
                <w:rFonts w:ascii="Stone Sans II ITC Std Bk"/>
                <w:b/>
                <w:sz w:val="20"/>
              </w:rPr>
            </w:pPr>
          </w:p>
          <w:p>
            <w:pPr>
              <w:pStyle w:val="TableParagraph"/>
              <w:ind w:right="144"/>
              <w:jc w:val="right"/>
              <w:rPr>
                <w:sz w:val="18"/>
              </w:rPr>
            </w:pPr>
            <w:r>
              <w:rPr>
                <w:w w:val="125"/>
                <w:sz w:val="18"/>
              </w:rPr>
              <w:t>10,000</w:t>
            </w:r>
          </w:p>
        </w:tc>
        <w:tc>
          <w:tcPr>
            <w:tcW w:w="982" w:type="dxa"/>
            <w:tcBorders>
              <w:left w:val="single" w:sz="8" w:space="0" w:color="F1B400"/>
            </w:tcBorders>
          </w:tcPr>
          <w:p>
            <w:pPr>
              <w:pStyle w:val="TableParagraph"/>
              <w:rPr>
                <w:rFonts w:ascii="Stone Sans II ITC Std Bk"/>
                <w:b/>
                <w:sz w:val="22"/>
              </w:rPr>
            </w:pPr>
          </w:p>
          <w:p>
            <w:pPr>
              <w:pStyle w:val="TableParagraph"/>
              <w:spacing w:before="177"/>
              <w:ind w:left="76"/>
              <w:rPr>
                <w:sz w:val="18"/>
              </w:rPr>
            </w:pPr>
            <w:r>
              <w:rPr>
                <w:w w:val="125"/>
                <w:sz w:val="18"/>
              </w:rPr>
              <w:t>22,000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rPr>
                <w:rFonts w:ascii="Stone Sans II ITC Std Bk"/>
                <w:b/>
                <w:sz w:val="22"/>
              </w:rPr>
            </w:pPr>
          </w:p>
          <w:p>
            <w:pPr>
              <w:pStyle w:val="TableParagraph"/>
              <w:spacing w:before="177"/>
              <w:ind w:left="129"/>
              <w:rPr>
                <w:sz w:val="18"/>
              </w:rPr>
            </w:pPr>
            <w:r>
              <w:rPr>
                <w:w w:val="125"/>
                <w:sz w:val="18"/>
              </w:rPr>
              <w:t>12,500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rPr>
                <w:rFonts w:ascii="Stone Sans II ITC Std Bk"/>
                <w:b/>
                <w:sz w:val="22"/>
              </w:rPr>
            </w:pPr>
          </w:p>
          <w:p>
            <w:pPr>
              <w:pStyle w:val="TableParagraph"/>
              <w:spacing w:before="177"/>
              <w:ind w:left="132"/>
              <w:rPr>
                <w:sz w:val="18"/>
              </w:rPr>
            </w:pPr>
            <w:r>
              <w:rPr>
                <w:w w:val="125"/>
                <w:sz w:val="18"/>
              </w:rPr>
              <w:t>15,000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rPr>
                <w:rFonts w:ascii="Stone Sans II ITC Std Bk"/>
                <w:b/>
                <w:sz w:val="22"/>
              </w:rPr>
            </w:pPr>
          </w:p>
          <w:p>
            <w:pPr>
              <w:pStyle w:val="TableParagraph"/>
              <w:spacing w:before="177"/>
              <w:ind w:left="135"/>
              <w:rPr>
                <w:sz w:val="18"/>
              </w:rPr>
            </w:pPr>
            <w:r>
              <w:rPr>
                <w:w w:val="125"/>
                <w:sz w:val="18"/>
              </w:rPr>
              <w:t>Included</w:t>
            </w:r>
          </w:p>
        </w:tc>
        <w:tc>
          <w:tcPr>
            <w:tcW w:w="1065" w:type="dxa"/>
            <w:tcBorders>
              <w:right w:val="single" w:sz="4" w:space="0" w:color="F1B400"/>
            </w:tcBorders>
          </w:tcPr>
          <w:p>
            <w:pPr>
              <w:pStyle w:val="TableParagraph"/>
              <w:rPr>
                <w:rFonts w:ascii="Times New Roman"/>
                <w:sz w:val="20"/>
              </w:rPr>
            </w:pPr>
          </w:p>
        </w:tc>
      </w:tr>
      <w:tr>
        <w:trPr>
          <w:trHeight w:val="35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69"/>
              <w:ind w:left="76"/>
              <w:rPr>
                <w:sz w:val="18"/>
              </w:rPr>
            </w:pPr>
            <w:r>
              <w:rPr>
                <w:w w:val="125"/>
                <w:sz w:val="18"/>
              </w:rPr>
              <w:t>25,000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69"/>
              <w:ind w:left="129"/>
              <w:rPr>
                <w:sz w:val="18"/>
              </w:rPr>
            </w:pPr>
            <w:r>
              <w:rPr>
                <w:w w:val="125"/>
                <w:sz w:val="18"/>
              </w:rPr>
              <w:t>15,000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69"/>
              <w:ind w:left="132"/>
              <w:rPr>
                <w:sz w:val="18"/>
              </w:rPr>
            </w:pPr>
            <w:r>
              <w:rPr>
                <w:w w:val="125"/>
                <w:sz w:val="18"/>
              </w:rPr>
              <w:t>15,000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69"/>
              <w:ind w:left="84"/>
              <w:rPr>
                <w:sz w:val="18"/>
              </w:rPr>
            </w:pPr>
            <w:r>
              <w:rPr>
                <w:w w:val="115"/>
                <w:sz w:val="18"/>
              </w:rPr>
              <w:t>Free</w:t>
            </w:r>
          </w:p>
        </w:tc>
        <w:tc>
          <w:tcPr>
            <w:tcW w:w="1065" w:type="dxa"/>
            <w:tcBorders>
              <w:right w:val="single" w:sz="4" w:space="0" w:color="F1B400"/>
            </w:tcBorders>
          </w:tcPr>
          <w:p>
            <w:pPr>
              <w:pStyle w:val="TableParagraph"/>
              <w:rPr>
                <w:rFonts w:ascii="Times New Roman"/>
                <w:sz w:val="20"/>
              </w:rPr>
            </w:pPr>
          </w:p>
        </w:tc>
      </w:tr>
      <w:tr>
        <w:trPr>
          <w:trHeight w:val="35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69"/>
              <w:ind w:left="128"/>
              <w:rPr>
                <w:sz w:val="18"/>
              </w:rPr>
            </w:pPr>
            <w:r>
              <w:rPr>
                <w:w w:val="125"/>
                <w:sz w:val="18"/>
              </w:rPr>
              <w:t>4,000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69"/>
              <w:ind w:left="129"/>
              <w:rPr>
                <w:sz w:val="18"/>
              </w:rPr>
            </w:pPr>
            <w:r>
              <w:rPr>
                <w:w w:val="125"/>
                <w:sz w:val="18"/>
              </w:rPr>
              <w:t>3,000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69"/>
              <w:ind w:left="132"/>
              <w:rPr>
                <w:sz w:val="18"/>
              </w:rPr>
            </w:pPr>
            <w:r>
              <w:rPr>
                <w:w w:val="125"/>
                <w:sz w:val="18"/>
              </w:rPr>
              <w:t>3,000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69"/>
              <w:ind w:left="135"/>
              <w:rPr>
                <w:sz w:val="18"/>
              </w:rPr>
            </w:pPr>
            <w:r>
              <w:rPr>
                <w:w w:val="125"/>
                <w:sz w:val="18"/>
              </w:rPr>
              <w:t>1,500</w:t>
            </w:r>
          </w:p>
        </w:tc>
        <w:tc>
          <w:tcPr>
            <w:tcW w:w="1065" w:type="dxa"/>
            <w:tcBorders>
              <w:right w:val="single" w:sz="4" w:space="0" w:color="F1B400"/>
            </w:tcBorders>
          </w:tcPr>
          <w:p>
            <w:pPr>
              <w:pStyle w:val="TableParagraph"/>
              <w:rPr>
                <w:rFonts w:ascii="Times New Roman"/>
                <w:sz w:val="20"/>
              </w:rPr>
            </w:pPr>
          </w:p>
        </w:tc>
      </w:tr>
      <w:tr>
        <w:trPr>
          <w:trHeight w:val="53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42"/>
              <w:jc w:val="right"/>
              <w:rPr>
                <w:sz w:val="18"/>
              </w:rPr>
            </w:pPr>
            <w:r>
              <w:rPr>
                <w:w w:val="125"/>
                <w:sz w:val="18"/>
              </w:rPr>
              <w:t>51,000</w:t>
            </w:r>
          </w:p>
        </w:tc>
        <w:tc>
          <w:tcPr>
            <w:tcW w:w="963" w:type="dxa"/>
            <w:tcBorders>
              <w:left w:val="single" w:sz="8" w:space="0" w:color="F1B400"/>
            </w:tcBorders>
          </w:tcPr>
          <w:p>
            <w:pPr>
              <w:pStyle w:val="TableParagraph"/>
              <w:rPr>
                <w:rFonts w:ascii="Times New Roman"/>
                <w:sz w:val="20"/>
              </w:rPr>
            </w:pPr>
          </w:p>
        </w:tc>
        <w:tc>
          <w:tcPr>
            <w:tcW w:w="1014" w:type="dxa"/>
            <w:tcBorders>
              <w:right w:val="single" w:sz="8" w:space="0" w:color="F1B400"/>
            </w:tcBorders>
          </w:tcPr>
          <w:p>
            <w:pPr>
              <w:pStyle w:val="TableParagraph"/>
              <w:spacing w:before="69"/>
              <w:ind w:left="176" w:right="114"/>
              <w:jc w:val="center"/>
              <w:rPr>
                <w:sz w:val="18"/>
              </w:rPr>
            </w:pPr>
            <w:r>
              <w:rPr>
                <w:w w:val="125"/>
                <w:sz w:val="18"/>
              </w:rPr>
              <w:t>30,500</w:t>
            </w:r>
          </w:p>
        </w:tc>
        <w:tc>
          <w:tcPr>
            <w:tcW w:w="980"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37"/>
              <w:jc w:val="right"/>
              <w:rPr>
                <w:sz w:val="18"/>
              </w:rPr>
            </w:pPr>
            <w:r>
              <w:rPr>
                <w:w w:val="125"/>
                <w:sz w:val="18"/>
              </w:rPr>
              <w:t>33,000</w:t>
            </w:r>
          </w:p>
        </w:tc>
        <w:tc>
          <w:tcPr>
            <w:tcW w:w="1530" w:type="dxa"/>
            <w:tcBorders>
              <w:left w:val="single" w:sz="8" w:space="0" w:color="F1B400"/>
            </w:tcBorders>
          </w:tcPr>
          <w:p>
            <w:pPr>
              <w:pStyle w:val="TableParagraph"/>
              <w:rPr>
                <w:rFonts w:ascii="Times New Roman"/>
                <w:sz w:val="20"/>
              </w:rPr>
            </w:pPr>
          </w:p>
        </w:tc>
        <w:tc>
          <w:tcPr>
            <w:tcW w:w="1065" w:type="dxa"/>
            <w:tcBorders>
              <w:right w:val="single" w:sz="4" w:space="0" w:color="F1B400"/>
            </w:tcBorders>
          </w:tcPr>
          <w:p>
            <w:pPr>
              <w:pStyle w:val="TableParagraph"/>
              <w:spacing w:before="69"/>
              <w:ind w:right="145"/>
              <w:jc w:val="right"/>
              <w:rPr>
                <w:sz w:val="18"/>
              </w:rPr>
            </w:pPr>
            <w:r>
              <w:rPr>
                <w:w w:val="125"/>
                <w:sz w:val="18"/>
              </w:rPr>
              <w:t>1,500</w:t>
            </w:r>
          </w:p>
        </w:tc>
      </w:tr>
      <w:tr>
        <w:trPr>
          <w:trHeight w:val="64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7"/>
              <w:rPr>
                <w:rFonts w:ascii="Stone Sans II ITC Std Bk"/>
                <w:b/>
                <w:sz w:val="18"/>
              </w:rPr>
            </w:pPr>
          </w:p>
          <w:p>
            <w:pPr>
              <w:pStyle w:val="TableParagraph"/>
              <w:ind w:left="128"/>
              <w:rPr>
                <w:sz w:val="18"/>
              </w:rPr>
            </w:pPr>
            <w:r>
              <w:rPr>
                <w:w w:val="125"/>
                <w:sz w:val="18"/>
              </w:rPr>
              <w:t>2,500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7"/>
              <w:rPr>
                <w:rFonts w:ascii="Stone Sans II ITC Std Bk"/>
                <w:b/>
                <w:sz w:val="18"/>
              </w:rPr>
            </w:pPr>
          </w:p>
          <w:p>
            <w:pPr>
              <w:pStyle w:val="TableParagraph"/>
              <w:ind w:left="130"/>
              <w:rPr>
                <w:sz w:val="18"/>
              </w:rPr>
            </w:pPr>
            <w:r>
              <w:rPr>
                <w:w w:val="125"/>
                <w:sz w:val="18"/>
              </w:rPr>
              <w:t>2,500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7"/>
              <w:rPr>
                <w:rFonts w:ascii="Stone Sans II ITC Std Bk"/>
                <w:b/>
                <w:sz w:val="18"/>
              </w:rPr>
            </w:pPr>
          </w:p>
          <w:p>
            <w:pPr>
              <w:pStyle w:val="TableParagraph"/>
              <w:ind w:left="132"/>
              <w:rPr>
                <w:sz w:val="18"/>
              </w:rPr>
            </w:pPr>
            <w:r>
              <w:rPr>
                <w:w w:val="125"/>
                <w:sz w:val="18"/>
              </w:rPr>
              <w:t>2,500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7"/>
              <w:rPr>
                <w:rFonts w:ascii="Stone Sans II ITC Std Bk"/>
                <w:b/>
                <w:sz w:val="18"/>
              </w:rPr>
            </w:pPr>
          </w:p>
          <w:p>
            <w:pPr>
              <w:pStyle w:val="TableParagraph"/>
              <w:ind w:left="135"/>
              <w:rPr>
                <w:sz w:val="18"/>
              </w:rPr>
            </w:pPr>
            <w:r>
              <w:rPr>
                <w:w w:val="125"/>
                <w:sz w:val="18"/>
              </w:rPr>
              <w:t>2,500</w:t>
            </w:r>
          </w:p>
        </w:tc>
        <w:tc>
          <w:tcPr>
            <w:tcW w:w="1065" w:type="dxa"/>
            <w:tcBorders>
              <w:right w:val="single" w:sz="4" w:space="0" w:color="F1B400"/>
            </w:tcBorders>
          </w:tcPr>
          <w:p>
            <w:pPr>
              <w:pStyle w:val="TableParagraph"/>
              <w:rPr>
                <w:rFonts w:ascii="Times New Roman"/>
                <w:sz w:val="20"/>
              </w:rPr>
            </w:pPr>
          </w:p>
        </w:tc>
      </w:tr>
      <w:tr>
        <w:trPr>
          <w:trHeight w:val="46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179"/>
              <w:ind w:left="128"/>
              <w:rPr>
                <w:sz w:val="18"/>
              </w:rPr>
            </w:pPr>
            <w:r>
              <w:rPr>
                <w:w w:val="125"/>
                <w:sz w:val="18"/>
              </w:rPr>
              <w:t>3,300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179"/>
              <w:ind w:left="130"/>
              <w:rPr>
                <w:sz w:val="18"/>
              </w:rPr>
            </w:pPr>
            <w:r>
              <w:rPr>
                <w:w w:val="125"/>
                <w:sz w:val="18"/>
              </w:rPr>
              <w:t>2,000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179"/>
              <w:ind w:left="132"/>
              <w:rPr>
                <w:sz w:val="18"/>
              </w:rPr>
            </w:pPr>
            <w:r>
              <w:rPr>
                <w:w w:val="125"/>
                <w:sz w:val="18"/>
              </w:rPr>
              <w:t>2,000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179"/>
              <w:ind w:left="135"/>
              <w:rPr>
                <w:sz w:val="18"/>
              </w:rPr>
            </w:pPr>
            <w:r>
              <w:rPr>
                <w:w w:val="125"/>
                <w:sz w:val="18"/>
              </w:rPr>
              <w:t>3,300</w:t>
            </w:r>
          </w:p>
        </w:tc>
        <w:tc>
          <w:tcPr>
            <w:tcW w:w="1065" w:type="dxa"/>
            <w:tcBorders>
              <w:right w:val="single" w:sz="4" w:space="0" w:color="F1B400"/>
            </w:tcBorders>
          </w:tcPr>
          <w:p>
            <w:pPr>
              <w:pStyle w:val="TableParagraph"/>
              <w:rPr>
                <w:rFonts w:ascii="Times New Roman"/>
                <w:sz w:val="20"/>
              </w:rPr>
            </w:pPr>
          </w:p>
        </w:tc>
      </w:tr>
      <w:tr>
        <w:trPr>
          <w:trHeight w:val="53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49"/>
              <w:jc w:val="right"/>
              <w:rPr>
                <w:sz w:val="18"/>
              </w:rPr>
            </w:pPr>
            <w:r>
              <w:rPr>
                <w:w w:val="125"/>
                <w:sz w:val="18"/>
              </w:rPr>
              <w:t>5,800</w:t>
            </w:r>
          </w:p>
        </w:tc>
        <w:tc>
          <w:tcPr>
            <w:tcW w:w="963" w:type="dxa"/>
            <w:tcBorders>
              <w:left w:val="single" w:sz="8" w:space="0" w:color="F1B400"/>
            </w:tcBorders>
          </w:tcPr>
          <w:p>
            <w:pPr>
              <w:pStyle w:val="TableParagraph"/>
              <w:rPr>
                <w:rFonts w:ascii="Times New Roman"/>
                <w:sz w:val="20"/>
              </w:rPr>
            </w:pPr>
          </w:p>
        </w:tc>
        <w:tc>
          <w:tcPr>
            <w:tcW w:w="1014" w:type="dxa"/>
            <w:tcBorders>
              <w:right w:val="single" w:sz="8" w:space="0" w:color="F1B400"/>
            </w:tcBorders>
          </w:tcPr>
          <w:p>
            <w:pPr>
              <w:pStyle w:val="TableParagraph"/>
              <w:spacing w:before="69"/>
              <w:ind w:left="199" w:right="20"/>
              <w:jc w:val="center"/>
              <w:rPr>
                <w:sz w:val="18"/>
              </w:rPr>
            </w:pPr>
            <w:r>
              <w:rPr>
                <w:w w:val="125"/>
                <w:sz w:val="18"/>
              </w:rPr>
              <w:t>4,500</w:t>
            </w:r>
          </w:p>
        </w:tc>
        <w:tc>
          <w:tcPr>
            <w:tcW w:w="980"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43"/>
              <w:jc w:val="right"/>
              <w:rPr>
                <w:sz w:val="18"/>
              </w:rPr>
            </w:pPr>
            <w:r>
              <w:rPr>
                <w:w w:val="125"/>
                <w:sz w:val="18"/>
              </w:rPr>
              <w:t>4,500</w:t>
            </w:r>
          </w:p>
        </w:tc>
        <w:tc>
          <w:tcPr>
            <w:tcW w:w="1530" w:type="dxa"/>
            <w:tcBorders>
              <w:left w:val="single" w:sz="8" w:space="0" w:color="F1B400"/>
            </w:tcBorders>
          </w:tcPr>
          <w:p>
            <w:pPr>
              <w:pStyle w:val="TableParagraph"/>
              <w:rPr>
                <w:rFonts w:ascii="Times New Roman"/>
                <w:sz w:val="20"/>
              </w:rPr>
            </w:pPr>
          </w:p>
        </w:tc>
        <w:tc>
          <w:tcPr>
            <w:tcW w:w="1065" w:type="dxa"/>
            <w:tcBorders>
              <w:right w:val="single" w:sz="4" w:space="0" w:color="F1B400"/>
            </w:tcBorders>
          </w:tcPr>
          <w:p>
            <w:pPr>
              <w:pStyle w:val="TableParagraph"/>
              <w:spacing w:before="69"/>
              <w:ind w:right="145"/>
              <w:jc w:val="right"/>
              <w:rPr>
                <w:sz w:val="18"/>
              </w:rPr>
            </w:pPr>
            <w:r>
              <w:rPr>
                <w:w w:val="125"/>
                <w:sz w:val="18"/>
              </w:rPr>
              <w:t>5,800</w:t>
            </w:r>
          </w:p>
        </w:tc>
      </w:tr>
      <w:tr>
        <w:trPr>
          <w:trHeight w:val="53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7"/>
              <w:rPr>
                <w:rFonts w:ascii="Stone Sans II ITC Std Bk"/>
                <w:b/>
                <w:sz w:val="18"/>
              </w:rPr>
            </w:pPr>
          </w:p>
          <w:p>
            <w:pPr>
              <w:pStyle w:val="TableParagraph"/>
              <w:ind w:left="128"/>
              <w:rPr>
                <w:sz w:val="18"/>
              </w:rPr>
            </w:pPr>
            <w:r>
              <w:rPr>
                <w:w w:val="125"/>
                <w:sz w:val="18"/>
              </w:rPr>
              <w:t>5,000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7"/>
              <w:rPr>
                <w:rFonts w:ascii="Stone Sans II ITC Std Bk"/>
                <w:b/>
                <w:sz w:val="18"/>
              </w:rPr>
            </w:pPr>
          </w:p>
          <w:p>
            <w:pPr>
              <w:pStyle w:val="TableParagraph"/>
              <w:ind w:left="130"/>
              <w:rPr>
                <w:sz w:val="18"/>
              </w:rPr>
            </w:pPr>
            <w:r>
              <w:rPr>
                <w:w w:val="125"/>
                <w:sz w:val="18"/>
              </w:rPr>
              <w:t>3,000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7"/>
              <w:rPr>
                <w:rFonts w:ascii="Stone Sans II ITC Std Bk"/>
                <w:b/>
                <w:sz w:val="18"/>
              </w:rPr>
            </w:pPr>
          </w:p>
          <w:p>
            <w:pPr>
              <w:pStyle w:val="TableParagraph"/>
              <w:ind w:left="132"/>
              <w:rPr>
                <w:sz w:val="18"/>
              </w:rPr>
            </w:pPr>
            <w:r>
              <w:rPr>
                <w:w w:val="125"/>
                <w:sz w:val="18"/>
              </w:rPr>
              <w:t>2,000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7"/>
              <w:rPr>
                <w:rFonts w:ascii="Stone Sans II ITC Std Bk"/>
                <w:b/>
                <w:sz w:val="18"/>
              </w:rPr>
            </w:pPr>
          </w:p>
          <w:p>
            <w:pPr>
              <w:pStyle w:val="TableParagraph"/>
              <w:ind w:left="135"/>
              <w:rPr>
                <w:sz w:val="18"/>
              </w:rPr>
            </w:pPr>
            <w:r>
              <w:rPr>
                <w:w w:val="125"/>
                <w:sz w:val="18"/>
              </w:rPr>
              <w:t>3,000</w:t>
            </w:r>
          </w:p>
        </w:tc>
        <w:tc>
          <w:tcPr>
            <w:tcW w:w="1065" w:type="dxa"/>
            <w:tcBorders>
              <w:right w:val="single" w:sz="4" w:space="0" w:color="F1B400"/>
            </w:tcBorders>
          </w:tcPr>
          <w:p>
            <w:pPr>
              <w:pStyle w:val="TableParagraph"/>
              <w:rPr>
                <w:rFonts w:ascii="Times New Roman"/>
                <w:sz w:val="20"/>
              </w:rPr>
            </w:pPr>
          </w:p>
        </w:tc>
      </w:tr>
      <w:tr>
        <w:trPr>
          <w:trHeight w:val="35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69"/>
              <w:ind w:left="121"/>
              <w:rPr>
                <w:sz w:val="18"/>
              </w:rPr>
            </w:pPr>
            <w:r>
              <w:rPr>
                <w:w w:val="125"/>
                <w:sz w:val="18"/>
              </w:rPr>
              <w:t>20,000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69"/>
              <w:ind w:left="130"/>
              <w:rPr>
                <w:sz w:val="18"/>
              </w:rPr>
            </w:pPr>
            <w:r>
              <w:rPr>
                <w:w w:val="125"/>
                <w:sz w:val="18"/>
              </w:rPr>
              <w:t>12,000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69"/>
              <w:ind w:left="132"/>
              <w:rPr>
                <w:sz w:val="18"/>
              </w:rPr>
            </w:pPr>
            <w:r>
              <w:rPr>
                <w:w w:val="125"/>
                <w:sz w:val="18"/>
              </w:rPr>
              <w:t>12,000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69"/>
              <w:ind w:left="84"/>
              <w:rPr>
                <w:sz w:val="18"/>
              </w:rPr>
            </w:pPr>
            <w:r>
              <w:rPr>
                <w:w w:val="125"/>
                <w:sz w:val="18"/>
              </w:rPr>
              <w:t>5,000</w:t>
            </w:r>
          </w:p>
        </w:tc>
        <w:tc>
          <w:tcPr>
            <w:tcW w:w="1065" w:type="dxa"/>
            <w:tcBorders>
              <w:right w:val="single" w:sz="4" w:space="0" w:color="F1B400"/>
            </w:tcBorders>
          </w:tcPr>
          <w:p>
            <w:pPr>
              <w:pStyle w:val="TableParagraph"/>
              <w:rPr>
                <w:rFonts w:ascii="Times New Roman"/>
                <w:sz w:val="20"/>
              </w:rPr>
            </w:pPr>
          </w:p>
        </w:tc>
      </w:tr>
      <w:tr>
        <w:trPr>
          <w:trHeight w:val="35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69"/>
              <w:ind w:left="128"/>
              <w:rPr>
                <w:sz w:val="18"/>
              </w:rPr>
            </w:pPr>
            <w:r>
              <w:rPr>
                <w:w w:val="125"/>
                <w:sz w:val="18"/>
              </w:rPr>
              <w:t>2,500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69"/>
              <w:ind w:left="130"/>
              <w:rPr>
                <w:sz w:val="18"/>
              </w:rPr>
            </w:pPr>
            <w:r>
              <w:rPr>
                <w:w w:val="125"/>
                <w:sz w:val="18"/>
              </w:rPr>
              <w:t>1,250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69"/>
              <w:ind w:left="132"/>
              <w:rPr>
                <w:sz w:val="18"/>
              </w:rPr>
            </w:pPr>
            <w:r>
              <w:rPr>
                <w:w w:val="125"/>
                <w:sz w:val="18"/>
              </w:rPr>
              <w:t>1,250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69"/>
              <w:ind w:left="135"/>
              <w:rPr>
                <w:sz w:val="18"/>
              </w:rPr>
            </w:pPr>
            <w:r>
              <w:rPr>
                <w:w w:val="125"/>
                <w:sz w:val="18"/>
              </w:rPr>
              <w:t>1,250</w:t>
            </w:r>
          </w:p>
        </w:tc>
        <w:tc>
          <w:tcPr>
            <w:tcW w:w="1065" w:type="dxa"/>
            <w:tcBorders>
              <w:right w:val="single" w:sz="4" w:space="0" w:color="F1B400"/>
            </w:tcBorders>
          </w:tcPr>
          <w:p>
            <w:pPr>
              <w:pStyle w:val="TableParagraph"/>
              <w:rPr>
                <w:rFonts w:ascii="Times New Roman"/>
                <w:sz w:val="20"/>
              </w:rPr>
            </w:pPr>
          </w:p>
        </w:tc>
      </w:tr>
      <w:tr>
        <w:trPr>
          <w:trHeight w:val="353"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69"/>
              <w:ind w:left="76"/>
              <w:rPr>
                <w:sz w:val="18"/>
              </w:rPr>
            </w:pPr>
            <w:r>
              <w:rPr>
                <w:w w:val="125"/>
                <w:sz w:val="18"/>
              </w:rPr>
              <w:t>1,000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69"/>
              <w:ind w:left="130"/>
              <w:rPr>
                <w:sz w:val="18"/>
              </w:rPr>
            </w:pPr>
            <w:r>
              <w:rPr>
                <w:w w:val="125"/>
                <w:sz w:val="18"/>
              </w:rPr>
              <w:t>1,000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69"/>
              <w:ind w:left="132"/>
              <w:rPr>
                <w:sz w:val="18"/>
              </w:rPr>
            </w:pPr>
            <w:r>
              <w:rPr>
                <w:w w:val="125"/>
                <w:sz w:val="18"/>
              </w:rPr>
              <w:t>1,000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69"/>
              <w:ind w:left="84"/>
              <w:rPr>
                <w:sz w:val="18"/>
              </w:rPr>
            </w:pPr>
            <w:r>
              <w:rPr>
                <w:w w:val="125"/>
                <w:sz w:val="18"/>
              </w:rPr>
              <w:t>Not needed</w:t>
            </w:r>
          </w:p>
        </w:tc>
        <w:tc>
          <w:tcPr>
            <w:tcW w:w="1065" w:type="dxa"/>
            <w:tcBorders>
              <w:right w:val="single" w:sz="4" w:space="0" w:color="F1B400"/>
            </w:tcBorders>
          </w:tcPr>
          <w:p>
            <w:pPr>
              <w:pStyle w:val="TableParagraph"/>
              <w:rPr>
                <w:rFonts w:ascii="Times New Roman"/>
                <w:sz w:val="20"/>
              </w:rPr>
            </w:pPr>
          </w:p>
        </w:tc>
      </w:tr>
      <w:tr>
        <w:trPr>
          <w:trHeight w:val="53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49"/>
              <w:jc w:val="right"/>
              <w:rPr>
                <w:sz w:val="18"/>
              </w:rPr>
            </w:pPr>
            <w:r>
              <w:rPr>
                <w:w w:val="125"/>
                <w:sz w:val="18"/>
              </w:rPr>
              <w:t>28,500</w:t>
            </w:r>
          </w:p>
        </w:tc>
        <w:tc>
          <w:tcPr>
            <w:tcW w:w="963" w:type="dxa"/>
            <w:tcBorders>
              <w:left w:val="single" w:sz="8" w:space="0" w:color="F1B400"/>
            </w:tcBorders>
          </w:tcPr>
          <w:p>
            <w:pPr>
              <w:pStyle w:val="TableParagraph"/>
              <w:rPr>
                <w:rFonts w:ascii="Times New Roman"/>
                <w:sz w:val="20"/>
              </w:rPr>
            </w:pPr>
          </w:p>
        </w:tc>
        <w:tc>
          <w:tcPr>
            <w:tcW w:w="1014" w:type="dxa"/>
            <w:tcBorders>
              <w:right w:val="single" w:sz="8" w:space="0" w:color="F1B400"/>
            </w:tcBorders>
          </w:tcPr>
          <w:p>
            <w:pPr>
              <w:pStyle w:val="TableParagraph"/>
              <w:spacing w:before="69"/>
              <w:ind w:left="199" w:right="91"/>
              <w:jc w:val="center"/>
              <w:rPr>
                <w:sz w:val="18"/>
              </w:rPr>
            </w:pPr>
            <w:r>
              <w:rPr>
                <w:w w:val="125"/>
                <w:sz w:val="18"/>
              </w:rPr>
              <w:t>17,250</w:t>
            </w:r>
          </w:p>
        </w:tc>
        <w:tc>
          <w:tcPr>
            <w:tcW w:w="980" w:type="dxa"/>
            <w:tcBorders>
              <w:left w:val="single" w:sz="8" w:space="0" w:color="F1B400"/>
            </w:tcBorders>
          </w:tcPr>
          <w:p>
            <w:pPr>
              <w:pStyle w:val="TableParagraph"/>
              <w:rPr>
                <w:rFonts w:ascii="Times New Roman"/>
                <w:sz w:val="20"/>
              </w:rPr>
            </w:pPr>
          </w:p>
        </w:tc>
        <w:tc>
          <w:tcPr>
            <w:tcW w:w="1024" w:type="dxa"/>
            <w:tcBorders>
              <w:right w:val="single" w:sz="8" w:space="0" w:color="F1B400"/>
            </w:tcBorders>
          </w:tcPr>
          <w:p>
            <w:pPr>
              <w:pStyle w:val="TableParagraph"/>
              <w:spacing w:before="69"/>
              <w:ind w:right="143"/>
              <w:jc w:val="right"/>
              <w:rPr>
                <w:sz w:val="18"/>
              </w:rPr>
            </w:pPr>
            <w:r>
              <w:rPr>
                <w:w w:val="125"/>
                <w:sz w:val="18"/>
              </w:rPr>
              <w:t>16,250</w:t>
            </w:r>
          </w:p>
        </w:tc>
        <w:tc>
          <w:tcPr>
            <w:tcW w:w="1530" w:type="dxa"/>
            <w:tcBorders>
              <w:left w:val="single" w:sz="8" w:space="0" w:color="F1B400"/>
            </w:tcBorders>
          </w:tcPr>
          <w:p>
            <w:pPr>
              <w:pStyle w:val="TableParagraph"/>
              <w:rPr>
                <w:rFonts w:ascii="Times New Roman"/>
                <w:sz w:val="20"/>
              </w:rPr>
            </w:pPr>
          </w:p>
        </w:tc>
        <w:tc>
          <w:tcPr>
            <w:tcW w:w="1065" w:type="dxa"/>
            <w:tcBorders>
              <w:right w:val="single" w:sz="4" w:space="0" w:color="F1B400"/>
            </w:tcBorders>
          </w:tcPr>
          <w:p>
            <w:pPr>
              <w:pStyle w:val="TableParagraph"/>
              <w:spacing w:before="69"/>
              <w:ind w:right="145"/>
              <w:jc w:val="right"/>
              <w:rPr>
                <w:sz w:val="18"/>
              </w:rPr>
            </w:pPr>
            <w:r>
              <w:rPr>
                <w:w w:val="125"/>
                <w:sz w:val="18"/>
              </w:rPr>
              <w:t>9,250</w:t>
            </w:r>
          </w:p>
        </w:tc>
      </w:tr>
      <w:tr>
        <w:trPr>
          <w:trHeight w:val="534"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tcBorders>
          </w:tcPr>
          <w:p>
            <w:pPr>
              <w:pStyle w:val="TableParagraph"/>
              <w:spacing w:before="7"/>
              <w:rPr>
                <w:rFonts w:ascii="Stone Sans II ITC Std Bk"/>
                <w:b/>
                <w:sz w:val="18"/>
              </w:rPr>
            </w:pPr>
          </w:p>
          <w:p>
            <w:pPr>
              <w:pStyle w:val="TableParagraph"/>
              <w:ind w:left="128"/>
              <w:rPr>
                <w:sz w:val="18"/>
              </w:rPr>
            </w:pPr>
            <w:r>
              <w:rPr>
                <w:w w:val="125"/>
                <w:sz w:val="18"/>
              </w:rPr>
              <w:t>10,000</w:t>
            </w:r>
          </w:p>
        </w:tc>
        <w:tc>
          <w:tcPr>
            <w:tcW w:w="1024" w:type="dxa"/>
            <w:tcBorders>
              <w:right w:val="single" w:sz="8" w:space="0" w:color="F1B400"/>
            </w:tcBorders>
          </w:tcPr>
          <w:p>
            <w:pPr>
              <w:pStyle w:val="TableParagraph"/>
              <w:rPr>
                <w:rFonts w:ascii="Times New Roman"/>
                <w:sz w:val="20"/>
              </w:rPr>
            </w:pPr>
          </w:p>
        </w:tc>
        <w:tc>
          <w:tcPr>
            <w:tcW w:w="963" w:type="dxa"/>
            <w:tcBorders>
              <w:left w:val="single" w:sz="8" w:space="0" w:color="F1B400"/>
            </w:tcBorders>
          </w:tcPr>
          <w:p>
            <w:pPr>
              <w:pStyle w:val="TableParagraph"/>
              <w:spacing w:before="7"/>
              <w:rPr>
                <w:rFonts w:ascii="Stone Sans II ITC Std Bk"/>
                <w:b/>
                <w:sz w:val="18"/>
              </w:rPr>
            </w:pPr>
          </w:p>
          <w:p>
            <w:pPr>
              <w:pStyle w:val="TableParagraph"/>
              <w:ind w:left="130"/>
              <w:rPr>
                <w:sz w:val="18"/>
              </w:rPr>
            </w:pPr>
            <w:r>
              <w:rPr>
                <w:w w:val="125"/>
                <w:sz w:val="18"/>
              </w:rPr>
              <w:t>5,000</w:t>
            </w:r>
          </w:p>
        </w:tc>
        <w:tc>
          <w:tcPr>
            <w:tcW w:w="1014" w:type="dxa"/>
            <w:tcBorders>
              <w:right w:val="single" w:sz="8" w:space="0" w:color="F1B400"/>
            </w:tcBorders>
          </w:tcPr>
          <w:p>
            <w:pPr>
              <w:pStyle w:val="TableParagraph"/>
              <w:rPr>
                <w:rFonts w:ascii="Times New Roman"/>
                <w:sz w:val="20"/>
              </w:rPr>
            </w:pPr>
          </w:p>
        </w:tc>
        <w:tc>
          <w:tcPr>
            <w:tcW w:w="980" w:type="dxa"/>
            <w:tcBorders>
              <w:left w:val="single" w:sz="8" w:space="0" w:color="F1B400"/>
            </w:tcBorders>
          </w:tcPr>
          <w:p>
            <w:pPr>
              <w:pStyle w:val="TableParagraph"/>
              <w:spacing w:before="7"/>
              <w:rPr>
                <w:rFonts w:ascii="Stone Sans II ITC Std Bk"/>
                <w:b/>
                <w:sz w:val="18"/>
              </w:rPr>
            </w:pPr>
          </w:p>
          <w:p>
            <w:pPr>
              <w:pStyle w:val="TableParagraph"/>
              <w:ind w:left="132"/>
              <w:rPr>
                <w:sz w:val="18"/>
              </w:rPr>
            </w:pPr>
            <w:r>
              <w:rPr>
                <w:w w:val="125"/>
                <w:sz w:val="18"/>
              </w:rPr>
              <w:t>5,000</w:t>
            </w:r>
          </w:p>
        </w:tc>
        <w:tc>
          <w:tcPr>
            <w:tcW w:w="1024" w:type="dxa"/>
            <w:tcBorders>
              <w:right w:val="single" w:sz="8" w:space="0" w:color="F1B400"/>
            </w:tcBorders>
          </w:tcPr>
          <w:p>
            <w:pPr>
              <w:pStyle w:val="TableParagraph"/>
              <w:rPr>
                <w:rFonts w:ascii="Times New Roman"/>
                <w:sz w:val="20"/>
              </w:rPr>
            </w:pPr>
          </w:p>
        </w:tc>
        <w:tc>
          <w:tcPr>
            <w:tcW w:w="1530" w:type="dxa"/>
            <w:tcBorders>
              <w:left w:val="single" w:sz="8" w:space="0" w:color="F1B400"/>
            </w:tcBorders>
          </w:tcPr>
          <w:p>
            <w:pPr>
              <w:pStyle w:val="TableParagraph"/>
              <w:spacing w:before="7"/>
              <w:rPr>
                <w:rFonts w:ascii="Stone Sans II ITC Std Bk"/>
                <w:b/>
                <w:sz w:val="18"/>
              </w:rPr>
            </w:pPr>
          </w:p>
          <w:p>
            <w:pPr>
              <w:pStyle w:val="TableParagraph"/>
              <w:ind w:left="135"/>
              <w:rPr>
                <w:sz w:val="18"/>
              </w:rPr>
            </w:pPr>
            <w:r>
              <w:rPr>
                <w:w w:val="125"/>
                <w:sz w:val="18"/>
              </w:rPr>
              <w:t>5,000</w:t>
            </w:r>
          </w:p>
        </w:tc>
        <w:tc>
          <w:tcPr>
            <w:tcW w:w="1065" w:type="dxa"/>
            <w:tcBorders>
              <w:right w:val="single" w:sz="4" w:space="0" w:color="F1B400"/>
            </w:tcBorders>
          </w:tcPr>
          <w:p>
            <w:pPr>
              <w:pStyle w:val="TableParagraph"/>
              <w:rPr>
                <w:rFonts w:ascii="Times New Roman"/>
                <w:sz w:val="20"/>
              </w:rPr>
            </w:pPr>
          </w:p>
        </w:tc>
      </w:tr>
      <w:tr>
        <w:trPr>
          <w:trHeight w:val="1037" w:hRule="atLeast"/>
        </w:trPr>
        <w:tc>
          <w:tcPr>
            <w:tcW w:w="1860" w:type="dxa"/>
            <w:vMerge/>
            <w:tcBorders>
              <w:top w:val="nil"/>
              <w:left w:val="single" w:sz="6" w:space="0" w:color="F1B400"/>
              <w:bottom w:val="single" w:sz="4" w:space="0" w:color="F1B400"/>
            </w:tcBorders>
          </w:tcPr>
          <w:p>
            <w:pPr>
              <w:rPr>
                <w:sz w:val="2"/>
                <w:szCs w:val="2"/>
              </w:rPr>
            </w:pPr>
          </w:p>
        </w:tc>
        <w:tc>
          <w:tcPr>
            <w:tcW w:w="857" w:type="dxa"/>
            <w:vMerge/>
            <w:tcBorders>
              <w:top w:val="nil"/>
              <w:bottom w:val="single" w:sz="4" w:space="0" w:color="F1B400"/>
            </w:tcBorders>
          </w:tcPr>
          <w:p>
            <w:pPr>
              <w:rPr>
                <w:sz w:val="2"/>
                <w:szCs w:val="2"/>
              </w:rPr>
            </w:pPr>
          </w:p>
        </w:tc>
        <w:tc>
          <w:tcPr>
            <w:tcW w:w="1103" w:type="dxa"/>
            <w:vMerge/>
            <w:tcBorders>
              <w:top w:val="nil"/>
              <w:bottom w:val="single" w:sz="4" w:space="0" w:color="F1B400"/>
              <w:right w:val="single" w:sz="8" w:space="0" w:color="F1B400"/>
            </w:tcBorders>
          </w:tcPr>
          <w:p>
            <w:pPr>
              <w:rPr>
                <w:sz w:val="2"/>
                <w:szCs w:val="2"/>
              </w:rPr>
            </w:pPr>
          </w:p>
        </w:tc>
        <w:tc>
          <w:tcPr>
            <w:tcW w:w="982" w:type="dxa"/>
            <w:tcBorders>
              <w:left w:val="single" w:sz="8" w:space="0" w:color="F1B400"/>
              <w:bottom w:val="single" w:sz="4" w:space="0" w:color="F1B400"/>
            </w:tcBorders>
          </w:tcPr>
          <w:p>
            <w:pPr>
              <w:pStyle w:val="TableParagraph"/>
              <w:rPr>
                <w:rFonts w:ascii="Times New Roman"/>
                <w:sz w:val="20"/>
              </w:rPr>
            </w:pPr>
          </w:p>
        </w:tc>
        <w:tc>
          <w:tcPr>
            <w:tcW w:w="1024" w:type="dxa"/>
            <w:tcBorders>
              <w:bottom w:val="single" w:sz="4" w:space="0" w:color="F1B400"/>
              <w:right w:val="single" w:sz="8" w:space="0" w:color="F1B400"/>
            </w:tcBorders>
          </w:tcPr>
          <w:p>
            <w:pPr>
              <w:pStyle w:val="TableParagraph"/>
              <w:spacing w:before="69"/>
              <w:ind w:right="142"/>
              <w:jc w:val="right"/>
              <w:rPr>
                <w:sz w:val="18"/>
              </w:rPr>
            </w:pPr>
            <w:r>
              <w:rPr>
                <w:w w:val="125"/>
                <w:sz w:val="18"/>
              </w:rPr>
              <w:t>10,000</w:t>
            </w:r>
          </w:p>
        </w:tc>
        <w:tc>
          <w:tcPr>
            <w:tcW w:w="963" w:type="dxa"/>
            <w:tcBorders>
              <w:left w:val="single" w:sz="8" w:space="0" w:color="F1B400"/>
              <w:bottom w:val="single" w:sz="6" w:space="0" w:color="F1B400"/>
            </w:tcBorders>
          </w:tcPr>
          <w:p>
            <w:pPr>
              <w:pStyle w:val="TableParagraph"/>
              <w:rPr>
                <w:rFonts w:ascii="Times New Roman"/>
                <w:sz w:val="20"/>
              </w:rPr>
            </w:pPr>
          </w:p>
        </w:tc>
        <w:tc>
          <w:tcPr>
            <w:tcW w:w="1014" w:type="dxa"/>
            <w:tcBorders>
              <w:bottom w:val="single" w:sz="4" w:space="0" w:color="F1B400"/>
              <w:right w:val="single" w:sz="8" w:space="0" w:color="F1B400"/>
            </w:tcBorders>
          </w:tcPr>
          <w:p>
            <w:pPr>
              <w:pStyle w:val="TableParagraph"/>
              <w:spacing w:before="69"/>
              <w:ind w:left="199" w:right="15"/>
              <w:jc w:val="center"/>
              <w:rPr>
                <w:sz w:val="18"/>
              </w:rPr>
            </w:pPr>
            <w:r>
              <w:rPr>
                <w:w w:val="125"/>
                <w:sz w:val="18"/>
              </w:rPr>
              <w:t>5,000</w:t>
            </w:r>
          </w:p>
        </w:tc>
        <w:tc>
          <w:tcPr>
            <w:tcW w:w="980" w:type="dxa"/>
            <w:tcBorders>
              <w:left w:val="single" w:sz="8" w:space="0" w:color="F1B400"/>
              <w:bottom w:val="single" w:sz="4" w:space="0" w:color="F1B400"/>
            </w:tcBorders>
          </w:tcPr>
          <w:p>
            <w:pPr>
              <w:pStyle w:val="TableParagraph"/>
              <w:rPr>
                <w:rFonts w:ascii="Times New Roman"/>
                <w:sz w:val="20"/>
              </w:rPr>
            </w:pPr>
          </w:p>
        </w:tc>
        <w:tc>
          <w:tcPr>
            <w:tcW w:w="1024" w:type="dxa"/>
            <w:tcBorders>
              <w:bottom w:val="single" w:sz="4" w:space="0" w:color="F1B400"/>
              <w:right w:val="single" w:sz="8" w:space="0" w:color="F1B400"/>
            </w:tcBorders>
          </w:tcPr>
          <w:p>
            <w:pPr>
              <w:pStyle w:val="TableParagraph"/>
              <w:spacing w:before="69"/>
              <w:ind w:right="137"/>
              <w:jc w:val="right"/>
              <w:rPr>
                <w:sz w:val="18"/>
              </w:rPr>
            </w:pPr>
            <w:r>
              <w:rPr>
                <w:w w:val="125"/>
                <w:sz w:val="18"/>
              </w:rPr>
              <w:t>5,000</w:t>
            </w:r>
          </w:p>
        </w:tc>
        <w:tc>
          <w:tcPr>
            <w:tcW w:w="1530" w:type="dxa"/>
            <w:tcBorders>
              <w:left w:val="single" w:sz="8" w:space="0" w:color="F1B400"/>
              <w:bottom w:val="single" w:sz="4" w:space="0" w:color="F1B400"/>
            </w:tcBorders>
          </w:tcPr>
          <w:p>
            <w:pPr>
              <w:pStyle w:val="TableParagraph"/>
              <w:rPr>
                <w:rFonts w:ascii="Times New Roman"/>
                <w:sz w:val="20"/>
              </w:rPr>
            </w:pPr>
          </w:p>
        </w:tc>
        <w:tc>
          <w:tcPr>
            <w:tcW w:w="1065" w:type="dxa"/>
            <w:tcBorders>
              <w:bottom w:val="single" w:sz="4" w:space="0" w:color="F1B400"/>
              <w:right w:val="single" w:sz="4" w:space="0" w:color="F1B400"/>
            </w:tcBorders>
          </w:tcPr>
          <w:p>
            <w:pPr>
              <w:pStyle w:val="TableParagraph"/>
              <w:spacing w:before="69"/>
              <w:ind w:right="139"/>
              <w:jc w:val="right"/>
              <w:rPr>
                <w:sz w:val="18"/>
              </w:rPr>
            </w:pPr>
            <w:r>
              <w:rPr>
                <w:w w:val="125"/>
                <w:sz w:val="18"/>
              </w:rPr>
              <w:t>5,000</w:t>
            </w:r>
          </w:p>
        </w:tc>
      </w:tr>
      <w:tr>
        <w:trPr>
          <w:trHeight w:val="567" w:hRule="atLeast"/>
        </w:trPr>
        <w:tc>
          <w:tcPr>
            <w:tcW w:w="1860" w:type="dxa"/>
            <w:tcBorders>
              <w:top w:val="single" w:sz="4" w:space="0" w:color="F1B400"/>
              <w:left w:val="single" w:sz="4" w:space="0" w:color="F1B400"/>
              <w:bottom w:val="single" w:sz="4" w:space="0" w:color="F1B400"/>
            </w:tcBorders>
          </w:tcPr>
          <w:p>
            <w:pPr>
              <w:pStyle w:val="TableParagraph"/>
              <w:spacing w:before="2"/>
              <w:rPr>
                <w:rFonts w:ascii="Stone Sans II ITC Std Bk"/>
                <w:b/>
                <w:sz w:val="23"/>
              </w:rPr>
            </w:pPr>
          </w:p>
          <w:p>
            <w:pPr>
              <w:pStyle w:val="TableParagraph"/>
              <w:spacing w:line="234" w:lineRule="exact" w:before="1"/>
              <w:ind w:left="113"/>
              <w:rPr>
                <w:rFonts w:ascii="Stone Sans II ITC Std Bk"/>
                <w:b/>
                <w:sz w:val="18"/>
              </w:rPr>
            </w:pPr>
            <w:r>
              <w:rPr>
                <w:rFonts w:ascii="Stone Sans II ITC Std Bk"/>
                <w:b/>
                <w:w w:val="110"/>
                <w:sz w:val="18"/>
              </w:rPr>
              <w:t>Grand total</w:t>
            </w:r>
          </w:p>
        </w:tc>
        <w:tc>
          <w:tcPr>
            <w:tcW w:w="857" w:type="dxa"/>
            <w:tcBorders>
              <w:top w:val="single" w:sz="4" w:space="0" w:color="F1B400"/>
              <w:bottom w:val="single" w:sz="4" w:space="0" w:color="F1B400"/>
            </w:tcBorders>
          </w:tcPr>
          <w:p>
            <w:pPr>
              <w:pStyle w:val="TableParagraph"/>
              <w:rPr>
                <w:rFonts w:ascii="Times New Roman"/>
                <w:sz w:val="20"/>
              </w:rPr>
            </w:pPr>
          </w:p>
        </w:tc>
        <w:tc>
          <w:tcPr>
            <w:tcW w:w="1103" w:type="dxa"/>
            <w:tcBorders>
              <w:top w:val="single" w:sz="4" w:space="0" w:color="F1B400"/>
              <w:bottom w:val="single" w:sz="4" w:space="0" w:color="F1B400"/>
              <w:right w:val="single" w:sz="8" w:space="0" w:color="F1B400"/>
            </w:tcBorders>
          </w:tcPr>
          <w:p>
            <w:pPr>
              <w:pStyle w:val="TableParagraph"/>
              <w:spacing w:before="2"/>
              <w:rPr>
                <w:rFonts w:ascii="Stone Sans II ITC Std Bk"/>
                <w:b/>
                <w:sz w:val="23"/>
              </w:rPr>
            </w:pPr>
          </w:p>
          <w:p>
            <w:pPr>
              <w:pStyle w:val="TableParagraph"/>
              <w:spacing w:line="234" w:lineRule="exact" w:before="1"/>
              <w:ind w:left="105"/>
              <w:rPr>
                <w:rFonts w:ascii="Stone Sans II ITC Std Bk"/>
                <w:b/>
                <w:sz w:val="18"/>
              </w:rPr>
            </w:pPr>
            <w:r>
              <w:rPr>
                <w:rFonts w:ascii="Stone Sans II ITC Std Bk"/>
                <w:b/>
                <w:w w:val="110"/>
                <w:sz w:val="18"/>
              </w:rPr>
              <w:t>242,608</w:t>
            </w:r>
          </w:p>
        </w:tc>
        <w:tc>
          <w:tcPr>
            <w:tcW w:w="2006" w:type="dxa"/>
            <w:gridSpan w:val="2"/>
            <w:tcBorders>
              <w:top w:val="single" w:sz="4" w:space="0" w:color="F1B400"/>
              <w:left w:val="single" w:sz="8" w:space="0" w:color="F1B400"/>
              <w:bottom w:val="single" w:sz="4" w:space="0" w:color="F1B400"/>
              <w:right w:val="single" w:sz="8" w:space="0" w:color="F1B400"/>
            </w:tcBorders>
          </w:tcPr>
          <w:p>
            <w:pPr>
              <w:pStyle w:val="TableParagraph"/>
              <w:spacing w:before="2"/>
              <w:rPr>
                <w:rFonts w:ascii="Stone Sans II ITC Std Bk"/>
                <w:b/>
                <w:sz w:val="23"/>
              </w:rPr>
            </w:pPr>
          </w:p>
          <w:p>
            <w:pPr>
              <w:pStyle w:val="TableParagraph"/>
              <w:spacing w:line="234" w:lineRule="exact" w:before="1"/>
              <w:ind w:left="1007"/>
              <w:rPr>
                <w:rFonts w:ascii="Stone Sans II ITC Std Bk"/>
                <w:b/>
                <w:sz w:val="18"/>
              </w:rPr>
            </w:pPr>
            <w:r>
              <w:rPr>
                <w:rFonts w:ascii="Stone Sans II ITC Std Bk"/>
                <w:b/>
                <w:w w:val="110"/>
                <w:sz w:val="18"/>
              </w:rPr>
              <w:t>203,360</w:t>
            </w:r>
          </w:p>
        </w:tc>
        <w:tc>
          <w:tcPr>
            <w:tcW w:w="1977" w:type="dxa"/>
            <w:gridSpan w:val="2"/>
            <w:tcBorders>
              <w:top w:val="single" w:sz="6" w:space="0" w:color="F1B400"/>
              <w:left w:val="single" w:sz="8" w:space="0" w:color="F1B400"/>
              <w:bottom w:val="single" w:sz="6" w:space="0" w:color="F1B400"/>
              <w:right w:val="single" w:sz="8" w:space="0" w:color="F1B400"/>
            </w:tcBorders>
          </w:tcPr>
          <w:p>
            <w:pPr>
              <w:pStyle w:val="TableParagraph"/>
              <w:spacing w:before="2"/>
              <w:rPr>
                <w:rFonts w:ascii="Stone Sans II ITC Std Bk"/>
                <w:b/>
                <w:sz w:val="23"/>
              </w:rPr>
            </w:pPr>
          </w:p>
          <w:p>
            <w:pPr>
              <w:pStyle w:val="TableParagraph"/>
              <w:spacing w:line="234" w:lineRule="exact" w:before="1"/>
              <w:ind w:left="995"/>
              <w:rPr>
                <w:rFonts w:ascii="Stone Sans II ITC Std Bk"/>
                <w:b/>
                <w:sz w:val="18"/>
              </w:rPr>
            </w:pPr>
            <w:r>
              <w:rPr>
                <w:rFonts w:ascii="Stone Sans II ITC Std Bk"/>
                <w:b/>
                <w:w w:val="110"/>
                <w:sz w:val="18"/>
              </w:rPr>
              <w:t>135,464</w:t>
            </w:r>
          </w:p>
        </w:tc>
        <w:tc>
          <w:tcPr>
            <w:tcW w:w="2004" w:type="dxa"/>
            <w:gridSpan w:val="2"/>
            <w:tcBorders>
              <w:top w:val="single" w:sz="4" w:space="0" w:color="F1B400"/>
              <w:left w:val="single" w:sz="8" w:space="0" w:color="F1B400"/>
              <w:bottom w:val="single" w:sz="4" w:space="0" w:color="F1B400"/>
              <w:right w:val="single" w:sz="8" w:space="0" w:color="F1B400"/>
            </w:tcBorders>
          </w:tcPr>
          <w:p>
            <w:pPr>
              <w:pStyle w:val="TableParagraph"/>
              <w:spacing w:before="2"/>
              <w:rPr>
                <w:rFonts w:ascii="Stone Sans II ITC Std Bk"/>
                <w:b/>
                <w:sz w:val="23"/>
              </w:rPr>
            </w:pPr>
          </w:p>
          <w:p>
            <w:pPr>
              <w:pStyle w:val="TableParagraph"/>
              <w:spacing w:line="234" w:lineRule="exact" w:before="1"/>
              <w:ind w:left="1038"/>
              <w:rPr>
                <w:rFonts w:ascii="Stone Sans II ITC Std Bk"/>
                <w:b/>
                <w:sz w:val="18"/>
              </w:rPr>
            </w:pPr>
            <w:r>
              <w:rPr>
                <w:rFonts w:ascii="Stone Sans II ITC Std Bk"/>
                <w:b/>
                <w:w w:val="110"/>
                <w:sz w:val="18"/>
              </w:rPr>
              <w:t>133,028</w:t>
            </w:r>
          </w:p>
        </w:tc>
        <w:tc>
          <w:tcPr>
            <w:tcW w:w="2595" w:type="dxa"/>
            <w:gridSpan w:val="2"/>
            <w:tcBorders>
              <w:top w:val="single" w:sz="4" w:space="0" w:color="F1B400"/>
              <w:left w:val="single" w:sz="8" w:space="0" w:color="F1B400"/>
              <w:bottom w:val="single" w:sz="4" w:space="0" w:color="F1B400"/>
              <w:right w:val="single" w:sz="4" w:space="0" w:color="F1B400"/>
            </w:tcBorders>
          </w:tcPr>
          <w:p>
            <w:pPr>
              <w:pStyle w:val="TableParagraph"/>
              <w:spacing w:before="2"/>
              <w:rPr>
                <w:rFonts w:ascii="Stone Sans II ITC Std Bk"/>
                <w:b/>
                <w:sz w:val="23"/>
              </w:rPr>
            </w:pPr>
          </w:p>
          <w:p>
            <w:pPr>
              <w:pStyle w:val="TableParagraph"/>
              <w:spacing w:line="234" w:lineRule="exact" w:before="1"/>
              <w:ind w:left="1627"/>
              <w:rPr>
                <w:rFonts w:ascii="Stone Sans II ITC Std Bk"/>
                <w:b/>
                <w:sz w:val="18"/>
              </w:rPr>
            </w:pPr>
            <w:r>
              <w:rPr>
                <w:rFonts w:ascii="Stone Sans II ITC Std Bk"/>
                <w:b/>
                <w:w w:val="110"/>
                <w:sz w:val="18"/>
              </w:rPr>
              <w:t>102,910</w:t>
            </w:r>
          </w:p>
        </w:tc>
      </w:tr>
    </w:tbl>
    <w:p>
      <w:pPr>
        <w:spacing w:after="0" w:line="234" w:lineRule="exact"/>
        <w:rPr>
          <w:rFonts w:ascii="Stone Sans II ITC Std Bk"/>
          <w:sz w:val="18"/>
        </w:rPr>
        <w:sectPr>
          <w:headerReference w:type="even" r:id="rId207"/>
          <w:footerReference w:type="even" r:id="rId208"/>
          <w:pgSz w:w="16840" w:h="11910" w:orient="landscape"/>
          <w:pgMar w:header="0" w:footer="0" w:top="0" w:bottom="280" w:left="860" w:right="1120"/>
        </w:sectPr>
      </w:pPr>
    </w:p>
    <w:p>
      <w:pPr>
        <w:pStyle w:val="BodyText"/>
        <w:rPr>
          <w:rFonts w:ascii="Stone Sans II ITC Std Bk"/>
          <w:b/>
        </w:rPr>
      </w:pPr>
      <w:r>
        <w:rPr/>
        <w:pict>
          <v:rect style="position:absolute;margin-left:1.417pt;margin-top:.000015pt;width:547.79pt;height:841.89pt;mso-position-horizontal-relative:page;mso-position-vertical-relative:page;z-index:-267432960" filled="true" fillcolor="#fef4df" stroked="false">
            <v:fill type="solid"/>
            <w10:wrap type="none"/>
          </v:rect>
        </w:pict>
      </w:r>
      <w:r>
        <w:rPr/>
        <w:drawing>
          <wp:anchor distT="0" distB="0" distL="0" distR="0" allowOverlap="1" layoutInCell="1" locked="0" behindDoc="0" simplePos="0" relativeHeight="251851776">
            <wp:simplePos x="0" y="0"/>
            <wp:positionH relativeFrom="page">
              <wp:posOffset>6974928</wp:posOffset>
            </wp:positionH>
            <wp:positionV relativeFrom="page">
              <wp:posOffset>0</wp:posOffset>
            </wp:positionV>
            <wp:extent cx="585063" cy="10692003"/>
            <wp:effectExtent l="0" t="0" r="0" b="0"/>
            <wp:wrapNone/>
            <wp:docPr id="131" name="image24.png"/>
            <wp:cNvGraphicFramePr>
              <a:graphicFrameLocks noChangeAspect="1"/>
            </wp:cNvGraphicFramePr>
            <a:graphic>
              <a:graphicData uri="http://schemas.openxmlformats.org/drawingml/2006/picture">
                <pic:pic>
                  <pic:nvPicPr>
                    <pic:cNvPr id="132" name="image24.png"/>
                    <pic:cNvPicPr/>
                  </pic:nvPicPr>
                  <pic:blipFill>
                    <a:blip r:embed="rId31" cstate="print"/>
                    <a:stretch>
                      <a:fillRect/>
                    </a:stretch>
                  </pic:blipFill>
                  <pic:spPr>
                    <a:xfrm>
                      <a:off x="0" y="0"/>
                      <a:ext cx="585063" cy="10692003"/>
                    </a:xfrm>
                    <a:prstGeom prst="rect">
                      <a:avLst/>
                    </a:prstGeom>
                  </pic:spPr>
                </pic:pic>
              </a:graphicData>
            </a:graphic>
          </wp:anchor>
        </w:drawing>
      </w:r>
    </w:p>
    <w:p>
      <w:pPr>
        <w:pStyle w:val="BodyText"/>
        <w:rPr>
          <w:rFonts w:ascii="Stone Sans II ITC Std Bk"/>
          <w:b/>
        </w:rPr>
      </w:pPr>
    </w:p>
    <w:p>
      <w:pPr>
        <w:pStyle w:val="BodyText"/>
        <w:rPr>
          <w:rFonts w:ascii="Stone Sans II ITC Std Bk"/>
          <w:b/>
        </w:rPr>
      </w:pPr>
    </w:p>
    <w:p>
      <w:pPr>
        <w:pStyle w:val="BodyText"/>
        <w:spacing w:before="11"/>
        <w:rPr>
          <w:rFonts w:ascii="Stone Sans II ITC Std Bk"/>
          <w:b/>
          <w:sz w:val="19"/>
        </w:rPr>
      </w:pPr>
    </w:p>
    <w:p>
      <w:pPr>
        <w:spacing w:line="213" w:lineRule="auto" w:before="153"/>
        <w:ind w:left="1323" w:right="3149" w:firstLine="0"/>
        <w:jc w:val="left"/>
        <w:rPr>
          <w:rFonts w:ascii="Stone Sans II ITC Std X Bd"/>
          <w:b/>
          <w:sz w:val="50"/>
        </w:rPr>
      </w:pPr>
      <w:r>
        <w:rPr/>
        <w:pict>
          <v:shape style="position:absolute;margin-left:554.141174pt;margin-top:-5.989334pt;width:26pt;height:191.45pt;mso-position-horizontal-relative:page;mso-position-vertical-relative:paragraph;z-index:251852800"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bookmarkStart w:name="_bookmark11" w:id="12"/>
      <w:bookmarkEnd w:id="12"/>
      <w:r>
        <w:rPr/>
      </w:r>
      <w:r>
        <w:rPr>
          <w:rFonts w:ascii="Stone Sans II ITC Std X Bd"/>
          <w:b/>
          <w:color w:val="F1B400"/>
          <w:spacing w:val="-11"/>
          <w:w w:val="110"/>
          <w:sz w:val="50"/>
        </w:rPr>
        <w:t>Synod </w:t>
      </w:r>
      <w:r>
        <w:rPr>
          <w:rFonts w:ascii="Stone Sans II ITC Std X Bd"/>
          <w:b/>
          <w:color w:val="F1B400"/>
          <w:spacing w:val="-10"/>
          <w:w w:val="110"/>
          <w:sz w:val="50"/>
        </w:rPr>
        <w:t>Moderators </w:t>
      </w:r>
      <w:r>
        <w:rPr>
          <w:rFonts w:ascii="Stone Sans II ITC Std X Bd"/>
          <w:b/>
          <w:spacing w:val="-8"/>
          <w:w w:val="110"/>
          <w:sz w:val="50"/>
        </w:rPr>
        <w:t>Giving </w:t>
      </w:r>
      <w:r>
        <w:rPr>
          <w:rFonts w:ascii="Stone Sans II ITC Std X Bd"/>
          <w:b/>
          <w:spacing w:val="-6"/>
          <w:w w:val="110"/>
          <w:sz w:val="50"/>
        </w:rPr>
        <w:t>up </w:t>
      </w:r>
      <w:r>
        <w:rPr>
          <w:rFonts w:ascii="Stone Sans II ITC Std X Bd"/>
          <w:b/>
          <w:spacing w:val="-7"/>
          <w:w w:val="110"/>
          <w:sz w:val="50"/>
        </w:rPr>
        <w:t>and </w:t>
      </w:r>
      <w:r>
        <w:rPr>
          <w:rFonts w:ascii="Stone Sans II ITC Std X Bd"/>
          <w:b/>
          <w:spacing w:val="-9"/>
          <w:w w:val="110"/>
          <w:sz w:val="50"/>
        </w:rPr>
        <w:t>taking</w:t>
      </w:r>
      <w:r>
        <w:rPr>
          <w:rFonts w:ascii="Stone Sans II ITC Std X Bd"/>
          <w:b/>
          <w:spacing w:val="98"/>
          <w:w w:val="110"/>
          <w:sz w:val="50"/>
        </w:rPr>
        <w:t> </w:t>
      </w:r>
      <w:r>
        <w:rPr>
          <w:rFonts w:ascii="Stone Sans II ITC Std X Bd"/>
          <w:b/>
          <w:spacing w:val="-6"/>
          <w:w w:val="110"/>
          <w:sz w:val="50"/>
        </w:rPr>
        <w:t>up</w:t>
      </w:r>
    </w:p>
    <w:p>
      <w:pPr>
        <w:spacing w:before="356" w:after="9"/>
        <w:ind w:left="1323"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35" w:lineRule="auto" w:before="111"/>
              <w:ind w:left="80" w:right="1348"/>
              <w:rPr>
                <w:sz w:val="20"/>
              </w:rPr>
            </w:pPr>
            <w:r>
              <w:rPr>
                <w:w w:val="120"/>
                <w:sz w:val="20"/>
              </w:rPr>
              <w:t>Andrew Prasad: </w:t>
            </w:r>
            <w:hyperlink r:id="rId212">
              <w:r>
                <w:rPr>
                  <w:color w:val="006AB3"/>
                  <w:w w:val="120"/>
                  <w:sz w:val="20"/>
                </w:rPr>
                <w:t>moderator@urcthamesnorth.org.uk</w:t>
              </w:r>
            </w:hyperlink>
            <w:r>
              <w:rPr>
                <w:color w:val="006AB3"/>
                <w:w w:val="120"/>
                <w:sz w:val="20"/>
              </w:rPr>
              <w:t> </w:t>
            </w:r>
            <w:r>
              <w:rPr>
                <w:w w:val="120"/>
                <w:sz w:val="20"/>
              </w:rPr>
              <w:t>Clare Downing: </w:t>
            </w:r>
            <w:hyperlink r:id="rId213">
              <w:r>
                <w:rPr>
                  <w:color w:val="006AB3"/>
                  <w:w w:val="120"/>
                  <w:sz w:val="20"/>
                </w:rPr>
                <w:t>moderator@urcwessex.org.uk</w:t>
              </w:r>
            </w:hyperlink>
          </w:p>
        </w:tc>
      </w:tr>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line="235" w:lineRule="auto" w:before="111"/>
              <w:ind w:left="80" w:right="158"/>
              <w:rPr>
                <w:sz w:val="20"/>
              </w:rPr>
            </w:pPr>
            <w:r>
              <w:rPr>
                <w:w w:val="120"/>
                <w:sz w:val="20"/>
              </w:rPr>
              <w:t>Discussion. Potential to be used as a conversation starter at local church level.</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16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131"/>
              <w:rPr>
                <w:sz w:val="20"/>
              </w:rPr>
            </w:pPr>
            <w:r>
              <w:rPr>
                <w:w w:val="120"/>
                <w:sz w:val="20"/>
              </w:rPr>
              <w:t>Giving up and taking up – a challenge to consider how we might be called to change as we ‘walk the </w:t>
            </w:r>
            <w:r>
              <w:rPr>
                <w:spacing w:val="-4"/>
                <w:w w:val="120"/>
                <w:sz w:val="20"/>
              </w:rPr>
              <w:t>way’. </w:t>
            </w:r>
            <w:r>
              <w:rPr>
                <w:w w:val="120"/>
                <w:sz w:val="20"/>
              </w:rPr>
              <w:t>The paper is offered  not only to Assembly, but also as a resource to local churches, to help them consider the purpose, relevance and necessity of their ways of being, and to think carefully about prioritising where we expend our energy, so as to live the Jesus life</w:t>
            </w:r>
            <w:r>
              <w:rPr>
                <w:spacing w:val="13"/>
                <w:w w:val="120"/>
                <w:sz w:val="20"/>
              </w:rPr>
              <w:t> </w:t>
            </w:r>
            <w:r>
              <w:rPr>
                <w:spacing w:val="-3"/>
                <w:w w:val="120"/>
                <w:sz w:val="20"/>
              </w:rPr>
              <w:t>today.</w:t>
            </w:r>
          </w:p>
        </w:tc>
      </w:tr>
      <w:tr>
        <w:trPr>
          <w:trHeight w:val="232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numPr>
                <w:ilvl w:val="0"/>
                <w:numId w:val="55"/>
              </w:numPr>
              <w:tabs>
                <w:tab w:pos="760" w:val="left" w:leader="none"/>
                <w:tab w:pos="761" w:val="left" w:leader="none"/>
              </w:tabs>
              <w:spacing w:line="235" w:lineRule="auto" w:before="111" w:after="0"/>
              <w:ind w:left="760" w:right="628" w:hanging="681"/>
              <w:jc w:val="both"/>
              <w:rPr>
                <w:sz w:val="20"/>
              </w:rPr>
            </w:pPr>
            <w:r>
              <w:rPr>
                <w:w w:val="120"/>
                <w:sz w:val="20"/>
              </w:rPr>
              <w:t>If we are to take up the challenge of being Church in the present </w:t>
            </w:r>
            <w:r>
              <w:rPr>
                <w:spacing w:val="-4"/>
                <w:w w:val="120"/>
                <w:sz w:val="20"/>
              </w:rPr>
              <w:t>day, </w:t>
            </w:r>
            <w:r>
              <w:rPr>
                <w:w w:val="120"/>
                <w:sz w:val="20"/>
              </w:rPr>
              <w:t>we may not be able – or be called – to continue all that we presently</w:t>
            </w:r>
            <w:r>
              <w:rPr>
                <w:spacing w:val="11"/>
                <w:w w:val="120"/>
                <w:sz w:val="20"/>
              </w:rPr>
              <w:t> </w:t>
            </w:r>
            <w:r>
              <w:rPr>
                <w:w w:val="120"/>
                <w:sz w:val="20"/>
              </w:rPr>
              <w:t>do.</w:t>
            </w:r>
          </w:p>
          <w:p>
            <w:pPr>
              <w:pStyle w:val="TableParagraph"/>
              <w:numPr>
                <w:ilvl w:val="0"/>
                <w:numId w:val="55"/>
              </w:numPr>
              <w:tabs>
                <w:tab w:pos="760" w:val="left" w:leader="none"/>
                <w:tab w:pos="761" w:val="left" w:leader="none"/>
              </w:tabs>
              <w:spacing w:line="235" w:lineRule="auto" w:before="3" w:after="0"/>
              <w:ind w:left="760" w:right="544" w:hanging="681"/>
              <w:jc w:val="left"/>
              <w:rPr>
                <w:sz w:val="20"/>
              </w:rPr>
            </w:pPr>
            <w:r>
              <w:rPr>
                <w:w w:val="120"/>
                <w:sz w:val="20"/>
              </w:rPr>
              <w:t>Some of what we are called to let go of is inherently good, but not necessarily the highest priority at this time – and other things that we need to leave behind may be inherently</w:t>
            </w:r>
            <w:r>
              <w:rPr>
                <w:spacing w:val="6"/>
                <w:w w:val="120"/>
                <w:sz w:val="20"/>
              </w:rPr>
              <w:t> </w:t>
            </w:r>
            <w:r>
              <w:rPr>
                <w:w w:val="120"/>
                <w:sz w:val="20"/>
              </w:rPr>
              <w:t>unhelpful.</w:t>
            </w:r>
          </w:p>
          <w:p>
            <w:pPr>
              <w:pStyle w:val="TableParagraph"/>
              <w:numPr>
                <w:ilvl w:val="0"/>
                <w:numId w:val="55"/>
              </w:numPr>
              <w:tabs>
                <w:tab w:pos="760" w:val="left" w:leader="none"/>
                <w:tab w:pos="761" w:val="left" w:leader="none"/>
              </w:tabs>
              <w:spacing w:line="235" w:lineRule="auto" w:before="3" w:after="0"/>
              <w:ind w:left="760" w:right="741" w:hanging="681"/>
              <w:jc w:val="left"/>
              <w:rPr>
                <w:sz w:val="20"/>
              </w:rPr>
            </w:pPr>
            <w:r>
              <w:rPr>
                <w:w w:val="120"/>
                <w:sz w:val="20"/>
              </w:rPr>
              <w:t>God continues to work within the United Reformed Church and wants to encourage</w:t>
            </w:r>
            <w:r>
              <w:rPr>
                <w:spacing w:val="16"/>
                <w:w w:val="120"/>
                <w:sz w:val="20"/>
              </w:rPr>
              <w:t> </w:t>
            </w:r>
            <w:r>
              <w:rPr>
                <w:w w:val="120"/>
                <w:sz w:val="20"/>
              </w:rPr>
              <w:t>us.</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2577"/>
              <w:rPr>
                <w:sz w:val="20"/>
              </w:rPr>
            </w:pPr>
            <w:r>
              <w:rPr>
                <w:w w:val="125"/>
                <w:sz w:val="20"/>
              </w:rPr>
              <w:t>Mission Council Paper </w:t>
            </w:r>
            <w:r>
              <w:rPr>
                <w:spacing w:val="-6"/>
                <w:w w:val="125"/>
                <w:sz w:val="20"/>
              </w:rPr>
              <w:t>Z1, </w:t>
            </w:r>
            <w:r>
              <w:rPr>
                <w:w w:val="125"/>
                <w:sz w:val="20"/>
              </w:rPr>
              <w:t>May </w:t>
            </w:r>
            <w:r>
              <w:rPr>
                <w:spacing w:val="-12"/>
                <w:w w:val="125"/>
                <w:sz w:val="20"/>
              </w:rPr>
              <w:t>2017. </w:t>
            </w:r>
            <w:r>
              <w:rPr>
                <w:w w:val="125"/>
                <w:sz w:val="20"/>
              </w:rPr>
              <w:t>Mission Council Paper </w:t>
            </w:r>
            <w:r>
              <w:rPr>
                <w:spacing w:val="-6"/>
                <w:w w:val="125"/>
                <w:sz w:val="20"/>
              </w:rPr>
              <w:t>Z1, </w:t>
            </w:r>
            <w:r>
              <w:rPr>
                <w:w w:val="125"/>
                <w:sz w:val="20"/>
              </w:rPr>
              <w:t>March </w:t>
            </w:r>
            <w:r>
              <w:rPr>
                <w:spacing w:val="-5"/>
                <w:w w:val="125"/>
                <w:sz w:val="20"/>
              </w:rPr>
              <w:t>2018.</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ight="752"/>
              <w:rPr>
                <w:sz w:val="20"/>
              </w:rPr>
            </w:pPr>
            <w:r>
              <w:rPr>
                <w:w w:val="120"/>
                <w:sz w:val="20"/>
              </w:rPr>
              <w:t>Mission Council, on which all the synods are represented, in a series of conversations.</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No immediate impact.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0"/>
                <w:sz w:val="20"/>
              </w:rPr>
              <w:t>No immediate impact.</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2"/>
        <w:rPr>
          <w:rFonts w:ascii="Stone Sans II ITC Std Bk"/>
          <w:b/>
          <w:sz w:val="22"/>
        </w:rPr>
      </w:pPr>
    </w:p>
    <w:p>
      <w:pPr>
        <w:spacing w:before="0"/>
        <w:ind w:left="4006"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71</w:t>
      </w:r>
    </w:p>
    <w:p>
      <w:pPr>
        <w:spacing w:after="0"/>
        <w:jc w:val="left"/>
        <w:rPr>
          <w:rFonts w:ascii="Stone Sans II ITC Std X Bd" w:hAnsi="Stone Sans II ITC Std X Bd"/>
          <w:sz w:val="24"/>
        </w:rPr>
        <w:sectPr>
          <w:headerReference w:type="default" r:id="rId210"/>
          <w:footerReference w:type="default" r:id="rId211"/>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5886592">
            <wp:simplePos x="0" y="0"/>
            <wp:positionH relativeFrom="page">
              <wp:posOffset>0</wp:posOffset>
            </wp:positionH>
            <wp:positionV relativeFrom="page">
              <wp:posOffset>0</wp:posOffset>
            </wp:positionV>
            <wp:extent cx="594067" cy="10692003"/>
            <wp:effectExtent l="0" t="0" r="0" b="0"/>
            <wp:wrapNone/>
            <wp:docPr id="133" name="image49.png"/>
            <wp:cNvGraphicFramePr>
              <a:graphicFrameLocks noChangeAspect="1"/>
            </wp:cNvGraphicFramePr>
            <a:graphic>
              <a:graphicData uri="http://schemas.openxmlformats.org/drawingml/2006/picture">
                <pic:pic>
                  <pic:nvPicPr>
                    <pic:cNvPr id="134" name="image49.png"/>
                    <pic:cNvPicPr/>
                  </pic:nvPicPr>
                  <pic:blipFill>
                    <a:blip r:embed="rId62" cstate="print"/>
                    <a:stretch>
                      <a:fillRect/>
                    </a:stretch>
                  </pic:blipFill>
                  <pic:spPr>
                    <a:xfrm>
                      <a:off x="0" y="0"/>
                      <a:ext cx="594067" cy="10692003"/>
                    </a:xfrm>
                    <a:prstGeom prst="rect">
                      <a:avLst/>
                    </a:prstGeom>
                  </pic:spPr>
                </pic:pic>
              </a:graphicData>
            </a:graphic>
          </wp:anchor>
        </w:drawing>
      </w:r>
    </w:p>
    <w:p>
      <w:pPr>
        <w:pStyle w:val="BodyText"/>
        <w:spacing w:before="5"/>
        <w:rPr>
          <w:rFonts w:ascii="Stone Sans II ITC Std X Bd"/>
          <w:b/>
          <w:sz w:val="17"/>
        </w:rPr>
      </w:pPr>
    </w:p>
    <w:p>
      <w:pPr>
        <w:spacing w:before="109"/>
        <w:ind w:left="827" w:right="0" w:firstLine="0"/>
        <w:jc w:val="left"/>
        <w:rPr>
          <w:sz w:val="26"/>
        </w:rPr>
      </w:pPr>
      <w:r>
        <w:rPr/>
        <w:pict>
          <v:shape style="position:absolute;margin-left:20.519100pt;margin-top:22.743946pt;width:26pt;height:191.45pt;mso-position-horizontal-relative:page;mso-position-vertical-relative:paragraph;z-index:251854848"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r>
        <w:rPr>
          <w:color w:val="7EAABF"/>
          <w:w w:val="120"/>
          <w:sz w:val="26"/>
        </w:rPr>
        <w:t>Mission Council</w:t>
      </w:r>
    </w:p>
    <w:p>
      <w:pPr>
        <w:spacing w:before="245"/>
        <w:ind w:left="392" w:right="1167" w:firstLine="0"/>
        <w:jc w:val="center"/>
        <w:rPr>
          <w:rFonts w:ascii="Stone Sans II ITC Std X Bd"/>
          <w:b/>
          <w:sz w:val="50"/>
        </w:rPr>
      </w:pPr>
      <w:r>
        <w:rPr>
          <w:rFonts w:ascii="Stone Sans II ITC Std X Bd"/>
          <w:b/>
          <w:w w:val="110"/>
          <w:sz w:val="50"/>
        </w:rPr>
        <w:t>Giving up and taking up</w:t>
      </w:r>
    </w:p>
    <w:p>
      <w:pPr>
        <w:pStyle w:val="ListParagraph"/>
        <w:numPr>
          <w:ilvl w:val="0"/>
          <w:numId w:val="56"/>
        </w:numPr>
        <w:tabs>
          <w:tab w:pos="1507" w:val="left" w:leader="none"/>
          <w:tab w:pos="1508" w:val="left" w:leader="none"/>
        </w:tabs>
        <w:spacing w:line="235" w:lineRule="auto" w:before="365" w:after="0"/>
        <w:ind w:left="827" w:right="1720" w:firstLine="0"/>
        <w:jc w:val="left"/>
        <w:rPr>
          <w:sz w:val="20"/>
        </w:rPr>
      </w:pPr>
      <w:r>
        <w:rPr>
          <w:w w:val="120"/>
          <w:sz w:val="20"/>
        </w:rPr>
        <w:t>The synod moderators’ </w:t>
      </w:r>
      <w:r>
        <w:rPr>
          <w:spacing w:val="2"/>
          <w:w w:val="120"/>
          <w:sz w:val="20"/>
        </w:rPr>
        <w:t>report </w:t>
      </w:r>
      <w:r>
        <w:rPr>
          <w:w w:val="120"/>
          <w:sz w:val="20"/>
        </w:rPr>
        <w:t>to General Assembly is traditionally a substantial document, providing something of a ‘state of the nation’ summary of how we perceive the life of the</w:t>
      </w:r>
      <w:r>
        <w:rPr>
          <w:spacing w:val="7"/>
          <w:w w:val="120"/>
          <w:sz w:val="20"/>
        </w:rPr>
        <w:t> </w:t>
      </w:r>
      <w:r>
        <w:rPr>
          <w:w w:val="120"/>
          <w:sz w:val="20"/>
        </w:rPr>
        <w:t>denomination.</w:t>
      </w:r>
    </w:p>
    <w:p>
      <w:pPr>
        <w:pStyle w:val="BodyText"/>
        <w:spacing w:before="10"/>
        <w:rPr>
          <w:sz w:val="19"/>
        </w:rPr>
      </w:pPr>
    </w:p>
    <w:p>
      <w:pPr>
        <w:pStyle w:val="ListParagraph"/>
        <w:numPr>
          <w:ilvl w:val="0"/>
          <w:numId w:val="56"/>
        </w:numPr>
        <w:tabs>
          <w:tab w:pos="1507" w:val="left" w:leader="none"/>
          <w:tab w:pos="1508" w:val="left" w:leader="none"/>
        </w:tabs>
        <w:spacing w:line="235" w:lineRule="auto" w:before="0" w:after="0"/>
        <w:ind w:left="827" w:right="1935" w:firstLine="0"/>
        <w:jc w:val="left"/>
        <w:rPr>
          <w:sz w:val="20"/>
        </w:rPr>
      </w:pPr>
      <w:r>
        <w:rPr>
          <w:w w:val="120"/>
          <w:sz w:val="20"/>
        </w:rPr>
        <w:t>In the past </w:t>
      </w:r>
      <w:r>
        <w:rPr>
          <w:spacing w:val="-9"/>
          <w:w w:val="120"/>
          <w:sz w:val="20"/>
        </w:rPr>
        <w:t>12 </w:t>
      </w:r>
      <w:r>
        <w:rPr>
          <w:w w:val="120"/>
          <w:sz w:val="20"/>
        </w:rPr>
        <w:t>months, we have brought papers to Mission Council, reflecting the challenges we see in the Church, the main document being Paper </w:t>
      </w:r>
      <w:r>
        <w:rPr>
          <w:spacing w:val="-6"/>
          <w:w w:val="120"/>
          <w:sz w:val="20"/>
        </w:rPr>
        <w:t>Z1, </w:t>
      </w:r>
      <w:r>
        <w:rPr>
          <w:w w:val="120"/>
          <w:sz w:val="20"/>
        </w:rPr>
        <w:t>which was discussed at Mission Council in March </w:t>
      </w:r>
      <w:r>
        <w:rPr>
          <w:spacing w:val="-5"/>
          <w:w w:val="120"/>
          <w:sz w:val="20"/>
        </w:rPr>
        <w:t>2018, </w:t>
      </w:r>
      <w:r>
        <w:rPr>
          <w:w w:val="120"/>
          <w:sz w:val="20"/>
        </w:rPr>
        <w:t>with resolutions passed encouraging us, at all levels of the Church to consider our priorities. We commend this paper to the churches, as we take seriously the need to declutter, or prune – to stop trying to do everything, rather to do fewer things and to do them</w:t>
      </w:r>
      <w:r>
        <w:rPr>
          <w:spacing w:val="28"/>
          <w:w w:val="120"/>
          <w:sz w:val="20"/>
        </w:rPr>
        <w:t> </w:t>
      </w:r>
      <w:r>
        <w:rPr>
          <w:w w:val="120"/>
          <w:sz w:val="20"/>
        </w:rPr>
        <w:t>well.</w:t>
      </w:r>
    </w:p>
    <w:p>
      <w:pPr>
        <w:pStyle w:val="BodyText"/>
      </w:pPr>
    </w:p>
    <w:p>
      <w:pPr>
        <w:pStyle w:val="ListParagraph"/>
        <w:numPr>
          <w:ilvl w:val="0"/>
          <w:numId w:val="56"/>
        </w:numPr>
        <w:tabs>
          <w:tab w:pos="1507" w:val="left" w:leader="none"/>
          <w:tab w:pos="1508" w:val="left" w:leader="none"/>
        </w:tabs>
        <w:spacing w:line="235" w:lineRule="auto" w:before="0" w:after="0"/>
        <w:ind w:left="827" w:right="1605" w:firstLine="0"/>
        <w:jc w:val="left"/>
        <w:rPr>
          <w:sz w:val="20"/>
        </w:rPr>
      </w:pPr>
      <w:r>
        <w:rPr>
          <w:spacing w:val="3"/>
          <w:w w:val="120"/>
          <w:sz w:val="20"/>
        </w:rPr>
        <w:t>As </w:t>
      </w:r>
      <w:r>
        <w:rPr>
          <w:w w:val="120"/>
          <w:sz w:val="20"/>
        </w:rPr>
        <w:t>one </w:t>
      </w:r>
      <w:r>
        <w:rPr>
          <w:spacing w:val="2"/>
          <w:w w:val="120"/>
          <w:sz w:val="20"/>
        </w:rPr>
        <w:t>part </w:t>
      </w:r>
      <w:r>
        <w:rPr>
          <w:w w:val="120"/>
          <w:sz w:val="20"/>
        </w:rPr>
        <w:t>of our thinking, our General Secretary, John Proctor, challenged us   to respond to this question: ‘How do we interpret the purposes of God in the context of steady decline in the United Reformed Church, and how does this interpretation shape both our spirituality and the leadership we</w:t>
      </w:r>
      <w:r>
        <w:rPr>
          <w:spacing w:val="11"/>
          <w:w w:val="120"/>
          <w:sz w:val="20"/>
        </w:rPr>
        <w:t> </w:t>
      </w:r>
      <w:r>
        <w:rPr>
          <w:w w:val="120"/>
          <w:sz w:val="20"/>
        </w:rPr>
        <w:t>offer?’</w:t>
      </w:r>
    </w:p>
    <w:p>
      <w:pPr>
        <w:pStyle w:val="BodyText"/>
        <w:spacing w:before="11"/>
        <w:rPr>
          <w:sz w:val="19"/>
        </w:rPr>
      </w:pPr>
    </w:p>
    <w:p>
      <w:pPr>
        <w:pStyle w:val="ListParagraph"/>
        <w:numPr>
          <w:ilvl w:val="0"/>
          <w:numId w:val="56"/>
        </w:numPr>
        <w:tabs>
          <w:tab w:pos="1507" w:val="left" w:leader="none"/>
          <w:tab w:pos="1508" w:val="left" w:leader="none"/>
        </w:tabs>
        <w:spacing w:line="235" w:lineRule="auto" w:before="0" w:after="0"/>
        <w:ind w:left="827" w:right="1654" w:firstLine="0"/>
        <w:jc w:val="left"/>
        <w:rPr>
          <w:sz w:val="20"/>
        </w:rPr>
      </w:pPr>
      <w:r>
        <w:rPr>
          <w:w w:val="120"/>
          <w:sz w:val="20"/>
        </w:rPr>
        <w:t>It is from our responses </w:t>
      </w:r>
      <w:r>
        <w:rPr>
          <w:spacing w:val="-3"/>
          <w:w w:val="120"/>
          <w:sz w:val="20"/>
        </w:rPr>
        <w:t>to this </w:t>
      </w:r>
      <w:r>
        <w:rPr>
          <w:w w:val="120"/>
          <w:sz w:val="20"/>
        </w:rPr>
        <w:t>question that the theme of </w:t>
      </w:r>
      <w:r>
        <w:rPr>
          <w:spacing w:val="-3"/>
          <w:w w:val="120"/>
          <w:sz w:val="20"/>
        </w:rPr>
        <w:t>‘Giving </w:t>
      </w:r>
      <w:r>
        <w:rPr>
          <w:w w:val="120"/>
          <w:sz w:val="20"/>
        </w:rPr>
        <w:t>up and taking </w:t>
      </w:r>
      <w:r>
        <w:rPr>
          <w:spacing w:val="-5"/>
          <w:w w:val="120"/>
          <w:sz w:val="20"/>
        </w:rPr>
        <w:t>up’ </w:t>
      </w:r>
      <w:r>
        <w:rPr>
          <w:w w:val="120"/>
          <w:sz w:val="20"/>
        </w:rPr>
        <w:t>has emerged. In an era where </w:t>
      </w:r>
      <w:r>
        <w:rPr>
          <w:spacing w:val="-4"/>
          <w:w w:val="120"/>
          <w:sz w:val="20"/>
        </w:rPr>
        <w:t>‘giving </w:t>
      </w:r>
      <w:r>
        <w:rPr>
          <w:w w:val="120"/>
          <w:sz w:val="20"/>
        </w:rPr>
        <w:t>something up for Lent’ </w:t>
      </w:r>
      <w:r>
        <w:rPr>
          <w:spacing w:val="-3"/>
          <w:w w:val="120"/>
          <w:sz w:val="20"/>
        </w:rPr>
        <w:t>may </w:t>
      </w:r>
      <w:r>
        <w:rPr>
          <w:w w:val="120"/>
          <w:sz w:val="20"/>
        </w:rPr>
        <w:t>be little more than a </w:t>
      </w:r>
      <w:r>
        <w:rPr>
          <w:spacing w:val="-3"/>
          <w:w w:val="120"/>
          <w:sz w:val="20"/>
        </w:rPr>
        <w:t>chance to revisit </w:t>
      </w:r>
      <w:r>
        <w:rPr>
          <w:w w:val="120"/>
          <w:sz w:val="20"/>
        </w:rPr>
        <w:t>a failed new </w:t>
      </w:r>
      <w:r>
        <w:rPr>
          <w:spacing w:val="-4"/>
          <w:w w:val="120"/>
          <w:sz w:val="20"/>
        </w:rPr>
        <w:t>year’s </w:t>
      </w:r>
      <w:r>
        <w:rPr>
          <w:spacing w:val="-3"/>
          <w:w w:val="120"/>
          <w:sz w:val="20"/>
        </w:rPr>
        <w:t>resolution, many </w:t>
      </w:r>
      <w:r>
        <w:rPr>
          <w:w w:val="120"/>
          <w:sz w:val="20"/>
        </w:rPr>
        <w:t>of us </w:t>
      </w:r>
      <w:r>
        <w:rPr>
          <w:spacing w:val="-3"/>
          <w:w w:val="120"/>
          <w:sz w:val="20"/>
        </w:rPr>
        <w:t>have </w:t>
      </w:r>
      <w:r>
        <w:rPr>
          <w:w w:val="120"/>
          <w:sz w:val="20"/>
        </w:rPr>
        <w:t>been encouraged </w:t>
      </w:r>
      <w:r>
        <w:rPr>
          <w:spacing w:val="-3"/>
          <w:w w:val="120"/>
          <w:sz w:val="20"/>
        </w:rPr>
        <w:t>to </w:t>
      </w:r>
      <w:r>
        <w:rPr>
          <w:w w:val="120"/>
          <w:sz w:val="20"/>
        </w:rPr>
        <w:t>‘take something up for Lent’ </w:t>
      </w:r>
      <w:r>
        <w:rPr>
          <w:spacing w:val="-3"/>
          <w:w w:val="120"/>
          <w:sz w:val="20"/>
        </w:rPr>
        <w:t>instead. </w:t>
      </w:r>
      <w:r>
        <w:rPr>
          <w:w w:val="120"/>
          <w:sz w:val="20"/>
        </w:rPr>
        <w:t>Whilst </w:t>
      </w:r>
      <w:r>
        <w:rPr>
          <w:spacing w:val="-4"/>
          <w:w w:val="120"/>
          <w:sz w:val="20"/>
        </w:rPr>
        <w:t>‘giving </w:t>
      </w:r>
      <w:r>
        <w:rPr>
          <w:spacing w:val="-5"/>
          <w:w w:val="120"/>
          <w:sz w:val="20"/>
        </w:rPr>
        <w:t>up’ </w:t>
      </w:r>
      <w:r>
        <w:rPr>
          <w:w w:val="120"/>
          <w:sz w:val="20"/>
        </w:rPr>
        <w:t>might seem </w:t>
      </w:r>
      <w:r>
        <w:rPr>
          <w:spacing w:val="-3"/>
          <w:w w:val="120"/>
          <w:sz w:val="20"/>
        </w:rPr>
        <w:t>negative, </w:t>
      </w:r>
      <w:r>
        <w:rPr>
          <w:w w:val="120"/>
          <w:sz w:val="20"/>
        </w:rPr>
        <w:t>some of the things</w:t>
      </w:r>
      <w:r>
        <w:rPr>
          <w:spacing w:val="-4"/>
          <w:w w:val="120"/>
          <w:sz w:val="20"/>
        </w:rPr>
        <w:t> </w:t>
      </w:r>
      <w:r>
        <w:rPr>
          <w:w w:val="120"/>
          <w:sz w:val="20"/>
        </w:rPr>
        <w:t>we</w:t>
      </w:r>
      <w:r>
        <w:rPr>
          <w:spacing w:val="-4"/>
          <w:w w:val="120"/>
          <w:sz w:val="20"/>
        </w:rPr>
        <w:t> </w:t>
      </w:r>
      <w:r>
        <w:rPr>
          <w:w w:val="120"/>
          <w:sz w:val="20"/>
        </w:rPr>
        <w:t>might</w:t>
      </w:r>
      <w:r>
        <w:rPr>
          <w:spacing w:val="-4"/>
          <w:w w:val="120"/>
          <w:sz w:val="20"/>
        </w:rPr>
        <w:t> </w:t>
      </w:r>
      <w:r>
        <w:rPr>
          <w:w w:val="120"/>
          <w:sz w:val="20"/>
        </w:rPr>
        <w:t>be</w:t>
      </w:r>
      <w:r>
        <w:rPr>
          <w:spacing w:val="-4"/>
          <w:w w:val="120"/>
          <w:sz w:val="20"/>
        </w:rPr>
        <w:t> </w:t>
      </w:r>
      <w:r>
        <w:rPr>
          <w:w w:val="120"/>
          <w:sz w:val="20"/>
        </w:rPr>
        <w:t>called</w:t>
      </w:r>
      <w:r>
        <w:rPr>
          <w:spacing w:val="-4"/>
          <w:w w:val="120"/>
          <w:sz w:val="20"/>
        </w:rPr>
        <w:t> </w:t>
      </w:r>
      <w:r>
        <w:rPr>
          <w:spacing w:val="-3"/>
          <w:w w:val="120"/>
          <w:sz w:val="20"/>
        </w:rPr>
        <w:t>to</w:t>
      </w:r>
      <w:r>
        <w:rPr>
          <w:spacing w:val="-4"/>
          <w:w w:val="120"/>
          <w:sz w:val="20"/>
        </w:rPr>
        <w:t> </w:t>
      </w:r>
      <w:r>
        <w:rPr>
          <w:w w:val="120"/>
          <w:sz w:val="20"/>
        </w:rPr>
        <w:t>let</w:t>
      </w:r>
      <w:r>
        <w:rPr>
          <w:spacing w:val="-4"/>
          <w:w w:val="120"/>
          <w:sz w:val="20"/>
        </w:rPr>
        <w:t> </w:t>
      </w:r>
      <w:r>
        <w:rPr>
          <w:w w:val="120"/>
          <w:sz w:val="20"/>
        </w:rPr>
        <w:t>go</w:t>
      </w:r>
      <w:r>
        <w:rPr>
          <w:spacing w:val="-3"/>
          <w:w w:val="120"/>
          <w:sz w:val="20"/>
        </w:rPr>
        <w:t> </w:t>
      </w:r>
      <w:r>
        <w:rPr>
          <w:w w:val="120"/>
          <w:sz w:val="20"/>
        </w:rPr>
        <w:t>of</w:t>
      </w:r>
      <w:r>
        <w:rPr>
          <w:spacing w:val="-4"/>
          <w:w w:val="120"/>
          <w:sz w:val="20"/>
        </w:rPr>
        <w:t> </w:t>
      </w:r>
      <w:r>
        <w:rPr>
          <w:w w:val="120"/>
          <w:sz w:val="20"/>
        </w:rPr>
        <w:t>are</w:t>
      </w:r>
      <w:r>
        <w:rPr>
          <w:spacing w:val="-4"/>
          <w:w w:val="120"/>
          <w:sz w:val="20"/>
        </w:rPr>
        <w:t> </w:t>
      </w:r>
      <w:r>
        <w:rPr>
          <w:w w:val="120"/>
          <w:sz w:val="20"/>
        </w:rPr>
        <w:t>hardly</w:t>
      </w:r>
      <w:r>
        <w:rPr>
          <w:spacing w:val="-4"/>
          <w:w w:val="120"/>
          <w:sz w:val="20"/>
        </w:rPr>
        <w:t> </w:t>
      </w:r>
      <w:r>
        <w:rPr>
          <w:w w:val="120"/>
          <w:sz w:val="20"/>
        </w:rPr>
        <w:t>assets</w:t>
      </w:r>
      <w:r>
        <w:rPr>
          <w:spacing w:val="-4"/>
          <w:w w:val="120"/>
          <w:sz w:val="20"/>
        </w:rPr>
        <w:t> </w:t>
      </w:r>
      <w:r>
        <w:rPr>
          <w:spacing w:val="-3"/>
          <w:w w:val="120"/>
          <w:sz w:val="20"/>
        </w:rPr>
        <w:t>to</w:t>
      </w:r>
      <w:r>
        <w:rPr>
          <w:spacing w:val="-4"/>
          <w:w w:val="120"/>
          <w:sz w:val="20"/>
        </w:rPr>
        <w:t> </w:t>
      </w:r>
      <w:r>
        <w:rPr>
          <w:w w:val="120"/>
          <w:sz w:val="20"/>
        </w:rPr>
        <w:t>our</w:t>
      </w:r>
      <w:r>
        <w:rPr>
          <w:spacing w:val="-4"/>
          <w:w w:val="120"/>
          <w:sz w:val="20"/>
        </w:rPr>
        <w:t> </w:t>
      </w:r>
      <w:r>
        <w:rPr>
          <w:w w:val="120"/>
          <w:sz w:val="20"/>
        </w:rPr>
        <w:t>life</w:t>
      </w:r>
      <w:r>
        <w:rPr>
          <w:spacing w:val="-3"/>
          <w:w w:val="120"/>
          <w:sz w:val="20"/>
        </w:rPr>
        <w:t> </w:t>
      </w:r>
      <w:r>
        <w:rPr>
          <w:w w:val="120"/>
          <w:sz w:val="20"/>
        </w:rPr>
        <w:t>of</w:t>
      </w:r>
      <w:r>
        <w:rPr>
          <w:spacing w:val="-4"/>
          <w:w w:val="120"/>
          <w:sz w:val="20"/>
        </w:rPr>
        <w:t> </w:t>
      </w:r>
      <w:r>
        <w:rPr>
          <w:w w:val="120"/>
          <w:sz w:val="20"/>
        </w:rPr>
        <w:t>faith.</w:t>
      </w:r>
    </w:p>
    <w:p>
      <w:pPr>
        <w:pStyle w:val="BodyText"/>
        <w:spacing w:before="12"/>
        <w:rPr>
          <w:sz w:val="19"/>
        </w:rPr>
      </w:pPr>
    </w:p>
    <w:p>
      <w:pPr>
        <w:pStyle w:val="ListParagraph"/>
        <w:numPr>
          <w:ilvl w:val="0"/>
          <w:numId w:val="56"/>
        </w:numPr>
        <w:tabs>
          <w:tab w:pos="1507" w:val="left" w:leader="none"/>
          <w:tab w:pos="1508" w:val="left" w:leader="none"/>
        </w:tabs>
        <w:spacing w:line="235" w:lineRule="auto" w:before="0" w:after="0"/>
        <w:ind w:left="827" w:right="1800" w:firstLine="0"/>
        <w:jc w:val="left"/>
        <w:rPr>
          <w:sz w:val="20"/>
        </w:rPr>
      </w:pPr>
      <w:r>
        <w:rPr>
          <w:w w:val="120"/>
          <w:sz w:val="20"/>
        </w:rPr>
        <w:t>Our offering to you this Assembly is one which we hope will stimulate thought, but is in a form which might easily be taken back to any local church for wider discussion. Each section has one thing to give up, one to take up. There are short scriptures to consider, a thought in the form of a haiku </w:t>
      </w:r>
      <w:r>
        <w:rPr>
          <w:spacing w:val="-9"/>
          <w:w w:val="120"/>
          <w:sz w:val="20"/>
        </w:rPr>
        <w:t>(a </w:t>
      </w:r>
      <w:r>
        <w:rPr>
          <w:w w:val="120"/>
          <w:sz w:val="20"/>
        </w:rPr>
        <w:t>stylised form of </w:t>
      </w:r>
      <w:r>
        <w:rPr>
          <w:spacing w:val="2"/>
          <w:w w:val="120"/>
          <w:sz w:val="20"/>
        </w:rPr>
        <w:t>poetry </w:t>
      </w:r>
      <w:r>
        <w:rPr>
          <w:w w:val="120"/>
          <w:sz w:val="20"/>
        </w:rPr>
        <w:t>from </w:t>
      </w:r>
      <w:r>
        <w:rPr>
          <w:spacing w:val="-4"/>
          <w:w w:val="120"/>
          <w:sz w:val="20"/>
        </w:rPr>
        <w:t>Japan), </w:t>
      </w:r>
      <w:r>
        <w:rPr>
          <w:w w:val="120"/>
          <w:sz w:val="20"/>
        </w:rPr>
        <w:t>stories from local situations and a discussion</w:t>
      </w:r>
      <w:r>
        <w:rPr>
          <w:spacing w:val="17"/>
          <w:w w:val="120"/>
          <w:sz w:val="20"/>
        </w:rPr>
        <w:t> </w:t>
      </w:r>
      <w:r>
        <w:rPr>
          <w:w w:val="120"/>
          <w:sz w:val="20"/>
        </w:rPr>
        <w:t>question.</w:t>
      </w:r>
    </w:p>
    <w:p>
      <w:pPr>
        <w:pStyle w:val="BodyText"/>
        <w:spacing w:before="11"/>
        <w:rPr>
          <w:sz w:val="19"/>
        </w:rPr>
      </w:pPr>
    </w:p>
    <w:p>
      <w:pPr>
        <w:pStyle w:val="ListParagraph"/>
        <w:numPr>
          <w:ilvl w:val="0"/>
          <w:numId w:val="56"/>
        </w:numPr>
        <w:tabs>
          <w:tab w:pos="1507" w:val="left" w:leader="none"/>
          <w:tab w:pos="1508" w:val="left" w:leader="none"/>
        </w:tabs>
        <w:spacing w:line="235" w:lineRule="auto" w:before="0" w:after="0"/>
        <w:ind w:left="827" w:right="1985" w:firstLine="0"/>
        <w:jc w:val="left"/>
        <w:rPr>
          <w:sz w:val="20"/>
        </w:rPr>
      </w:pPr>
      <w:r>
        <w:rPr>
          <w:spacing w:val="3"/>
          <w:w w:val="120"/>
          <w:sz w:val="20"/>
        </w:rPr>
        <w:t>As </w:t>
      </w:r>
      <w:r>
        <w:rPr>
          <w:w w:val="120"/>
          <w:sz w:val="20"/>
        </w:rPr>
        <w:t>individuals, local congregations, synods and the whole denomination, our emphasis continues to be on ‘Walking the Way: Living the life of Jesus </w:t>
      </w:r>
      <w:r>
        <w:rPr>
          <w:spacing w:val="-3"/>
          <w:w w:val="120"/>
          <w:sz w:val="20"/>
        </w:rPr>
        <w:t>today’. </w:t>
      </w:r>
      <w:r>
        <w:rPr>
          <w:spacing w:val="3"/>
          <w:w w:val="120"/>
          <w:sz w:val="20"/>
        </w:rPr>
        <w:t>As </w:t>
      </w:r>
      <w:r>
        <w:rPr>
          <w:w w:val="120"/>
          <w:sz w:val="20"/>
        </w:rPr>
        <w:t>we follow the call to live the life of Jesus </w:t>
      </w:r>
      <w:r>
        <w:rPr>
          <w:spacing w:val="-3"/>
          <w:w w:val="120"/>
          <w:sz w:val="20"/>
        </w:rPr>
        <w:t>today, </w:t>
      </w:r>
      <w:r>
        <w:rPr>
          <w:w w:val="120"/>
          <w:sz w:val="20"/>
        </w:rPr>
        <w:t>we pray that we will have the courage to give things up and take them up in response to the Spirit’s</w:t>
      </w:r>
      <w:r>
        <w:rPr>
          <w:spacing w:val="33"/>
          <w:w w:val="120"/>
          <w:sz w:val="20"/>
        </w:rPr>
        <w:t> </w:t>
      </w:r>
      <w:r>
        <w:rPr>
          <w:w w:val="120"/>
          <w:sz w:val="20"/>
        </w:rPr>
        <w:t>call.</w:t>
      </w:r>
    </w:p>
    <w:p>
      <w:pPr>
        <w:pStyle w:val="BodyText"/>
        <w:spacing w:before="8"/>
        <w:rPr>
          <w:sz w:val="19"/>
        </w:rPr>
      </w:pPr>
    </w:p>
    <w:p>
      <w:pPr>
        <w:pStyle w:val="ListParagraph"/>
        <w:numPr>
          <w:ilvl w:val="0"/>
          <w:numId w:val="56"/>
        </w:numPr>
        <w:tabs>
          <w:tab w:pos="1507" w:val="left" w:leader="none"/>
          <w:tab w:pos="1508" w:val="left" w:leader="none"/>
        </w:tabs>
        <w:spacing w:line="240" w:lineRule="auto" w:before="0" w:after="0"/>
        <w:ind w:left="1507" w:right="0" w:hanging="681"/>
        <w:jc w:val="left"/>
        <w:rPr>
          <w:sz w:val="20"/>
        </w:rPr>
      </w:pPr>
      <w:r>
        <w:rPr>
          <w:w w:val="120"/>
          <w:sz w:val="20"/>
        </w:rPr>
        <w:t>Here is our offering, for reflection, and perhaps for inspiration and</w:t>
      </w:r>
      <w:r>
        <w:rPr>
          <w:spacing w:val="24"/>
          <w:w w:val="120"/>
          <w:sz w:val="20"/>
        </w:rPr>
        <w:t> </w:t>
      </w:r>
      <w:r>
        <w:rPr>
          <w:w w:val="120"/>
          <w:sz w:val="20"/>
        </w:rPr>
        <w:t>action.</w:t>
      </w:r>
    </w:p>
    <w:p>
      <w:pPr>
        <w:pStyle w:val="BodyText"/>
        <w:spacing w:before="7"/>
        <w:rPr>
          <w:sz w:val="18"/>
        </w:rPr>
      </w:pPr>
    </w:p>
    <w:tbl>
      <w:tblPr>
        <w:tblW w:w="0" w:type="auto"/>
        <w:jc w:val="left"/>
        <w:tblInd w:w="8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209"/>
        <w:gridCol w:w="4452"/>
      </w:tblGrid>
      <w:tr>
        <w:trPr>
          <w:trHeight w:val="426" w:hRule="atLeast"/>
        </w:trPr>
        <w:tc>
          <w:tcPr>
            <w:tcW w:w="4209" w:type="dxa"/>
            <w:tcBorders>
              <w:top w:val="nil"/>
              <w:left w:val="nil"/>
              <w:bottom w:val="nil"/>
            </w:tcBorders>
            <w:shd w:val="clear" w:color="auto" w:fill="F1B400"/>
          </w:tcPr>
          <w:p>
            <w:pPr>
              <w:pStyle w:val="TableParagraph"/>
              <w:spacing w:before="105"/>
              <w:ind w:left="1701" w:right="1653"/>
              <w:jc w:val="center"/>
              <w:rPr>
                <w:rFonts w:ascii="Stone Sans II ITC Std Bk"/>
                <w:b/>
                <w:sz w:val="20"/>
              </w:rPr>
            </w:pPr>
            <w:r>
              <w:rPr>
                <w:rFonts w:ascii="Stone Sans II ITC Std Bk"/>
                <w:b/>
                <w:color w:val="FFFFFF"/>
                <w:w w:val="110"/>
                <w:sz w:val="20"/>
              </w:rPr>
              <w:t>Give up</w:t>
            </w:r>
          </w:p>
        </w:tc>
        <w:tc>
          <w:tcPr>
            <w:tcW w:w="4452" w:type="dxa"/>
            <w:tcBorders>
              <w:top w:val="nil"/>
              <w:bottom w:val="nil"/>
              <w:right w:val="nil"/>
            </w:tcBorders>
            <w:shd w:val="clear" w:color="auto" w:fill="F1B400"/>
          </w:tcPr>
          <w:p>
            <w:pPr>
              <w:pStyle w:val="TableParagraph"/>
              <w:spacing w:before="105"/>
              <w:ind w:left="1801" w:right="1762"/>
              <w:jc w:val="center"/>
              <w:rPr>
                <w:rFonts w:ascii="Stone Sans II ITC Std Bk"/>
                <w:b/>
                <w:sz w:val="20"/>
              </w:rPr>
            </w:pPr>
            <w:r>
              <w:rPr>
                <w:rFonts w:ascii="Stone Sans II ITC Std Bk"/>
                <w:b/>
                <w:color w:val="FFFFFF"/>
                <w:w w:val="110"/>
                <w:sz w:val="20"/>
              </w:rPr>
              <w:t>Take up</w:t>
            </w:r>
          </w:p>
        </w:tc>
      </w:tr>
      <w:tr>
        <w:trPr>
          <w:trHeight w:val="2147" w:hRule="atLeast"/>
        </w:trPr>
        <w:tc>
          <w:tcPr>
            <w:tcW w:w="4209" w:type="dxa"/>
            <w:tcBorders>
              <w:top w:val="nil"/>
              <w:left w:val="single" w:sz="4" w:space="0" w:color="F1B400"/>
              <w:bottom w:val="nil"/>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Guilt</w:t>
            </w:r>
          </w:p>
          <w:p>
            <w:pPr>
              <w:pStyle w:val="TableParagraph"/>
              <w:spacing w:line="235" w:lineRule="auto"/>
              <w:ind w:left="113" w:right="293"/>
              <w:rPr>
                <w:sz w:val="20"/>
              </w:rPr>
            </w:pPr>
            <w:r>
              <w:rPr>
                <w:spacing w:val="2"/>
                <w:w w:val="120"/>
                <w:sz w:val="20"/>
              </w:rPr>
              <w:t>‘Therefore, </w:t>
            </w:r>
            <w:r>
              <w:rPr>
                <w:w w:val="120"/>
                <w:sz w:val="20"/>
              </w:rPr>
              <w:t>since we are </w:t>
            </w:r>
            <w:r>
              <w:rPr>
                <w:spacing w:val="2"/>
                <w:w w:val="120"/>
                <w:sz w:val="20"/>
              </w:rPr>
              <w:t>surrounded </w:t>
            </w:r>
            <w:r>
              <w:rPr>
                <w:w w:val="120"/>
                <w:sz w:val="20"/>
              </w:rPr>
              <w:t>by so great a cloud of </w:t>
            </w:r>
            <w:r>
              <w:rPr>
                <w:spacing w:val="2"/>
                <w:w w:val="120"/>
                <w:sz w:val="20"/>
              </w:rPr>
              <w:t>witnesses, </w:t>
            </w:r>
            <w:r>
              <w:rPr>
                <w:w w:val="120"/>
                <w:sz w:val="20"/>
              </w:rPr>
              <w:t>let  us also lay aside </w:t>
            </w:r>
            <w:r>
              <w:rPr>
                <w:spacing w:val="3"/>
                <w:w w:val="120"/>
                <w:sz w:val="20"/>
              </w:rPr>
              <w:t>every </w:t>
            </w:r>
            <w:r>
              <w:rPr>
                <w:w w:val="120"/>
                <w:sz w:val="20"/>
              </w:rPr>
              <w:t>weight and</w:t>
            </w:r>
            <w:r>
              <w:rPr>
                <w:spacing w:val="20"/>
                <w:w w:val="120"/>
                <w:sz w:val="20"/>
              </w:rPr>
              <w:t> </w:t>
            </w:r>
            <w:r>
              <w:rPr>
                <w:w w:val="120"/>
                <w:sz w:val="20"/>
              </w:rPr>
              <w:t>the</w:t>
            </w:r>
          </w:p>
          <w:p>
            <w:pPr>
              <w:pStyle w:val="TableParagraph"/>
              <w:spacing w:line="235" w:lineRule="auto"/>
              <w:ind w:left="113"/>
              <w:rPr>
                <w:sz w:val="20"/>
              </w:rPr>
            </w:pPr>
            <w:r>
              <w:rPr>
                <w:w w:val="120"/>
                <w:sz w:val="20"/>
              </w:rPr>
              <w:t>sin that clings so closely, and let us run with perseverance the race that is set before us.’</w:t>
            </w:r>
          </w:p>
          <w:p>
            <w:pPr>
              <w:pStyle w:val="TableParagraph"/>
              <w:spacing w:line="242" w:lineRule="exact"/>
              <w:ind w:left="2606"/>
              <w:rPr>
                <w:sz w:val="20"/>
              </w:rPr>
            </w:pPr>
            <w:r>
              <w:rPr>
                <w:w w:val="125"/>
                <w:sz w:val="20"/>
              </w:rPr>
              <w:t>– Hebrews 12:1</w:t>
            </w:r>
          </w:p>
        </w:tc>
        <w:tc>
          <w:tcPr>
            <w:tcW w:w="4452" w:type="dxa"/>
            <w:tcBorders>
              <w:top w:val="nil"/>
              <w:left w:val="single" w:sz="4" w:space="0" w:color="F1B400"/>
              <w:bottom w:val="nil"/>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Grace</w:t>
            </w:r>
          </w:p>
          <w:p>
            <w:pPr>
              <w:pStyle w:val="TableParagraph"/>
              <w:spacing w:line="235" w:lineRule="auto"/>
              <w:ind w:left="113" w:right="402"/>
              <w:rPr>
                <w:sz w:val="20"/>
              </w:rPr>
            </w:pPr>
            <w:r>
              <w:rPr>
                <w:w w:val="120"/>
                <w:sz w:val="20"/>
              </w:rPr>
              <w:t>‘”My grace is sufficient for you, for power is made </w:t>
            </w:r>
            <w:r>
              <w:rPr>
                <w:spacing w:val="2"/>
                <w:w w:val="120"/>
                <w:sz w:val="20"/>
              </w:rPr>
              <w:t>perfect </w:t>
            </w:r>
            <w:r>
              <w:rPr>
                <w:w w:val="120"/>
                <w:sz w:val="20"/>
              </w:rPr>
              <w:t>in weakness.” So, I will boast all the more gladly of my weaknesses, so that the power of Christ may dwell in</w:t>
            </w:r>
            <w:r>
              <w:rPr>
                <w:spacing w:val="7"/>
                <w:w w:val="120"/>
                <w:sz w:val="20"/>
              </w:rPr>
              <w:t> </w:t>
            </w:r>
            <w:r>
              <w:rPr>
                <w:spacing w:val="-5"/>
                <w:w w:val="120"/>
                <w:sz w:val="20"/>
              </w:rPr>
              <w:t>me.’</w:t>
            </w:r>
          </w:p>
          <w:p>
            <w:pPr>
              <w:pStyle w:val="TableParagraph"/>
              <w:spacing w:line="244" w:lineRule="exact"/>
              <w:ind w:left="2398"/>
              <w:rPr>
                <w:sz w:val="20"/>
              </w:rPr>
            </w:pPr>
            <w:r>
              <w:rPr>
                <w:w w:val="125"/>
                <w:sz w:val="20"/>
              </w:rPr>
              <w:t>– 2 Corinthians 12:9</w:t>
            </w:r>
          </w:p>
        </w:tc>
      </w:tr>
      <w:tr>
        <w:trPr>
          <w:trHeight w:val="898" w:hRule="atLeast"/>
        </w:trPr>
        <w:tc>
          <w:tcPr>
            <w:tcW w:w="4209" w:type="dxa"/>
            <w:tcBorders>
              <w:top w:val="nil"/>
              <w:left w:val="single" w:sz="4" w:space="0" w:color="F1B400"/>
              <w:bottom w:val="single" w:sz="4" w:space="0" w:color="F1B400"/>
              <w:right w:val="single" w:sz="4" w:space="0" w:color="F1B400"/>
            </w:tcBorders>
          </w:tcPr>
          <w:p>
            <w:pPr>
              <w:pStyle w:val="TableParagraph"/>
              <w:spacing w:line="235" w:lineRule="auto" w:before="123"/>
              <w:ind w:left="396" w:right="947"/>
              <w:rPr>
                <w:sz w:val="20"/>
              </w:rPr>
            </w:pPr>
            <w:r>
              <w:rPr>
                <w:w w:val="125"/>
                <w:sz w:val="20"/>
              </w:rPr>
              <w:t>Things done – or not done. A God of new beginnings can throw off shackles.</w:t>
            </w:r>
          </w:p>
        </w:tc>
        <w:tc>
          <w:tcPr>
            <w:tcW w:w="4452" w:type="dxa"/>
            <w:tcBorders>
              <w:top w:val="nil"/>
              <w:left w:val="single" w:sz="4" w:space="0" w:color="F1B400"/>
              <w:bottom w:val="single" w:sz="4" w:space="0" w:color="F1B400"/>
              <w:right w:val="single" w:sz="4" w:space="0" w:color="F1B400"/>
            </w:tcBorders>
          </w:tcPr>
          <w:p>
            <w:pPr>
              <w:pStyle w:val="TableParagraph"/>
              <w:spacing w:line="242" w:lineRule="exact" w:before="119"/>
              <w:ind w:left="397"/>
              <w:rPr>
                <w:sz w:val="20"/>
              </w:rPr>
            </w:pPr>
            <w:r>
              <w:rPr>
                <w:w w:val="120"/>
                <w:sz w:val="20"/>
              </w:rPr>
              <w:t>Undeserved favour.</w:t>
            </w:r>
          </w:p>
          <w:p>
            <w:pPr>
              <w:pStyle w:val="TableParagraph"/>
              <w:spacing w:line="235" w:lineRule="auto" w:before="2"/>
              <w:ind w:left="397" w:right="470"/>
              <w:rPr>
                <w:sz w:val="20"/>
              </w:rPr>
            </w:pPr>
            <w:r>
              <w:rPr>
                <w:w w:val="120"/>
                <w:sz w:val="20"/>
              </w:rPr>
              <w:t>God’s riches at Christ’s expense. Love beyond measure.</w:t>
            </w:r>
          </w:p>
        </w:tc>
      </w:tr>
      <w:tr>
        <w:trPr>
          <w:trHeight w:val="1606" w:hRule="atLeast"/>
        </w:trPr>
        <w:tc>
          <w:tcPr>
            <w:tcW w:w="8661" w:type="dxa"/>
            <w:gridSpan w:val="2"/>
            <w:tcBorders>
              <w:top w:val="single" w:sz="4" w:space="0" w:color="F1B400"/>
              <w:left w:val="single" w:sz="4" w:space="0" w:color="F1B400"/>
              <w:bottom w:val="single" w:sz="4" w:space="0" w:color="F1B400"/>
              <w:right w:val="single" w:sz="4" w:space="0" w:color="F1B400"/>
            </w:tcBorders>
          </w:tcPr>
          <w:p>
            <w:pPr>
              <w:pStyle w:val="TableParagraph"/>
              <w:numPr>
                <w:ilvl w:val="0"/>
                <w:numId w:val="57"/>
              </w:numPr>
              <w:tabs>
                <w:tab w:pos="793" w:val="left" w:leader="none"/>
                <w:tab w:pos="794" w:val="left" w:leader="none"/>
              </w:tabs>
              <w:spacing w:line="235" w:lineRule="auto" w:before="100" w:after="0"/>
              <w:ind w:left="793" w:right="261" w:hanging="681"/>
              <w:jc w:val="left"/>
              <w:rPr>
                <w:sz w:val="20"/>
              </w:rPr>
            </w:pPr>
            <w:r>
              <w:rPr>
                <w:w w:val="120"/>
                <w:sz w:val="20"/>
              </w:rPr>
              <w:t>Nick Brindley, a minister in Thames </w:t>
            </w:r>
            <w:r>
              <w:rPr>
                <w:spacing w:val="2"/>
                <w:w w:val="120"/>
                <w:sz w:val="20"/>
              </w:rPr>
              <w:t>North </w:t>
            </w:r>
            <w:r>
              <w:rPr>
                <w:w w:val="120"/>
                <w:sz w:val="20"/>
              </w:rPr>
              <w:t>Synod reflects: ‘During the rehabilitation from my very serious stroke, my vocation has been a constant. God has called me as I now am. Whatever it is to be a Minister of Word and Sacraments, God’s message to me has been that I can fulfil it, wheelchair bound as I am. I can proclaim the Gospel of God’s love from my new position at least as properly as from my</w:t>
            </w:r>
            <w:r>
              <w:rPr>
                <w:spacing w:val="12"/>
                <w:w w:val="120"/>
                <w:sz w:val="20"/>
              </w:rPr>
              <w:t> </w:t>
            </w:r>
            <w:r>
              <w:rPr>
                <w:spacing w:val="-3"/>
                <w:w w:val="120"/>
                <w:sz w:val="20"/>
              </w:rPr>
              <w:t>old.’</w:t>
            </w:r>
          </w:p>
        </w:tc>
      </w:tr>
    </w:tbl>
    <w:p>
      <w:pPr>
        <w:spacing w:after="0" w:line="235" w:lineRule="auto"/>
        <w:jc w:val="left"/>
        <w:rPr>
          <w:sz w:val="20"/>
        </w:rPr>
        <w:sectPr>
          <w:headerReference w:type="even" r:id="rId214"/>
          <w:footerReference w:type="even" r:id="rId215"/>
          <w:footerReference w:type="default" r:id="rId216"/>
          <w:pgSz w:w="11910" w:h="16840"/>
          <w:pgMar w:header="0" w:footer="647" w:top="0" w:bottom="840" w:left="420" w:right="380"/>
          <w:pgNumType w:start="72"/>
        </w:sectPr>
      </w:pPr>
    </w:p>
    <w:p>
      <w:pPr>
        <w:pStyle w:val="BodyText"/>
      </w:pPr>
      <w:r>
        <w:rPr/>
        <w:drawing>
          <wp:anchor distT="0" distB="0" distL="0" distR="0" allowOverlap="1" layoutInCell="1" locked="0" behindDoc="0" simplePos="0" relativeHeight="251856896">
            <wp:simplePos x="0" y="0"/>
            <wp:positionH relativeFrom="page">
              <wp:posOffset>6974928</wp:posOffset>
            </wp:positionH>
            <wp:positionV relativeFrom="page">
              <wp:posOffset>0</wp:posOffset>
            </wp:positionV>
            <wp:extent cx="585076" cy="10692003"/>
            <wp:effectExtent l="0" t="0" r="0" b="0"/>
            <wp:wrapNone/>
            <wp:docPr id="135" name="image50.png"/>
            <wp:cNvGraphicFramePr>
              <a:graphicFrameLocks noChangeAspect="1"/>
            </wp:cNvGraphicFramePr>
            <a:graphic>
              <a:graphicData uri="http://schemas.openxmlformats.org/drawingml/2006/picture">
                <pic:pic>
                  <pic:nvPicPr>
                    <pic:cNvPr id="136"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91.45pt;mso-position-horizontal-relative:page;mso-position-vertical-relative:paragraph;z-index:251857920"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r>
        <w:rPr>
          <w:color w:val="7EAABF"/>
          <w:w w:val="120"/>
        </w:rPr>
        <w:t>Mission Council</w:t>
      </w:r>
    </w:p>
    <w:p>
      <w:pPr>
        <w:pStyle w:val="BodyText"/>
        <w:spacing w:before="11"/>
        <w:rPr>
          <w:sz w:val="11"/>
        </w:rPr>
      </w:pPr>
      <w:r>
        <w:rPr/>
        <w:pict>
          <v:shape style="position:absolute;margin-left:99.462601pt;margin-top:9.509545pt;width:433.1pt;height:92.85pt;mso-position-horizontal-relative:page;mso-position-vertical-relative:paragraph;z-index:-251460608;mso-wrap-distance-left:0;mso-wrap-distance-right:0" type="#_x0000_t202" filled="false" stroked="true" strokeweight=".5pt" strokecolor="#f1b400">
            <v:textbox inset="0,0,0,0">
              <w:txbxContent>
                <w:p>
                  <w:pPr>
                    <w:pStyle w:val="BodyText"/>
                    <w:spacing w:line="235" w:lineRule="auto" w:before="111"/>
                    <w:ind w:left="108"/>
                  </w:pPr>
                  <w:r>
                    <w:rPr>
                      <w:w w:val="120"/>
                    </w:rPr>
                    <w:t>A woman carrying a heavy load over her head was given a lift by a bullock cart driver. Interestingly, she sat in the cart but still carried the load over her head.</w:t>
                  </w:r>
                </w:p>
                <w:p>
                  <w:pPr>
                    <w:pStyle w:val="BodyText"/>
                    <w:spacing w:before="10"/>
                    <w:rPr>
                      <w:sz w:val="19"/>
                    </w:rPr>
                  </w:pPr>
                </w:p>
                <w:p>
                  <w:pPr>
                    <w:pStyle w:val="BodyText"/>
                    <w:spacing w:line="235" w:lineRule="auto"/>
                    <w:ind w:left="108" w:right="218"/>
                  </w:pPr>
                  <w:r>
                    <w:rPr>
                      <w:w w:val="120"/>
                    </w:rPr>
                    <w:t>Have you heard of stories of when church members felt guilty about not being able  to </w:t>
                  </w:r>
                  <w:r>
                    <w:rPr>
                      <w:spacing w:val="-3"/>
                      <w:w w:val="120"/>
                    </w:rPr>
                    <w:t>‘do </w:t>
                  </w:r>
                  <w:r>
                    <w:rPr>
                      <w:w w:val="120"/>
                    </w:rPr>
                    <w:t>it all’ or even closing a church? How can we help churches to realise that in our weakest moments, the grace of God is more than sufficient and our contribution is counted?</w:t>
                  </w:r>
                </w:p>
              </w:txbxContent>
            </v:textbox>
            <v:stroke dashstyle="solid"/>
            <w10:wrap type="topAndBottom"/>
          </v:shape>
        </w:pict>
      </w:r>
    </w:p>
    <w:p>
      <w:pPr>
        <w:pStyle w:val="BodyText"/>
        <w:spacing w:before="10"/>
        <w:rPr>
          <w:sz w:val="23"/>
        </w:rPr>
      </w:pPr>
    </w:p>
    <w:tbl>
      <w:tblPr>
        <w:tblW w:w="0" w:type="auto"/>
        <w:jc w:val="left"/>
        <w:tblInd w:w="1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244"/>
        <w:gridCol w:w="4414"/>
      </w:tblGrid>
      <w:tr>
        <w:trPr>
          <w:trHeight w:val="426" w:hRule="atLeast"/>
        </w:trPr>
        <w:tc>
          <w:tcPr>
            <w:tcW w:w="4244" w:type="dxa"/>
            <w:tcBorders>
              <w:top w:val="nil"/>
              <w:left w:val="nil"/>
              <w:bottom w:val="nil"/>
            </w:tcBorders>
            <w:shd w:val="clear" w:color="auto" w:fill="F1B400"/>
          </w:tcPr>
          <w:p>
            <w:pPr>
              <w:pStyle w:val="TableParagraph"/>
              <w:spacing w:before="105"/>
              <w:ind w:left="1719" w:right="1671"/>
              <w:jc w:val="center"/>
              <w:rPr>
                <w:rFonts w:ascii="Stone Sans II ITC Std Bk"/>
                <w:b/>
                <w:sz w:val="20"/>
              </w:rPr>
            </w:pPr>
            <w:r>
              <w:rPr>
                <w:rFonts w:ascii="Stone Sans II ITC Std Bk"/>
                <w:b/>
                <w:color w:val="FFFFFF"/>
                <w:w w:val="110"/>
                <w:sz w:val="20"/>
              </w:rPr>
              <w:t>Give up</w:t>
            </w:r>
          </w:p>
        </w:tc>
        <w:tc>
          <w:tcPr>
            <w:tcW w:w="4414" w:type="dxa"/>
            <w:tcBorders>
              <w:top w:val="nil"/>
              <w:bottom w:val="nil"/>
              <w:right w:val="nil"/>
            </w:tcBorders>
            <w:shd w:val="clear" w:color="auto" w:fill="F1B400"/>
          </w:tcPr>
          <w:p>
            <w:pPr>
              <w:pStyle w:val="TableParagraph"/>
              <w:spacing w:before="105"/>
              <w:ind w:left="1749" w:right="1743"/>
              <w:jc w:val="center"/>
              <w:rPr>
                <w:rFonts w:ascii="Stone Sans II ITC Std Bk"/>
                <w:b/>
                <w:sz w:val="20"/>
              </w:rPr>
            </w:pPr>
            <w:r>
              <w:rPr>
                <w:rFonts w:ascii="Stone Sans II ITC Std Bk"/>
                <w:b/>
                <w:color w:val="FFFFFF"/>
                <w:w w:val="110"/>
                <w:sz w:val="20"/>
              </w:rPr>
              <w:t>Take up</w:t>
            </w:r>
          </w:p>
        </w:tc>
      </w:tr>
      <w:tr>
        <w:trPr>
          <w:trHeight w:val="3366" w:hRule="atLeast"/>
        </w:trPr>
        <w:tc>
          <w:tcPr>
            <w:tcW w:w="4244" w:type="dxa"/>
            <w:tcBorders>
              <w:top w:val="nil"/>
              <w:left w:val="single" w:sz="4" w:space="0" w:color="F1B400"/>
              <w:bottom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Anxiety</w:t>
            </w:r>
          </w:p>
          <w:p>
            <w:pPr>
              <w:pStyle w:val="TableParagraph"/>
              <w:spacing w:line="235" w:lineRule="auto"/>
              <w:ind w:left="113"/>
              <w:rPr>
                <w:sz w:val="20"/>
              </w:rPr>
            </w:pPr>
            <w:r>
              <w:rPr>
                <w:w w:val="120"/>
                <w:sz w:val="20"/>
              </w:rPr>
              <w:t>‘Can any of you by worrying add a single hour to your span of life? If then you</w:t>
            </w:r>
          </w:p>
          <w:p>
            <w:pPr>
              <w:pStyle w:val="TableParagraph"/>
              <w:spacing w:line="235" w:lineRule="auto"/>
              <w:ind w:left="113" w:right="113"/>
              <w:rPr>
                <w:sz w:val="20"/>
              </w:rPr>
            </w:pPr>
            <w:r>
              <w:rPr>
                <w:w w:val="120"/>
                <w:sz w:val="20"/>
              </w:rPr>
              <w:t>are not able to do so small a thing as that, why do you worry about the rest? Consider the lilies, how they grow: they neither toil nor spin; yet I tell you, even Solomon in all his glory was not clothed like one of these.’</w:t>
            </w:r>
          </w:p>
          <w:p>
            <w:pPr>
              <w:pStyle w:val="TableParagraph"/>
              <w:spacing w:line="165" w:lineRule="exact"/>
              <w:ind w:left="2601"/>
              <w:rPr>
                <w:sz w:val="20"/>
              </w:rPr>
            </w:pPr>
            <w:r>
              <w:rPr>
                <w:w w:val="125"/>
                <w:sz w:val="20"/>
              </w:rPr>
              <w:t>– Luke 12:25-27</w:t>
            </w:r>
          </w:p>
          <w:p>
            <w:pPr>
              <w:pStyle w:val="TableParagraph"/>
              <w:spacing w:line="242" w:lineRule="exact" w:before="152"/>
              <w:ind w:left="396"/>
              <w:rPr>
                <w:sz w:val="20"/>
              </w:rPr>
            </w:pPr>
            <w:r>
              <w:rPr>
                <w:w w:val="120"/>
                <w:sz w:val="20"/>
              </w:rPr>
              <w:t>Like a constant drip.</w:t>
            </w:r>
          </w:p>
          <w:p>
            <w:pPr>
              <w:pStyle w:val="TableParagraph"/>
              <w:spacing w:line="235" w:lineRule="auto" w:before="2"/>
              <w:ind w:left="396"/>
              <w:rPr>
                <w:sz w:val="20"/>
              </w:rPr>
            </w:pPr>
            <w:r>
              <w:rPr>
                <w:w w:val="120"/>
                <w:sz w:val="20"/>
              </w:rPr>
              <w:t>But why? What if? How could it? Wearing down the soul.</w:t>
            </w:r>
          </w:p>
        </w:tc>
        <w:tc>
          <w:tcPr>
            <w:tcW w:w="4414" w:type="dxa"/>
            <w:tcBorders>
              <w:top w:val="nil"/>
              <w:left w:val="single" w:sz="4" w:space="0" w:color="F1B400"/>
              <w:bottom w:val="single" w:sz="4" w:space="0" w:color="F1B400"/>
              <w:right w:val="single" w:sz="4" w:space="0" w:color="F1B400"/>
            </w:tcBorders>
          </w:tcPr>
          <w:p>
            <w:pPr>
              <w:pStyle w:val="TableParagraph"/>
              <w:spacing w:line="261" w:lineRule="exact" w:before="95"/>
              <w:ind w:left="80"/>
              <w:rPr>
                <w:rFonts w:ascii="Stone Sans II ITC Std Bk"/>
                <w:b/>
                <w:sz w:val="20"/>
              </w:rPr>
            </w:pPr>
            <w:r>
              <w:rPr>
                <w:rFonts w:ascii="Stone Sans II ITC Std Bk"/>
                <w:b/>
                <w:w w:val="110"/>
                <w:sz w:val="20"/>
              </w:rPr>
              <w:t>Prayer</w:t>
            </w:r>
          </w:p>
          <w:p>
            <w:pPr>
              <w:pStyle w:val="TableParagraph"/>
              <w:spacing w:line="235" w:lineRule="auto"/>
              <w:ind w:left="80" w:right="309"/>
              <w:rPr>
                <w:sz w:val="20"/>
              </w:rPr>
            </w:pPr>
            <w:r>
              <w:rPr>
                <w:w w:val="120"/>
                <w:sz w:val="20"/>
              </w:rPr>
              <w:t>‘Do not worry about anything but in everything by prayer and supplication with thanksgiving let your requests be made known to God.’</w:t>
            </w:r>
          </w:p>
          <w:p>
            <w:pPr>
              <w:pStyle w:val="TableParagraph"/>
              <w:spacing w:line="243" w:lineRule="exact"/>
              <w:ind w:left="2716"/>
              <w:rPr>
                <w:sz w:val="20"/>
              </w:rPr>
            </w:pPr>
            <w:r>
              <w:rPr>
                <w:w w:val="125"/>
                <w:sz w:val="20"/>
              </w:rPr>
              <w:t>– Philippians 4:6</w:t>
            </w:r>
          </w:p>
          <w:p>
            <w:pPr>
              <w:pStyle w:val="TableParagraph"/>
              <w:rPr>
                <w:sz w:val="24"/>
              </w:rPr>
            </w:pPr>
          </w:p>
          <w:p>
            <w:pPr>
              <w:pStyle w:val="TableParagraph"/>
              <w:rPr>
                <w:sz w:val="24"/>
              </w:rPr>
            </w:pPr>
          </w:p>
          <w:p>
            <w:pPr>
              <w:pStyle w:val="TableParagraph"/>
              <w:spacing w:before="1"/>
              <w:rPr>
                <w:sz w:val="35"/>
              </w:rPr>
            </w:pPr>
          </w:p>
          <w:p>
            <w:pPr>
              <w:pStyle w:val="TableParagraph"/>
              <w:spacing w:line="235" w:lineRule="auto"/>
              <w:ind w:left="364" w:right="1207"/>
              <w:rPr>
                <w:sz w:val="20"/>
              </w:rPr>
            </w:pPr>
            <w:r>
              <w:rPr>
                <w:w w:val="125"/>
                <w:sz w:val="20"/>
              </w:rPr>
              <w:t>Not demanding, but aligning ourselves with</w:t>
            </w:r>
            <w:r>
              <w:rPr>
                <w:spacing w:val="-42"/>
                <w:w w:val="125"/>
                <w:sz w:val="20"/>
              </w:rPr>
              <w:t> </w:t>
            </w:r>
            <w:r>
              <w:rPr>
                <w:w w:val="125"/>
                <w:sz w:val="20"/>
              </w:rPr>
              <w:t>God. May your will be</w:t>
            </w:r>
            <w:r>
              <w:rPr>
                <w:spacing w:val="-21"/>
                <w:w w:val="125"/>
                <w:sz w:val="20"/>
              </w:rPr>
              <w:t> </w:t>
            </w:r>
            <w:r>
              <w:rPr>
                <w:w w:val="125"/>
                <w:sz w:val="20"/>
              </w:rPr>
              <w:t>done.</w:t>
            </w:r>
          </w:p>
        </w:tc>
      </w:tr>
      <w:tr>
        <w:trPr>
          <w:trHeight w:val="3286" w:hRule="atLeast"/>
        </w:trPr>
        <w:tc>
          <w:tcPr>
            <w:tcW w:w="8658" w:type="dxa"/>
            <w:gridSpan w:val="2"/>
            <w:tcBorders>
              <w:top w:val="single" w:sz="4" w:space="0" w:color="F1B400"/>
              <w:left w:val="single" w:sz="4" w:space="0" w:color="F1B400"/>
              <w:bottom w:val="single" w:sz="4" w:space="0" w:color="F1B400"/>
              <w:right w:val="single" w:sz="4" w:space="0" w:color="F1B400"/>
            </w:tcBorders>
          </w:tcPr>
          <w:p>
            <w:pPr>
              <w:pStyle w:val="TableParagraph"/>
              <w:numPr>
                <w:ilvl w:val="0"/>
                <w:numId w:val="58"/>
              </w:numPr>
              <w:tabs>
                <w:tab w:pos="793" w:val="left" w:leader="none"/>
                <w:tab w:pos="794" w:val="left" w:leader="none"/>
              </w:tabs>
              <w:spacing w:line="235" w:lineRule="auto" w:before="100" w:after="0"/>
              <w:ind w:left="793" w:right="187" w:hanging="681"/>
              <w:jc w:val="left"/>
              <w:rPr>
                <w:sz w:val="20"/>
              </w:rPr>
            </w:pPr>
            <w:r>
              <w:rPr>
                <w:w w:val="120"/>
                <w:sz w:val="20"/>
              </w:rPr>
              <w:t>The Ask Centre at the United Church in Rhyl grew out of prayer and reflection on what God was calling the church to do. The words </w:t>
            </w:r>
            <w:r>
              <w:rPr>
                <w:spacing w:val="-5"/>
                <w:w w:val="120"/>
                <w:sz w:val="20"/>
              </w:rPr>
              <w:t>‘ask’, </w:t>
            </w:r>
            <w:r>
              <w:rPr>
                <w:w w:val="120"/>
                <w:sz w:val="20"/>
              </w:rPr>
              <w:t>‘seek’ and ‘knock’ (from Matthew </w:t>
            </w:r>
            <w:r>
              <w:rPr>
                <w:spacing w:val="-5"/>
                <w:w w:val="120"/>
                <w:sz w:val="20"/>
              </w:rPr>
              <w:t>7:7) </w:t>
            </w:r>
            <w:r>
              <w:rPr>
                <w:w w:val="120"/>
                <w:sz w:val="20"/>
              </w:rPr>
              <w:t>link the </w:t>
            </w:r>
            <w:r>
              <w:rPr>
                <w:spacing w:val="-3"/>
                <w:w w:val="120"/>
                <w:sz w:val="20"/>
              </w:rPr>
              <w:t>centre’s </w:t>
            </w:r>
            <w:r>
              <w:rPr>
                <w:w w:val="120"/>
                <w:sz w:val="20"/>
              </w:rPr>
              <w:t>aims of tackling deprivation in the town, partnering with the Citizens Advice Bureau and local foodbank, and helping people grow in faith. God helped through the ups and downs of the project development with encouragement in prayer and a word from the</w:t>
            </w:r>
            <w:r>
              <w:rPr>
                <w:spacing w:val="32"/>
                <w:w w:val="120"/>
                <w:sz w:val="20"/>
              </w:rPr>
              <w:t> </w:t>
            </w:r>
            <w:r>
              <w:rPr>
                <w:w w:val="120"/>
                <w:sz w:val="20"/>
              </w:rPr>
              <w:t>Psalms.</w:t>
            </w:r>
          </w:p>
          <w:p>
            <w:pPr>
              <w:pStyle w:val="TableParagraph"/>
              <w:spacing w:before="2"/>
              <w:rPr>
                <w:sz w:val="19"/>
              </w:rPr>
            </w:pPr>
          </w:p>
          <w:p>
            <w:pPr>
              <w:pStyle w:val="TableParagraph"/>
              <w:numPr>
                <w:ilvl w:val="0"/>
                <w:numId w:val="58"/>
              </w:numPr>
              <w:tabs>
                <w:tab w:pos="793" w:val="left" w:leader="none"/>
                <w:tab w:pos="794" w:val="left" w:leader="none"/>
              </w:tabs>
              <w:spacing w:line="235" w:lineRule="auto" w:before="0" w:after="0"/>
              <w:ind w:left="793" w:right="172" w:hanging="681"/>
              <w:jc w:val="left"/>
              <w:rPr>
                <w:sz w:val="20"/>
              </w:rPr>
            </w:pPr>
            <w:r>
              <w:rPr>
                <w:w w:val="120"/>
                <w:sz w:val="20"/>
              </w:rPr>
              <w:t>Emmaus Church Centre, Chatham – a local ecumenical partnership of 20   years – has recognised that its life is coming to an end as the Anglicans begin  a new church in another </w:t>
            </w:r>
            <w:r>
              <w:rPr>
                <w:spacing w:val="2"/>
                <w:w w:val="120"/>
                <w:sz w:val="20"/>
              </w:rPr>
              <w:t>part </w:t>
            </w:r>
            <w:r>
              <w:rPr>
                <w:w w:val="120"/>
                <w:sz w:val="20"/>
              </w:rPr>
              <w:t>of Chatham. Having enjoyed being a </w:t>
            </w:r>
            <w:r>
              <w:rPr>
                <w:spacing w:val="-3"/>
                <w:w w:val="120"/>
                <w:sz w:val="20"/>
              </w:rPr>
              <w:t>lively, </w:t>
            </w:r>
            <w:r>
              <w:rPr>
                <w:w w:val="120"/>
                <w:sz w:val="20"/>
              </w:rPr>
              <w:t>worshipping, Bible-based fellowship seeking to ‘walk together with </w:t>
            </w:r>
            <w:r>
              <w:rPr>
                <w:spacing w:val="-4"/>
                <w:w w:val="120"/>
                <w:sz w:val="20"/>
              </w:rPr>
              <w:t>Jesus’, </w:t>
            </w:r>
            <w:r>
              <w:rPr>
                <w:w w:val="120"/>
                <w:sz w:val="20"/>
              </w:rPr>
              <w:t>many of the members of both denominations, through prayer, have answered God’s call to stay to renew God’s mission in the locality. The future is</w:t>
            </w:r>
            <w:r>
              <w:rPr>
                <w:spacing w:val="44"/>
                <w:w w:val="120"/>
                <w:sz w:val="20"/>
              </w:rPr>
              <w:t> </w:t>
            </w:r>
            <w:r>
              <w:rPr>
                <w:w w:val="120"/>
                <w:sz w:val="20"/>
              </w:rPr>
              <w:t>exciting.</w:t>
            </w:r>
          </w:p>
        </w:tc>
      </w:tr>
      <w:tr>
        <w:trPr>
          <w:trHeight w:val="1526" w:hRule="atLeast"/>
        </w:trPr>
        <w:tc>
          <w:tcPr>
            <w:tcW w:w="8658" w:type="dxa"/>
            <w:gridSpan w:val="2"/>
            <w:tcBorders>
              <w:top w:val="single" w:sz="4" w:space="0" w:color="F1B400"/>
              <w:left w:val="single" w:sz="4" w:space="0" w:color="F1B400"/>
              <w:bottom w:val="single" w:sz="4" w:space="0" w:color="F1B400"/>
              <w:right w:val="single" w:sz="4" w:space="0" w:color="F1B400"/>
            </w:tcBorders>
          </w:tcPr>
          <w:p>
            <w:pPr>
              <w:pStyle w:val="TableParagraph"/>
              <w:spacing w:line="235" w:lineRule="auto" w:before="110"/>
              <w:ind w:left="113" w:right="317"/>
              <w:rPr>
                <w:sz w:val="20"/>
              </w:rPr>
            </w:pPr>
            <w:r>
              <w:rPr>
                <w:w w:val="120"/>
                <w:sz w:val="20"/>
              </w:rPr>
              <w:t>Indian</w:t>
            </w:r>
            <w:r>
              <w:rPr>
                <w:spacing w:val="-13"/>
                <w:w w:val="120"/>
                <w:sz w:val="20"/>
              </w:rPr>
              <w:t> </w:t>
            </w:r>
            <w:r>
              <w:rPr>
                <w:w w:val="120"/>
                <w:sz w:val="20"/>
              </w:rPr>
              <w:t>sages</w:t>
            </w:r>
            <w:r>
              <w:rPr>
                <w:spacing w:val="-12"/>
                <w:w w:val="120"/>
                <w:sz w:val="20"/>
              </w:rPr>
              <w:t> </w:t>
            </w:r>
            <w:r>
              <w:rPr>
                <w:w w:val="120"/>
                <w:sz w:val="20"/>
              </w:rPr>
              <w:t>have</w:t>
            </w:r>
            <w:r>
              <w:rPr>
                <w:spacing w:val="-12"/>
                <w:w w:val="120"/>
                <w:sz w:val="20"/>
              </w:rPr>
              <w:t> </w:t>
            </w:r>
            <w:r>
              <w:rPr>
                <w:w w:val="120"/>
                <w:sz w:val="20"/>
              </w:rPr>
              <w:t>said:</w:t>
            </w:r>
            <w:r>
              <w:rPr>
                <w:spacing w:val="-12"/>
                <w:w w:val="120"/>
                <w:sz w:val="20"/>
              </w:rPr>
              <w:t> </w:t>
            </w:r>
            <w:r>
              <w:rPr>
                <w:w w:val="120"/>
                <w:sz w:val="20"/>
              </w:rPr>
              <w:t>‘</w:t>
            </w:r>
            <w:r>
              <w:rPr>
                <w:i/>
                <w:w w:val="120"/>
                <w:sz w:val="20"/>
              </w:rPr>
              <w:t>Chinta</w:t>
            </w:r>
            <w:r>
              <w:rPr>
                <w:i/>
                <w:spacing w:val="-14"/>
                <w:w w:val="120"/>
                <w:sz w:val="20"/>
              </w:rPr>
              <w:t> </w:t>
            </w:r>
            <w:r>
              <w:rPr>
                <w:i/>
                <w:w w:val="120"/>
                <w:sz w:val="20"/>
              </w:rPr>
              <w:t>nahi,</w:t>
            </w:r>
            <w:r>
              <w:rPr>
                <w:i/>
                <w:spacing w:val="-15"/>
                <w:w w:val="120"/>
                <w:sz w:val="20"/>
              </w:rPr>
              <w:t> </w:t>
            </w:r>
            <w:r>
              <w:rPr>
                <w:i/>
                <w:w w:val="120"/>
                <w:sz w:val="20"/>
              </w:rPr>
              <w:t>chinten</w:t>
            </w:r>
            <w:r>
              <w:rPr>
                <w:i/>
                <w:spacing w:val="-14"/>
                <w:w w:val="120"/>
                <w:sz w:val="20"/>
              </w:rPr>
              <w:t> </w:t>
            </w:r>
            <w:r>
              <w:rPr>
                <w:i/>
                <w:spacing w:val="-4"/>
                <w:w w:val="120"/>
                <w:sz w:val="20"/>
              </w:rPr>
              <w:t>karo.’</w:t>
            </w:r>
            <w:r>
              <w:rPr>
                <w:i/>
                <w:spacing w:val="-15"/>
                <w:w w:val="120"/>
                <w:sz w:val="20"/>
              </w:rPr>
              <w:t> </w:t>
            </w:r>
            <w:r>
              <w:rPr>
                <w:w w:val="120"/>
                <w:sz w:val="20"/>
              </w:rPr>
              <w:t>The</w:t>
            </w:r>
            <w:r>
              <w:rPr>
                <w:spacing w:val="-12"/>
                <w:w w:val="120"/>
                <w:sz w:val="20"/>
              </w:rPr>
              <w:t> </w:t>
            </w:r>
            <w:r>
              <w:rPr>
                <w:w w:val="120"/>
                <w:sz w:val="20"/>
              </w:rPr>
              <w:t>alliterative</w:t>
            </w:r>
            <w:r>
              <w:rPr>
                <w:spacing w:val="-12"/>
                <w:w w:val="120"/>
                <w:sz w:val="20"/>
              </w:rPr>
              <w:t> </w:t>
            </w:r>
            <w:r>
              <w:rPr>
                <w:w w:val="120"/>
                <w:sz w:val="20"/>
              </w:rPr>
              <w:t>terms</w:t>
            </w:r>
            <w:r>
              <w:rPr>
                <w:spacing w:val="-14"/>
                <w:w w:val="120"/>
                <w:sz w:val="20"/>
              </w:rPr>
              <w:t> </w:t>
            </w:r>
            <w:r>
              <w:rPr>
                <w:i/>
                <w:spacing w:val="-3"/>
                <w:w w:val="120"/>
                <w:sz w:val="20"/>
              </w:rPr>
              <w:t>‘chinta’</w:t>
            </w:r>
            <w:r>
              <w:rPr>
                <w:i/>
                <w:spacing w:val="-12"/>
                <w:w w:val="120"/>
                <w:sz w:val="20"/>
              </w:rPr>
              <w:t> </w:t>
            </w:r>
            <w:r>
              <w:rPr>
                <w:w w:val="120"/>
                <w:sz w:val="20"/>
              </w:rPr>
              <w:t>and </w:t>
            </w:r>
            <w:r>
              <w:rPr>
                <w:i/>
                <w:spacing w:val="-3"/>
                <w:w w:val="120"/>
                <w:sz w:val="20"/>
              </w:rPr>
              <w:t>‘chinten’ </w:t>
            </w:r>
            <w:r>
              <w:rPr>
                <w:w w:val="120"/>
                <w:sz w:val="20"/>
              </w:rPr>
              <w:t>stand for anxiety and prayer. The advice is not to focus on anxiety but on meditational</w:t>
            </w:r>
            <w:r>
              <w:rPr>
                <w:spacing w:val="1"/>
                <w:w w:val="120"/>
                <w:sz w:val="20"/>
              </w:rPr>
              <w:t> </w:t>
            </w:r>
            <w:r>
              <w:rPr>
                <w:w w:val="120"/>
                <w:sz w:val="20"/>
              </w:rPr>
              <w:t>prayer.</w:t>
            </w:r>
          </w:p>
          <w:p>
            <w:pPr>
              <w:pStyle w:val="TableParagraph"/>
              <w:spacing w:line="235" w:lineRule="auto" w:before="162"/>
              <w:ind w:left="113" w:right="317"/>
              <w:rPr>
                <w:sz w:val="20"/>
              </w:rPr>
            </w:pPr>
            <w:r>
              <w:rPr>
                <w:w w:val="120"/>
                <w:sz w:val="20"/>
              </w:rPr>
              <w:t>How often in your experience are church matters decided based on anxiety rather than aligning with God?</w:t>
            </w:r>
          </w:p>
        </w:tc>
      </w:tr>
    </w:tbl>
    <w:p>
      <w:pPr>
        <w:pStyle w:val="BodyText"/>
        <w:spacing w:after="1"/>
      </w:pPr>
    </w:p>
    <w:tbl>
      <w:tblPr>
        <w:tblW w:w="0" w:type="auto"/>
        <w:jc w:val="left"/>
        <w:tblInd w:w="1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6"/>
        <w:gridCol w:w="4434"/>
      </w:tblGrid>
      <w:tr>
        <w:trPr>
          <w:trHeight w:val="421" w:hRule="atLeast"/>
        </w:trPr>
        <w:tc>
          <w:tcPr>
            <w:tcW w:w="4226" w:type="dxa"/>
            <w:tcBorders>
              <w:right w:val="single" w:sz="4" w:space="0" w:color="FFFFFF"/>
            </w:tcBorders>
            <w:shd w:val="clear" w:color="auto" w:fill="F1B400"/>
          </w:tcPr>
          <w:p>
            <w:pPr>
              <w:pStyle w:val="TableParagraph"/>
              <w:spacing w:before="100"/>
              <w:ind w:left="1709" w:right="1662"/>
              <w:jc w:val="center"/>
              <w:rPr>
                <w:rFonts w:ascii="Stone Sans II ITC Std Bk"/>
                <w:b/>
                <w:sz w:val="20"/>
              </w:rPr>
            </w:pPr>
            <w:r>
              <w:rPr>
                <w:rFonts w:ascii="Stone Sans II ITC Std Bk"/>
                <w:b/>
                <w:color w:val="FFFFFF"/>
                <w:w w:val="110"/>
                <w:sz w:val="20"/>
              </w:rPr>
              <w:t>Give up</w:t>
            </w:r>
          </w:p>
        </w:tc>
        <w:tc>
          <w:tcPr>
            <w:tcW w:w="4434" w:type="dxa"/>
            <w:tcBorders>
              <w:left w:val="single" w:sz="4" w:space="0" w:color="FFFFFF"/>
            </w:tcBorders>
            <w:shd w:val="clear" w:color="auto" w:fill="F1B400"/>
          </w:tcPr>
          <w:p>
            <w:pPr>
              <w:pStyle w:val="TableParagraph"/>
              <w:spacing w:before="100"/>
              <w:ind w:left="1790" w:right="1754"/>
              <w:jc w:val="center"/>
              <w:rPr>
                <w:rFonts w:ascii="Stone Sans II ITC Std Bk"/>
                <w:b/>
                <w:sz w:val="20"/>
              </w:rPr>
            </w:pPr>
            <w:r>
              <w:rPr>
                <w:rFonts w:ascii="Stone Sans II ITC Std Bk"/>
                <w:b/>
                <w:color w:val="FFFFFF"/>
                <w:w w:val="110"/>
                <w:sz w:val="20"/>
              </w:rPr>
              <w:t>Take up</w:t>
            </w:r>
          </w:p>
        </w:tc>
      </w:tr>
      <w:tr>
        <w:trPr>
          <w:trHeight w:val="2387" w:hRule="atLeast"/>
        </w:trPr>
        <w:tc>
          <w:tcPr>
            <w:tcW w:w="4226" w:type="dxa"/>
            <w:tcBorders>
              <w:left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Independence</w:t>
            </w:r>
          </w:p>
          <w:p>
            <w:pPr>
              <w:pStyle w:val="TableParagraph"/>
              <w:spacing w:line="235" w:lineRule="auto"/>
              <w:ind w:left="113" w:right="166"/>
              <w:rPr>
                <w:sz w:val="20"/>
              </w:rPr>
            </w:pPr>
            <w:r>
              <w:rPr>
                <w:w w:val="120"/>
                <w:sz w:val="20"/>
              </w:rPr>
              <w:t>‘...when he saw him, he passed by on the other side.’</w:t>
            </w:r>
          </w:p>
          <w:p>
            <w:pPr>
              <w:pStyle w:val="TableParagraph"/>
              <w:spacing w:line="242" w:lineRule="exact"/>
              <w:ind w:left="2838"/>
              <w:rPr>
                <w:sz w:val="11"/>
              </w:rPr>
            </w:pPr>
            <w:r>
              <w:rPr>
                <w:w w:val="125"/>
                <w:sz w:val="20"/>
              </w:rPr>
              <w:t>– Luke 10:31</w:t>
            </w:r>
            <w:r>
              <w:rPr>
                <w:w w:val="125"/>
                <w:position w:val="7"/>
                <w:sz w:val="11"/>
              </w:rPr>
              <w:t>b</w:t>
            </w:r>
          </w:p>
        </w:tc>
        <w:tc>
          <w:tcPr>
            <w:tcW w:w="4434" w:type="dxa"/>
            <w:tcBorders>
              <w:left w:val="single" w:sz="4" w:space="0" w:color="F1B400"/>
              <w:right w:val="single" w:sz="4" w:space="0" w:color="F1B400"/>
            </w:tcBorders>
          </w:tcPr>
          <w:p>
            <w:pPr>
              <w:pStyle w:val="TableParagraph"/>
              <w:spacing w:line="261" w:lineRule="exact" w:before="95"/>
              <w:ind w:left="112"/>
              <w:rPr>
                <w:rFonts w:ascii="Stone Sans II ITC Std Bk"/>
                <w:b/>
                <w:sz w:val="20"/>
              </w:rPr>
            </w:pPr>
            <w:r>
              <w:rPr>
                <w:rFonts w:ascii="Stone Sans II ITC Std Bk"/>
                <w:b/>
                <w:w w:val="110"/>
                <w:sz w:val="20"/>
              </w:rPr>
              <w:t>Interdependence</w:t>
            </w:r>
          </w:p>
          <w:p>
            <w:pPr>
              <w:pStyle w:val="TableParagraph"/>
              <w:spacing w:line="235" w:lineRule="auto"/>
              <w:ind w:left="112" w:right="206"/>
              <w:rPr>
                <w:sz w:val="20"/>
              </w:rPr>
            </w:pPr>
            <w:r>
              <w:rPr>
                <w:w w:val="120"/>
                <w:sz w:val="20"/>
              </w:rPr>
              <w:t>‘For as in one body we have many members, and not all the members have the same function, so we, who are </w:t>
            </w:r>
            <w:r>
              <w:rPr>
                <w:spacing w:val="-4"/>
                <w:w w:val="120"/>
                <w:sz w:val="20"/>
              </w:rPr>
              <w:t>many, </w:t>
            </w:r>
            <w:r>
              <w:rPr>
                <w:w w:val="120"/>
                <w:sz w:val="20"/>
              </w:rPr>
              <w:t>are one body in Christ, and individually we are members one of another. We</w:t>
            </w:r>
            <w:r>
              <w:rPr>
                <w:spacing w:val="-35"/>
                <w:w w:val="120"/>
                <w:sz w:val="20"/>
              </w:rPr>
              <w:t> </w:t>
            </w:r>
            <w:r>
              <w:rPr>
                <w:w w:val="120"/>
                <w:sz w:val="20"/>
              </w:rPr>
              <w:t>have </w:t>
            </w:r>
            <w:r>
              <w:rPr>
                <w:spacing w:val="2"/>
                <w:w w:val="120"/>
                <w:sz w:val="20"/>
              </w:rPr>
              <w:t>gifts </w:t>
            </w:r>
            <w:r>
              <w:rPr>
                <w:w w:val="120"/>
                <w:sz w:val="20"/>
              </w:rPr>
              <w:t>that differ according to the grace given to</w:t>
            </w:r>
            <w:r>
              <w:rPr>
                <w:spacing w:val="4"/>
                <w:w w:val="120"/>
                <w:sz w:val="20"/>
              </w:rPr>
              <w:t> </w:t>
            </w:r>
            <w:r>
              <w:rPr>
                <w:spacing w:val="-5"/>
                <w:w w:val="120"/>
                <w:sz w:val="20"/>
              </w:rPr>
              <w:t>us.’</w:t>
            </w:r>
          </w:p>
          <w:p>
            <w:pPr>
              <w:pStyle w:val="TableParagraph"/>
              <w:ind w:left="2644"/>
              <w:rPr>
                <w:sz w:val="11"/>
              </w:rPr>
            </w:pPr>
            <w:r>
              <w:rPr>
                <w:w w:val="120"/>
                <w:sz w:val="20"/>
              </w:rPr>
              <w:t>– Romans 12:4-6</w:t>
            </w:r>
            <w:r>
              <w:rPr>
                <w:w w:val="120"/>
                <w:position w:val="7"/>
                <w:sz w:val="11"/>
              </w:rPr>
              <w:t>a</w:t>
            </w:r>
          </w:p>
        </w:tc>
      </w:tr>
      <w:tr>
        <w:trPr>
          <w:trHeight w:val="898" w:hRule="atLeast"/>
        </w:trPr>
        <w:tc>
          <w:tcPr>
            <w:tcW w:w="4226" w:type="dxa"/>
            <w:tcBorders>
              <w:left w:val="single" w:sz="4" w:space="0" w:color="F1B400"/>
              <w:bottom w:val="single" w:sz="4" w:space="0" w:color="F1B400"/>
              <w:right w:val="single" w:sz="4" w:space="0" w:color="F1B400"/>
            </w:tcBorders>
          </w:tcPr>
          <w:p>
            <w:pPr>
              <w:pStyle w:val="TableParagraph"/>
              <w:spacing w:line="242" w:lineRule="exact" w:before="120"/>
              <w:ind w:left="453"/>
              <w:rPr>
                <w:sz w:val="20"/>
              </w:rPr>
            </w:pPr>
            <w:r>
              <w:rPr>
                <w:w w:val="120"/>
                <w:sz w:val="20"/>
              </w:rPr>
              <w:t>‘Not my problem mate.’</w:t>
            </w:r>
          </w:p>
          <w:p>
            <w:pPr>
              <w:pStyle w:val="TableParagraph"/>
              <w:spacing w:line="235" w:lineRule="auto" w:before="1"/>
              <w:ind w:left="453"/>
              <w:rPr>
                <w:sz w:val="20"/>
              </w:rPr>
            </w:pPr>
            <w:r>
              <w:rPr>
                <w:w w:val="120"/>
                <w:sz w:val="20"/>
              </w:rPr>
              <w:t>Priest, Levite, Church Meeting, all caring for self first?</w:t>
            </w:r>
          </w:p>
        </w:tc>
        <w:tc>
          <w:tcPr>
            <w:tcW w:w="4434" w:type="dxa"/>
            <w:tcBorders>
              <w:left w:val="single" w:sz="4" w:space="0" w:color="F1B400"/>
              <w:bottom w:val="single" w:sz="4" w:space="0" w:color="F1B400"/>
              <w:right w:val="single" w:sz="4" w:space="0" w:color="F1B400"/>
            </w:tcBorders>
          </w:tcPr>
          <w:p>
            <w:pPr>
              <w:pStyle w:val="TableParagraph"/>
              <w:spacing w:line="242" w:lineRule="exact" w:before="120"/>
              <w:ind w:left="396"/>
              <w:rPr>
                <w:sz w:val="20"/>
              </w:rPr>
            </w:pPr>
            <w:r>
              <w:rPr>
                <w:w w:val="120"/>
                <w:sz w:val="20"/>
              </w:rPr>
              <w:t>Sharing gifts, graces,</w:t>
            </w:r>
          </w:p>
          <w:p>
            <w:pPr>
              <w:pStyle w:val="TableParagraph"/>
              <w:spacing w:line="235" w:lineRule="auto" w:before="1"/>
              <w:ind w:left="396" w:right="443"/>
              <w:rPr>
                <w:sz w:val="20"/>
              </w:rPr>
            </w:pPr>
            <w:r>
              <w:rPr>
                <w:w w:val="125"/>
                <w:sz w:val="20"/>
              </w:rPr>
              <w:t>open handed not grasping – holding each oth</w:t>
            </w:r>
            <w:r>
              <w:rPr>
                <w:i/>
                <w:w w:val="125"/>
                <w:sz w:val="20"/>
              </w:rPr>
              <w:t>e</w:t>
            </w:r>
            <w:r>
              <w:rPr>
                <w:w w:val="125"/>
                <w:sz w:val="20"/>
              </w:rPr>
              <w:t>r.</w:t>
            </w:r>
          </w:p>
        </w:tc>
      </w:tr>
    </w:tbl>
    <w:p>
      <w:pPr>
        <w:spacing w:after="0" w:line="235" w:lineRule="auto"/>
        <w:rPr>
          <w:sz w:val="20"/>
        </w:rPr>
        <w:sectPr>
          <w:headerReference w:type="default" r:id="rId217"/>
          <w:pgSz w:w="11910" w:h="16840"/>
          <w:pgMar w:header="0" w:footer="642" w:top="0" w:bottom="840" w:left="420" w:right="380"/>
        </w:sectPr>
      </w:pPr>
    </w:p>
    <w:p>
      <w:pPr>
        <w:pStyle w:val="BodyText"/>
      </w:pPr>
      <w:r>
        <w:rPr/>
        <w:drawing>
          <wp:anchor distT="0" distB="0" distL="0" distR="0" allowOverlap="1" layoutInCell="1" locked="0" behindDoc="1" simplePos="0" relativeHeight="235894784">
            <wp:simplePos x="0" y="0"/>
            <wp:positionH relativeFrom="page">
              <wp:posOffset>0</wp:posOffset>
            </wp:positionH>
            <wp:positionV relativeFrom="page">
              <wp:posOffset>0</wp:posOffset>
            </wp:positionV>
            <wp:extent cx="594067" cy="10692003"/>
            <wp:effectExtent l="0" t="0" r="0" b="0"/>
            <wp:wrapNone/>
            <wp:docPr id="137" name="image49.png"/>
            <wp:cNvGraphicFramePr>
              <a:graphicFrameLocks noChangeAspect="1"/>
            </wp:cNvGraphicFramePr>
            <a:graphic>
              <a:graphicData uri="http://schemas.openxmlformats.org/drawingml/2006/picture">
                <pic:pic>
                  <pic:nvPicPr>
                    <pic:cNvPr id="138" name="image49.png"/>
                    <pic:cNvPicPr/>
                  </pic:nvPicPr>
                  <pic:blipFill>
                    <a:blip r:embed="rId62"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62.612202pt;margin-top:111.581345pt;width:433pt;height:44.85pt;mso-position-horizontal-relative:page;mso-position-vertical-relative:paragraph;z-index:251863040" type="#_x0000_t202" filled="false" stroked="true" strokeweight=".5pt" strokecolor="#f1b400">
            <v:textbox inset="0,0,0,0">
              <w:txbxContent>
                <w:p>
                  <w:pPr>
                    <w:pStyle w:val="BodyText"/>
                    <w:spacing w:line="235" w:lineRule="auto" w:before="111"/>
                    <w:ind w:left="108" w:right="255"/>
                  </w:pPr>
                  <w:r>
                    <w:rPr>
                      <w:w w:val="120"/>
                    </w:rPr>
                    <w:t>When groups feel weak, they often focus inwardly. Is this happening in local churches? Are we demanding our rights rather than asking what we can do with or for others?</w:t>
                  </w:r>
                </w:p>
              </w:txbxContent>
            </v:textbox>
            <v:stroke dashstyle="solid"/>
            <w10:wrap type="none"/>
          </v:shape>
        </w:pict>
      </w:r>
      <w:r>
        <w:rPr/>
        <w:pict>
          <v:shape style="position:absolute;margin-left:20.519100pt;margin-top:22.693945pt;width:26pt;height:191.45pt;mso-position-horizontal-relative:page;mso-position-vertical-relative:paragraph;z-index:251864064"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r>
        <w:rPr>
          <w:color w:val="7EAABF"/>
          <w:w w:val="120"/>
          <w:sz w:val="26"/>
        </w:rPr>
        <w:t>Mission Council</w:t>
      </w:r>
    </w:p>
    <w:p>
      <w:pPr>
        <w:pStyle w:val="BodyText"/>
        <w:spacing w:before="11"/>
        <w:rPr>
          <w:sz w:val="11"/>
        </w:rPr>
      </w:pPr>
      <w:r>
        <w:rPr/>
        <w:pict>
          <v:group style="position:absolute;margin-left:62.362202pt;margin-top:9.259545pt;width:433.5pt;height:80.850pt;mso-position-horizontal-relative:page;mso-position-vertical-relative:paragraph;z-index:-251455488;mso-wrap-distance-left:0;mso-wrap-distance-right:0" coordorigin="1247,185" coordsize="8670,1617">
            <v:line style="position:absolute" from="1247,190" to="5478,190" stroked="true" strokeweight=".5pt" strokecolor="#f1b400">
              <v:stroke dashstyle="solid"/>
            </v:line>
            <v:line style="position:absolute" from="1252,1802" to="1252,195" stroked="true" strokeweight=".5pt" strokecolor="#f1b400">
              <v:stroke dashstyle="solid"/>
            </v:line>
            <v:line style="position:absolute" from="5478,190" to="9916,190" stroked="true" strokeweight=".5pt" strokecolor="#f1b400">
              <v:stroke dashstyle="solid"/>
            </v:line>
            <v:line style="position:absolute" from="9911,1802" to="9911,195" stroked="true" strokeweight=".5pt" strokecolor="#f1b400">
              <v:stroke dashstyle="solid"/>
            </v:line>
            <v:shape style="position:absolute;left:2045;top:303;width:7571;height:1440" type="#_x0000_t202" filled="false" stroked="false">
              <v:textbox inset="0,0,0,0">
                <w:txbxContent>
                  <w:p>
                    <w:pPr>
                      <w:spacing w:line="235" w:lineRule="auto" w:before="3"/>
                      <w:ind w:left="0" w:right="0" w:firstLine="0"/>
                      <w:jc w:val="left"/>
                      <w:rPr>
                        <w:sz w:val="20"/>
                      </w:rPr>
                    </w:pPr>
                    <w:r>
                      <w:rPr>
                        <w:w w:val="120"/>
                        <w:sz w:val="20"/>
                      </w:rPr>
                      <w:t>In Thamesmead, an area with a long commitment to ecumenism, Southern Synod has agreed to have an Anglican serve the United Reformed/Methodist church, and provide pioneer ministry in another part of the estate. Sally and Andy Willett are the URC contribution to local ecumenical ministry. Starting from scratch, without a building, a new congregation of around 30 has been built up and connects with the wider work in Thamesmead.</w:t>
                    </w:r>
                  </w:p>
                </w:txbxContent>
              </v:textbox>
              <w10:wrap type="none"/>
            </v:shape>
            <v:shape style="position:absolute;left:1365;top:294;width:122;height:243" type="#_x0000_t202" filled="false" stroked="false">
              <v:textbox inset="0,0,0,0">
                <w:txbxContent>
                  <w:p>
                    <w:pPr>
                      <w:spacing w:line="243" w:lineRule="exact" w:before="0"/>
                      <w:ind w:left="0" w:right="0" w:firstLine="0"/>
                      <w:jc w:val="left"/>
                      <w:rPr>
                        <w:rFonts w:ascii="Symbol" w:hAnsi="Symbol"/>
                        <w:sz w:val="20"/>
                      </w:rPr>
                    </w:pPr>
                    <w:r>
                      <w:rPr>
                        <w:rFonts w:ascii="Symbol" w:hAnsi="Symbol"/>
                        <w:w w:val="110"/>
                        <w:sz w:val="20"/>
                      </w:rPr>
                      <w:t></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spacing w:before="9" w:after="1"/>
        <w:rPr>
          <w:sz w:val="10"/>
        </w:rPr>
      </w:pPr>
    </w:p>
    <w:tbl>
      <w:tblPr>
        <w:tblW w:w="0" w:type="auto"/>
        <w:jc w:val="left"/>
        <w:tblInd w:w="8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244"/>
        <w:gridCol w:w="4414"/>
      </w:tblGrid>
      <w:tr>
        <w:trPr>
          <w:trHeight w:val="426" w:hRule="atLeast"/>
        </w:trPr>
        <w:tc>
          <w:tcPr>
            <w:tcW w:w="4244" w:type="dxa"/>
            <w:tcBorders>
              <w:top w:val="nil"/>
              <w:left w:val="nil"/>
              <w:bottom w:val="nil"/>
            </w:tcBorders>
            <w:shd w:val="clear" w:color="auto" w:fill="F1B400"/>
          </w:tcPr>
          <w:p>
            <w:pPr>
              <w:pStyle w:val="TableParagraph"/>
              <w:spacing w:before="105"/>
              <w:ind w:left="1719" w:right="1671"/>
              <w:jc w:val="center"/>
              <w:rPr>
                <w:rFonts w:ascii="Stone Sans II ITC Std Bk"/>
                <w:b/>
                <w:sz w:val="20"/>
              </w:rPr>
            </w:pPr>
            <w:r>
              <w:rPr>
                <w:rFonts w:ascii="Stone Sans II ITC Std Bk"/>
                <w:b/>
                <w:color w:val="FFFFFF"/>
                <w:w w:val="110"/>
                <w:sz w:val="20"/>
              </w:rPr>
              <w:t>Give up</w:t>
            </w:r>
          </w:p>
        </w:tc>
        <w:tc>
          <w:tcPr>
            <w:tcW w:w="4414" w:type="dxa"/>
            <w:tcBorders>
              <w:top w:val="nil"/>
              <w:bottom w:val="nil"/>
              <w:right w:val="nil"/>
            </w:tcBorders>
            <w:shd w:val="clear" w:color="auto" w:fill="F1B400"/>
          </w:tcPr>
          <w:p>
            <w:pPr>
              <w:pStyle w:val="TableParagraph"/>
              <w:spacing w:before="105"/>
              <w:ind w:left="1765" w:right="1726"/>
              <w:jc w:val="center"/>
              <w:rPr>
                <w:rFonts w:ascii="Stone Sans II ITC Std Bk"/>
                <w:b/>
                <w:sz w:val="20"/>
              </w:rPr>
            </w:pPr>
            <w:r>
              <w:rPr>
                <w:rFonts w:ascii="Stone Sans II ITC Std Bk"/>
                <w:b/>
                <w:color w:val="FFFFFF"/>
                <w:w w:val="110"/>
                <w:sz w:val="20"/>
              </w:rPr>
              <w:t>Take up</w:t>
            </w:r>
          </w:p>
        </w:tc>
      </w:tr>
      <w:tr>
        <w:trPr>
          <w:trHeight w:val="3286" w:hRule="atLeast"/>
        </w:trPr>
        <w:tc>
          <w:tcPr>
            <w:tcW w:w="4244" w:type="dxa"/>
            <w:tcBorders>
              <w:top w:val="nil"/>
              <w:left w:val="single" w:sz="4" w:space="0" w:color="F1B400"/>
              <w:bottom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Buildings</w:t>
            </w:r>
          </w:p>
          <w:p>
            <w:pPr>
              <w:pStyle w:val="TableParagraph"/>
              <w:spacing w:line="235" w:lineRule="auto"/>
              <w:ind w:left="113" w:right="472"/>
              <w:rPr>
                <w:sz w:val="20"/>
              </w:rPr>
            </w:pPr>
            <w:r>
              <w:rPr>
                <w:w w:val="120"/>
                <w:sz w:val="20"/>
              </w:rPr>
              <w:t>‘When some were speaking about the temple, how it was adorned</w:t>
            </w:r>
            <w:r>
              <w:rPr>
                <w:spacing w:val="31"/>
                <w:w w:val="120"/>
                <w:sz w:val="20"/>
              </w:rPr>
              <w:t> </w:t>
            </w:r>
            <w:r>
              <w:rPr>
                <w:w w:val="120"/>
                <w:sz w:val="20"/>
              </w:rPr>
              <w:t>with</w:t>
            </w:r>
          </w:p>
          <w:p>
            <w:pPr>
              <w:pStyle w:val="TableParagraph"/>
              <w:spacing w:line="235" w:lineRule="auto"/>
              <w:ind w:left="113" w:right="113"/>
              <w:rPr>
                <w:sz w:val="20"/>
              </w:rPr>
            </w:pPr>
            <w:r>
              <w:rPr>
                <w:w w:val="120"/>
                <w:sz w:val="20"/>
              </w:rPr>
              <w:t>beautiful stones and gifts dedicated to God, he said: “As for these things that you see, the days will come when not one stone will be left upon another; all will be thrown down.”’</w:t>
            </w:r>
          </w:p>
          <w:p>
            <w:pPr>
              <w:pStyle w:val="TableParagraph"/>
              <w:spacing w:line="244" w:lineRule="exact"/>
              <w:ind w:left="2836"/>
              <w:rPr>
                <w:sz w:val="20"/>
              </w:rPr>
            </w:pPr>
            <w:r>
              <w:rPr>
                <w:w w:val="125"/>
                <w:sz w:val="20"/>
              </w:rPr>
              <w:t>– Luke 21:5-6</w:t>
            </w:r>
          </w:p>
          <w:p>
            <w:pPr>
              <w:pStyle w:val="TableParagraph"/>
              <w:rPr>
                <w:sz w:val="19"/>
              </w:rPr>
            </w:pPr>
          </w:p>
          <w:p>
            <w:pPr>
              <w:pStyle w:val="TableParagraph"/>
              <w:spacing w:line="242" w:lineRule="exact"/>
              <w:ind w:left="396"/>
              <w:rPr>
                <w:sz w:val="20"/>
              </w:rPr>
            </w:pPr>
            <w:r>
              <w:rPr>
                <w:w w:val="120"/>
                <w:sz w:val="20"/>
              </w:rPr>
              <w:t>‘I’ve always come here.’</w:t>
            </w:r>
          </w:p>
          <w:p>
            <w:pPr>
              <w:pStyle w:val="TableParagraph"/>
              <w:spacing w:line="235" w:lineRule="auto" w:before="2"/>
              <w:ind w:left="396" w:right="647"/>
              <w:rPr>
                <w:sz w:val="20"/>
              </w:rPr>
            </w:pPr>
            <w:r>
              <w:rPr>
                <w:w w:val="125"/>
                <w:sz w:val="20"/>
              </w:rPr>
              <w:t>This shell – blessing or burden? Could – should – we let go?</w:t>
            </w:r>
          </w:p>
        </w:tc>
        <w:tc>
          <w:tcPr>
            <w:tcW w:w="4414" w:type="dxa"/>
            <w:tcBorders>
              <w:top w:val="nil"/>
              <w:left w:val="single" w:sz="4" w:space="0" w:color="F1B400"/>
              <w:bottom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People</w:t>
            </w:r>
          </w:p>
          <w:p>
            <w:pPr>
              <w:pStyle w:val="TableParagraph"/>
              <w:spacing w:line="235" w:lineRule="auto"/>
              <w:ind w:left="113" w:right="309"/>
              <w:rPr>
                <w:sz w:val="20"/>
              </w:rPr>
            </w:pPr>
            <w:r>
              <w:rPr>
                <w:w w:val="120"/>
                <w:sz w:val="20"/>
              </w:rPr>
              <w:t>‘Like living stones, let yourselves be  built into a spiritual house, to be a holy priesthood, to offer spiritual sacrifices acceptable to God through Jesus</w:t>
            </w:r>
            <w:r>
              <w:rPr>
                <w:spacing w:val="42"/>
                <w:w w:val="120"/>
                <w:sz w:val="20"/>
              </w:rPr>
              <w:t> </w:t>
            </w:r>
            <w:r>
              <w:rPr>
                <w:w w:val="120"/>
                <w:sz w:val="20"/>
              </w:rPr>
              <w:t>Christ.’</w:t>
            </w:r>
          </w:p>
          <w:p>
            <w:pPr>
              <w:pStyle w:val="TableParagraph"/>
              <w:spacing w:line="243" w:lineRule="exact"/>
              <w:ind w:left="3092"/>
              <w:rPr>
                <w:sz w:val="20"/>
              </w:rPr>
            </w:pPr>
            <w:r>
              <w:rPr>
                <w:w w:val="125"/>
                <w:sz w:val="20"/>
              </w:rPr>
              <w:t>– 1 Peter 2:5</w:t>
            </w:r>
          </w:p>
          <w:p>
            <w:pPr>
              <w:pStyle w:val="TableParagraph"/>
              <w:rPr>
                <w:sz w:val="24"/>
              </w:rPr>
            </w:pPr>
          </w:p>
          <w:p>
            <w:pPr>
              <w:pStyle w:val="TableParagraph"/>
              <w:rPr>
                <w:sz w:val="24"/>
              </w:rPr>
            </w:pPr>
          </w:p>
          <w:p>
            <w:pPr>
              <w:pStyle w:val="TableParagraph"/>
              <w:spacing w:before="2"/>
              <w:rPr>
                <w:sz w:val="30"/>
              </w:rPr>
            </w:pPr>
          </w:p>
          <w:p>
            <w:pPr>
              <w:pStyle w:val="TableParagraph"/>
              <w:spacing w:line="235" w:lineRule="auto"/>
              <w:ind w:left="397" w:right="1207"/>
              <w:rPr>
                <w:sz w:val="20"/>
              </w:rPr>
            </w:pPr>
            <w:r>
              <w:rPr>
                <w:w w:val="120"/>
                <w:sz w:val="20"/>
              </w:rPr>
              <w:t>All bring gifts to share – honed together, so all may take out gifts to share.</w:t>
            </w:r>
          </w:p>
        </w:tc>
      </w:tr>
      <w:tr>
        <w:trPr>
          <w:trHeight w:val="2806" w:hRule="atLeast"/>
        </w:trPr>
        <w:tc>
          <w:tcPr>
            <w:tcW w:w="8658" w:type="dxa"/>
            <w:gridSpan w:val="2"/>
            <w:tcBorders>
              <w:top w:val="single" w:sz="4" w:space="0" w:color="F1B400"/>
              <w:left w:val="single" w:sz="4" w:space="0" w:color="F1B400"/>
              <w:bottom w:val="single" w:sz="4" w:space="0" w:color="F1B400"/>
              <w:right w:val="single" w:sz="4" w:space="0" w:color="F1B400"/>
            </w:tcBorders>
          </w:tcPr>
          <w:p>
            <w:pPr>
              <w:pStyle w:val="TableParagraph"/>
              <w:numPr>
                <w:ilvl w:val="0"/>
                <w:numId w:val="59"/>
              </w:numPr>
              <w:tabs>
                <w:tab w:pos="793" w:val="left" w:leader="none"/>
                <w:tab w:pos="794" w:val="left" w:leader="none"/>
              </w:tabs>
              <w:spacing w:line="235" w:lineRule="auto" w:before="100" w:after="0"/>
              <w:ind w:left="793" w:right="173" w:hanging="681"/>
              <w:jc w:val="left"/>
              <w:rPr>
                <w:sz w:val="20"/>
              </w:rPr>
            </w:pPr>
            <w:r>
              <w:rPr>
                <w:w w:val="120"/>
                <w:sz w:val="20"/>
              </w:rPr>
              <w:t>In Milton Keynes, ‘Church Without Walls’ worships in a variety of places –  from a forest to a local school and on occasion, a historic church building. Sharing walks, food, quietness and activity, the church reaches out into varied communities.</w:t>
            </w:r>
          </w:p>
          <w:p>
            <w:pPr>
              <w:pStyle w:val="TableParagraph"/>
              <w:numPr>
                <w:ilvl w:val="0"/>
                <w:numId w:val="59"/>
              </w:numPr>
              <w:tabs>
                <w:tab w:pos="793" w:val="left" w:leader="none"/>
                <w:tab w:pos="794" w:val="left" w:leader="none"/>
              </w:tabs>
              <w:spacing w:line="235" w:lineRule="auto" w:before="0" w:after="0"/>
              <w:ind w:left="793" w:right="100" w:hanging="681"/>
              <w:jc w:val="left"/>
              <w:rPr>
                <w:sz w:val="20"/>
              </w:rPr>
            </w:pPr>
            <w:r>
              <w:rPr>
                <w:w w:val="120"/>
                <w:sz w:val="20"/>
              </w:rPr>
              <w:t>After an unsuccessful attempt to get planning permission to redevelop their Grade II listed building, Frome United Reformed Church decided to walk away and ask the Synod Trust to sell it. They now meet in a local school and take along </w:t>
            </w:r>
            <w:r>
              <w:rPr>
                <w:spacing w:val="-2"/>
                <w:w w:val="120"/>
                <w:sz w:val="20"/>
              </w:rPr>
              <w:t>‘church </w:t>
            </w:r>
            <w:r>
              <w:rPr>
                <w:w w:val="120"/>
                <w:sz w:val="20"/>
              </w:rPr>
              <w:t>in a box’ – everything they need to hold an act of worship – and pack it away again until next time. Numbers at worship have grown, and it has made the church consider how best to make themselves known in the town without a distinctive</w:t>
            </w:r>
            <w:r>
              <w:rPr>
                <w:spacing w:val="7"/>
                <w:w w:val="120"/>
                <w:sz w:val="20"/>
              </w:rPr>
              <w:t> </w:t>
            </w:r>
            <w:r>
              <w:rPr>
                <w:w w:val="120"/>
                <w:sz w:val="20"/>
              </w:rPr>
              <w:t>building.</w:t>
            </w:r>
          </w:p>
        </w:tc>
      </w:tr>
      <w:tr>
        <w:trPr>
          <w:trHeight w:val="886" w:hRule="atLeast"/>
        </w:trPr>
        <w:tc>
          <w:tcPr>
            <w:tcW w:w="8658" w:type="dxa"/>
            <w:gridSpan w:val="2"/>
            <w:tcBorders>
              <w:top w:val="single" w:sz="4" w:space="0" w:color="F1B400"/>
              <w:left w:val="single" w:sz="4" w:space="0" w:color="F1B400"/>
              <w:bottom w:val="single" w:sz="4" w:space="0" w:color="F1B400"/>
              <w:right w:val="single" w:sz="4" w:space="0" w:color="F1B400"/>
            </w:tcBorders>
          </w:tcPr>
          <w:p>
            <w:pPr>
              <w:pStyle w:val="TableParagraph"/>
              <w:spacing w:line="235" w:lineRule="auto" w:before="111"/>
              <w:ind w:left="113" w:right="317"/>
              <w:rPr>
                <w:sz w:val="20"/>
              </w:rPr>
            </w:pPr>
            <w:r>
              <w:rPr>
                <w:w w:val="120"/>
                <w:sz w:val="20"/>
              </w:rPr>
              <w:t>Buildings can be a blessing or a burden. They enhance the Christian presence or distract the people. Imagine what your church would be like without walls, without a</w:t>
            </w:r>
            <w:r>
              <w:rPr>
                <w:spacing w:val="2"/>
                <w:w w:val="120"/>
                <w:sz w:val="20"/>
              </w:rPr>
              <w:t> </w:t>
            </w:r>
            <w:r>
              <w:rPr>
                <w:w w:val="120"/>
                <w:sz w:val="20"/>
              </w:rPr>
              <w:t>building.</w:t>
            </w:r>
          </w:p>
        </w:tc>
      </w:tr>
    </w:tbl>
    <w:p>
      <w:pPr>
        <w:spacing w:after="0" w:line="235" w:lineRule="auto"/>
        <w:rPr>
          <w:sz w:val="20"/>
        </w:rPr>
        <w:sectPr>
          <w:headerReference w:type="even" r:id="rId218"/>
          <w:footerReference w:type="even" r:id="rId219"/>
          <w:footerReference w:type="default" r:id="rId220"/>
          <w:pgSz w:w="11910" w:h="16840"/>
          <w:pgMar w:header="0" w:footer="647" w:top="0" w:bottom="840" w:left="420" w:right="380"/>
          <w:pgNumType w:start="74"/>
        </w:sectPr>
      </w:pPr>
    </w:p>
    <w:p>
      <w:pPr>
        <w:pStyle w:val="BodyText"/>
      </w:pPr>
      <w:r>
        <w:rPr/>
        <w:drawing>
          <wp:anchor distT="0" distB="0" distL="0" distR="0" allowOverlap="1" layoutInCell="1" locked="0" behindDoc="0" simplePos="0" relativeHeight="251865088">
            <wp:simplePos x="0" y="0"/>
            <wp:positionH relativeFrom="page">
              <wp:posOffset>6974928</wp:posOffset>
            </wp:positionH>
            <wp:positionV relativeFrom="page">
              <wp:posOffset>0</wp:posOffset>
            </wp:positionV>
            <wp:extent cx="585076" cy="10692003"/>
            <wp:effectExtent l="0" t="0" r="0" b="0"/>
            <wp:wrapNone/>
            <wp:docPr id="139" name="image50.png"/>
            <wp:cNvGraphicFramePr>
              <a:graphicFrameLocks noChangeAspect="1"/>
            </wp:cNvGraphicFramePr>
            <a:graphic>
              <a:graphicData uri="http://schemas.openxmlformats.org/drawingml/2006/picture">
                <pic:pic>
                  <pic:nvPicPr>
                    <pic:cNvPr id="140"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91.45pt;mso-position-horizontal-relative:page;mso-position-vertical-relative:paragraph;z-index:251866112"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r>
        <w:rPr>
          <w:color w:val="7EAABF"/>
          <w:w w:val="120"/>
          <w:sz w:val="26"/>
        </w:rPr>
        <w:t>Mission Council</w:t>
      </w:r>
    </w:p>
    <w:p>
      <w:pPr>
        <w:pStyle w:val="BodyText"/>
        <w:spacing w:before="2"/>
        <w:rPr>
          <w:sz w:val="15"/>
        </w:rPr>
      </w:pPr>
    </w:p>
    <w:tbl>
      <w:tblPr>
        <w:tblW w:w="0" w:type="auto"/>
        <w:jc w:val="left"/>
        <w:tblInd w:w="15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169"/>
        <w:gridCol w:w="4490"/>
      </w:tblGrid>
      <w:tr>
        <w:trPr>
          <w:trHeight w:val="426" w:hRule="atLeast"/>
        </w:trPr>
        <w:tc>
          <w:tcPr>
            <w:tcW w:w="4169" w:type="dxa"/>
            <w:tcBorders>
              <w:top w:val="nil"/>
              <w:left w:val="nil"/>
              <w:bottom w:val="nil"/>
            </w:tcBorders>
            <w:shd w:val="clear" w:color="auto" w:fill="F1B400"/>
          </w:tcPr>
          <w:p>
            <w:pPr>
              <w:pStyle w:val="TableParagraph"/>
              <w:spacing w:before="105"/>
              <w:ind w:left="1681" w:right="1633"/>
              <w:jc w:val="center"/>
              <w:rPr>
                <w:rFonts w:ascii="Stone Sans II ITC Std Bk"/>
                <w:b/>
                <w:sz w:val="20"/>
              </w:rPr>
            </w:pPr>
            <w:r>
              <w:rPr>
                <w:rFonts w:ascii="Stone Sans II ITC Std Bk"/>
                <w:b/>
                <w:color w:val="FFFFFF"/>
                <w:w w:val="110"/>
                <w:sz w:val="20"/>
              </w:rPr>
              <w:t>Give up</w:t>
            </w:r>
          </w:p>
        </w:tc>
        <w:tc>
          <w:tcPr>
            <w:tcW w:w="4490" w:type="dxa"/>
            <w:tcBorders>
              <w:top w:val="nil"/>
              <w:bottom w:val="nil"/>
              <w:right w:val="nil"/>
            </w:tcBorders>
            <w:shd w:val="clear" w:color="auto" w:fill="F1B400"/>
          </w:tcPr>
          <w:p>
            <w:pPr>
              <w:pStyle w:val="TableParagraph"/>
              <w:spacing w:before="105"/>
              <w:ind w:left="1819" w:right="1781"/>
              <w:jc w:val="center"/>
              <w:rPr>
                <w:rFonts w:ascii="Stone Sans II ITC Std Bk"/>
                <w:b/>
                <w:sz w:val="20"/>
              </w:rPr>
            </w:pPr>
            <w:r>
              <w:rPr>
                <w:rFonts w:ascii="Stone Sans II ITC Std Bk"/>
                <w:b/>
                <w:color w:val="FFFFFF"/>
                <w:w w:val="110"/>
                <w:sz w:val="20"/>
              </w:rPr>
              <w:t>Take up</w:t>
            </w:r>
          </w:p>
        </w:tc>
      </w:tr>
      <w:tr>
        <w:trPr>
          <w:trHeight w:val="4246" w:hRule="atLeast"/>
        </w:trPr>
        <w:tc>
          <w:tcPr>
            <w:tcW w:w="4169" w:type="dxa"/>
            <w:tcBorders>
              <w:top w:val="nil"/>
              <w:left w:val="single" w:sz="4" w:space="0" w:color="F1B400"/>
              <w:bottom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Status</w:t>
            </w:r>
          </w:p>
          <w:p>
            <w:pPr>
              <w:pStyle w:val="TableParagraph"/>
              <w:spacing w:line="235" w:lineRule="auto"/>
              <w:ind w:left="113" w:right="127"/>
              <w:rPr>
                <w:sz w:val="20"/>
              </w:rPr>
            </w:pPr>
            <w:r>
              <w:rPr>
                <w:w w:val="120"/>
                <w:sz w:val="20"/>
              </w:rPr>
              <w:t>‘James and John, the sons of Zebedee, came forward to him and said to him: </w:t>
            </w:r>
            <w:r>
              <w:rPr>
                <w:spacing w:val="-3"/>
                <w:w w:val="120"/>
                <w:sz w:val="20"/>
              </w:rPr>
              <w:t>“Teacher, </w:t>
            </w:r>
            <w:r>
              <w:rPr>
                <w:w w:val="120"/>
                <w:sz w:val="20"/>
              </w:rPr>
              <w:t>we want you to do for us whatever we ask of </w:t>
            </w:r>
            <w:r>
              <w:rPr>
                <w:spacing w:val="-4"/>
                <w:w w:val="120"/>
                <w:sz w:val="20"/>
              </w:rPr>
              <w:t>you.” </w:t>
            </w:r>
            <w:r>
              <w:rPr>
                <w:w w:val="120"/>
                <w:sz w:val="20"/>
              </w:rPr>
              <w:t>And he said to them: “What is it you want me to do for you?” And they said to him: “Grant us to sit, one at your right hand and one at your </w:t>
            </w:r>
            <w:r>
              <w:rPr>
                <w:spacing w:val="2"/>
                <w:w w:val="120"/>
                <w:sz w:val="20"/>
              </w:rPr>
              <w:t>left, </w:t>
            </w:r>
            <w:r>
              <w:rPr>
                <w:w w:val="120"/>
                <w:sz w:val="20"/>
              </w:rPr>
              <w:t>in your</w:t>
            </w:r>
            <w:r>
              <w:rPr>
                <w:spacing w:val="9"/>
                <w:w w:val="120"/>
                <w:sz w:val="20"/>
              </w:rPr>
              <w:t> </w:t>
            </w:r>
            <w:r>
              <w:rPr>
                <w:spacing w:val="-3"/>
                <w:w w:val="120"/>
                <w:sz w:val="20"/>
              </w:rPr>
              <w:t>glory.”’</w:t>
            </w:r>
          </w:p>
          <w:p>
            <w:pPr>
              <w:pStyle w:val="TableParagraph"/>
              <w:ind w:left="2493"/>
              <w:rPr>
                <w:sz w:val="20"/>
              </w:rPr>
            </w:pPr>
            <w:r>
              <w:rPr>
                <w:w w:val="125"/>
                <w:sz w:val="20"/>
              </w:rPr>
              <w:t>– Mark </w:t>
            </w:r>
            <w:r>
              <w:rPr>
                <w:spacing w:val="-5"/>
                <w:w w:val="125"/>
                <w:sz w:val="20"/>
              </w:rPr>
              <w:t>10:35-37</w:t>
            </w:r>
          </w:p>
          <w:p>
            <w:pPr>
              <w:pStyle w:val="TableParagraph"/>
              <w:rPr>
                <w:sz w:val="24"/>
              </w:rPr>
            </w:pPr>
          </w:p>
          <w:p>
            <w:pPr>
              <w:pStyle w:val="TableParagraph"/>
              <w:rPr>
                <w:sz w:val="24"/>
              </w:rPr>
            </w:pPr>
          </w:p>
          <w:p>
            <w:pPr>
              <w:pStyle w:val="TableParagraph"/>
              <w:rPr>
                <w:sz w:val="30"/>
              </w:rPr>
            </w:pPr>
          </w:p>
          <w:p>
            <w:pPr>
              <w:pStyle w:val="TableParagraph"/>
              <w:spacing w:line="242" w:lineRule="exact" w:before="1"/>
              <w:ind w:left="396"/>
              <w:rPr>
                <w:sz w:val="20"/>
              </w:rPr>
            </w:pPr>
            <w:r>
              <w:rPr>
                <w:w w:val="120"/>
                <w:sz w:val="20"/>
              </w:rPr>
              <w:t>Our church? It is God’s.</w:t>
            </w:r>
          </w:p>
          <w:p>
            <w:pPr>
              <w:pStyle w:val="TableParagraph"/>
              <w:spacing w:line="235" w:lineRule="auto" w:before="1"/>
              <w:ind w:left="396" w:right="608"/>
              <w:rPr>
                <w:sz w:val="20"/>
              </w:rPr>
            </w:pPr>
            <w:r>
              <w:rPr>
                <w:w w:val="120"/>
                <w:sz w:val="20"/>
              </w:rPr>
              <w:t>My ministry? God’s gifting. God’s glory, not ours.</w:t>
            </w:r>
          </w:p>
        </w:tc>
        <w:tc>
          <w:tcPr>
            <w:tcW w:w="4490" w:type="dxa"/>
            <w:tcBorders>
              <w:top w:val="nil"/>
              <w:left w:val="single" w:sz="4" w:space="0" w:color="F1B400"/>
              <w:bottom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Discipleship</w:t>
            </w:r>
          </w:p>
          <w:p>
            <w:pPr>
              <w:pStyle w:val="TableParagraph"/>
              <w:spacing w:line="235" w:lineRule="auto"/>
              <w:ind w:left="113" w:right="190"/>
              <w:rPr>
                <w:sz w:val="20"/>
              </w:rPr>
            </w:pPr>
            <w:r>
              <w:rPr>
                <w:spacing w:val="-4"/>
                <w:w w:val="120"/>
                <w:sz w:val="20"/>
              </w:rPr>
              <w:t>‘All </w:t>
            </w:r>
            <w:r>
              <w:rPr>
                <w:w w:val="120"/>
                <w:sz w:val="20"/>
              </w:rPr>
              <w:t>who believed were together and had all things in common; they would sell their possessions and goods and distribute the proceeds to all, as any had need. Day by </w:t>
            </w:r>
            <w:r>
              <w:rPr>
                <w:spacing w:val="-4"/>
                <w:w w:val="120"/>
                <w:sz w:val="20"/>
              </w:rPr>
              <w:t>day, </w:t>
            </w:r>
            <w:r>
              <w:rPr>
                <w:w w:val="120"/>
                <w:sz w:val="20"/>
              </w:rPr>
              <w:t>as they spent much time</w:t>
            </w:r>
            <w:r>
              <w:rPr>
                <w:spacing w:val="22"/>
                <w:w w:val="120"/>
                <w:sz w:val="20"/>
              </w:rPr>
              <w:t> </w:t>
            </w:r>
            <w:r>
              <w:rPr>
                <w:w w:val="120"/>
                <w:sz w:val="20"/>
              </w:rPr>
              <w:t>together</w:t>
            </w:r>
          </w:p>
          <w:p>
            <w:pPr>
              <w:pStyle w:val="TableParagraph"/>
              <w:spacing w:line="235" w:lineRule="auto"/>
              <w:ind w:left="113" w:right="99"/>
              <w:rPr>
                <w:sz w:val="20"/>
              </w:rPr>
            </w:pPr>
            <w:r>
              <w:rPr>
                <w:w w:val="120"/>
                <w:sz w:val="20"/>
              </w:rPr>
              <w:t>in the temple, they broke bread at home and ate their food with glad and generous hearts, praising God and having the goodwill of all the people. And day by day the Lord added to their number those who were being saved.’</w:t>
            </w:r>
          </w:p>
          <w:p>
            <w:pPr>
              <w:pStyle w:val="TableParagraph"/>
              <w:ind w:left="2983"/>
              <w:rPr>
                <w:sz w:val="20"/>
              </w:rPr>
            </w:pPr>
            <w:r>
              <w:rPr>
                <w:w w:val="125"/>
                <w:sz w:val="20"/>
              </w:rPr>
              <w:t>– Acts 2:44-47</w:t>
            </w:r>
          </w:p>
          <w:p>
            <w:pPr>
              <w:pStyle w:val="TableParagraph"/>
              <w:spacing w:before="2"/>
              <w:rPr>
                <w:sz w:val="19"/>
              </w:rPr>
            </w:pPr>
          </w:p>
          <w:p>
            <w:pPr>
              <w:pStyle w:val="TableParagraph"/>
              <w:spacing w:line="242" w:lineRule="exact" w:before="1"/>
              <w:ind w:left="396"/>
              <w:rPr>
                <w:sz w:val="20"/>
              </w:rPr>
            </w:pPr>
            <w:r>
              <w:rPr>
                <w:w w:val="125"/>
                <w:sz w:val="20"/>
              </w:rPr>
              <w:t>Their ‘holy habits’ –</w:t>
            </w:r>
          </w:p>
          <w:p>
            <w:pPr>
              <w:pStyle w:val="TableParagraph"/>
              <w:spacing w:line="235" w:lineRule="auto" w:before="1"/>
              <w:ind w:left="396" w:right="1295"/>
              <w:rPr>
                <w:sz w:val="20"/>
              </w:rPr>
            </w:pPr>
            <w:r>
              <w:rPr>
                <w:w w:val="120"/>
                <w:sz w:val="20"/>
              </w:rPr>
              <w:t>but now is it too hard to walk the Jesus way?</w:t>
            </w:r>
          </w:p>
        </w:tc>
      </w:tr>
      <w:tr>
        <w:trPr>
          <w:trHeight w:val="1366" w:hRule="atLeast"/>
        </w:trPr>
        <w:tc>
          <w:tcPr>
            <w:tcW w:w="8659" w:type="dxa"/>
            <w:gridSpan w:val="2"/>
            <w:tcBorders>
              <w:top w:val="single" w:sz="4" w:space="0" w:color="F1B400"/>
              <w:left w:val="single" w:sz="4" w:space="0" w:color="F1B400"/>
              <w:bottom w:val="single" w:sz="4" w:space="0" w:color="F1B400"/>
              <w:right w:val="single" w:sz="4" w:space="0" w:color="F1B400"/>
            </w:tcBorders>
          </w:tcPr>
          <w:p>
            <w:pPr>
              <w:pStyle w:val="TableParagraph"/>
              <w:numPr>
                <w:ilvl w:val="0"/>
                <w:numId w:val="60"/>
              </w:numPr>
              <w:tabs>
                <w:tab w:pos="793" w:val="left" w:leader="none"/>
                <w:tab w:pos="794" w:val="left" w:leader="none"/>
              </w:tabs>
              <w:spacing w:line="235" w:lineRule="auto" w:before="100" w:after="0"/>
              <w:ind w:left="793" w:right="202" w:hanging="681"/>
              <w:jc w:val="left"/>
              <w:rPr>
                <w:sz w:val="20"/>
              </w:rPr>
            </w:pPr>
            <w:r>
              <w:rPr>
                <w:w w:val="120"/>
                <w:sz w:val="20"/>
              </w:rPr>
              <w:t>St Andrew’s with Castlegate is the largest church by membership in East Midlands and has always had full-time ministry. During its recent vacancy, the church </w:t>
            </w:r>
            <w:r>
              <w:rPr>
                <w:spacing w:val="-4"/>
                <w:w w:val="120"/>
                <w:sz w:val="20"/>
              </w:rPr>
              <w:t>‘gave up’ </w:t>
            </w:r>
            <w:r>
              <w:rPr>
                <w:w w:val="120"/>
                <w:sz w:val="20"/>
              </w:rPr>
              <w:t>its claim to a full-time minister and agreed, with generosity and good grace, for its new minister to give 20% of their time to supporting other churches in</w:t>
            </w:r>
            <w:r>
              <w:rPr>
                <w:spacing w:val="6"/>
                <w:w w:val="120"/>
                <w:sz w:val="20"/>
              </w:rPr>
              <w:t> </w:t>
            </w:r>
            <w:r>
              <w:rPr>
                <w:w w:val="120"/>
                <w:sz w:val="20"/>
              </w:rPr>
              <w:t>Nottinghamshire.</w:t>
            </w:r>
          </w:p>
        </w:tc>
      </w:tr>
      <w:tr>
        <w:trPr>
          <w:trHeight w:val="2806" w:hRule="atLeast"/>
        </w:trPr>
        <w:tc>
          <w:tcPr>
            <w:tcW w:w="8659" w:type="dxa"/>
            <w:gridSpan w:val="2"/>
            <w:tcBorders>
              <w:top w:val="single" w:sz="4" w:space="0" w:color="F1B400"/>
              <w:left w:val="single" w:sz="4" w:space="0" w:color="F1B400"/>
              <w:bottom w:val="single" w:sz="4" w:space="0" w:color="F1B400"/>
              <w:right w:val="single" w:sz="4" w:space="0" w:color="F1B400"/>
            </w:tcBorders>
          </w:tcPr>
          <w:p>
            <w:pPr>
              <w:pStyle w:val="TableParagraph"/>
              <w:spacing w:line="235" w:lineRule="auto" w:before="110"/>
              <w:ind w:left="113" w:right="228"/>
              <w:rPr>
                <w:sz w:val="20"/>
              </w:rPr>
            </w:pPr>
            <w:r>
              <w:rPr>
                <w:w w:val="120"/>
                <w:sz w:val="20"/>
              </w:rPr>
              <w:t>King Oswin gave St Aidan a very fine horse for his travels. Aidan gave the horse and  its royal trappings to a beggar. The unhappy king questioned Aidan, who challenged him to consider the relative value of the horse and a child of God. After reflection, King Oswin asked </w:t>
            </w:r>
            <w:r>
              <w:rPr>
                <w:spacing w:val="-3"/>
                <w:w w:val="120"/>
                <w:sz w:val="20"/>
              </w:rPr>
              <w:t>Aidan’s</w:t>
            </w:r>
            <w:r>
              <w:rPr>
                <w:spacing w:val="10"/>
                <w:w w:val="120"/>
                <w:sz w:val="20"/>
              </w:rPr>
              <w:t> </w:t>
            </w:r>
            <w:r>
              <w:rPr>
                <w:w w:val="120"/>
                <w:sz w:val="20"/>
              </w:rPr>
              <w:t>forgiveness.</w:t>
            </w:r>
          </w:p>
          <w:p>
            <w:pPr>
              <w:pStyle w:val="TableParagraph"/>
              <w:spacing w:before="11"/>
              <w:rPr>
                <w:sz w:val="19"/>
              </w:rPr>
            </w:pPr>
          </w:p>
          <w:p>
            <w:pPr>
              <w:pStyle w:val="TableParagraph"/>
              <w:spacing w:line="235" w:lineRule="auto"/>
              <w:ind w:left="113" w:right="228"/>
              <w:rPr>
                <w:sz w:val="20"/>
              </w:rPr>
            </w:pPr>
            <w:r>
              <w:rPr>
                <w:w w:val="120"/>
                <w:sz w:val="20"/>
              </w:rPr>
              <w:t>We live in a status-conscious world. We make statements by our choice of life-style – what we wear or eat, who we mix with.</w:t>
            </w:r>
          </w:p>
          <w:p>
            <w:pPr>
              <w:pStyle w:val="TableParagraph"/>
              <w:spacing w:before="10"/>
              <w:rPr>
                <w:sz w:val="19"/>
              </w:rPr>
            </w:pPr>
          </w:p>
          <w:p>
            <w:pPr>
              <w:pStyle w:val="TableParagraph"/>
              <w:spacing w:line="235" w:lineRule="auto"/>
              <w:ind w:left="113" w:right="228"/>
              <w:rPr>
                <w:sz w:val="20"/>
              </w:rPr>
            </w:pPr>
            <w:r>
              <w:rPr>
                <w:w w:val="120"/>
                <w:sz w:val="20"/>
              </w:rPr>
              <w:t>Have there been moments when you felt that individuals were, or church life was, more about status or maintaining status quo than founded on personal or corporate discipleship/servanthood?</w:t>
            </w:r>
          </w:p>
        </w:tc>
      </w:tr>
    </w:tbl>
    <w:p>
      <w:pPr>
        <w:pStyle w:val="BodyText"/>
      </w:pPr>
    </w:p>
    <w:p>
      <w:pPr>
        <w:pStyle w:val="BodyText"/>
        <w:spacing w:before="8" w:after="1"/>
        <w:rPr>
          <w:sz w:val="19"/>
        </w:rPr>
      </w:pPr>
    </w:p>
    <w:tbl>
      <w:tblPr>
        <w:tblW w:w="0" w:type="auto"/>
        <w:jc w:val="left"/>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4471"/>
      </w:tblGrid>
      <w:tr>
        <w:trPr>
          <w:trHeight w:val="421" w:hRule="atLeast"/>
        </w:trPr>
        <w:tc>
          <w:tcPr>
            <w:tcW w:w="4188" w:type="dxa"/>
            <w:tcBorders>
              <w:right w:val="single" w:sz="4" w:space="0" w:color="FFFFFF"/>
            </w:tcBorders>
            <w:shd w:val="clear" w:color="auto" w:fill="F1B400"/>
          </w:tcPr>
          <w:p>
            <w:pPr>
              <w:pStyle w:val="TableParagraph"/>
              <w:spacing w:before="100"/>
              <w:ind w:left="1691" w:right="1643"/>
              <w:jc w:val="center"/>
              <w:rPr>
                <w:rFonts w:ascii="Stone Sans II ITC Std Bk"/>
                <w:b/>
                <w:sz w:val="20"/>
              </w:rPr>
            </w:pPr>
            <w:r>
              <w:rPr>
                <w:rFonts w:ascii="Stone Sans II ITC Std Bk"/>
                <w:b/>
                <w:color w:val="FFFFFF"/>
                <w:w w:val="110"/>
                <w:sz w:val="20"/>
              </w:rPr>
              <w:t>Give up</w:t>
            </w:r>
          </w:p>
        </w:tc>
        <w:tc>
          <w:tcPr>
            <w:tcW w:w="4471" w:type="dxa"/>
            <w:tcBorders>
              <w:left w:val="single" w:sz="4" w:space="0" w:color="FFFFFF"/>
            </w:tcBorders>
            <w:shd w:val="clear" w:color="auto" w:fill="F1B400"/>
          </w:tcPr>
          <w:p>
            <w:pPr>
              <w:pStyle w:val="TableParagraph"/>
              <w:spacing w:before="100"/>
              <w:ind w:left="1810" w:right="1772"/>
              <w:jc w:val="center"/>
              <w:rPr>
                <w:rFonts w:ascii="Stone Sans II ITC Std Bk"/>
                <w:b/>
                <w:sz w:val="20"/>
              </w:rPr>
            </w:pPr>
            <w:r>
              <w:rPr>
                <w:rFonts w:ascii="Stone Sans II ITC Std Bk"/>
                <w:b/>
                <w:color w:val="FFFFFF"/>
                <w:w w:val="110"/>
                <w:sz w:val="20"/>
              </w:rPr>
              <w:t>Take up</w:t>
            </w:r>
          </w:p>
        </w:tc>
      </w:tr>
      <w:tr>
        <w:trPr>
          <w:trHeight w:val="2267" w:hRule="atLeast"/>
        </w:trPr>
        <w:tc>
          <w:tcPr>
            <w:tcW w:w="4188" w:type="dxa"/>
            <w:tcBorders>
              <w:left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Life</w:t>
            </w:r>
          </w:p>
          <w:p>
            <w:pPr>
              <w:pStyle w:val="TableParagraph"/>
              <w:spacing w:line="235" w:lineRule="auto"/>
              <w:ind w:left="113" w:right="124"/>
              <w:rPr>
                <w:sz w:val="20"/>
              </w:rPr>
            </w:pPr>
            <w:r>
              <w:rPr>
                <w:w w:val="120"/>
                <w:sz w:val="20"/>
              </w:rPr>
              <w:t>‘Then Jesus told his disciples: “If any want to become my followers, let them deny themselves and take up their cross and follow me. For those who want to save their life will lose it, and those who lose their life for my sake will find it.”’</w:t>
            </w:r>
          </w:p>
          <w:p>
            <w:pPr>
              <w:pStyle w:val="TableParagraph"/>
              <w:ind w:left="2111"/>
              <w:rPr>
                <w:sz w:val="20"/>
              </w:rPr>
            </w:pPr>
            <w:r>
              <w:rPr>
                <w:w w:val="125"/>
                <w:sz w:val="20"/>
              </w:rPr>
              <w:t>– Matthew </w:t>
            </w:r>
            <w:r>
              <w:rPr>
                <w:spacing w:val="-4"/>
                <w:w w:val="125"/>
                <w:sz w:val="20"/>
              </w:rPr>
              <w:t>16:24-25</w:t>
            </w:r>
          </w:p>
        </w:tc>
        <w:tc>
          <w:tcPr>
            <w:tcW w:w="4471" w:type="dxa"/>
            <w:tcBorders>
              <w:left w:val="single" w:sz="4" w:space="0" w:color="F1B400"/>
              <w:right w:val="single" w:sz="4" w:space="0" w:color="F1B400"/>
            </w:tcBorders>
          </w:tcPr>
          <w:p>
            <w:pPr>
              <w:pStyle w:val="TableParagraph"/>
              <w:spacing w:line="261" w:lineRule="exact" w:before="95"/>
              <w:ind w:left="113"/>
              <w:rPr>
                <w:rFonts w:ascii="Stone Sans II ITC Std Bk"/>
                <w:b/>
                <w:sz w:val="20"/>
              </w:rPr>
            </w:pPr>
            <w:r>
              <w:rPr>
                <w:rFonts w:ascii="Stone Sans II ITC Std Bk"/>
                <w:b/>
                <w:w w:val="110"/>
                <w:sz w:val="20"/>
              </w:rPr>
              <w:t>Change</w:t>
            </w:r>
          </w:p>
          <w:p>
            <w:pPr>
              <w:pStyle w:val="TableParagraph"/>
              <w:spacing w:line="235" w:lineRule="auto"/>
              <w:ind w:left="113" w:right="505"/>
              <w:rPr>
                <w:sz w:val="20"/>
              </w:rPr>
            </w:pPr>
            <w:r>
              <w:rPr>
                <w:w w:val="120"/>
                <w:sz w:val="20"/>
              </w:rPr>
              <w:t>‘The grass withers, the flower fades; but the word of our God will stand </w:t>
            </w:r>
            <w:r>
              <w:rPr>
                <w:spacing w:val="-4"/>
                <w:w w:val="120"/>
                <w:sz w:val="20"/>
              </w:rPr>
              <w:t>forever.’</w:t>
            </w:r>
          </w:p>
          <w:p>
            <w:pPr>
              <w:pStyle w:val="TableParagraph"/>
              <w:spacing w:line="243" w:lineRule="exact"/>
              <w:ind w:left="3154"/>
              <w:rPr>
                <w:sz w:val="20"/>
              </w:rPr>
            </w:pPr>
            <w:r>
              <w:rPr>
                <w:w w:val="125"/>
                <w:sz w:val="20"/>
              </w:rPr>
              <w:t>– Isaiah 40:8</w:t>
            </w:r>
          </w:p>
        </w:tc>
      </w:tr>
      <w:tr>
        <w:trPr>
          <w:trHeight w:val="1018" w:hRule="atLeast"/>
        </w:trPr>
        <w:tc>
          <w:tcPr>
            <w:tcW w:w="4188" w:type="dxa"/>
            <w:tcBorders>
              <w:left w:val="single" w:sz="4" w:space="0" w:color="F1B400"/>
              <w:bottom w:val="single" w:sz="4" w:space="0" w:color="F1B400"/>
              <w:right w:val="single" w:sz="4" w:space="0" w:color="F1B400"/>
            </w:tcBorders>
          </w:tcPr>
          <w:p>
            <w:pPr>
              <w:pStyle w:val="TableParagraph"/>
              <w:spacing w:before="7"/>
              <w:rPr>
                <w:sz w:val="19"/>
              </w:rPr>
            </w:pPr>
          </w:p>
          <w:p>
            <w:pPr>
              <w:pStyle w:val="TableParagraph"/>
              <w:spacing w:line="242" w:lineRule="exact" w:before="1"/>
              <w:ind w:left="397"/>
              <w:rPr>
                <w:sz w:val="20"/>
              </w:rPr>
            </w:pPr>
            <w:r>
              <w:rPr>
                <w:w w:val="120"/>
                <w:sz w:val="20"/>
              </w:rPr>
              <w:t>Seed of dying plant</w:t>
            </w:r>
          </w:p>
          <w:p>
            <w:pPr>
              <w:pStyle w:val="TableParagraph"/>
              <w:spacing w:line="235" w:lineRule="auto" w:before="1"/>
              <w:ind w:left="397" w:right="1130"/>
              <w:rPr>
                <w:sz w:val="20"/>
              </w:rPr>
            </w:pPr>
            <w:r>
              <w:rPr>
                <w:w w:val="120"/>
                <w:sz w:val="20"/>
              </w:rPr>
              <w:t>risks everything in death for one new life chance.</w:t>
            </w:r>
          </w:p>
        </w:tc>
        <w:tc>
          <w:tcPr>
            <w:tcW w:w="4471" w:type="dxa"/>
            <w:tcBorders>
              <w:left w:val="single" w:sz="4" w:space="0" w:color="F1B400"/>
              <w:bottom w:val="single" w:sz="4" w:space="0" w:color="F1B400"/>
              <w:right w:val="single" w:sz="4" w:space="0" w:color="F1B400"/>
            </w:tcBorders>
          </w:tcPr>
          <w:p>
            <w:pPr>
              <w:pStyle w:val="TableParagraph"/>
              <w:spacing w:before="8"/>
              <w:rPr>
                <w:sz w:val="19"/>
              </w:rPr>
            </w:pPr>
          </w:p>
          <w:p>
            <w:pPr>
              <w:pStyle w:val="TableParagraph"/>
              <w:spacing w:line="242" w:lineRule="exact"/>
              <w:ind w:left="396"/>
              <w:rPr>
                <w:sz w:val="20"/>
              </w:rPr>
            </w:pPr>
            <w:r>
              <w:rPr>
                <w:w w:val="120"/>
                <w:sz w:val="20"/>
              </w:rPr>
              <w:t>Ugly chrysalis;</w:t>
            </w:r>
          </w:p>
          <w:p>
            <w:pPr>
              <w:pStyle w:val="TableParagraph"/>
              <w:spacing w:line="235" w:lineRule="auto" w:before="2"/>
              <w:ind w:left="396" w:right="1743"/>
              <w:rPr>
                <w:sz w:val="20"/>
              </w:rPr>
            </w:pPr>
            <w:r>
              <w:rPr>
                <w:w w:val="115"/>
                <w:sz w:val="20"/>
              </w:rPr>
              <w:t>a necessary stage to form a butterfly.</w:t>
            </w:r>
          </w:p>
        </w:tc>
      </w:tr>
    </w:tbl>
    <w:p>
      <w:pPr>
        <w:spacing w:after="0" w:line="235" w:lineRule="auto"/>
        <w:rPr>
          <w:sz w:val="20"/>
        </w:rPr>
        <w:sectPr>
          <w:headerReference w:type="default" r:id="rId221"/>
          <w:pgSz w:w="11910" w:h="16840"/>
          <w:pgMar w:header="0" w:footer="647" w:top="0" w:bottom="840" w:left="420" w:right="380"/>
        </w:sectPr>
      </w:pPr>
    </w:p>
    <w:p>
      <w:pPr>
        <w:pStyle w:val="BodyText"/>
      </w:pPr>
      <w:r>
        <w:rPr/>
        <w:drawing>
          <wp:anchor distT="0" distB="0" distL="0" distR="0" allowOverlap="1" layoutInCell="1" locked="0" behindDoc="1" simplePos="0" relativeHeight="235899904">
            <wp:simplePos x="0" y="0"/>
            <wp:positionH relativeFrom="page">
              <wp:posOffset>0</wp:posOffset>
            </wp:positionH>
            <wp:positionV relativeFrom="page">
              <wp:posOffset>0</wp:posOffset>
            </wp:positionV>
            <wp:extent cx="594067" cy="10692003"/>
            <wp:effectExtent l="0" t="0" r="0" b="0"/>
            <wp:wrapNone/>
            <wp:docPr id="141" name="image49.png"/>
            <wp:cNvGraphicFramePr>
              <a:graphicFrameLocks noChangeAspect="1"/>
            </wp:cNvGraphicFramePr>
            <a:graphic>
              <a:graphicData uri="http://schemas.openxmlformats.org/drawingml/2006/picture">
                <pic:pic>
                  <pic:nvPicPr>
                    <pic:cNvPr id="142" name="image49.png"/>
                    <pic:cNvPicPr/>
                  </pic:nvPicPr>
                  <pic:blipFill>
                    <a:blip r:embed="rId62"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group style="position:absolute;margin-left:62.362202pt;margin-top:30.497046pt;width:433.5pt;height:152.85pt;mso-position-horizontal-relative:page;mso-position-vertical-relative:paragraph;z-index:251870208" coordorigin="1247,610" coordsize="8670,3057">
            <v:line style="position:absolute" from="1247,615" to="5440,615" stroked="true" strokeweight=".5pt" strokecolor="#f1b400">
              <v:stroke dashstyle="solid"/>
            </v:line>
            <v:line style="position:absolute" from="1252,3667" to="1252,620" stroked="true" strokeweight=".5pt" strokecolor="#f1b400">
              <v:stroke dashstyle="solid"/>
            </v:line>
            <v:line style="position:absolute" from="5440,615" to="9916,615" stroked="true" strokeweight=".5pt" strokecolor="#f1b400">
              <v:stroke dashstyle="solid"/>
            </v:line>
            <v:line style="position:absolute" from="9911,3667" to="9911,620" stroked="true" strokeweight=".5pt" strokecolor="#f1b400">
              <v:stroke dashstyle="solid"/>
            </v:line>
            <v:shape style="position:absolute;left:2045;top:727;width:7754;height:2880" type="#_x0000_t202" filled="false" stroked="false">
              <v:textbox inset="0,0,0,0">
                <w:txbxContent>
                  <w:p>
                    <w:pPr>
                      <w:spacing w:line="235" w:lineRule="auto" w:before="3"/>
                      <w:ind w:left="0" w:right="88" w:firstLine="0"/>
                      <w:jc w:val="left"/>
                      <w:rPr>
                        <w:sz w:val="20"/>
                      </w:rPr>
                    </w:pPr>
                    <w:r>
                      <w:rPr>
                        <w:w w:val="120"/>
                        <w:sz w:val="20"/>
                      </w:rPr>
                      <w:t>Banbury United Reformed Church gave up its own buildings 25 years ago and entered into a sharing agreement with the town centre parish church. Last year they were suddenly faced with the unwelcome decision of the parochial church council to bring that agreement to an end, despite their shared mission. A few months </w:t>
                    </w:r>
                    <w:r>
                      <w:rPr>
                        <w:spacing w:val="-3"/>
                        <w:w w:val="120"/>
                        <w:sz w:val="20"/>
                      </w:rPr>
                      <w:t>later, </w:t>
                    </w:r>
                    <w:r>
                      <w:rPr>
                        <w:w w:val="120"/>
                        <w:sz w:val="20"/>
                      </w:rPr>
                      <w:t>they are looking at new life and mission in the town</w:t>
                    </w:r>
                    <w:r>
                      <w:rPr>
                        <w:spacing w:val="6"/>
                        <w:w w:val="120"/>
                        <w:sz w:val="20"/>
                      </w:rPr>
                      <w:t> </w:t>
                    </w:r>
                    <w:r>
                      <w:rPr>
                        <w:w w:val="120"/>
                        <w:sz w:val="20"/>
                      </w:rPr>
                      <w:t>centre,</w:t>
                    </w:r>
                    <w:r>
                      <w:rPr>
                        <w:spacing w:val="6"/>
                        <w:w w:val="120"/>
                        <w:sz w:val="20"/>
                      </w:rPr>
                      <w:t> </w:t>
                    </w:r>
                    <w:r>
                      <w:rPr>
                        <w:w w:val="120"/>
                        <w:sz w:val="20"/>
                      </w:rPr>
                      <w:t>exploring</w:t>
                    </w:r>
                    <w:r>
                      <w:rPr>
                        <w:spacing w:val="7"/>
                        <w:w w:val="120"/>
                        <w:sz w:val="20"/>
                      </w:rPr>
                      <w:t> </w:t>
                    </w:r>
                    <w:r>
                      <w:rPr>
                        <w:w w:val="120"/>
                        <w:sz w:val="20"/>
                      </w:rPr>
                      <w:t>moving</w:t>
                    </w:r>
                    <w:r>
                      <w:rPr>
                        <w:spacing w:val="6"/>
                        <w:w w:val="120"/>
                        <w:sz w:val="20"/>
                      </w:rPr>
                      <w:t> </w:t>
                    </w:r>
                    <w:r>
                      <w:rPr>
                        <w:w w:val="120"/>
                        <w:sz w:val="20"/>
                      </w:rPr>
                      <w:t>into</w:t>
                    </w:r>
                    <w:r>
                      <w:rPr>
                        <w:spacing w:val="6"/>
                        <w:w w:val="120"/>
                        <w:sz w:val="20"/>
                      </w:rPr>
                      <w:t> </w:t>
                    </w:r>
                    <w:r>
                      <w:rPr>
                        <w:w w:val="120"/>
                        <w:sz w:val="20"/>
                      </w:rPr>
                      <w:t>retail</w:t>
                    </w:r>
                    <w:r>
                      <w:rPr>
                        <w:spacing w:val="7"/>
                        <w:w w:val="120"/>
                        <w:sz w:val="20"/>
                      </w:rPr>
                      <w:t> </w:t>
                    </w:r>
                    <w:r>
                      <w:rPr>
                        <w:w w:val="120"/>
                        <w:sz w:val="20"/>
                      </w:rPr>
                      <w:t>premises</w:t>
                    </w:r>
                    <w:r>
                      <w:rPr>
                        <w:spacing w:val="6"/>
                        <w:w w:val="120"/>
                        <w:sz w:val="20"/>
                      </w:rPr>
                      <w:t> </w:t>
                    </w:r>
                    <w:r>
                      <w:rPr>
                        <w:w w:val="120"/>
                        <w:sz w:val="20"/>
                      </w:rPr>
                      <w:t>and</w:t>
                    </w:r>
                    <w:r>
                      <w:rPr>
                        <w:spacing w:val="6"/>
                        <w:w w:val="120"/>
                        <w:sz w:val="20"/>
                      </w:rPr>
                      <w:t> </w:t>
                    </w:r>
                    <w:r>
                      <w:rPr>
                        <w:w w:val="120"/>
                        <w:sz w:val="20"/>
                      </w:rPr>
                      <w:t>being</w:t>
                    </w:r>
                    <w:r>
                      <w:rPr>
                        <w:spacing w:val="7"/>
                        <w:w w:val="120"/>
                        <w:sz w:val="20"/>
                      </w:rPr>
                      <w:t> </w:t>
                    </w:r>
                    <w:r>
                      <w:rPr>
                        <w:w w:val="120"/>
                        <w:sz w:val="20"/>
                      </w:rPr>
                      <w:t>church</w:t>
                    </w:r>
                    <w:r>
                      <w:rPr>
                        <w:spacing w:val="6"/>
                        <w:w w:val="120"/>
                        <w:sz w:val="20"/>
                      </w:rPr>
                      <w:t> </w:t>
                    </w:r>
                    <w:r>
                      <w:rPr>
                        <w:w w:val="120"/>
                        <w:sz w:val="20"/>
                      </w:rPr>
                      <w:t>in</w:t>
                    </w:r>
                    <w:r>
                      <w:rPr>
                        <w:spacing w:val="6"/>
                        <w:w w:val="120"/>
                        <w:sz w:val="20"/>
                      </w:rPr>
                      <w:t> </w:t>
                    </w:r>
                    <w:r>
                      <w:rPr>
                        <w:w w:val="120"/>
                        <w:sz w:val="20"/>
                      </w:rPr>
                      <w:t>a</w:t>
                    </w:r>
                  </w:p>
                  <w:p>
                    <w:pPr>
                      <w:spacing w:line="242" w:lineRule="exact" w:before="1"/>
                      <w:ind w:left="0" w:right="0" w:firstLine="0"/>
                      <w:jc w:val="left"/>
                      <w:rPr>
                        <w:sz w:val="20"/>
                      </w:rPr>
                    </w:pPr>
                    <w:r>
                      <w:rPr>
                        <w:w w:val="120"/>
                        <w:sz w:val="20"/>
                      </w:rPr>
                      <w:t>new way.</w:t>
                    </w:r>
                  </w:p>
                  <w:p>
                    <w:pPr>
                      <w:spacing w:line="235" w:lineRule="auto" w:before="2"/>
                      <w:ind w:left="0" w:right="0" w:firstLine="0"/>
                      <w:jc w:val="left"/>
                      <w:rPr>
                        <w:sz w:val="20"/>
                      </w:rPr>
                    </w:pPr>
                    <w:r>
                      <w:rPr>
                        <w:w w:val="120"/>
                        <w:sz w:val="20"/>
                      </w:rPr>
                      <w:t>In Barry, the Methodist and United Reformed churches had large Victorian churches on either side of a road. They decided to unite and build afresh. At present, ‘the Barry Waterfront Centre’ is in a temporary building on the new site, but they have used the land to create a community garden and allotment, to engage people in activity and bless them with produce.</w:t>
                    </w:r>
                  </w:p>
                </w:txbxContent>
              </v:textbox>
              <w10:wrap type="none"/>
            </v:shape>
            <v:shape style="position:absolute;left:1365;top:719;width:122;height:1923" type="#_x0000_t202" filled="false" stroked="false">
              <v:textbox inset="0,0,0,0">
                <w:txbxContent>
                  <w:p>
                    <w:pPr>
                      <w:spacing w:line="243" w:lineRule="exact" w:before="0"/>
                      <w:ind w:left="0" w:right="0" w:firstLine="0"/>
                      <w:jc w:val="left"/>
                      <w:rPr>
                        <w:rFonts w:ascii="Symbol" w:hAnsi="Symbol"/>
                        <w:sz w:val="20"/>
                      </w:rPr>
                    </w:pPr>
                    <w:r>
                      <w:rPr>
                        <w:rFonts w:ascii="Symbol" w:hAnsi="Symbol"/>
                        <w:w w:val="110"/>
                        <w:sz w:val="20"/>
                      </w:rPr>
                      <w:t></w:t>
                    </w:r>
                  </w:p>
                  <w:p>
                    <w:pPr>
                      <w:spacing w:line="240" w:lineRule="auto" w:before="0"/>
                      <w:rPr>
                        <w:rFonts w:ascii="Symbol" w:hAnsi="Symbol"/>
                        <w:sz w:val="24"/>
                      </w:rPr>
                    </w:pPr>
                  </w:p>
                  <w:p>
                    <w:pPr>
                      <w:spacing w:line="240" w:lineRule="auto" w:before="0"/>
                      <w:rPr>
                        <w:rFonts w:ascii="Symbol" w:hAnsi="Symbol"/>
                        <w:sz w:val="24"/>
                      </w:rPr>
                    </w:pPr>
                  </w:p>
                  <w:p>
                    <w:pPr>
                      <w:spacing w:line="240" w:lineRule="auto" w:before="0"/>
                      <w:rPr>
                        <w:rFonts w:ascii="Symbol" w:hAnsi="Symbol"/>
                        <w:sz w:val="24"/>
                      </w:rPr>
                    </w:pPr>
                  </w:p>
                  <w:p>
                    <w:pPr>
                      <w:spacing w:line="240" w:lineRule="auto" w:before="0"/>
                      <w:rPr>
                        <w:rFonts w:ascii="Symbol" w:hAnsi="Symbol"/>
                        <w:sz w:val="24"/>
                      </w:rPr>
                    </w:pPr>
                  </w:p>
                  <w:p>
                    <w:pPr>
                      <w:spacing w:line="240" w:lineRule="auto" w:before="1"/>
                      <w:rPr>
                        <w:rFonts w:ascii="Symbol" w:hAnsi="Symbol"/>
                        <w:sz w:val="21"/>
                      </w:rPr>
                    </w:pPr>
                  </w:p>
                  <w:p>
                    <w:pPr>
                      <w:spacing w:line="245" w:lineRule="exact" w:before="0"/>
                      <w:ind w:left="0" w:right="0" w:firstLine="0"/>
                      <w:jc w:val="left"/>
                      <w:rPr>
                        <w:rFonts w:ascii="Symbol" w:hAnsi="Symbol"/>
                        <w:sz w:val="20"/>
                      </w:rPr>
                    </w:pPr>
                    <w:r>
                      <w:rPr>
                        <w:rFonts w:ascii="Symbol" w:hAnsi="Symbol"/>
                        <w:w w:val="110"/>
                        <w:sz w:val="20"/>
                      </w:rPr>
                      <w:t></w:t>
                    </w:r>
                  </w:p>
                </w:txbxContent>
              </v:textbox>
              <w10:wrap type="none"/>
            </v:shape>
            <w10:wrap type="none"/>
          </v:group>
        </w:pict>
      </w:r>
      <w:r>
        <w:rPr/>
        <w:pict>
          <v:shape style="position:absolute;margin-left:20.519100pt;margin-top:22.693945pt;width:26pt;height:191.45pt;mso-position-horizontal-relative:page;mso-position-vertical-relative:paragraph;z-index:251872256" type="#_x0000_t202" filled="false" stroked="false">
            <v:textbox inset="0,0,0,0" style="layout-flow:vertical">
              <w:txbxContent>
                <w:p>
                  <w:pPr>
                    <w:spacing w:before="29"/>
                    <w:ind w:left="20" w:right="0" w:firstLine="0"/>
                    <w:jc w:val="left"/>
                    <w:rPr>
                      <w:sz w:val="39"/>
                    </w:rPr>
                  </w:pPr>
                  <w:r>
                    <w:rPr>
                      <w:color w:val="FFFFFF"/>
                      <w:w w:val="125"/>
                      <w:sz w:val="39"/>
                    </w:rPr>
                    <w:t>Synod Moderators</w:t>
                  </w:r>
                </w:p>
              </w:txbxContent>
            </v:textbox>
            <w10:wrap type="none"/>
          </v:shape>
        </w:pict>
      </w:r>
      <w:r>
        <w:rPr>
          <w:color w:val="7EAABF"/>
          <w:w w:val="120"/>
          <w:sz w:val="26"/>
        </w:rPr>
        <w:t>Mission Council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8"/>
        </w:rPr>
      </w:pPr>
    </w:p>
    <w:p>
      <w:pPr>
        <w:pStyle w:val="ListParagraph"/>
        <w:numPr>
          <w:ilvl w:val="0"/>
          <w:numId w:val="56"/>
        </w:numPr>
        <w:tabs>
          <w:tab w:pos="1507" w:val="left" w:leader="none"/>
          <w:tab w:pos="1508" w:val="left" w:leader="none"/>
        </w:tabs>
        <w:spacing w:line="242" w:lineRule="exact" w:before="101" w:after="0"/>
        <w:ind w:left="1507" w:right="0" w:hanging="681"/>
        <w:jc w:val="left"/>
        <w:rPr>
          <w:sz w:val="20"/>
        </w:rPr>
      </w:pPr>
      <w:r>
        <w:rPr/>
        <w:pict>
          <v:shape style="position:absolute;margin-left:62.612202pt;margin-top:-50.498634pt;width:433pt;height:32.85pt;mso-position-horizontal-relative:page;mso-position-vertical-relative:paragraph;z-index:251871232" type="#_x0000_t202" filled="false" stroked="true" strokeweight=".5pt" strokecolor="#f1b400">
            <v:textbox inset="0,0,0,0">
              <w:txbxContent>
                <w:p>
                  <w:pPr>
                    <w:pStyle w:val="BodyText"/>
                    <w:spacing w:line="235" w:lineRule="auto" w:before="111"/>
                    <w:ind w:left="108" w:right="255"/>
                  </w:pPr>
                  <w:r>
                    <w:rPr>
                      <w:w w:val="120"/>
                    </w:rPr>
                    <w:t>Can you think of a point in the life of your congregation where letting some activity or way of doing things die gave the opportunity for new life?</w:t>
                  </w:r>
                </w:p>
              </w:txbxContent>
            </v:textbox>
            <v:stroke dashstyle="solid"/>
            <w10:wrap type="none"/>
          </v:shape>
        </w:pict>
      </w:r>
      <w:r>
        <w:rPr>
          <w:w w:val="120"/>
          <w:sz w:val="20"/>
        </w:rPr>
        <w:t>Finally, a personal note: since Assembly last met, we have said goodbye</w:t>
      </w:r>
      <w:r>
        <w:rPr>
          <w:spacing w:val="21"/>
          <w:w w:val="120"/>
          <w:sz w:val="20"/>
        </w:rPr>
        <w:t> </w:t>
      </w:r>
      <w:r>
        <w:rPr>
          <w:w w:val="120"/>
          <w:sz w:val="20"/>
        </w:rPr>
        <w:t>to</w:t>
      </w:r>
    </w:p>
    <w:p>
      <w:pPr>
        <w:pStyle w:val="BodyText"/>
        <w:spacing w:line="235" w:lineRule="auto" w:before="1"/>
        <w:ind w:left="827" w:right="1528"/>
      </w:pPr>
      <w:r>
        <w:rPr>
          <w:w w:val="120"/>
        </w:rPr>
        <w:t>Lis Mullen, who retired from Northern Synod, and welcomed her successor Dave Herbert. We give thanks for them both and for the gifts each Synod Moderator brings to our meeting.</w:t>
      </w:r>
    </w:p>
    <w:p>
      <w:pPr>
        <w:spacing w:after="0" w:line="235" w:lineRule="auto"/>
        <w:sectPr>
          <w:headerReference w:type="even" r:id="rId222"/>
          <w:footerReference w:type="even" r:id="rId223"/>
          <w:footerReference w:type="default" r:id="rId224"/>
          <w:pgSz w:w="11910" w:h="16840"/>
          <w:pgMar w:header="0" w:footer="647" w:top="0" w:bottom="840" w:left="420" w:right="380"/>
          <w:pgNumType w:start="76"/>
        </w:sectPr>
      </w:pPr>
    </w:p>
    <w:p>
      <w:pPr>
        <w:pStyle w:val="BodyText"/>
      </w:pPr>
      <w:r>
        <w:rPr/>
        <w:drawing>
          <wp:anchor distT="0" distB="0" distL="0" distR="0" allowOverlap="1" layoutInCell="1" locked="0" behindDoc="0" simplePos="0" relativeHeight="251873280">
            <wp:simplePos x="0" y="0"/>
            <wp:positionH relativeFrom="page">
              <wp:posOffset>6974928</wp:posOffset>
            </wp:positionH>
            <wp:positionV relativeFrom="page">
              <wp:posOffset>0</wp:posOffset>
            </wp:positionV>
            <wp:extent cx="585076" cy="10692003"/>
            <wp:effectExtent l="0" t="0" r="0" b="0"/>
            <wp:wrapNone/>
            <wp:docPr id="143" name="image50.png"/>
            <wp:cNvGraphicFramePr>
              <a:graphicFrameLocks noChangeAspect="1"/>
            </wp:cNvGraphicFramePr>
            <a:graphic>
              <a:graphicData uri="http://schemas.openxmlformats.org/drawingml/2006/picture">
                <pic:pic>
                  <pic:nvPicPr>
                    <pic:cNvPr id="144" name="image50.png"/>
                    <pic:cNvPicPr/>
                  </pic:nvPicPr>
                  <pic:blipFill>
                    <a:blip r:embed="rId64"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68.85pt;mso-position-horizontal-relative:page;mso-position-vertical-relative:paragraph;z-index:251874304" type="#_x0000_t202" filled="false" stroked="false">
            <v:textbox inset="0,0,0,0" style="layout-flow:vertical">
              <w:txbxContent>
                <w:p>
                  <w:pPr>
                    <w:spacing w:before="29"/>
                    <w:ind w:left="20" w:right="0" w:firstLine="0"/>
                    <w:jc w:val="left"/>
                    <w:rPr>
                      <w:sz w:val="39"/>
                    </w:rPr>
                  </w:pPr>
                  <w:r>
                    <w:rPr>
                      <w:color w:val="FFFFFF"/>
                      <w:spacing w:val="8"/>
                      <w:w w:val="125"/>
                      <w:sz w:val="39"/>
                    </w:rPr>
                    <w:t>Church</w:t>
                  </w:r>
                  <w:r>
                    <w:rPr>
                      <w:color w:val="FFFFFF"/>
                      <w:spacing w:val="71"/>
                      <w:w w:val="125"/>
                      <w:sz w:val="39"/>
                    </w:rPr>
                    <w:t> </w:t>
                  </w:r>
                  <w:r>
                    <w:rPr>
                      <w:color w:val="FFFFFF"/>
                      <w:spacing w:val="11"/>
                      <w:w w:val="125"/>
                      <w:sz w:val="39"/>
                    </w:rPr>
                    <w:t>changes</w:t>
                  </w:r>
                </w:p>
              </w:txbxContent>
            </v:textbox>
            <w10:wrap type="none"/>
          </v:shape>
        </w:pict>
      </w:r>
      <w:bookmarkStart w:name="_bookmark12" w:id="13"/>
      <w:bookmarkEnd w:id="13"/>
      <w:r>
        <w:rPr/>
      </w:r>
      <w:r>
        <w:rPr>
          <w:color w:val="7EAABF"/>
          <w:w w:val="120"/>
        </w:rPr>
        <w:t>Mission Council</w:t>
      </w:r>
    </w:p>
    <w:p>
      <w:pPr>
        <w:pStyle w:val="BodyText"/>
        <w:spacing w:before="8"/>
        <w:rPr>
          <w:sz w:val="24"/>
        </w:rPr>
      </w:pPr>
    </w:p>
    <w:p>
      <w:pPr>
        <w:spacing w:line="213" w:lineRule="auto" w:before="1"/>
        <w:ind w:left="1564" w:right="0" w:firstLine="0"/>
        <w:jc w:val="left"/>
        <w:rPr>
          <w:rFonts w:ascii="Stone Sans II ITC Std X Bd"/>
          <w:b/>
          <w:sz w:val="50"/>
        </w:rPr>
      </w:pPr>
      <w:r>
        <w:rPr>
          <w:rFonts w:ascii="Stone Sans II ITC Std X Bd"/>
          <w:b/>
          <w:spacing w:val="-10"/>
          <w:w w:val="110"/>
          <w:sz w:val="50"/>
        </w:rPr>
        <w:t>Church </w:t>
      </w:r>
      <w:r>
        <w:rPr>
          <w:rFonts w:ascii="Stone Sans II ITC Std X Bd"/>
          <w:b/>
          <w:spacing w:val="-9"/>
          <w:w w:val="110"/>
          <w:sz w:val="50"/>
        </w:rPr>
        <w:t>changes not </w:t>
      </w:r>
      <w:r>
        <w:rPr>
          <w:rFonts w:ascii="Stone Sans II ITC Std X Bd"/>
          <w:b/>
          <w:spacing w:val="-10"/>
          <w:w w:val="110"/>
          <w:sz w:val="50"/>
        </w:rPr>
        <w:t>previously </w:t>
      </w:r>
      <w:r>
        <w:rPr>
          <w:rFonts w:ascii="Stone Sans II ITC Std X Bd"/>
          <w:b/>
          <w:spacing w:val="-8"/>
          <w:w w:val="110"/>
          <w:sz w:val="50"/>
        </w:rPr>
        <w:t>reported </w:t>
      </w:r>
      <w:r>
        <w:rPr>
          <w:rFonts w:ascii="Stone Sans II ITC Std X Bd"/>
          <w:b/>
          <w:spacing w:val="-10"/>
          <w:w w:val="110"/>
          <w:sz w:val="50"/>
        </w:rPr>
        <w:t>to </w:t>
      </w:r>
      <w:r>
        <w:rPr>
          <w:rFonts w:ascii="Stone Sans II ITC Std X Bd"/>
          <w:b/>
          <w:spacing w:val="-9"/>
          <w:w w:val="110"/>
          <w:sz w:val="50"/>
        </w:rPr>
        <w:t>General</w:t>
      </w:r>
      <w:r>
        <w:rPr>
          <w:rFonts w:ascii="Stone Sans II ITC Std X Bd"/>
          <w:b/>
          <w:spacing w:val="91"/>
          <w:w w:val="110"/>
          <w:sz w:val="50"/>
        </w:rPr>
        <w:t> </w:t>
      </w:r>
      <w:r>
        <w:rPr>
          <w:rFonts w:ascii="Stone Sans II ITC Std X Bd"/>
          <w:b/>
          <w:spacing w:val="-8"/>
          <w:w w:val="110"/>
          <w:sz w:val="50"/>
        </w:rPr>
        <w:t>Assembly</w:t>
      </w:r>
    </w:p>
    <w:p>
      <w:pPr>
        <w:pStyle w:val="BodyText"/>
        <w:spacing w:before="13"/>
        <w:rPr>
          <w:rFonts w:ascii="Stone Sans II ITC Std X Bd"/>
          <w:b/>
          <w:sz w:val="45"/>
        </w:rPr>
      </w:pPr>
    </w:p>
    <w:p>
      <w:pPr>
        <w:pStyle w:val="ListParagraph"/>
        <w:numPr>
          <w:ilvl w:val="1"/>
          <w:numId w:val="61"/>
        </w:numPr>
        <w:tabs>
          <w:tab w:pos="2244" w:val="left" w:leader="none"/>
          <w:tab w:pos="2245" w:val="left" w:leader="none"/>
        </w:tabs>
        <w:spacing w:line="235" w:lineRule="auto" w:before="0" w:after="0"/>
        <w:ind w:left="1564" w:right="941" w:firstLine="0"/>
        <w:jc w:val="left"/>
        <w:rPr>
          <w:sz w:val="20"/>
        </w:rPr>
      </w:pPr>
      <w:r>
        <w:rPr>
          <w:w w:val="120"/>
          <w:sz w:val="20"/>
        </w:rPr>
        <w:t>This report </w:t>
      </w:r>
      <w:r>
        <w:rPr>
          <w:spacing w:val="-3"/>
          <w:w w:val="120"/>
          <w:sz w:val="20"/>
        </w:rPr>
        <w:t>notes </w:t>
      </w:r>
      <w:r>
        <w:rPr>
          <w:w w:val="120"/>
          <w:sz w:val="20"/>
        </w:rPr>
        <w:t>all </w:t>
      </w:r>
      <w:r>
        <w:rPr>
          <w:spacing w:val="-3"/>
          <w:w w:val="120"/>
          <w:sz w:val="20"/>
        </w:rPr>
        <w:t>churches </w:t>
      </w:r>
      <w:r>
        <w:rPr>
          <w:w w:val="120"/>
          <w:sz w:val="20"/>
        </w:rPr>
        <w:t>that </w:t>
      </w:r>
      <w:r>
        <w:rPr>
          <w:spacing w:val="-3"/>
          <w:w w:val="120"/>
          <w:sz w:val="20"/>
        </w:rPr>
        <w:t>have closed </w:t>
      </w:r>
      <w:r>
        <w:rPr>
          <w:w w:val="120"/>
          <w:sz w:val="20"/>
        </w:rPr>
        <w:t>– or opened – between 1 April </w:t>
      </w:r>
      <w:r>
        <w:rPr>
          <w:spacing w:val="-8"/>
          <w:w w:val="120"/>
          <w:sz w:val="20"/>
        </w:rPr>
        <w:t>2016</w:t>
      </w:r>
      <w:r>
        <w:rPr>
          <w:spacing w:val="-12"/>
          <w:w w:val="120"/>
          <w:sz w:val="20"/>
        </w:rPr>
        <w:t> </w:t>
      </w:r>
      <w:r>
        <w:rPr>
          <w:w w:val="120"/>
          <w:sz w:val="20"/>
        </w:rPr>
        <w:t>and</w:t>
      </w:r>
      <w:r>
        <w:rPr>
          <w:spacing w:val="-12"/>
          <w:w w:val="120"/>
          <w:sz w:val="20"/>
        </w:rPr>
        <w:t> </w:t>
      </w:r>
      <w:r>
        <w:rPr>
          <w:spacing w:val="-8"/>
          <w:w w:val="120"/>
          <w:sz w:val="20"/>
        </w:rPr>
        <w:t>31</w:t>
      </w:r>
      <w:r>
        <w:rPr>
          <w:spacing w:val="-11"/>
          <w:w w:val="120"/>
          <w:sz w:val="20"/>
        </w:rPr>
        <w:t> </w:t>
      </w:r>
      <w:r>
        <w:rPr>
          <w:w w:val="120"/>
          <w:sz w:val="20"/>
        </w:rPr>
        <w:t>March</w:t>
      </w:r>
      <w:r>
        <w:rPr>
          <w:spacing w:val="-12"/>
          <w:w w:val="120"/>
          <w:sz w:val="20"/>
        </w:rPr>
        <w:t> </w:t>
      </w:r>
      <w:r>
        <w:rPr>
          <w:spacing w:val="-8"/>
          <w:w w:val="120"/>
          <w:sz w:val="20"/>
        </w:rPr>
        <w:t>2018</w:t>
      </w:r>
      <w:r>
        <w:rPr>
          <w:spacing w:val="-11"/>
          <w:w w:val="120"/>
          <w:sz w:val="20"/>
        </w:rPr>
        <w:t> </w:t>
      </w:r>
      <w:r>
        <w:rPr>
          <w:spacing w:val="-5"/>
          <w:w w:val="120"/>
          <w:sz w:val="20"/>
        </w:rPr>
        <w:t>(the</w:t>
      </w:r>
      <w:r>
        <w:rPr>
          <w:spacing w:val="-12"/>
          <w:w w:val="120"/>
          <w:sz w:val="20"/>
        </w:rPr>
        <w:t> </w:t>
      </w:r>
      <w:r>
        <w:rPr>
          <w:w w:val="120"/>
          <w:sz w:val="20"/>
        </w:rPr>
        <w:t>cut-off</w:t>
      </w:r>
      <w:r>
        <w:rPr>
          <w:spacing w:val="-11"/>
          <w:w w:val="120"/>
          <w:sz w:val="20"/>
        </w:rPr>
        <w:t> </w:t>
      </w:r>
      <w:r>
        <w:rPr>
          <w:spacing w:val="-3"/>
          <w:w w:val="120"/>
          <w:sz w:val="20"/>
        </w:rPr>
        <w:t>dates</w:t>
      </w:r>
      <w:r>
        <w:rPr>
          <w:spacing w:val="-12"/>
          <w:w w:val="120"/>
          <w:sz w:val="20"/>
        </w:rPr>
        <w:t> </w:t>
      </w:r>
      <w:r>
        <w:rPr>
          <w:w w:val="120"/>
          <w:sz w:val="20"/>
        </w:rPr>
        <w:t>that</w:t>
      </w:r>
      <w:r>
        <w:rPr>
          <w:spacing w:val="-11"/>
          <w:w w:val="120"/>
          <w:sz w:val="20"/>
        </w:rPr>
        <w:t> </w:t>
      </w:r>
      <w:r>
        <w:rPr>
          <w:w w:val="120"/>
          <w:sz w:val="20"/>
        </w:rPr>
        <w:t>we</w:t>
      </w:r>
      <w:r>
        <w:rPr>
          <w:spacing w:val="-12"/>
          <w:w w:val="120"/>
          <w:sz w:val="20"/>
        </w:rPr>
        <w:t> </w:t>
      </w:r>
      <w:r>
        <w:rPr>
          <w:w w:val="120"/>
          <w:sz w:val="20"/>
        </w:rPr>
        <w:t>work</w:t>
      </w:r>
      <w:r>
        <w:rPr>
          <w:spacing w:val="-11"/>
          <w:w w:val="120"/>
          <w:sz w:val="20"/>
        </w:rPr>
        <w:t> </w:t>
      </w:r>
      <w:r>
        <w:rPr>
          <w:spacing w:val="-4"/>
          <w:w w:val="120"/>
          <w:sz w:val="20"/>
        </w:rPr>
        <w:t>to,</w:t>
      </w:r>
      <w:r>
        <w:rPr>
          <w:spacing w:val="-12"/>
          <w:w w:val="120"/>
          <w:sz w:val="20"/>
        </w:rPr>
        <w:t> </w:t>
      </w:r>
      <w:r>
        <w:rPr>
          <w:spacing w:val="-3"/>
          <w:w w:val="120"/>
          <w:sz w:val="20"/>
        </w:rPr>
        <w:t>to</w:t>
      </w:r>
      <w:r>
        <w:rPr>
          <w:spacing w:val="-11"/>
          <w:w w:val="120"/>
          <w:sz w:val="20"/>
        </w:rPr>
        <w:t> </w:t>
      </w:r>
      <w:r>
        <w:rPr>
          <w:w w:val="120"/>
          <w:sz w:val="20"/>
        </w:rPr>
        <w:t>prepare</w:t>
      </w:r>
      <w:r>
        <w:rPr>
          <w:spacing w:val="-12"/>
          <w:w w:val="120"/>
          <w:sz w:val="20"/>
        </w:rPr>
        <w:t> </w:t>
      </w:r>
      <w:r>
        <w:rPr>
          <w:w w:val="120"/>
          <w:sz w:val="20"/>
        </w:rPr>
        <w:t>the</w:t>
      </w:r>
      <w:r>
        <w:rPr>
          <w:spacing w:val="-11"/>
          <w:w w:val="120"/>
          <w:sz w:val="20"/>
        </w:rPr>
        <w:t> </w:t>
      </w:r>
      <w:r>
        <w:rPr>
          <w:i/>
          <w:w w:val="120"/>
          <w:sz w:val="20"/>
        </w:rPr>
        <w:t>Book</w:t>
      </w:r>
      <w:r>
        <w:rPr>
          <w:i/>
          <w:spacing w:val="-15"/>
          <w:w w:val="120"/>
          <w:sz w:val="20"/>
        </w:rPr>
        <w:t> </w:t>
      </w:r>
      <w:r>
        <w:rPr>
          <w:i/>
          <w:w w:val="120"/>
          <w:sz w:val="20"/>
        </w:rPr>
        <w:t>of</w:t>
      </w:r>
      <w:r>
        <w:rPr>
          <w:i/>
          <w:spacing w:val="-15"/>
          <w:w w:val="120"/>
          <w:sz w:val="20"/>
        </w:rPr>
        <w:t> </w:t>
      </w:r>
      <w:r>
        <w:rPr>
          <w:i/>
          <w:w w:val="120"/>
          <w:sz w:val="20"/>
        </w:rPr>
        <w:t>Reports </w:t>
      </w:r>
      <w:r>
        <w:rPr>
          <w:w w:val="120"/>
          <w:sz w:val="20"/>
        </w:rPr>
        <w:t>for General</w:t>
      </w:r>
      <w:r>
        <w:rPr>
          <w:spacing w:val="-5"/>
          <w:w w:val="120"/>
          <w:sz w:val="20"/>
        </w:rPr>
        <w:t> </w:t>
      </w:r>
      <w:r>
        <w:rPr>
          <w:spacing w:val="-3"/>
          <w:w w:val="120"/>
          <w:sz w:val="20"/>
        </w:rPr>
        <w:t>Assembly).</w:t>
      </w:r>
    </w:p>
    <w:p>
      <w:pPr>
        <w:pStyle w:val="BodyText"/>
        <w:spacing w:before="10"/>
        <w:rPr>
          <w:sz w:val="19"/>
        </w:rPr>
      </w:pPr>
    </w:p>
    <w:p>
      <w:pPr>
        <w:pStyle w:val="ListParagraph"/>
        <w:numPr>
          <w:ilvl w:val="1"/>
          <w:numId w:val="61"/>
        </w:numPr>
        <w:tabs>
          <w:tab w:pos="2244" w:val="left" w:leader="none"/>
          <w:tab w:pos="2245" w:val="left" w:leader="none"/>
        </w:tabs>
        <w:spacing w:line="235" w:lineRule="auto" w:before="0" w:after="0"/>
        <w:ind w:left="1564" w:right="1080" w:firstLine="0"/>
        <w:jc w:val="left"/>
        <w:rPr>
          <w:sz w:val="20"/>
        </w:rPr>
      </w:pPr>
      <w:r>
        <w:rPr>
          <w:w w:val="120"/>
          <w:sz w:val="20"/>
        </w:rPr>
        <w:t>Below is a simple listing of the </w:t>
      </w:r>
      <w:r>
        <w:rPr>
          <w:spacing w:val="-3"/>
          <w:w w:val="120"/>
          <w:sz w:val="20"/>
        </w:rPr>
        <w:t>closed churches, </w:t>
      </w:r>
      <w:r>
        <w:rPr>
          <w:w w:val="120"/>
          <w:sz w:val="20"/>
        </w:rPr>
        <w:t>synod by synod, </w:t>
      </w:r>
      <w:r>
        <w:rPr>
          <w:spacing w:val="-3"/>
          <w:w w:val="120"/>
          <w:sz w:val="20"/>
        </w:rPr>
        <w:t>listed </w:t>
      </w:r>
      <w:r>
        <w:rPr>
          <w:w w:val="120"/>
          <w:sz w:val="20"/>
        </w:rPr>
        <w:t>in alphabetical order and with the </w:t>
      </w:r>
      <w:r>
        <w:rPr>
          <w:spacing w:val="-3"/>
          <w:w w:val="120"/>
          <w:sz w:val="20"/>
        </w:rPr>
        <w:t>date </w:t>
      </w:r>
      <w:r>
        <w:rPr>
          <w:w w:val="120"/>
          <w:sz w:val="20"/>
        </w:rPr>
        <w:t>of </w:t>
      </w:r>
      <w:r>
        <w:rPr>
          <w:spacing w:val="-3"/>
          <w:w w:val="120"/>
          <w:sz w:val="20"/>
        </w:rPr>
        <w:t>closure. </w:t>
      </w:r>
      <w:r>
        <w:rPr>
          <w:w w:val="120"/>
          <w:sz w:val="20"/>
        </w:rPr>
        <w:t>The </w:t>
      </w:r>
      <w:r>
        <w:rPr>
          <w:spacing w:val="-3"/>
          <w:w w:val="120"/>
          <w:sz w:val="20"/>
        </w:rPr>
        <w:t>Record </w:t>
      </w:r>
      <w:r>
        <w:rPr>
          <w:w w:val="120"/>
          <w:sz w:val="20"/>
        </w:rPr>
        <w:t>of </w:t>
      </w:r>
      <w:r>
        <w:rPr>
          <w:spacing w:val="-3"/>
          <w:w w:val="120"/>
          <w:sz w:val="20"/>
        </w:rPr>
        <w:t>Assembly, </w:t>
      </w:r>
      <w:r>
        <w:rPr>
          <w:w w:val="120"/>
          <w:sz w:val="20"/>
        </w:rPr>
        <w:t>will </w:t>
      </w:r>
      <w:r>
        <w:rPr>
          <w:spacing w:val="-3"/>
          <w:w w:val="120"/>
          <w:sz w:val="20"/>
        </w:rPr>
        <w:t>include </w:t>
      </w:r>
      <w:r>
        <w:rPr>
          <w:w w:val="120"/>
          <w:sz w:val="20"/>
        </w:rPr>
        <w:t>a section on </w:t>
      </w:r>
      <w:r>
        <w:rPr>
          <w:spacing w:val="-3"/>
          <w:w w:val="120"/>
          <w:sz w:val="20"/>
        </w:rPr>
        <w:t>church </w:t>
      </w:r>
      <w:r>
        <w:rPr>
          <w:spacing w:val="-5"/>
          <w:w w:val="120"/>
          <w:sz w:val="20"/>
        </w:rPr>
        <w:t>‘obituaries’, </w:t>
      </w:r>
      <w:r>
        <w:rPr>
          <w:w w:val="120"/>
          <w:sz w:val="20"/>
        </w:rPr>
        <w:t>and all </w:t>
      </w:r>
      <w:r>
        <w:rPr>
          <w:spacing w:val="-3"/>
          <w:w w:val="120"/>
          <w:sz w:val="20"/>
        </w:rPr>
        <w:t>United </w:t>
      </w:r>
      <w:r>
        <w:rPr>
          <w:w w:val="120"/>
          <w:sz w:val="20"/>
        </w:rPr>
        <w:t>Reformed </w:t>
      </w:r>
      <w:r>
        <w:rPr>
          <w:spacing w:val="-3"/>
          <w:w w:val="120"/>
          <w:sz w:val="20"/>
        </w:rPr>
        <w:t>churches </w:t>
      </w:r>
      <w:r>
        <w:rPr>
          <w:w w:val="120"/>
          <w:sz w:val="20"/>
        </w:rPr>
        <w:t>that </w:t>
      </w:r>
      <w:r>
        <w:rPr>
          <w:spacing w:val="-3"/>
          <w:w w:val="120"/>
          <w:sz w:val="20"/>
        </w:rPr>
        <w:t>have closed </w:t>
      </w:r>
      <w:r>
        <w:rPr>
          <w:w w:val="120"/>
          <w:sz w:val="20"/>
        </w:rPr>
        <w:t>in the qualifying period </w:t>
      </w:r>
      <w:r>
        <w:rPr>
          <w:spacing w:val="-3"/>
          <w:w w:val="120"/>
          <w:sz w:val="20"/>
        </w:rPr>
        <w:t>have </w:t>
      </w:r>
      <w:r>
        <w:rPr>
          <w:w w:val="120"/>
          <w:sz w:val="20"/>
        </w:rPr>
        <w:t>been </w:t>
      </w:r>
      <w:r>
        <w:rPr>
          <w:spacing w:val="-3"/>
          <w:w w:val="120"/>
          <w:sz w:val="20"/>
        </w:rPr>
        <w:t>invited to submit </w:t>
      </w:r>
      <w:r>
        <w:rPr>
          <w:w w:val="120"/>
          <w:sz w:val="20"/>
        </w:rPr>
        <w:t>a short report on the life of their </w:t>
      </w:r>
      <w:r>
        <w:rPr>
          <w:spacing w:val="-3"/>
          <w:w w:val="120"/>
          <w:sz w:val="20"/>
        </w:rPr>
        <w:t>church, </w:t>
      </w:r>
      <w:r>
        <w:rPr>
          <w:w w:val="120"/>
          <w:sz w:val="20"/>
        </w:rPr>
        <w:t>for </w:t>
      </w:r>
      <w:r>
        <w:rPr>
          <w:spacing w:val="-3"/>
          <w:w w:val="120"/>
          <w:sz w:val="20"/>
        </w:rPr>
        <w:t>inclusion </w:t>
      </w:r>
      <w:r>
        <w:rPr>
          <w:w w:val="120"/>
          <w:sz w:val="20"/>
        </w:rPr>
        <w:t>in that. A </w:t>
      </w:r>
      <w:r>
        <w:rPr>
          <w:spacing w:val="-3"/>
          <w:w w:val="120"/>
          <w:sz w:val="20"/>
        </w:rPr>
        <w:t>PowerPoint </w:t>
      </w:r>
      <w:r>
        <w:rPr>
          <w:w w:val="120"/>
          <w:sz w:val="20"/>
        </w:rPr>
        <w:t>presentation with images for the life of the </w:t>
      </w:r>
      <w:r>
        <w:rPr>
          <w:spacing w:val="-3"/>
          <w:w w:val="120"/>
          <w:sz w:val="20"/>
        </w:rPr>
        <w:t>closed churches noted </w:t>
      </w:r>
      <w:r>
        <w:rPr>
          <w:w w:val="120"/>
          <w:sz w:val="20"/>
        </w:rPr>
        <w:t>below will be </w:t>
      </w:r>
      <w:r>
        <w:rPr>
          <w:spacing w:val="-3"/>
          <w:w w:val="120"/>
          <w:sz w:val="20"/>
        </w:rPr>
        <w:t>shown </w:t>
      </w:r>
      <w:r>
        <w:rPr>
          <w:w w:val="120"/>
          <w:sz w:val="20"/>
        </w:rPr>
        <w:t>at Assembly </w:t>
      </w:r>
      <w:r>
        <w:rPr>
          <w:spacing w:val="-7"/>
          <w:w w:val="120"/>
          <w:sz w:val="20"/>
        </w:rPr>
        <w:t>2018. </w:t>
      </w:r>
      <w:r>
        <w:rPr>
          <w:spacing w:val="-3"/>
          <w:w w:val="120"/>
          <w:sz w:val="20"/>
        </w:rPr>
        <w:t>We </w:t>
      </w:r>
      <w:r>
        <w:rPr>
          <w:w w:val="120"/>
          <w:sz w:val="20"/>
        </w:rPr>
        <w:t>are grateful </w:t>
      </w:r>
      <w:r>
        <w:rPr>
          <w:spacing w:val="-3"/>
          <w:w w:val="120"/>
          <w:sz w:val="20"/>
        </w:rPr>
        <w:t>to </w:t>
      </w:r>
      <w:r>
        <w:rPr>
          <w:w w:val="120"/>
          <w:sz w:val="20"/>
        </w:rPr>
        <w:t>the </w:t>
      </w:r>
      <w:r>
        <w:rPr>
          <w:spacing w:val="-3"/>
          <w:w w:val="120"/>
          <w:sz w:val="20"/>
        </w:rPr>
        <w:t>Revd </w:t>
      </w:r>
      <w:r>
        <w:rPr>
          <w:w w:val="120"/>
          <w:sz w:val="20"/>
        </w:rPr>
        <w:t>Mark </w:t>
      </w:r>
      <w:r>
        <w:rPr>
          <w:spacing w:val="-3"/>
          <w:w w:val="120"/>
          <w:sz w:val="20"/>
        </w:rPr>
        <w:t>Meatcher </w:t>
      </w:r>
      <w:r>
        <w:rPr>
          <w:w w:val="120"/>
          <w:sz w:val="20"/>
        </w:rPr>
        <w:t>for </w:t>
      </w:r>
      <w:r>
        <w:rPr>
          <w:spacing w:val="-3"/>
          <w:w w:val="120"/>
          <w:sz w:val="20"/>
        </w:rPr>
        <w:t>his </w:t>
      </w:r>
      <w:r>
        <w:rPr>
          <w:w w:val="120"/>
          <w:sz w:val="20"/>
        </w:rPr>
        <w:t>careful work in </w:t>
      </w:r>
      <w:r>
        <w:rPr>
          <w:spacing w:val="-3"/>
          <w:w w:val="120"/>
          <w:sz w:val="20"/>
        </w:rPr>
        <w:t>compiling this</w:t>
      </w:r>
      <w:r>
        <w:rPr>
          <w:spacing w:val="-16"/>
          <w:w w:val="120"/>
          <w:sz w:val="20"/>
        </w:rPr>
        <w:t> </w:t>
      </w:r>
      <w:r>
        <w:rPr>
          <w:w w:val="120"/>
          <w:sz w:val="20"/>
        </w:rPr>
        <w:t>list.</w:t>
      </w:r>
    </w:p>
    <w:p>
      <w:pPr>
        <w:pStyle w:val="BodyText"/>
        <w:spacing w:before="9"/>
        <w:rPr>
          <w:sz w:val="18"/>
        </w:rPr>
      </w:pPr>
    </w:p>
    <w:p>
      <w:pPr>
        <w:pStyle w:val="Heading8"/>
        <w:spacing w:line="255" w:lineRule="exact"/>
        <w:ind w:left="1564" w:firstLine="0"/>
      </w:pPr>
      <w:r>
        <w:rPr>
          <w:w w:val="110"/>
        </w:rPr>
        <w:t>Resolution 20</w:t>
      </w:r>
    </w:p>
    <w:p>
      <w:pPr>
        <w:spacing w:line="213" w:lineRule="auto" w:before="7"/>
        <w:ind w:left="1564" w:right="1528" w:firstLine="0"/>
        <w:jc w:val="left"/>
        <w:rPr>
          <w:rFonts w:ascii="Stone Sans II ITC Std Bk"/>
          <w:b/>
          <w:sz w:val="20"/>
        </w:rPr>
      </w:pPr>
      <w:r>
        <w:rPr>
          <w:rFonts w:ascii="Stone Sans II ITC Std Bk"/>
          <w:b/>
          <w:w w:val="110"/>
          <w:sz w:val="20"/>
        </w:rPr>
        <w:t>General</w:t>
      </w:r>
      <w:r>
        <w:rPr>
          <w:rFonts w:ascii="Stone Sans II ITC Std Bk"/>
          <w:b/>
          <w:spacing w:val="-11"/>
          <w:w w:val="110"/>
          <w:sz w:val="20"/>
        </w:rPr>
        <w:t> </w:t>
      </w:r>
      <w:r>
        <w:rPr>
          <w:rFonts w:ascii="Stone Sans II ITC Std Bk"/>
          <w:b/>
          <w:w w:val="110"/>
          <w:sz w:val="20"/>
        </w:rPr>
        <w:t>Assembly</w:t>
      </w:r>
      <w:r>
        <w:rPr>
          <w:rFonts w:ascii="Stone Sans II ITC Std Bk"/>
          <w:b/>
          <w:spacing w:val="-11"/>
          <w:w w:val="110"/>
          <w:sz w:val="20"/>
        </w:rPr>
        <w:t> </w:t>
      </w:r>
      <w:r>
        <w:rPr>
          <w:rFonts w:ascii="Stone Sans II ITC Std Bk"/>
          <w:b/>
          <w:spacing w:val="-3"/>
          <w:w w:val="110"/>
          <w:sz w:val="20"/>
        </w:rPr>
        <w:t>notes</w:t>
      </w:r>
      <w:r>
        <w:rPr>
          <w:rFonts w:ascii="Stone Sans II ITC Std Bk"/>
          <w:b/>
          <w:spacing w:val="-11"/>
          <w:w w:val="110"/>
          <w:sz w:val="20"/>
        </w:rPr>
        <w:t> </w:t>
      </w:r>
      <w:r>
        <w:rPr>
          <w:rFonts w:ascii="Stone Sans II ITC Std Bk"/>
          <w:b/>
          <w:w w:val="110"/>
          <w:sz w:val="20"/>
        </w:rPr>
        <w:t>the</w:t>
      </w:r>
      <w:r>
        <w:rPr>
          <w:rFonts w:ascii="Stone Sans II ITC Std Bk"/>
          <w:b/>
          <w:spacing w:val="-11"/>
          <w:w w:val="110"/>
          <w:sz w:val="20"/>
        </w:rPr>
        <w:t> </w:t>
      </w:r>
      <w:r>
        <w:rPr>
          <w:rFonts w:ascii="Stone Sans II ITC Std Bk"/>
          <w:b/>
          <w:w w:val="110"/>
          <w:sz w:val="20"/>
        </w:rPr>
        <w:t>closures,</w:t>
      </w:r>
      <w:r>
        <w:rPr>
          <w:rFonts w:ascii="Stone Sans II ITC Std Bk"/>
          <w:b/>
          <w:spacing w:val="-10"/>
          <w:w w:val="110"/>
          <w:sz w:val="20"/>
        </w:rPr>
        <w:t> </w:t>
      </w:r>
      <w:r>
        <w:rPr>
          <w:rFonts w:ascii="Stone Sans II ITC Std Bk"/>
          <w:b/>
          <w:w w:val="110"/>
          <w:sz w:val="20"/>
        </w:rPr>
        <w:t>with</w:t>
      </w:r>
      <w:r>
        <w:rPr>
          <w:rFonts w:ascii="Stone Sans II ITC Std Bk"/>
          <w:b/>
          <w:spacing w:val="-11"/>
          <w:w w:val="110"/>
          <w:sz w:val="20"/>
        </w:rPr>
        <w:t> </w:t>
      </w:r>
      <w:r>
        <w:rPr>
          <w:rFonts w:ascii="Stone Sans II ITC Std Bk"/>
          <w:b/>
          <w:w w:val="110"/>
          <w:sz w:val="20"/>
        </w:rPr>
        <w:t>praise</w:t>
      </w:r>
      <w:r>
        <w:rPr>
          <w:rFonts w:ascii="Stone Sans II ITC Std Bk"/>
          <w:b/>
          <w:spacing w:val="-11"/>
          <w:w w:val="110"/>
          <w:sz w:val="20"/>
        </w:rPr>
        <w:t> </w:t>
      </w:r>
      <w:r>
        <w:rPr>
          <w:rFonts w:ascii="Stone Sans II ITC Std Bk"/>
          <w:b/>
          <w:spacing w:val="-3"/>
          <w:w w:val="110"/>
          <w:sz w:val="20"/>
        </w:rPr>
        <w:t>to</w:t>
      </w:r>
      <w:r>
        <w:rPr>
          <w:rFonts w:ascii="Stone Sans II ITC Std Bk"/>
          <w:b/>
          <w:spacing w:val="-11"/>
          <w:w w:val="110"/>
          <w:sz w:val="20"/>
        </w:rPr>
        <w:t> </w:t>
      </w:r>
      <w:r>
        <w:rPr>
          <w:rFonts w:ascii="Stone Sans II ITC Std Bk"/>
          <w:b/>
          <w:w w:val="110"/>
          <w:sz w:val="20"/>
        </w:rPr>
        <w:t>God</w:t>
      </w:r>
      <w:r>
        <w:rPr>
          <w:rFonts w:ascii="Stone Sans II ITC Std Bk"/>
          <w:b/>
          <w:spacing w:val="-10"/>
          <w:w w:val="110"/>
          <w:sz w:val="20"/>
        </w:rPr>
        <w:t> </w:t>
      </w:r>
      <w:r>
        <w:rPr>
          <w:rFonts w:ascii="Stone Sans II ITC Std Bk"/>
          <w:b/>
          <w:w w:val="110"/>
          <w:sz w:val="20"/>
        </w:rPr>
        <w:t>for</w:t>
      </w:r>
      <w:r>
        <w:rPr>
          <w:rFonts w:ascii="Stone Sans II ITC Std Bk"/>
          <w:b/>
          <w:spacing w:val="-11"/>
          <w:w w:val="110"/>
          <w:sz w:val="20"/>
        </w:rPr>
        <w:t> </w:t>
      </w:r>
      <w:r>
        <w:rPr>
          <w:rFonts w:ascii="Stone Sans II ITC Std Bk"/>
          <w:b/>
          <w:w w:val="110"/>
          <w:sz w:val="20"/>
        </w:rPr>
        <w:t>the</w:t>
      </w:r>
      <w:r>
        <w:rPr>
          <w:rFonts w:ascii="Stone Sans II ITC Std Bk"/>
          <w:b/>
          <w:spacing w:val="-11"/>
          <w:w w:val="110"/>
          <w:sz w:val="20"/>
        </w:rPr>
        <w:t> </w:t>
      </w:r>
      <w:r>
        <w:rPr>
          <w:rFonts w:ascii="Stone Sans II ITC Std Bk"/>
          <w:b/>
          <w:w w:val="110"/>
          <w:sz w:val="20"/>
        </w:rPr>
        <w:t>worship</w:t>
      </w:r>
      <w:r>
        <w:rPr>
          <w:rFonts w:ascii="Stone Sans II ITC Std Bk"/>
          <w:b/>
          <w:spacing w:val="-11"/>
          <w:w w:val="110"/>
          <w:sz w:val="20"/>
        </w:rPr>
        <w:t> </w:t>
      </w:r>
      <w:r>
        <w:rPr>
          <w:rFonts w:ascii="Stone Sans II ITC Std Bk"/>
          <w:b/>
          <w:w w:val="110"/>
          <w:sz w:val="20"/>
        </w:rPr>
        <w:t>and witness offered by these fellowships </w:t>
      </w:r>
      <w:r>
        <w:rPr>
          <w:rFonts w:ascii="Stone Sans II ITC Std Bk"/>
          <w:b/>
          <w:spacing w:val="-3"/>
          <w:w w:val="110"/>
          <w:sz w:val="20"/>
        </w:rPr>
        <w:t>across </w:t>
      </w:r>
      <w:r>
        <w:rPr>
          <w:rFonts w:ascii="Stone Sans II ITC Std Bk"/>
          <w:b/>
          <w:w w:val="110"/>
          <w:sz w:val="20"/>
        </w:rPr>
        <w:t>the</w:t>
      </w:r>
      <w:r>
        <w:rPr>
          <w:rFonts w:ascii="Stone Sans II ITC Std Bk"/>
          <w:b/>
          <w:spacing w:val="-43"/>
          <w:w w:val="110"/>
          <w:sz w:val="20"/>
        </w:rPr>
        <w:t> </w:t>
      </w:r>
      <w:r>
        <w:rPr>
          <w:rFonts w:ascii="Stone Sans II ITC Std Bk"/>
          <w:b/>
          <w:w w:val="110"/>
          <w:sz w:val="20"/>
        </w:rPr>
        <w:t>years.</w:t>
      </w:r>
    </w:p>
    <w:p>
      <w:pPr>
        <w:pStyle w:val="BodyText"/>
        <w:spacing w:before="5"/>
        <w:rPr>
          <w:rFonts w:ascii="Stone Sans II ITC Std Bk"/>
          <w:b/>
          <w:sz w:val="19"/>
        </w:rPr>
      </w:pPr>
    </w:p>
    <w:p>
      <w:pPr>
        <w:spacing w:before="0"/>
        <w:ind w:left="1564" w:right="0" w:firstLine="0"/>
        <w:jc w:val="left"/>
        <w:rPr>
          <w:rFonts w:ascii="Stone Sans II ITC Std Bk"/>
          <w:b/>
          <w:sz w:val="29"/>
        </w:rPr>
      </w:pPr>
      <w:r>
        <w:rPr>
          <w:rFonts w:ascii="Stone Sans II ITC Std Bk"/>
          <w:b/>
          <w:w w:val="110"/>
          <w:sz w:val="29"/>
        </w:rPr>
        <w:t>Church closures</w:t>
      </w:r>
    </w:p>
    <w:p>
      <w:pPr>
        <w:spacing w:line="261" w:lineRule="exact" w:before="53"/>
        <w:ind w:left="1564" w:right="0" w:firstLine="0"/>
        <w:jc w:val="left"/>
        <w:rPr>
          <w:rFonts w:ascii="Stone Sans II ITC Std Bk"/>
          <w:b/>
          <w:sz w:val="20"/>
        </w:rPr>
      </w:pPr>
      <w:r>
        <w:rPr>
          <w:rFonts w:ascii="Stone Sans II ITC Std Bk"/>
          <w:b/>
          <w:w w:val="110"/>
          <w:sz w:val="20"/>
        </w:rPr>
        <w:t>Synod 1: Northern Synod</w:t>
      </w:r>
    </w:p>
    <w:p>
      <w:pPr>
        <w:pStyle w:val="BodyText"/>
        <w:spacing w:line="235" w:lineRule="auto"/>
        <w:ind w:left="1564" w:right="1868"/>
      </w:pPr>
      <w:r>
        <w:rPr>
          <w:w w:val="120"/>
        </w:rPr>
        <w:t>Barnard Castle United Reformed Church, Barnard Castle, 2 October 2016 Oxclose LEP, Washington, 1 September 2017</w:t>
      </w:r>
    </w:p>
    <w:p>
      <w:pPr>
        <w:spacing w:line="235" w:lineRule="auto" w:before="0"/>
        <w:ind w:left="1564" w:right="923" w:firstLine="0"/>
        <w:jc w:val="left"/>
        <w:rPr>
          <w:i/>
          <w:sz w:val="20"/>
        </w:rPr>
      </w:pPr>
      <w:r>
        <w:rPr>
          <w:i/>
          <w:w w:val="115"/>
          <w:sz w:val="20"/>
        </w:rPr>
        <w:t>(Noting</w:t>
      </w:r>
      <w:r>
        <w:rPr>
          <w:i/>
          <w:spacing w:val="-16"/>
          <w:w w:val="115"/>
          <w:sz w:val="20"/>
        </w:rPr>
        <w:t> </w:t>
      </w:r>
      <w:r>
        <w:rPr>
          <w:i/>
          <w:w w:val="115"/>
          <w:sz w:val="20"/>
        </w:rPr>
        <w:t>that</w:t>
      </w:r>
      <w:r>
        <w:rPr>
          <w:i/>
          <w:spacing w:val="-16"/>
          <w:w w:val="115"/>
          <w:sz w:val="20"/>
        </w:rPr>
        <w:t> </w:t>
      </w:r>
      <w:r>
        <w:rPr>
          <w:i/>
          <w:spacing w:val="-3"/>
          <w:w w:val="115"/>
          <w:sz w:val="20"/>
        </w:rPr>
        <w:t>Oxclose</w:t>
      </w:r>
      <w:r>
        <w:rPr>
          <w:i/>
          <w:spacing w:val="-16"/>
          <w:w w:val="115"/>
          <w:sz w:val="20"/>
        </w:rPr>
        <w:t> </w:t>
      </w:r>
      <w:r>
        <w:rPr>
          <w:i/>
          <w:spacing w:val="-4"/>
          <w:w w:val="115"/>
          <w:sz w:val="20"/>
        </w:rPr>
        <w:t>ceased</w:t>
      </w:r>
      <w:r>
        <w:rPr>
          <w:i/>
          <w:spacing w:val="-16"/>
          <w:w w:val="115"/>
          <w:sz w:val="20"/>
        </w:rPr>
        <w:t> </w:t>
      </w:r>
      <w:r>
        <w:rPr>
          <w:i/>
          <w:w w:val="115"/>
          <w:sz w:val="20"/>
        </w:rPr>
        <w:t>to</w:t>
      </w:r>
      <w:r>
        <w:rPr>
          <w:i/>
          <w:spacing w:val="-15"/>
          <w:w w:val="115"/>
          <w:sz w:val="20"/>
        </w:rPr>
        <w:t> </w:t>
      </w:r>
      <w:r>
        <w:rPr>
          <w:i/>
          <w:w w:val="115"/>
          <w:sz w:val="20"/>
        </w:rPr>
        <w:t>be</w:t>
      </w:r>
      <w:r>
        <w:rPr>
          <w:i/>
          <w:spacing w:val="-16"/>
          <w:w w:val="115"/>
          <w:sz w:val="20"/>
        </w:rPr>
        <w:t> </w:t>
      </w:r>
      <w:r>
        <w:rPr>
          <w:i/>
          <w:w w:val="115"/>
          <w:sz w:val="20"/>
        </w:rPr>
        <w:t>a</w:t>
      </w:r>
      <w:r>
        <w:rPr>
          <w:i/>
          <w:spacing w:val="-16"/>
          <w:w w:val="115"/>
          <w:sz w:val="20"/>
        </w:rPr>
        <w:t> </w:t>
      </w:r>
      <w:r>
        <w:rPr>
          <w:i/>
          <w:spacing w:val="-3"/>
          <w:w w:val="115"/>
          <w:sz w:val="20"/>
        </w:rPr>
        <w:t>local</w:t>
      </w:r>
      <w:r>
        <w:rPr>
          <w:i/>
          <w:spacing w:val="-16"/>
          <w:w w:val="115"/>
          <w:sz w:val="20"/>
        </w:rPr>
        <w:t> </w:t>
      </w:r>
      <w:r>
        <w:rPr>
          <w:i/>
          <w:spacing w:val="-3"/>
          <w:w w:val="115"/>
          <w:sz w:val="20"/>
        </w:rPr>
        <w:t>ecumenical</w:t>
      </w:r>
      <w:r>
        <w:rPr>
          <w:i/>
          <w:spacing w:val="-15"/>
          <w:w w:val="115"/>
          <w:sz w:val="20"/>
        </w:rPr>
        <w:t> </w:t>
      </w:r>
      <w:r>
        <w:rPr>
          <w:i/>
          <w:w w:val="115"/>
          <w:sz w:val="20"/>
        </w:rPr>
        <w:t>partnership</w:t>
      </w:r>
      <w:r>
        <w:rPr>
          <w:i/>
          <w:spacing w:val="-16"/>
          <w:w w:val="115"/>
          <w:sz w:val="20"/>
        </w:rPr>
        <w:t> </w:t>
      </w:r>
      <w:r>
        <w:rPr>
          <w:i/>
          <w:w w:val="115"/>
          <w:sz w:val="20"/>
        </w:rPr>
        <w:t>on</w:t>
      </w:r>
      <w:r>
        <w:rPr>
          <w:i/>
          <w:spacing w:val="-16"/>
          <w:w w:val="115"/>
          <w:sz w:val="20"/>
        </w:rPr>
        <w:t> </w:t>
      </w:r>
      <w:r>
        <w:rPr>
          <w:i/>
          <w:w w:val="115"/>
          <w:sz w:val="20"/>
        </w:rPr>
        <w:t>1</w:t>
      </w:r>
      <w:r>
        <w:rPr>
          <w:i/>
          <w:spacing w:val="-16"/>
          <w:w w:val="115"/>
          <w:sz w:val="20"/>
        </w:rPr>
        <w:t> </w:t>
      </w:r>
      <w:r>
        <w:rPr>
          <w:i/>
          <w:spacing w:val="-3"/>
          <w:w w:val="115"/>
          <w:sz w:val="20"/>
        </w:rPr>
        <w:t>September</w:t>
      </w:r>
      <w:r>
        <w:rPr>
          <w:i/>
          <w:spacing w:val="-15"/>
          <w:w w:val="115"/>
          <w:sz w:val="20"/>
        </w:rPr>
        <w:t> </w:t>
      </w:r>
      <w:r>
        <w:rPr>
          <w:i/>
          <w:spacing w:val="-10"/>
          <w:w w:val="115"/>
          <w:sz w:val="20"/>
        </w:rPr>
        <w:t>2017</w:t>
      </w:r>
      <w:r>
        <w:rPr>
          <w:i/>
          <w:spacing w:val="-16"/>
          <w:w w:val="115"/>
          <w:sz w:val="20"/>
        </w:rPr>
        <w:t> </w:t>
      </w:r>
      <w:r>
        <w:rPr>
          <w:i/>
          <w:w w:val="115"/>
          <w:sz w:val="20"/>
        </w:rPr>
        <w:t>but </w:t>
      </w:r>
      <w:r>
        <w:rPr>
          <w:i/>
          <w:spacing w:val="-3"/>
          <w:w w:val="115"/>
          <w:sz w:val="20"/>
        </w:rPr>
        <w:t>continues </w:t>
      </w:r>
      <w:r>
        <w:rPr>
          <w:i/>
          <w:w w:val="115"/>
          <w:sz w:val="20"/>
        </w:rPr>
        <w:t>as an </w:t>
      </w:r>
      <w:r>
        <w:rPr>
          <w:i/>
          <w:spacing w:val="-3"/>
          <w:w w:val="115"/>
          <w:sz w:val="20"/>
        </w:rPr>
        <w:t>Anglican</w:t>
      </w:r>
      <w:r>
        <w:rPr>
          <w:i/>
          <w:spacing w:val="-12"/>
          <w:w w:val="115"/>
          <w:sz w:val="20"/>
        </w:rPr>
        <w:t> </w:t>
      </w:r>
      <w:r>
        <w:rPr>
          <w:i/>
          <w:spacing w:val="-5"/>
          <w:w w:val="115"/>
          <w:sz w:val="20"/>
        </w:rPr>
        <w:t>Church.)</w:t>
      </w:r>
    </w:p>
    <w:p>
      <w:pPr>
        <w:pStyle w:val="BodyText"/>
        <w:spacing w:before="1"/>
        <w:rPr>
          <w:i/>
          <w:sz w:val="18"/>
        </w:rPr>
      </w:pPr>
    </w:p>
    <w:p>
      <w:pPr>
        <w:pStyle w:val="Heading8"/>
        <w:spacing w:before="1"/>
        <w:ind w:left="1564" w:firstLine="0"/>
      </w:pPr>
      <w:r>
        <w:rPr>
          <w:w w:val="110"/>
        </w:rPr>
        <w:t>Synod 2: North Western Synod</w:t>
      </w:r>
    </w:p>
    <w:p>
      <w:pPr>
        <w:pStyle w:val="BodyText"/>
        <w:spacing w:line="235" w:lineRule="exact"/>
        <w:ind w:left="1564"/>
      </w:pPr>
      <w:r>
        <w:rPr>
          <w:w w:val="120"/>
        </w:rPr>
        <w:t>Mossley Abney, Aston-under-Lyne, 23 April 2017</w:t>
      </w:r>
    </w:p>
    <w:p>
      <w:pPr>
        <w:pStyle w:val="BodyText"/>
        <w:spacing w:before="3"/>
        <w:rPr>
          <w:sz w:val="18"/>
        </w:rPr>
      </w:pPr>
    </w:p>
    <w:p>
      <w:pPr>
        <w:pStyle w:val="Heading8"/>
        <w:ind w:left="1564" w:firstLine="0"/>
      </w:pPr>
      <w:r>
        <w:rPr>
          <w:w w:val="110"/>
        </w:rPr>
        <w:t>Synod 3: Mersey Synod</w:t>
      </w:r>
    </w:p>
    <w:p>
      <w:pPr>
        <w:pStyle w:val="BodyText"/>
        <w:spacing w:line="235" w:lineRule="exact"/>
        <w:ind w:left="1564"/>
      </w:pPr>
      <w:r>
        <w:rPr>
          <w:w w:val="120"/>
        </w:rPr>
        <w:t>Salem United Reformed Church, Orrell, 24 September 2017</w:t>
      </w:r>
    </w:p>
    <w:p>
      <w:pPr>
        <w:pStyle w:val="BodyText"/>
        <w:spacing w:before="3"/>
        <w:rPr>
          <w:sz w:val="18"/>
        </w:rPr>
      </w:pPr>
    </w:p>
    <w:p>
      <w:pPr>
        <w:pStyle w:val="Heading8"/>
        <w:spacing w:before="1"/>
        <w:ind w:left="1564" w:firstLine="0"/>
      </w:pPr>
      <w:r>
        <w:rPr>
          <w:w w:val="110"/>
        </w:rPr>
        <w:t>Synod 4: Yorkshire Synod</w:t>
      </w:r>
    </w:p>
    <w:p>
      <w:pPr>
        <w:pStyle w:val="BodyText"/>
        <w:spacing w:line="235" w:lineRule="exact"/>
        <w:ind w:left="1564"/>
      </w:pPr>
      <w:r>
        <w:rPr>
          <w:w w:val="120"/>
        </w:rPr>
        <w:t>No church closures to report in this period.</w:t>
      </w:r>
    </w:p>
    <w:p>
      <w:pPr>
        <w:pStyle w:val="BodyText"/>
        <w:spacing w:before="3"/>
        <w:rPr>
          <w:sz w:val="18"/>
        </w:rPr>
      </w:pPr>
    </w:p>
    <w:p>
      <w:pPr>
        <w:pStyle w:val="Heading8"/>
        <w:ind w:left="1564" w:firstLine="0"/>
      </w:pPr>
      <w:r>
        <w:rPr>
          <w:w w:val="110"/>
        </w:rPr>
        <w:t>Synod 5: East Midlands Synod</w:t>
      </w:r>
    </w:p>
    <w:p>
      <w:pPr>
        <w:pStyle w:val="BodyText"/>
        <w:spacing w:line="235" w:lineRule="exact"/>
        <w:ind w:left="1564"/>
      </w:pPr>
      <w:r>
        <w:rPr>
          <w:w w:val="125"/>
        </w:rPr>
        <w:t>Danesholme Community Church, Corby, 15 January 2017</w:t>
      </w:r>
    </w:p>
    <w:p>
      <w:pPr>
        <w:pStyle w:val="BodyText"/>
        <w:spacing w:before="4"/>
        <w:rPr>
          <w:sz w:val="18"/>
        </w:rPr>
      </w:pPr>
    </w:p>
    <w:p>
      <w:pPr>
        <w:pStyle w:val="Heading8"/>
        <w:ind w:left="1564" w:firstLine="0"/>
      </w:pPr>
      <w:r>
        <w:rPr>
          <w:w w:val="110"/>
        </w:rPr>
        <w:t>Synod 6: West Midlands Synod</w:t>
      </w:r>
    </w:p>
    <w:p>
      <w:pPr>
        <w:pStyle w:val="BodyText"/>
        <w:spacing w:line="235" w:lineRule="auto"/>
        <w:ind w:left="1564" w:right="3687"/>
      </w:pPr>
      <w:r>
        <w:rPr>
          <w:w w:val="120"/>
        </w:rPr>
        <w:t>Brierley United Reformed Church, Brierley, 6 August 2017 Gorsty Hill United Church, Stoke-on-Trent, 31 August 2016</w:t>
      </w:r>
    </w:p>
    <w:p>
      <w:pPr>
        <w:spacing w:line="235" w:lineRule="auto" w:before="0"/>
        <w:ind w:left="1564" w:right="923" w:firstLine="0"/>
        <w:jc w:val="left"/>
        <w:rPr>
          <w:i/>
          <w:sz w:val="20"/>
        </w:rPr>
      </w:pPr>
      <w:r>
        <w:rPr>
          <w:i/>
          <w:w w:val="110"/>
          <w:sz w:val="20"/>
        </w:rPr>
        <w:t>(Noting that Gorsty Hill United Church ceased to be a local ecumenical partnership on 31 August </w:t>
      </w:r>
      <w:r>
        <w:rPr>
          <w:i/>
          <w:w w:val="110"/>
          <w:sz w:val="20"/>
        </w:rPr>
        <w:t>2016, but continues as a Methodist church.)</w:t>
      </w:r>
    </w:p>
    <w:p>
      <w:pPr>
        <w:pStyle w:val="BodyText"/>
        <w:spacing w:line="235" w:lineRule="auto"/>
        <w:ind w:left="1564" w:right="1528"/>
      </w:pPr>
      <w:r>
        <w:rPr>
          <w:w w:val="120"/>
        </w:rPr>
        <w:t>Newton Road United Reformed Church, Birmingham, 31 December 2017 Sharpness United Reformed Church, Sharpness, 4 April 2016.</w:t>
      </w:r>
    </w:p>
    <w:p>
      <w:pPr>
        <w:pStyle w:val="BodyText"/>
        <w:spacing w:line="235" w:lineRule="auto"/>
        <w:ind w:left="1564" w:right="2960"/>
      </w:pPr>
      <w:r>
        <w:rPr>
          <w:w w:val="120"/>
        </w:rPr>
        <w:t>St John’s United Reformed Church, Stourbridge, 31 December 2016 St Michael’s &amp; All Angels, Stourport-on-Severn, 31 August 2016</w:t>
      </w:r>
    </w:p>
    <w:p>
      <w:pPr>
        <w:spacing w:line="235" w:lineRule="auto" w:before="1"/>
        <w:ind w:left="1564" w:right="923" w:firstLine="0"/>
        <w:jc w:val="left"/>
        <w:rPr>
          <w:i/>
          <w:sz w:val="20"/>
        </w:rPr>
      </w:pPr>
      <w:r>
        <w:rPr>
          <w:i/>
          <w:w w:val="110"/>
          <w:sz w:val="20"/>
        </w:rPr>
        <w:t>(St Michael’s &amp; All Angels ceased to be a local ecumenical partnership on 31 August 2016, but </w:t>
      </w:r>
      <w:r>
        <w:rPr>
          <w:i/>
          <w:w w:val="110"/>
          <w:sz w:val="20"/>
        </w:rPr>
        <w:t>continues as an Anglican church.)</w:t>
      </w:r>
    </w:p>
    <w:p>
      <w:pPr>
        <w:pStyle w:val="BodyText"/>
        <w:spacing w:line="242" w:lineRule="exact"/>
        <w:ind w:left="1564"/>
      </w:pPr>
      <w:r>
        <w:rPr>
          <w:w w:val="120"/>
        </w:rPr>
        <w:t>Union Free Church, Wellington, 31 March 2018</w:t>
      </w:r>
    </w:p>
    <w:p>
      <w:pPr>
        <w:spacing w:after="0" w:line="242" w:lineRule="exact"/>
        <w:sectPr>
          <w:headerReference w:type="default" r:id="rId225"/>
          <w:pgSz w:w="11910" w:h="16840"/>
          <w:pgMar w:header="0" w:footer="647" w:top="0" w:bottom="840" w:left="420" w:right="380"/>
        </w:sectPr>
      </w:pPr>
    </w:p>
    <w:p>
      <w:pPr>
        <w:pStyle w:val="BodyText"/>
      </w:pPr>
      <w:r>
        <w:rPr/>
        <w:drawing>
          <wp:anchor distT="0" distB="0" distL="0" distR="0" allowOverlap="1" layoutInCell="1" locked="0" behindDoc="1" simplePos="0" relativeHeight="235908096">
            <wp:simplePos x="0" y="0"/>
            <wp:positionH relativeFrom="page">
              <wp:posOffset>0</wp:posOffset>
            </wp:positionH>
            <wp:positionV relativeFrom="page">
              <wp:posOffset>0</wp:posOffset>
            </wp:positionV>
            <wp:extent cx="594067" cy="10692003"/>
            <wp:effectExtent l="0" t="0" r="0" b="0"/>
            <wp:wrapNone/>
            <wp:docPr id="145" name="image49.png"/>
            <wp:cNvGraphicFramePr>
              <a:graphicFrameLocks noChangeAspect="1"/>
            </wp:cNvGraphicFramePr>
            <a:graphic>
              <a:graphicData uri="http://schemas.openxmlformats.org/drawingml/2006/picture">
                <pic:pic>
                  <pic:nvPicPr>
                    <pic:cNvPr id="146" name="image49.png"/>
                    <pic:cNvPicPr/>
                  </pic:nvPicPr>
                  <pic:blipFill>
                    <a:blip r:embed="rId62"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68.85pt;mso-position-horizontal-relative:page;mso-position-vertical-relative:paragraph;z-index:251876352" type="#_x0000_t202" filled="false" stroked="false">
            <v:textbox inset="0,0,0,0" style="layout-flow:vertical">
              <w:txbxContent>
                <w:p>
                  <w:pPr>
                    <w:spacing w:before="29"/>
                    <w:ind w:left="20" w:right="0" w:firstLine="0"/>
                    <w:jc w:val="left"/>
                    <w:rPr>
                      <w:sz w:val="39"/>
                    </w:rPr>
                  </w:pPr>
                  <w:r>
                    <w:rPr>
                      <w:color w:val="FFFFFF"/>
                      <w:spacing w:val="8"/>
                      <w:w w:val="125"/>
                      <w:sz w:val="39"/>
                    </w:rPr>
                    <w:t>Church</w:t>
                  </w:r>
                  <w:r>
                    <w:rPr>
                      <w:color w:val="FFFFFF"/>
                      <w:spacing w:val="71"/>
                      <w:w w:val="125"/>
                      <w:sz w:val="39"/>
                    </w:rPr>
                    <w:t> </w:t>
                  </w:r>
                  <w:r>
                    <w:rPr>
                      <w:color w:val="FFFFFF"/>
                      <w:spacing w:val="11"/>
                      <w:w w:val="125"/>
                      <w:sz w:val="39"/>
                    </w:rPr>
                    <w:t>changes</w:t>
                  </w:r>
                </w:p>
              </w:txbxContent>
            </v:textbox>
            <w10:wrap type="none"/>
          </v:shape>
        </w:pict>
      </w:r>
      <w:r>
        <w:rPr>
          <w:color w:val="7EAABF"/>
          <w:w w:val="120"/>
        </w:rPr>
        <w:t>Mission Council</w:t>
      </w:r>
    </w:p>
    <w:p>
      <w:pPr>
        <w:pStyle w:val="Heading8"/>
        <w:spacing w:before="205"/>
        <w:ind w:left="827" w:firstLine="0"/>
      </w:pPr>
      <w:r>
        <w:rPr>
          <w:w w:val="110"/>
        </w:rPr>
        <w:t>Synod 7: Eastern Synod</w:t>
      </w:r>
    </w:p>
    <w:p>
      <w:pPr>
        <w:pStyle w:val="BodyText"/>
        <w:spacing w:line="235" w:lineRule="auto"/>
        <w:ind w:left="827" w:right="2851"/>
      </w:pPr>
      <w:r>
        <w:rPr>
          <w:w w:val="125"/>
        </w:rPr>
        <w:t>Castle</w:t>
      </w:r>
      <w:r>
        <w:rPr>
          <w:spacing w:val="-27"/>
          <w:w w:val="125"/>
        </w:rPr>
        <w:t> </w:t>
      </w:r>
      <w:r>
        <w:rPr>
          <w:w w:val="125"/>
        </w:rPr>
        <w:t>Hedingham</w:t>
      </w:r>
      <w:r>
        <w:rPr>
          <w:spacing w:val="-27"/>
          <w:w w:val="125"/>
        </w:rPr>
        <w:t> </w:t>
      </w:r>
      <w:r>
        <w:rPr>
          <w:spacing w:val="-3"/>
          <w:w w:val="125"/>
        </w:rPr>
        <w:t>United</w:t>
      </w:r>
      <w:r>
        <w:rPr>
          <w:spacing w:val="-27"/>
          <w:w w:val="125"/>
        </w:rPr>
        <w:t> </w:t>
      </w:r>
      <w:r>
        <w:rPr>
          <w:w w:val="125"/>
        </w:rPr>
        <w:t>Reformed</w:t>
      </w:r>
      <w:r>
        <w:rPr>
          <w:spacing w:val="-26"/>
          <w:w w:val="125"/>
        </w:rPr>
        <w:t> </w:t>
      </w:r>
      <w:r>
        <w:rPr>
          <w:spacing w:val="-3"/>
          <w:w w:val="125"/>
        </w:rPr>
        <w:t>Church,</w:t>
      </w:r>
      <w:r>
        <w:rPr>
          <w:spacing w:val="-27"/>
          <w:w w:val="125"/>
        </w:rPr>
        <w:t> </w:t>
      </w:r>
      <w:r>
        <w:rPr>
          <w:w w:val="125"/>
        </w:rPr>
        <w:t>Castle</w:t>
      </w:r>
      <w:r>
        <w:rPr>
          <w:spacing w:val="-27"/>
          <w:w w:val="125"/>
        </w:rPr>
        <w:t> </w:t>
      </w:r>
      <w:r>
        <w:rPr>
          <w:w w:val="125"/>
        </w:rPr>
        <w:t>Hedingham,</w:t>
      </w:r>
      <w:r>
        <w:rPr>
          <w:spacing w:val="-27"/>
          <w:w w:val="125"/>
        </w:rPr>
        <w:t> </w:t>
      </w:r>
      <w:r>
        <w:rPr>
          <w:w w:val="125"/>
        </w:rPr>
        <w:t>4</w:t>
      </w:r>
      <w:r>
        <w:rPr>
          <w:spacing w:val="-26"/>
          <w:w w:val="125"/>
        </w:rPr>
        <w:t> </w:t>
      </w:r>
      <w:r>
        <w:rPr>
          <w:w w:val="125"/>
        </w:rPr>
        <w:t>June</w:t>
      </w:r>
      <w:r>
        <w:rPr>
          <w:spacing w:val="-27"/>
          <w:w w:val="125"/>
        </w:rPr>
        <w:t> </w:t>
      </w:r>
      <w:r>
        <w:rPr>
          <w:spacing w:val="-8"/>
          <w:w w:val="125"/>
        </w:rPr>
        <w:t>2016 </w:t>
      </w:r>
      <w:r>
        <w:rPr>
          <w:spacing w:val="-3"/>
          <w:w w:val="125"/>
        </w:rPr>
        <w:t>Cavendish United </w:t>
      </w:r>
      <w:r>
        <w:rPr>
          <w:w w:val="125"/>
        </w:rPr>
        <w:t>Reformed </w:t>
      </w:r>
      <w:r>
        <w:rPr>
          <w:spacing w:val="-3"/>
          <w:w w:val="125"/>
        </w:rPr>
        <w:t>Church, Cavendish, </w:t>
      </w:r>
      <w:r>
        <w:rPr>
          <w:spacing w:val="-10"/>
          <w:w w:val="125"/>
        </w:rPr>
        <w:t>15 </w:t>
      </w:r>
      <w:r>
        <w:rPr>
          <w:w w:val="125"/>
        </w:rPr>
        <w:t>October</w:t>
      </w:r>
      <w:r>
        <w:rPr>
          <w:spacing w:val="-36"/>
          <w:w w:val="125"/>
        </w:rPr>
        <w:t> </w:t>
      </w:r>
      <w:r>
        <w:rPr>
          <w:spacing w:val="-10"/>
          <w:w w:val="125"/>
        </w:rPr>
        <w:t>2017</w:t>
      </w:r>
    </w:p>
    <w:p>
      <w:pPr>
        <w:pStyle w:val="BodyText"/>
        <w:spacing w:line="235" w:lineRule="auto"/>
        <w:ind w:left="827" w:right="3687"/>
      </w:pPr>
      <w:r>
        <w:rPr>
          <w:w w:val="120"/>
        </w:rPr>
        <w:t>Christ </w:t>
      </w:r>
      <w:r>
        <w:rPr>
          <w:spacing w:val="-3"/>
          <w:w w:val="120"/>
        </w:rPr>
        <w:t>Church United </w:t>
      </w:r>
      <w:r>
        <w:rPr>
          <w:w w:val="120"/>
        </w:rPr>
        <w:t>Reformed </w:t>
      </w:r>
      <w:r>
        <w:rPr>
          <w:spacing w:val="-3"/>
          <w:w w:val="120"/>
        </w:rPr>
        <w:t>Church, Sudbury, </w:t>
      </w:r>
      <w:r>
        <w:rPr>
          <w:w w:val="120"/>
        </w:rPr>
        <w:t>7 January </w:t>
      </w:r>
      <w:r>
        <w:rPr>
          <w:spacing w:val="-8"/>
          <w:w w:val="120"/>
        </w:rPr>
        <w:t>2018 </w:t>
      </w:r>
      <w:r>
        <w:rPr>
          <w:w w:val="120"/>
        </w:rPr>
        <w:t>Mattishall </w:t>
      </w:r>
      <w:r>
        <w:rPr>
          <w:spacing w:val="-3"/>
          <w:w w:val="120"/>
        </w:rPr>
        <w:t>United </w:t>
      </w:r>
      <w:r>
        <w:rPr>
          <w:w w:val="120"/>
        </w:rPr>
        <w:t>Reformed </w:t>
      </w:r>
      <w:r>
        <w:rPr>
          <w:spacing w:val="-3"/>
          <w:w w:val="120"/>
        </w:rPr>
        <w:t>Church, Mattishall, </w:t>
      </w:r>
      <w:r>
        <w:rPr>
          <w:spacing w:val="-8"/>
          <w:w w:val="120"/>
        </w:rPr>
        <w:t>31 </w:t>
      </w:r>
      <w:r>
        <w:rPr>
          <w:w w:val="120"/>
        </w:rPr>
        <w:t>December </w:t>
      </w:r>
      <w:r>
        <w:rPr>
          <w:spacing w:val="-8"/>
          <w:w w:val="120"/>
        </w:rPr>
        <w:t>2016 </w:t>
      </w:r>
      <w:r>
        <w:rPr>
          <w:spacing w:val="-4"/>
          <w:w w:val="120"/>
        </w:rPr>
        <w:t>Terling </w:t>
      </w:r>
      <w:r>
        <w:rPr>
          <w:spacing w:val="-3"/>
          <w:w w:val="120"/>
        </w:rPr>
        <w:t>United </w:t>
      </w:r>
      <w:r>
        <w:rPr>
          <w:w w:val="120"/>
        </w:rPr>
        <w:t>Reformed </w:t>
      </w:r>
      <w:r>
        <w:rPr>
          <w:spacing w:val="-3"/>
          <w:w w:val="120"/>
        </w:rPr>
        <w:t>Church, </w:t>
      </w:r>
      <w:r>
        <w:rPr>
          <w:spacing w:val="-4"/>
          <w:w w:val="120"/>
        </w:rPr>
        <w:t>Terling, </w:t>
      </w:r>
      <w:r>
        <w:rPr>
          <w:spacing w:val="-8"/>
          <w:w w:val="120"/>
        </w:rPr>
        <w:t>31 </w:t>
      </w:r>
      <w:r>
        <w:rPr>
          <w:w w:val="120"/>
        </w:rPr>
        <w:t>March </w:t>
      </w:r>
      <w:r>
        <w:rPr>
          <w:spacing w:val="-10"/>
          <w:w w:val="120"/>
        </w:rPr>
        <w:t>2017</w:t>
      </w:r>
    </w:p>
    <w:p>
      <w:pPr>
        <w:pStyle w:val="BodyText"/>
        <w:spacing w:before="2"/>
        <w:rPr>
          <w:sz w:val="18"/>
        </w:rPr>
      </w:pPr>
    </w:p>
    <w:p>
      <w:pPr>
        <w:pStyle w:val="Heading8"/>
        <w:spacing w:before="1"/>
        <w:ind w:left="827" w:firstLine="0"/>
      </w:pPr>
      <w:r>
        <w:rPr>
          <w:w w:val="110"/>
        </w:rPr>
        <w:t>Synod 8: South Western Synod</w:t>
      </w:r>
    </w:p>
    <w:p>
      <w:pPr>
        <w:pStyle w:val="BodyText"/>
        <w:spacing w:line="235" w:lineRule="auto"/>
        <w:ind w:left="827" w:right="3687"/>
      </w:pPr>
      <w:r>
        <w:rPr>
          <w:w w:val="120"/>
        </w:rPr>
        <w:t>Bickington United Reformed Church, Bickington, 28 January 2018 Bradley Stoke, Holy Trinity, Bristol, 10 September 2017</w:t>
      </w:r>
    </w:p>
    <w:p>
      <w:pPr>
        <w:spacing w:line="235" w:lineRule="auto" w:before="0"/>
        <w:ind w:left="827" w:right="923" w:firstLine="0"/>
        <w:jc w:val="left"/>
        <w:rPr>
          <w:i/>
          <w:sz w:val="20"/>
        </w:rPr>
      </w:pPr>
      <w:r>
        <w:rPr>
          <w:i/>
          <w:w w:val="110"/>
          <w:sz w:val="20"/>
        </w:rPr>
        <w:t>(Noting that the URC withdrew from the local ecumenical partnership on 10 September 2017 but that it </w:t>
      </w:r>
      <w:r>
        <w:rPr>
          <w:i/>
          <w:w w:val="110"/>
          <w:sz w:val="20"/>
        </w:rPr>
        <w:t>continues with Methodist and Anglican involvement.)</w:t>
      </w:r>
    </w:p>
    <w:p>
      <w:pPr>
        <w:pStyle w:val="BodyText"/>
        <w:spacing w:line="235" w:lineRule="auto"/>
        <w:ind w:left="827" w:right="3149"/>
      </w:pPr>
      <w:r>
        <w:rPr>
          <w:w w:val="120"/>
        </w:rPr>
        <w:t>Christchurch United Reformed Church, Charmouth, 27 November 2016 Sidmouth United Reformed Church, Sidmouth, 1 January 2017</w:t>
      </w:r>
    </w:p>
    <w:p>
      <w:pPr>
        <w:pStyle w:val="BodyText"/>
        <w:spacing w:line="235" w:lineRule="auto"/>
        <w:ind w:left="827" w:right="1528"/>
      </w:pPr>
      <w:r>
        <w:rPr>
          <w:w w:val="120"/>
        </w:rPr>
        <w:t>Stoke sub Hamdon United Reformed Church, Stoke sub Hamdon, 31 December 2016 Yeovil United Reformed Church, Yeovil, 10 June 2017</w:t>
      </w:r>
    </w:p>
    <w:p>
      <w:pPr>
        <w:pStyle w:val="BodyText"/>
        <w:spacing w:before="4"/>
        <w:rPr>
          <w:sz w:val="18"/>
        </w:rPr>
      </w:pPr>
    </w:p>
    <w:p>
      <w:pPr>
        <w:pStyle w:val="Heading8"/>
        <w:ind w:left="827" w:firstLine="0"/>
      </w:pPr>
      <w:r>
        <w:rPr>
          <w:w w:val="110"/>
        </w:rPr>
        <w:t>Synod 9: Wessex Synod</w:t>
      </w:r>
    </w:p>
    <w:p>
      <w:pPr>
        <w:pStyle w:val="BodyText"/>
        <w:spacing w:line="233" w:lineRule="exact"/>
        <w:ind w:left="827"/>
      </w:pPr>
      <w:r>
        <w:rPr>
          <w:w w:val="125"/>
        </w:rPr>
        <w:t>Christ Church, Creekmoor, 2 October 2016</w:t>
      </w:r>
    </w:p>
    <w:p>
      <w:pPr>
        <w:spacing w:line="235" w:lineRule="auto" w:before="2"/>
        <w:ind w:left="827" w:right="923" w:firstLine="0"/>
        <w:jc w:val="left"/>
        <w:rPr>
          <w:i/>
          <w:sz w:val="20"/>
        </w:rPr>
      </w:pPr>
      <w:r>
        <w:rPr>
          <w:i/>
          <w:w w:val="110"/>
          <w:sz w:val="20"/>
        </w:rPr>
        <w:t>(Noting that the URC withdrew from the local ecumenical partnership on 2 October 2016 but that it </w:t>
      </w:r>
      <w:r>
        <w:rPr>
          <w:i/>
          <w:w w:val="110"/>
          <w:sz w:val="20"/>
        </w:rPr>
        <w:t>continues as an Anglican church.)</w:t>
      </w:r>
    </w:p>
    <w:p>
      <w:pPr>
        <w:pStyle w:val="BodyText"/>
        <w:spacing w:line="240" w:lineRule="exact"/>
        <w:ind w:left="827"/>
      </w:pPr>
      <w:r>
        <w:rPr>
          <w:w w:val="120"/>
        </w:rPr>
        <w:t>Lords Hill Ecumenical Church, Southampton, 16 July 2016</w:t>
      </w:r>
    </w:p>
    <w:p>
      <w:pPr>
        <w:spacing w:line="235" w:lineRule="auto" w:before="1"/>
        <w:ind w:left="827" w:right="1528" w:firstLine="0"/>
        <w:jc w:val="left"/>
        <w:rPr>
          <w:i/>
          <w:sz w:val="20"/>
        </w:rPr>
      </w:pPr>
      <w:r>
        <w:rPr>
          <w:i/>
          <w:w w:val="110"/>
          <w:sz w:val="20"/>
        </w:rPr>
        <w:t>(Noting that the URC withdrew from the local ecumenical partnership on 16 July 2016 but that it </w:t>
      </w:r>
      <w:r>
        <w:rPr>
          <w:i/>
          <w:w w:val="110"/>
          <w:sz w:val="20"/>
        </w:rPr>
        <w:t>continues as an ecumenical church.)</w:t>
      </w:r>
    </w:p>
    <w:p>
      <w:pPr>
        <w:pStyle w:val="BodyText"/>
        <w:spacing w:line="240" w:lineRule="exact"/>
        <w:ind w:left="827"/>
      </w:pPr>
      <w:r>
        <w:rPr>
          <w:w w:val="120"/>
        </w:rPr>
        <w:t>Lovedean United Reformed Church, Lovedean, 16 October 2016</w:t>
      </w:r>
    </w:p>
    <w:p>
      <w:pPr>
        <w:pStyle w:val="BodyText"/>
        <w:spacing w:line="235" w:lineRule="auto" w:before="2"/>
        <w:ind w:left="827" w:right="3149"/>
      </w:pPr>
      <w:r>
        <w:rPr>
          <w:spacing w:val="-3"/>
          <w:w w:val="120"/>
        </w:rPr>
        <w:t>Lytchett Minster United </w:t>
      </w:r>
      <w:r>
        <w:rPr>
          <w:w w:val="120"/>
        </w:rPr>
        <w:t>Reformed </w:t>
      </w:r>
      <w:r>
        <w:rPr>
          <w:spacing w:val="-3"/>
          <w:w w:val="120"/>
        </w:rPr>
        <w:t>Church, Lytchett </w:t>
      </w:r>
      <w:r>
        <w:rPr>
          <w:spacing w:val="-4"/>
          <w:w w:val="120"/>
        </w:rPr>
        <w:t>Minster, </w:t>
      </w:r>
      <w:r>
        <w:rPr>
          <w:w w:val="120"/>
        </w:rPr>
        <w:t>30 June </w:t>
      </w:r>
      <w:r>
        <w:rPr>
          <w:spacing w:val="-8"/>
          <w:w w:val="120"/>
        </w:rPr>
        <w:t>2016 </w:t>
      </w:r>
      <w:r>
        <w:rPr>
          <w:spacing w:val="-4"/>
          <w:w w:val="120"/>
        </w:rPr>
        <w:t>Temple </w:t>
      </w:r>
      <w:r>
        <w:rPr>
          <w:spacing w:val="-3"/>
          <w:w w:val="120"/>
        </w:rPr>
        <w:t>Cowley United </w:t>
      </w:r>
      <w:r>
        <w:rPr>
          <w:w w:val="120"/>
        </w:rPr>
        <w:t>Reformed </w:t>
      </w:r>
      <w:r>
        <w:rPr>
          <w:spacing w:val="-3"/>
          <w:w w:val="120"/>
        </w:rPr>
        <w:t>Church, </w:t>
      </w:r>
      <w:r>
        <w:rPr>
          <w:w w:val="120"/>
        </w:rPr>
        <w:t>Oxford, 5 November </w:t>
      </w:r>
      <w:r>
        <w:rPr>
          <w:spacing w:val="-10"/>
          <w:w w:val="120"/>
        </w:rPr>
        <w:t>2017</w:t>
      </w:r>
    </w:p>
    <w:p>
      <w:pPr>
        <w:pStyle w:val="BodyText"/>
        <w:spacing w:before="5"/>
        <w:rPr>
          <w:sz w:val="18"/>
        </w:rPr>
      </w:pPr>
    </w:p>
    <w:p>
      <w:pPr>
        <w:pStyle w:val="Heading8"/>
        <w:spacing w:before="1"/>
        <w:ind w:left="827" w:firstLine="0"/>
      </w:pPr>
      <w:r>
        <w:rPr>
          <w:w w:val="110"/>
        </w:rPr>
        <w:t>Synod 10: Thames North Synod</w:t>
      </w:r>
    </w:p>
    <w:p>
      <w:pPr>
        <w:pStyle w:val="BodyText"/>
        <w:spacing w:line="235" w:lineRule="auto"/>
        <w:ind w:left="827" w:right="3149"/>
      </w:pPr>
      <w:r>
        <w:rPr>
          <w:w w:val="120"/>
        </w:rPr>
        <w:t>Chigwell Row United Reformed Church, Chigwell, 30 September 2016 Feltham United Free Church, Feltham, 28 January 2018</w:t>
      </w:r>
    </w:p>
    <w:p>
      <w:pPr>
        <w:pStyle w:val="BodyText"/>
        <w:spacing w:line="242" w:lineRule="exact"/>
        <w:ind w:left="827"/>
      </w:pPr>
      <w:r>
        <w:rPr>
          <w:w w:val="120"/>
        </w:rPr>
        <w:t>Queens Park United Reformed Church, London , 20 March 2016</w:t>
      </w:r>
    </w:p>
    <w:p>
      <w:pPr>
        <w:pStyle w:val="BodyText"/>
        <w:spacing w:before="10"/>
        <w:rPr>
          <w:sz w:val="17"/>
        </w:rPr>
      </w:pPr>
    </w:p>
    <w:p>
      <w:pPr>
        <w:pStyle w:val="Heading8"/>
        <w:ind w:left="827" w:firstLine="0"/>
      </w:pPr>
      <w:r>
        <w:rPr>
          <w:w w:val="110"/>
        </w:rPr>
        <w:t>Synod 11: Southern Synod</w:t>
      </w:r>
    </w:p>
    <w:p>
      <w:pPr>
        <w:pStyle w:val="BodyText"/>
        <w:spacing w:line="235" w:lineRule="auto"/>
        <w:ind w:left="827" w:right="3687"/>
      </w:pPr>
      <w:r>
        <w:rPr>
          <w:w w:val="120"/>
        </w:rPr>
        <w:t>Folkestone United Reformed Church, Folkstone, 10 December 2016 Hartley United Reformed Church, Hartley, 25 September 2016 Northfleet United Reformed Church, Northfleet, 2nd April 2017</w:t>
      </w:r>
    </w:p>
    <w:p>
      <w:pPr>
        <w:pStyle w:val="BodyText"/>
        <w:spacing w:before="1"/>
        <w:rPr>
          <w:sz w:val="18"/>
        </w:rPr>
      </w:pPr>
    </w:p>
    <w:p>
      <w:pPr>
        <w:pStyle w:val="Heading8"/>
        <w:ind w:left="827" w:firstLine="0"/>
      </w:pPr>
      <w:r>
        <w:rPr>
          <w:w w:val="110"/>
        </w:rPr>
        <w:t>Synod 12: Synod of Wales</w:t>
      </w:r>
    </w:p>
    <w:p>
      <w:pPr>
        <w:pStyle w:val="BodyText"/>
        <w:spacing w:line="233" w:lineRule="exact"/>
        <w:ind w:left="827"/>
      </w:pPr>
      <w:r>
        <w:rPr>
          <w:w w:val="125"/>
        </w:rPr>
        <w:t>Caersalem United Church, Ebbw Vale, 18 April 2017</w:t>
      </w:r>
    </w:p>
    <w:p>
      <w:pPr>
        <w:spacing w:line="235" w:lineRule="auto" w:before="2"/>
        <w:ind w:left="827" w:right="1620" w:firstLine="0"/>
        <w:jc w:val="left"/>
        <w:rPr>
          <w:i/>
          <w:sz w:val="20"/>
        </w:rPr>
      </w:pPr>
      <w:r>
        <w:rPr>
          <w:i/>
          <w:w w:val="110"/>
          <w:sz w:val="20"/>
        </w:rPr>
        <w:t>(Noting that the URC withdrew from the local ecumenical partnership on 18 April 2017 but that it </w:t>
      </w:r>
      <w:r>
        <w:rPr>
          <w:i/>
          <w:w w:val="110"/>
          <w:sz w:val="20"/>
        </w:rPr>
        <w:t>continues as a Baptist church.)</w:t>
      </w:r>
    </w:p>
    <w:p>
      <w:pPr>
        <w:pStyle w:val="BodyText"/>
        <w:spacing w:line="235" w:lineRule="auto" w:before="1"/>
        <w:ind w:left="827" w:right="3783"/>
      </w:pPr>
      <w:r>
        <w:rPr>
          <w:w w:val="120"/>
        </w:rPr>
        <w:t>Newtown </w:t>
      </w:r>
      <w:r>
        <w:rPr>
          <w:spacing w:val="-3"/>
          <w:w w:val="120"/>
        </w:rPr>
        <w:t>United </w:t>
      </w:r>
      <w:r>
        <w:rPr>
          <w:w w:val="120"/>
        </w:rPr>
        <w:t>Reformed </w:t>
      </w:r>
      <w:r>
        <w:rPr>
          <w:spacing w:val="-3"/>
          <w:w w:val="120"/>
        </w:rPr>
        <w:t>Church, </w:t>
      </w:r>
      <w:r>
        <w:rPr>
          <w:w w:val="120"/>
        </w:rPr>
        <w:t>Newtown, </w:t>
      </w:r>
      <w:r>
        <w:rPr>
          <w:spacing w:val="-6"/>
          <w:w w:val="120"/>
        </w:rPr>
        <w:t>24 </w:t>
      </w:r>
      <w:r>
        <w:rPr>
          <w:w w:val="120"/>
        </w:rPr>
        <w:t>July </w:t>
      </w:r>
      <w:r>
        <w:rPr>
          <w:spacing w:val="-8"/>
          <w:w w:val="120"/>
        </w:rPr>
        <w:t>2016 </w:t>
      </w:r>
      <w:r>
        <w:rPr>
          <w:w w:val="120"/>
        </w:rPr>
        <w:t>Northop </w:t>
      </w:r>
      <w:r>
        <w:rPr>
          <w:spacing w:val="-3"/>
          <w:w w:val="120"/>
        </w:rPr>
        <w:t>United </w:t>
      </w:r>
      <w:r>
        <w:rPr>
          <w:w w:val="120"/>
        </w:rPr>
        <w:t>Reformed </w:t>
      </w:r>
      <w:r>
        <w:rPr>
          <w:spacing w:val="-3"/>
          <w:w w:val="120"/>
        </w:rPr>
        <w:t>Church, </w:t>
      </w:r>
      <w:r>
        <w:rPr>
          <w:w w:val="120"/>
        </w:rPr>
        <w:t>Northop, 5 November </w:t>
      </w:r>
      <w:r>
        <w:rPr>
          <w:spacing w:val="-10"/>
          <w:w w:val="120"/>
        </w:rPr>
        <w:t>2017 </w:t>
      </w:r>
      <w:r>
        <w:rPr>
          <w:w w:val="120"/>
        </w:rPr>
        <w:t>Porth </w:t>
      </w:r>
      <w:r>
        <w:rPr>
          <w:spacing w:val="-3"/>
          <w:w w:val="120"/>
        </w:rPr>
        <w:t>United </w:t>
      </w:r>
      <w:r>
        <w:rPr>
          <w:w w:val="120"/>
        </w:rPr>
        <w:t>Reformed </w:t>
      </w:r>
      <w:r>
        <w:rPr>
          <w:spacing w:val="-3"/>
          <w:w w:val="120"/>
        </w:rPr>
        <w:t>Church, </w:t>
      </w:r>
      <w:r>
        <w:rPr>
          <w:w w:val="120"/>
        </w:rPr>
        <w:t>Porth, </w:t>
      </w:r>
      <w:r>
        <w:rPr>
          <w:spacing w:val="-10"/>
          <w:w w:val="120"/>
        </w:rPr>
        <w:t>15 </w:t>
      </w:r>
      <w:r>
        <w:rPr>
          <w:w w:val="120"/>
        </w:rPr>
        <w:t>May</w:t>
      </w:r>
      <w:r>
        <w:rPr>
          <w:spacing w:val="6"/>
          <w:w w:val="120"/>
        </w:rPr>
        <w:t> </w:t>
      </w:r>
      <w:r>
        <w:rPr>
          <w:spacing w:val="-8"/>
          <w:w w:val="120"/>
        </w:rPr>
        <w:t>2016</w:t>
      </w:r>
    </w:p>
    <w:p>
      <w:pPr>
        <w:pStyle w:val="BodyText"/>
        <w:spacing w:line="242" w:lineRule="exact"/>
        <w:ind w:left="827"/>
      </w:pPr>
      <w:r>
        <w:rPr>
          <w:spacing w:val="-3"/>
          <w:w w:val="120"/>
        </w:rPr>
        <w:t>Wesley United Church, </w:t>
      </w:r>
      <w:r>
        <w:rPr>
          <w:w w:val="120"/>
        </w:rPr>
        <w:t>Abercynon, </w:t>
      </w:r>
      <w:r>
        <w:rPr>
          <w:spacing w:val="-9"/>
          <w:w w:val="120"/>
        </w:rPr>
        <w:t>14  </w:t>
      </w:r>
      <w:r>
        <w:rPr>
          <w:w w:val="120"/>
        </w:rPr>
        <w:t>January</w:t>
      </w:r>
      <w:r>
        <w:rPr>
          <w:spacing w:val="1"/>
          <w:w w:val="120"/>
        </w:rPr>
        <w:t> </w:t>
      </w:r>
      <w:r>
        <w:rPr>
          <w:spacing w:val="-10"/>
          <w:w w:val="120"/>
        </w:rPr>
        <w:t>2017</w:t>
      </w:r>
    </w:p>
    <w:p>
      <w:pPr>
        <w:pStyle w:val="BodyText"/>
        <w:spacing w:before="4"/>
        <w:rPr>
          <w:sz w:val="18"/>
        </w:rPr>
      </w:pPr>
    </w:p>
    <w:p>
      <w:pPr>
        <w:pStyle w:val="Heading8"/>
        <w:ind w:left="827" w:firstLine="0"/>
      </w:pPr>
      <w:r>
        <w:rPr>
          <w:w w:val="110"/>
        </w:rPr>
        <w:t>Synod 13: Synod of Scotland</w:t>
      </w:r>
    </w:p>
    <w:p>
      <w:pPr>
        <w:pStyle w:val="BodyText"/>
        <w:spacing w:line="235" w:lineRule="auto"/>
        <w:ind w:left="827" w:right="4229"/>
      </w:pPr>
      <w:r>
        <w:rPr>
          <w:w w:val="120"/>
        </w:rPr>
        <w:t>Portobello United Reformed Church, Edinburgh, 30 April 2016 Selkirk United Reformed Church, Selkirk, 17 December 2017</w:t>
      </w:r>
    </w:p>
    <w:p>
      <w:pPr>
        <w:pStyle w:val="BodyText"/>
        <w:spacing w:before="10"/>
        <w:rPr>
          <w:sz w:val="21"/>
        </w:rPr>
      </w:pPr>
    </w:p>
    <w:p>
      <w:pPr>
        <w:pStyle w:val="Heading4"/>
        <w:ind w:firstLine="0"/>
      </w:pPr>
      <w:r>
        <w:rPr>
          <w:w w:val="110"/>
        </w:rPr>
        <w:t>Church openings</w:t>
      </w:r>
    </w:p>
    <w:p>
      <w:pPr>
        <w:pStyle w:val="BodyText"/>
        <w:spacing w:line="235" w:lineRule="auto" w:before="69"/>
        <w:ind w:left="827" w:right="1528"/>
      </w:pPr>
      <w:r>
        <w:rPr>
          <w:w w:val="120"/>
        </w:rPr>
        <w:t>No new United Reformed churches, or local ecumenical partnerships involving the URC, opened in the period between 31 March 2016 and 1 April 2018.</w:t>
      </w:r>
    </w:p>
    <w:p>
      <w:pPr>
        <w:spacing w:after="0" w:line="235" w:lineRule="auto"/>
        <w:sectPr>
          <w:headerReference w:type="even" r:id="rId226"/>
          <w:footerReference w:type="even" r:id="rId227"/>
          <w:pgSz w:w="11910" w:h="16840"/>
          <w:pgMar w:header="0" w:footer="647" w:top="0" w:bottom="840" w:left="420" w:right="380"/>
          <w:pgNumType w:start="78"/>
        </w:sectPr>
      </w:pPr>
    </w:p>
    <w:p>
      <w:pPr>
        <w:pStyle w:val="BodyText"/>
      </w:pPr>
      <w:r>
        <w:rPr/>
        <w:pict>
          <v:rect style="position:absolute;margin-left:1.417pt;margin-top:.000015pt;width:547.79pt;height:841.89pt;mso-position-horizontal-relative:page;mso-position-vertical-relative:page;z-index:-267406336" filled="true" fillcolor="#d4e9f7" stroked="false">
            <v:fill type="solid"/>
            <w10:wrap type="none"/>
          </v:rect>
        </w:pict>
      </w:r>
      <w:r>
        <w:rPr/>
        <w:pict>
          <v:group style="position:absolute;margin-left:0pt;margin-top:.000015pt;width:595.3pt;height:841.9pt;mso-position-horizontal-relative:page;mso-position-vertical-relative:page;z-index:-267405312" coordorigin="0,0" coordsize="11906,16838">
            <v:shape style="position:absolute;left:10984;top:0;width:922;height:16838" type="#_x0000_t75" stroked="false">
              <v:imagedata r:id="rId230" o:title=""/>
            </v:shape>
            <v:shape style="position:absolute;left:0;top:0;width:11906;height:16838" type="#_x0000_t75" stroked="false">
              <v:imagedata r:id="rId231" o:title=""/>
            </v:shape>
            <v:shape style="position:absolute;left:3440;top:3239;width:1627;height:857" coordorigin="3440,3240" coordsize="1627,857" path="m4200,3240l3904,3307,3663,3454,3500,3601,3440,3668,3643,3916,3790,4043,3952,4090,4200,4097,4282,4090,4363,4072,4444,4043,4521,4007,4596,3966,4624,3948,4200,3948,3993,3904,3824,3808,3711,3712,3669,3668,3811,3507,3914,3424,4027,3393,4200,3389,4645,3389,4612,3368,4538,3327,4459,3292,4376,3264,4289,3246,4200,3240xm5046,3782l4841,3782,5038,3972,5065,3893,5063,3825,5046,3782xm4645,3389l4200,3389,4402,3433,4571,3529,4687,3625,4730,3668,4577,3830,4471,3913,4362,3943,4200,3948,4624,3948,4666,3920,4731,3873,4790,3827,4841,3782,5046,3782,5040,3766,5003,3715,4959,3668,5003,3622,5041,3569,5050,3549,4847,3549,4798,3505,4743,3459,4680,3412,4645,3389xm5039,3362l4847,3549,5050,3549,5065,3510,5067,3441,5039,3362xe" filled="true" fillcolor="#7c7b7b" stroked="false">
              <v:path arrowok="t"/>
              <v:fill type="solid"/>
            </v:shape>
            <v:shape style="position:absolute;left:3135;top:1811;width:2158;height:3246" coordorigin="3136,1811" coordsize="2158,3246" path="m4167,4901l4098,4901,4100,4902,4105,4927,4112,4965,4119,5001,4123,5020,4134,5042,4141,5054,4149,5057,4160,5056,4167,4901xm4373,4687l4177,4687,4187,5057,4232,5049,4261,5032,4278,5014,4283,5006,4279,4986,4280,4969,4282,4959,4286,4952,4295,4943,4310,4932,4320,4809,4326,4747,4328,4725,4328,4725,4373,4725,4373,4687xm4373,3076l4063,3076,4063,4754,4064,4778,4066,4823,4067,4872,4069,4935,4070,4950,4086,4944,4093,4937,4097,4927,4098,4912,4098,4901,4167,4901,4177,4687,4373,4687,4373,3076xm4373,4725l4328,4725,4330,4754,4331,4803,4332,4848,4334,4870,4338,4878,4344,4889,4353,4897,4367,4896,4372,4872,4373,4823,4373,4771,4373,4754,4373,4725xm5159,2746l5086,2746,3234,2746,3219,2751,3217,2761,3223,2774,3229,2785,3254,2791,3306,2796,3363,2802,3404,2807,3405,2812,3345,2816,3316,2818,3259,2821,3195,2827,3145,2834,3138,2844,3136,2853,3136,2862,3136,2866,3139,2886,3151,2930,3165,2953,3178,2963,3183,2965,3275,2986,3275,2989,3261,2992,3245,2999,3238,3013,3261,3017,3356,3025,3377,3028,3363,3032,3333,3036,3300,3042,3280,3049,3273,3055,3269,3069,3270,3076,3360,3077,5211,3076,5215,3069,5226,3054,5218,3045,5202,3037,5175,3029,5151,3022,5141,3019,5158,3016,5190,3011,5222,3006,5241,2998,5266,2981,5279,2966,5287,2943,5293,2904,5282,2893,5273,2887,5260,2884,5237,2880,5191,2876,5031,2864,5053,2862,5117,2862,5185,2852,5217,2824,5204,2816,5147,2791,5135,2784,5136,2779,5154,2774,5157,2771,5167,2763,5160,2754,5159,2746xm5211,3076l4373,3076,5105,3077,5211,3076xm4091,1864l4084,1866,4076,1874,4068,1888,4064,1906,4063,2746,4373,2746,4373,2051,4314,2051,4311,2026,4156,2026,4152,2016,4152,1999,4105,1999,4103,1980,4099,1933,4095,1886,4091,1864xm4352,1908l4342,1908,4331,1935,4322,1984,4316,2030,4314,2051,4373,2051,4372,2026,4372,1999,4373,1924,4369,1921,4362,1913,4352,1908xm4293,1811l4289,1813,4259,1815,4207,1828,4180,1853,4171,1877,4170,1888,4156,2026,4311,2026,4309,2016,4306,1937,4302,1856,4293,1811xm4130,1940l4122,1947,4114,1965,4105,1999,4152,1999,4151,1987,4148,1957,4141,1941,4130,1940xe" filled="true" fillcolor="#000000" stroked="false">
              <v:path arrowok="t"/>
              <v:fill type="solid"/>
            </v:shape>
            <v:shape style="position:absolute;left:5488;top:2368;width:472;height:379" type="#_x0000_t75" stroked="false">
              <v:imagedata r:id="rId232" o:title=""/>
            </v:shape>
            <v:shape style="position:absolute;left:6006;top:2483;width:217;height:269" type="#_x0000_t75" stroked="false">
              <v:imagedata r:id="rId233" o:title=""/>
            </v:shape>
            <v:shape style="position:absolute;left:5496;top:3001;width:314;height:409" coordorigin="5496,3001" coordsize="314,409" path="m5569,3001l5496,3001,5496,3231,5507,3313,5538,3368,5586,3400,5649,3410,5715,3399,5765,3367,5775,3351,5651,3351,5618,3344,5592,3323,5575,3287,5569,3236,5569,3001xm5809,3001l5736,3001,5736,3236,5730,3287,5714,3323,5687,3344,5651,3351,5775,3351,5798,3311,5809,3231,5809,3001xe" filled="true" fillcolor="#000000" stroked="false">
              <v:path arrowok="t"/>
              <v:fill type="solid"/>
            </v:shape>
            <v:shape style="position:absolute;left:5875;top:3106;width:266;height:298" type="#_x0000_t75" stroked="false">
              <v:imagedata r:id="rId234" o:title=""/>
            </v:shape>
            <v:shape style="position:absolute;left:6202;top:2991;width:83;height:412" coordorigin="6203,2992" coordsize="83,412" path="m6280,3113l6207,3113,6207,3404,6280,3404,6280,3113xm6244,2992l6227,2995,6214,3003,6205,3016,6203,3032,6205,3047,6214,3060,6227,3068,6243,3071,6261,3068,6274,3060,6282,3047,6285,3032,6282,3016,6274,3003,6261,2995,6244,2992xe" filled="true" fillcolor="#000000" stroked="false">
              <v:path arrowok="t"/>
              <v:fill type="solid"/>
            </v:shape>
            <v:shape style="position:absolute;left:6330;top:3030;width:183;height:380" type="#_x0000_t75" stroked="false">
              <v:imagedata r:id="rId235" o:title=""/>
            </v:shape>
            <v:shape style="position:absolute;left:6546;top:3106;width:267;height:304" type="#_x0000_t75" stroked="false">
              <v:imagedata r:id="rId236" o:title=""/>
            </v:shape>
            <v:shape style="position:absolute;left:5496;top:2979;width:1646;height:1080" coordorigin="5497,2980" coordsize="1646,1080" path="m5781,4060l5774,4043,5766,4017,5758,3984,5749,3948,5740,3921,5728,3898,5724,3894,5713,3881,5693,3870,5693,3868,5720,3854,5735,3840,5744,3832,5760,3803,5766,3768,5763,3743,5757,3721,5750,3710,5746,3702,5731,3687,5709,3672,5693,3667,5693,3775,5688,3802,5671,3823,5646,3836,5613,3840,5569,3840,5569,3714,5576,3712,5586,3711,5599,3710,5615,3710,5647,3714,5672,3725,5688,3746,5693,3775,5693,3667,5681,3662,5647,3657,5607,3655,5576,3655,5546,3657,5520,3660,5497,3663,5497,4060,5569,4060,5569,3894,5606,3894,5633,3898,5654,3910,5668,3932,5678,3965,5686,3999,5693,4026,5700,4047,5705,4060,5781,4060m7142,3404l7141,3387,7140,3366,7140,3357,7140,3351,7140,3344,7140,3163,7140,3144,7140,2980,7066,2980,7066,3144,7066,3144,7066,3221,7066,3292,7064,3299,7055,3320,7041,3337,7022,3347,7000,3351,6970,3344,6947,3325,6933,3296,6928,3259,6933,3221,6947,3191,6970,3170,7001,3163,7024,3167,7043,3178,7057,3195,7064,3215,7066,3221,7066,3144,7065,3144,7052,3129,7034,3117,7011,3109,6983,3106,6934,3117,6892,3147,6864,3196,6854,3262,6863,3322,6890,3369,6929,3399,6978,3410,7008,3406,7034,3396,7056,3379,7072,3357,7073,3357,7076,3404,7142,3404e" filled="true" fillcolor="#000000" stroked="false">
              <v:path arrowok="t"/>
              <v:fill type="solid"/>
            </v:shape>
            <v:shape style="position:absolute;left:5809;top:3762;width:267;height:304" type="#_x0000_t75" stroked="false">
              <v:imagedata r:id="rId237" o:title=""/>
            </v:shape>
            <v:shape style="position:absolute;left:6098;top:3629;width:198;height:431" coordorigin="6098,3629" coordsize="198,431" path="m6211,3824l6138,3824,6138,4060,6211,4060,6211,3824xm6274,3769l6098,3769,6098,3824,6274,3824,6274,3769xm6248,3629l6229,3631,6209,3636,6190,3644,6173,3657,6157,3678,6146,3702,6140,3729,6138,3754,6138,3769,6210,3769,6210,3754,6213,3729,6221,3708,6236,3694,6259,3688,6291,3688,6296,3637,6286,3634,6275,3631,6262,3630,6248,3629xm6291,3688l6273,3688,6283,3691,6290,3693,6291,3688xe" filled="true" fillcolor="#000000" stroked="false">
              <v:path arrowok="t"/>
              <v:fill type="solid"/>
            </v:shape>
            <v:shape style="position:absolute;left:6294;top:3762;width:294;height:305" type="#_x0000_t75" stroked="false">
              <v:imagedata r:id="rId238" o:title=""/>
            </v:shape>
            <v:shape style="position:absolute;left:6646;top:3762;width:166;height:298" type="#_x0000_t75" stroked="false">
              <v:imagedata r:id="rId239" o:title=""/>
            </v:shape>
            <v:shape style="position:absolute;left:6858;top:3762;width:430;height:298" coordorigin="6858,3762" coordsize="430,298" path="m6921,3769l6858,3769,6859,3787,6860,3809,6861,3830,6861,4060,6932,4060,6932,3880,6933,3871,6936,3864,6944,3849,6955,3836,6970,3826,6989,3823,7276,3823,7272,3816,7096,3816,7094,3812,6924,3812,6921,3769xm7165,3823l6989,3823,7011,3828,7026,3842,7036,3864,7039,3892,7039,4060,7110,4060,7110,3877,7112,3868,7114,3861,7122,3846,7133,3834,7148,3826,7165,3823xm7276,3823l7165,3823,7188,3828,7204,3843,7213,3867,7217,3899,7217,4060,7288,4060,7288,3889,7280,3830,7276,3823xm7191,3762l7174,3763,7159,3767,7145,3773,7133,3780,7123,3787,7114,3795,7105,3805,7097,3816,7272,3816,7258,3791,7226,3769,7191,3762xm7016,3762l6983,3767,6958,3779,6939,3795,6927,3812,7094,3812,7084,3794,7065,3777,7043,3766,7016,3762xe" filled="true" fillcolor="#000000" stroked="false">
              <v:path arrowok="t"/>
              <v:fill type="solid"/>
            </v:shape>
            <v:shape style="position:absolute;left:7347;top:3762;width:267;height:304" type="#_x0000_t75" stroked="false">
              <v:imagedata r:id="rId240" o:title=""/>
            </v:shape>
            <v:shape style="position:absolute;left:5475;top:3635;width:2468;height:1086" coordorigin="5476,3636" coordsize="2468,1086" path="m5788,4325l5773,4319,5751,4313,5724,4309,5690,4307,5621,4316,5562,4344,5516,4388,5486,4447,5476,4519,5485,4588,5511,4644,5553,4686,5610,4712,5680,4722,5715,4720,5744,4716,5767,4710,5784,4704,5775,4661,5772,4646,5756,4652,5736,4657,5715,4660,5693,4661,5634,4651,5590,4622,5562,4576,5553,4516,5563,4452,5592,4406,5637,4378,5693,4368,5717,4369,5738,4373,5756,4378,5772,4384,5776,4368,5788,4325m6098,4545l6090,4486,6085,4479,6077,4465,6066,4447,6034,4425,5997,4419,5984,4419,5971,4422,5959,4426,5947,4432,5936,4439,5927,4447,5918,4456,5911,4465,5910,4465,5910,4292,5836,4292,5836,4716,5910,4716,5910,4534,5910,4526,5913,4520,5921,4504,5933,4491,5949,4482,5969,4479,5995,4484,6012,4500,6022,4523,6025,4553,6025,4716,6098,4716,6098,4545m7943,4060l7942,4043,7941,4023,7941,4014,7940,4007,7940,4000,7940,3981,7940,3819,7940,3800,7940,3636,7867,3636,7867,3800,7867,3884,7867,3941,7866,3949,7865,3956,7856,3977,7841,3993,7823,4003,7801,4007,7770,4000,7748,3981,7734,3952,7729,3915,7734,3877,7748,3847,7771,3827,7802,3819,7825,3823,7843,3835,7857,3851,7865,3871,7866,3877,7867,3884,7867,3800,7866,3800,7853,3785,7835,3773,7812,3765,7784,3762,7734,3773,7693,3803,7664,3852,7654,3918,7664,3979,7690,4026,7729,4056,7778,4066,7808,4063,7835,4052,7857,4036,7873,4014,7874,4014,7877,4060,7943,4060e" filled="true" fillcolor="#000000" stroked="false">
              <v:path arrowok="t"/>
              <v:fill type="solid"/>
            </v:shape>
            <v:shape style="position:absolute;left:6157;top:4425;width:264;height:298" type="#_x0000_t75" stroked="false">
              <v:imagedata r:id="rId241" o:title=""/>
            </v:shape>
            <v:shape style="position:absolute;left:6476;top:4418;width:418;height:303" type="#_x0000_t75" stroked="false">
              <v:imagedata r:id="rId242" o:title=""/>
            </v:shape>
            <v:shape style="position:absolute;left:6941;top:4292;width:263;height:424" coordorigin="6942,4292" coordsize="263,424" path="m7016,4292l6942,4292,6942,4716,7016,4716,7016,4526,7018,4520,7026,4504,7039,4491,7055,4482,7075,4479,7191,4479,7183,4465,7016,4465,7016,4292xm7191,4479l7075,4479,7101,4484,7118,4500,7128,4523,7131,4553,7131,4716,7204,4716,7204,4545,7195,4486,7191,4479xm7103,4419l7089,4419,7076,4422,7064,4426,7053,4432,7042,4439,7032,4447,7024,4456,7017,4465,7183,4465,7172,4447,7140,4425,7103,4419xe" filled="true" fillcolor="#000000" stroked="false">
              <v:path arrowok="t"/>
              <v:fill type="solid"/>
            </v:shape>
            <v:shape style="position:absolute;left:4009;top:3897;width:414;height:199" coordorigin="4009,3898" coordsize="414,199" path="m4018,3914l4009,4064,4058,4078,4109,4088,4160,4094,4212,4097,4268,4093,4321,4083,4373,4068,4423,4052,4415,3948,4194,3948,4148,3945,4103,3939,4059,3928,4018,3914xm4411,3898l4361,3918,4307,3934,4252,3944,4194,3948,4415,3948,4411,3898xe" filled="true" fillcolor="#7c7b7b" stroked="false">
              <v:path arrowok="t"/>
              <v:fill type="solid"/>
            </v:shape>
            <w10:wrap type="none"/>
          </v:group>
        </w:pict>
      </w:r>
      <w:r>
        <w:rPr/>
        <w:pict>
          <v:shape style="position:absolute;margin-left:554.141174pt;margin-top:48.890015pt;width:26pt;height:360.9pt;mso-position-horizontal-relative:page;mso-position-vertical-relative:page;z-index:251879424" type="#_x0000_t202" filled="false" stroked="false">
            <v:textbox inset="0,0,0,0" style="layout-flow:vertical">
              <w:txbxContent>
                <w:p>
                  <w:pPr>
                    <w:spacing w:before="29"/>
                    <w:ind w:left="20" w:right="0" w:firstLine="0"/>
                    <w:jc w:val="left"/>
                    <w:rPr>
                      <w:sz w:val="39"/>
                    </w:rPr>
                  </w:pPr>
                  <w:r>
                    <w:rPr>
                      <w:color w:val="FFFFFF"/>
                      <w:w w:val="125"/>
                      <w:sz w:val="39"/>
                    </w:rPr>
                    <w:t>Assembly committee reports index</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line="206" w:lineRule="auto"/>
        <w:ind w:left="2631"/>
        <w:rPr>
          <w:b/>
        </w:rPr>
      </w:pPr>
      <w:bookmarkStart w:name="_bookmark13" w:id="14"/>
      <w:bookmarkEnd w:id="14"/>
      <w:r>
        <w:rPr>
          <w:b w:val="0"/>
        </w:rPr>
      </w:r>
      <w:r>
        <w:rPr>
          <w:b/>
          <w:w w:val="110"/>
        </w:rPr>
        <w:t>Assembly committee reports index</w:t>
      </w:r>
    </w:p>
    <w:sdt>
      <w:sdtPr>
        <w:docPartObj>
          <w:docPartGallery w:val="Table of Contents"/>
          <w:docPartUnique/>
        </w:docPartObj>
      </w:sdtPr>
      <w:sdtEndPr/>
      <w:sdtContent>
        <w:p>
          <w:pPr>
            <w:pStyle w:val="TOC1"/>
            <w:tabs>
              <w:tab w:pos="9531" w:val="right" w:leader="dot"/>
            </w:tabs>
            <w:spacing w:before="587"/>
            <w:rPr>
              <w:b/>
            </w:rPr>
          </w:pPr>
          <w:r>
            <w:rPr>
              <w:b/>
              <w:w w:val="110"/>
            </w:rPr>
            <w:t>Assembly arrangements</w:t>
            <w:tab/>
            <w:t>80</w:t>
          </w:r>
        </w:p>
        <w:p>
          <w:pPr>
            <w:pStyle w:val="TOC1"/>
            <w:tabs>
              <w:tab w:pos="9530" w:val="right" w:leader="dot"/>
            </w:tabs>
            <w:rPr>
              <w:b/>
            </w:rPr>
          </w:pPr>
          <w:hyperlink w:history="true" w:anchor="_TOC_250009">
            <w:r>
              <w:rPr>
                <w:b/>
                <w:spacing w:val="-3"/>
                <w:w w:val="110"/>
              </w:rPr>
              <w:t>Children’s </w:t>
            </w:r>
            <w:r>
              <w:rPr>
                <w:b/>
                <w:w w:val="110"/>
              </w:rPr>
              <w:t>and</w:t>
            </w:r>
            <w:r>
              <w:rPr>
                <w:b/>
                <w:spacing w:val="2"/>
                <w:w w:val="110"/>
              </w:rPr>
              <w:t> </w:t>
            </w:r>
            <w:r>
              <w:rPr>
                <w:b/>
                <w:w w:val="110"/>
              </w:rPr>
              <w:t>youth work</w:t>
              <w:tab/>
              <w:t>82</w:t>
            </w:r>
          </w:hyperlink>
        </w:p>
        <w:p>
          <w:pPr>
            <w:pStyle w:val="TOC1"/>
            <w:tabs>
              <w:tab w:pos="9524" w:val="right" w:leader="dot"/>
            </w:tabs>
            <w:rPr>
              <w:b/>
            </w:rPr>
          </w:pPr>
          <w:hyperlink w:history="true" w:anchor="_TOC_250008">
            <w:r>
              <w:rPr>
                <w:b/>
                <w:w w:val="110"/>
              </w:rPr>
              <w:t>Communications</w:t>
              <w:tab/>
            </w:r>
            <w:r>
              <w:rPr>
                <w:b/>
                <w:spacing w:val="-8"/>
                <w:w w:val="110"/>
              </w:rPr>
              <w:t>87</w:t>
            </w:r>
          </w:hyperlink>
        </w:p>
        <w:p>
          <w:pPr>
            <w:pStyle w:val="TOC1"/>
            <w:tabs>
              <w:tab w:pos="9525" w:val="right" w:leader="dot"/>
            </w:tabs>
            <w:rPr>
              <w:b/>
            </w:rPr>
          </w:pPr>
          <w:hyperlink w:history="true" w:anchor="_TOC_250007">
            <w:r>
              <w:rPr>
                <w:b/>
                <w:w w:val="110"/>
              </w:rPr>
              <w:t>Education</w:t>
            </w:r>
            <w:r>
              <w:rPr>
                <w:b/>
                <w:spacing w:val="-1"/>
                <w:w w:val="110"/>
              </w:rPr>
              <w:t> </w:t>
            </w:r>
            <w:r>
              <w:rPr>
                <w:b/>
                <w:w w:val="110"/>
              </w:rPr>
              <w:t>and learning</w:t>
              <w:tab/>
            </w:r>
            <w:r>
              <w:rPr>
                <w:b/>
                <w:spacing w:val="-7"/>
                <w:w w:val="110"/>
              </w:rPr>
              <w:t>92</w:t>
            </w:r>
          </w:hyperlink>
        </w:p>
        <w:p>
          <w:pPr>
            <w:pStyle w:val="TOC1"/>
            <w:tabs>
              <w:tab w:pos="9531" w:val="right" w:leader="dot"/>
            </w:tabs>
            <w:spacing w:before="47"/>
            <w:rPr>
              <w:b/>
            </w:rPr>
          </w:pPr>
          <w:hyperlink w:history="true" w:anchor="_TOC_250006">
            <w:r>
              <w:rPr>
                <w:b/>
                <w:w w:val="110"/>
              </w:rPr>
              <w:t>Equalities</w:t>
              <w:tab/>
            </w:r>
            <w:r>
              <w:rPr>
                <w:b/>
                <w:spacing w:val="-4"/>
                <w:w w:val="110"/>
              </w:rPr>
              <w:t>105</w:t>
            </w:r>
          </w:hyperlink>
        </w:p>
        <w:p>
          <w:pPr>
            <w:pStyle w:val="TOC1"/>
            <w:tabs>
              <w:tab w:pos="9509" w:val="right" w:leader="dot"/>
            </w:tabs>
            <w:rPr>
              <w:b/>
            </w:rPr>
          </w:pPr>
          <w:hyperlink w:history="true" w:anchor="_TOC_250005">
            <w:r>
              <w:rPr>
                <w:b/>
                <w:w w:val="110"/>
              </w:rPr>
              <w:t>Faith</w:t>
            </w:r>
            <w:r>
              <w:rPr>
                <w:b/>
                <w:spacing w:val="-1"/>
                <w:w w:val="110"/>
              </w:rPr>
              <w:t> </w:t>
            </w:r>
            <w:r>
              <w:rPr>
                <w:b/>
                <w:w w:val="110"/>
              </w:rPr>
              <w:t>and order</w:t>
              <w:tab/>
            </w:r>
            <w:r>
              <w:rPr>
                <w:b/>
                <w:spacing w:val="-22"/>
                <w:w w:val="110"/>
              </w:rPr>
              <w:t>111</w:t>
            </w:r>
          </w:hyperlink>
        </w:p>
        <w:p>
          <w:pPr>
            <w:pStyle w:val="TOC1"/>
            <w:tabs>
              <w:tab w:pos="9531" w:val="right" w:leader="dot"/>
            </w:tabs>
            <w:rPr>
              <w:b/>
            </w:rPr>
          </w:pPr>
          <w:hyperlink w:history="true" w:anchor="_TOC_250004">
            <w:r>
              <w:rPr>
                <w:b/>
                <w:w w:val="110"/>
              </w:rPr>
              <w:t>Finance</w:t>
              <w:tab/>
            </w:r>
            <w:r>
              <w:rPr>
                <w:b/>
                <w:spacing w:val="-15"/>
                <w:w w:val="110"/>
              </w:rPr>
              <w:t>117</w:t>
            </w:r>
          </w:hyperlink>
        </w:p>
        <w:p>
          <w:pPr>
            <w:pStyle w:val="TOC2"/>
            <w:tabs>
              <w:tab w:pos="9531" w:val="right" w:leader="dot"/>
            </w:tabs>
          </w:pPr>
          <w:r>
            <w:rPr>
              <w:w w:val="120"/>
            </w:rPr>
            <w:t>Finance –</w:t>
          </w:r>
          <w:r>
            <w:rPr>
              <w:spacing w:val="4"/>
              <w:w w:val="120"/>
            </w:rPr>
            <w:t> </w:t>
          </w:r>
          <w:r>
            <w:rPr>
              <w:w w:val="120"/>
            </w:rPr>
            <w:t>annual</w:t>
          </w:r>
          <w:r>
            <w:rPr>
              <w:spacing w:val="2"/>
              <w:w w:val="120"/>
            </w:rPr>
            <w:t> </w:t>
          </w:r>
          <w:r>
            <w:rPr>
              <w:w w:val="120"/>
            </w:rPr>
            <w:t>accounts</w:t>
            <w:tab/>
          </w:r>
          <w:r>
            <w:rPr>
              <w:spacing w:val="-9"/>
              <w:w w:val="120"/>
            </w:rPr>
            <w:t>121</w:t>
          </w:r>
        </w:p>
        <w:p>
          <w:pPr>
            <w:pStyle w:val="TOC1"/>
            <w:tabs>
              <w:tab w:pos="9531" w:val="right" w:leader="dot"/>
            </w:tabs>
            <w:spacing w:before="60"/>
            <w:rPr>
              <w:b/>
            </w:rPr>
          </w:pPr>
          <w:hyperlink w:history="true" w:anchor="_TOC_250003">
            <w:r>
              <w:rPr>
                <w:b/>
                <w:w w:val="110"/>
              </w:rPr>
              <w:t>Ministries</w:t>
              <w:tab/>
            </w:r>
            <w:r>
              <w:rPr>
                <w:b/>
                <w:spacing w:val="-6"/>
                <w:w w:val="110"/>
              </w:rPr>
              <w:t>122</w:t>
            </w:r>
          </w:hyperlink>
        </w:p>
        <w:p>
          <w:pPr>
            <w:pStyle w:val="TOC2"/>
            <w:tabs>
              <w:tab w:pos="9531" w:val="right" w:leader="dot"/>
            </w:tabs>
            <w:spacing w:before="58"/>
          </w:pPr>
          <w:r>
            <w:rPr>
              <w:w w:val="120"/>
            </w:rPr>
            <w:t>Active</w:t>
          </w:r>
          <w:r>
            <w:rPr>
              <w:spacing w:val="2"/>
              <w:w w:val="120"/>
            </w:rPr>
            <w:t> </w:t>
          </w:r>
          <w:r>
            <w:rPr>
              <w:w w:val="120"/>
            </w:rPr>
            <w:t>minister</w:t>
            <w:tab/>
          </w:r>
          <w:r>
            <w:rPr>
              <w:spacing w:val="-11"/>
              <w:w w:val="120"/>
            </w:rPr>
            <w:t>133</w:t>
          </w:r>
        </w:p>
        <w:p>
          <w:pPr>
            <w:pStyle w:val="TOC2"/>
            <w:tabs>
              <w:tab w:pos="9531" w:val="right" w:leader="dot"/>
            </w:tabs>
            <w:spacing w:before="73"/>
          </w:pPr>
          <w:r>
            <w:rPr>
              <w:w w:val="125"/>
            </w:rPr>
            <w:t>Discerning</w:t>
          </w:r>
          <w:r>
            <w:rPr>
              <w:spacing w:val="-1"/>
              <w:w w:val="125"/>
            </w:rPr>
            <w:t> </w:t>
          </w:r>
          <w:r>
            <w:rPr>
              <w:w w:val="125"/>
            </w:rPr>
            <w:t>God’s</w:t>
          </w:r>
          <w:r>
            <w:rPr>
              <w:spacing w:val="-1"/>
              <w:w w:val="125"/>
            </w:rPr>
            <w:t> </w:t>
          </w:r>
          <w:r>
            <w:rPr>
              <w:w w:val="125"/>
            </w:rPr>
            <w:t>call</w:t>
            <w:tab/>
          </w:r>
          <w:r>
            <w:rPr>
              <w:spacing w:val="-9"/>
              <w:w w:val="125"/>
            </w:rPr>
            <w:t>135</w:t>
          </w:r>
        </w:p>
        <w:p>
          <w:pPr>
            <w:pStyle w:val="TOC2"/>
            <w:tabs>
              <w:tab w:pos="9531" w:val="right" w:leader="dot"/>
            </w:tabs>
            <w:spacing w:before="72"/>
          </w:pPr>
          <w:r>
            <w:rPr>
              <w:w w:val="120"/>
            </w:rPr>
            <w:t>Non-stipendiary</w:t>
          </w:r>
          <w:r>
            <w:rPr>
              <w:spacing w:val="2"/>
              <w:w w:val="120"/>
            </w:rPr>
            <w:t> </w:t>
          </w:r>
          <w:r>
            <w:rPr>
              <w:w w:val="120"/>
            </w:rPr>
            <w:t>ministry</w:t>
            <w:tab/>
          </w:r>
          <w:r>
            <w:rPr>
              <w:spacing w:val="-12"/>
              <w:w w:val="120"/>
            </w:rPr>
            <w:t>137</w:t>
          </w:r>
        </w:p>
        <w:p>
          <w:pPr>
            <w:pStyle w:val="TOC1"/>
            <w:tabs>
              <w:tab w:pos="9531" w:val="right" w:leader="dot"/>
            </w:tabs>
            <w:spacing w:before="60"/>
            <w:rPr>
              <w:b/>
            </w:rPr>
          </w:pPr>
          <w:hyperlink w:history="true" w:anchor="_TOC_250002">
            <w:r>
              <w:rPr>
                <w:b/>
                <w:w w:val="110"/>
              </w:rPr>
              <w:t>Mission</w:t>
              <w:tab/>
            </w:r>
            <w:r>
              <w:rPr>
                <w:b/>
                <w:spacing w:val="-4"/>
                <w:w w:val="110"/>
              </w:rPr>
              <w:t>140</w:t>
            </w:r>
          </w:hyperlink>
        </w:p>
        <w:p>
          <w:pPr>
            <w:pStyle w:val="TOC2"/>
            <w:tabs>
              <w:tab w:pos="9531" w:val="right" w:leader="none"/>
            </w:tabs>
            <w:ind w:left="2918"/>
          </w:pPr>
          <w:hyperlink w:history="true" w:anchor="_TOC_250001">
            <w:r>
              <w:rPr>
                <w:w w:val="120"/>
              </w:rPr>
              <w:t>Expressing commitment to global and</w:t>
            </w:r>
            <w:r>
              <w:rPr>
                <w:spacing w:val="32"/>
                <w:w w:val="120"/>
              </w:rPr>
              <w:t> </w:t>
            </w:r>
            <w:r>
              <w:rPr>
                <w:w w:val="120"/>
              </w:rPr>
              <w:t>intercultural</w:t>
            </w:r>
            <w:r>
              <w:rPr>
                <w:spacing w:val="6"/>
                <w:w w:val="120"/>
              </w:rPr>
              <w:t> </w:t>
            </w:r>
            <w:r>
              <w:rPr>
                <w:w w:val="120"/>
              </w:rPr>
              <w:t>ministries</w:t>
              <w:tab/>
            </w:r>
            <w:r>
              <w:rPr>
                <w:spacing w:val="-10"/>
                <w:w w:val="120"/>
              </w:rPr>
              <w:t>159</w:t>
            </w:r>
          </w:hyperlink>
        </w:p>
        <w:p>
          <w:pPr>
            <w:pStyle w:val="TOC1"/>
            <w:tabs>
              <w:tab w:pos="9531" w:val="right" w:leader="dot"/>
            </w:tabs>
            <w:spacing w:before="60"/>
            <w:rPr>
              <w:b/>
            </w:rPr>
          </w:pPr>
          <w:hyperlink w:history="true" w:anchor="_TOC_250000">
            <w:r>
              <w:rPr>
                <w:b/>
                <w:w w:val="110"/>
              </w:rPr>
              <w:t>Nominations</w:t>
              <w:tab/>
            </w:r>
            <w:r>
              <w:rPr>
                <w:b/>
                <w:spacing w:val="-8"/>
                <w:w w:val="110"/>
              </w:rPr>
              <w:t>161</w:t>
            </w:r>
          </w:hyperlink>
        </w:p>
        <w:p>
          <w:pPr>
            <w:pStyle w:val="TOC1"/>
            <w:tabs>
              <w:tab w:pos="9531" w:val="right" w:leader="dot"/>
            </w:tabs>
            <w:spacing w:before="66"/>
            <w:rPr>
              <w:b/>
            </w:rPr>
          </w:pPr>
          <w:r>
            <w:rPr>
              <w:b/>
              <w:w w:val="110"/>
            </w:rPr>
            <w:t>Pastoral reference</w:t>
          </w:r>
          <w:r>
            <w:rPr>
              <w:b/>
              <w:spacing w:val="-1"/>
              <w:w w:val="110"/>
            </w:rPr>
            <w:t> </w:t>
          </w:r>
          <w:r>
            <w:rPr>
              <w:b/>
              <w:w w:val="110"/>
            </w:rPr>
            <w:t>and welfare</w:t>
            <w:tab/>
          </w:r>
          <w:r>
            <w:rPr>
              <w:b/>
              <w:spacing w:val="-9"/>
              <w:w w:val="110"/>
            </w:rPr>
            <w:t>179</w:t>
          </w:r>
        </w:p>
      </w:sdtContent>
    </w:sdt>
    <w:p>
      <w:pPr>
        <w:pStyle w:val="BodyText"/>
        <w:rPr>
          <w:rFonts w:ascii="Stone Sans II ITC Std Sm"/>
          <w:b/>
          <w:sz w:val="24"/>
        </w:rPr>
      </w:pPr>
    </w:p>
    <w:p>
      <w:pPr>
        <w:pStyle w:val="BodyText"/>
        <w:rPr>
          <w:rFonts w:ascii="Stone Sans II ITC Std Sm"/>
          <w:b/>
          <w:sz w:val="24"/>
        </w:rPr>
      </w:pPr>
    </w:p>
    <w:p>
      <w:pPr>
        <w:pStyle w:val="BodyText"/>
        <w:rPr>
          <w:rFonts w:ascii="Stone Sans II ITC Std Sm"/>
          <w:b/>
          <w:sz w:val="24"/>
        </w:rPr>
      </w:pPr>
    </w:p>
    <w:p>
      <w:pPr>
        <w:pStyle w:val="BodyText"/>
        <w:rPr>
          <w:rFonts w:ascii="Stone Sans II ITC Std Sm"/>
          <w:b/>
          <w:sz w:val="24"/>
        </w:rPr>
      </w:pPr>
    </w:p>
    <w:p>
      <w:pPr>
        <w:pStyle w:val="BodyText"/>
        <w:rPr>
          <w:rFonts w:ascii="Stone Sans II ITC Std Sm"/>
          <w:b/>
          <w:sz w:val="24"/>
        </w:rPr>
      </w:pPr>
    </w:p>
    <w:p>
      <w:pPr>
        <w:pStyle w:val="BodyText"/>
        <w:rPr>
          <w:rFonts w:ascii="Stone Sans II ITC Std Sm"/>
          <w:b/>
          <w:sz w:val="24"/>
        </w:rPr>
      </w:pPr>
    </w:p>
    <w:p>
      <w:pPr>
        <w:pStyle w:val="BodyText"/>
        <w:spacing w:before="11"/>
        <w:rPr>
          <w:rFonts w:ascii="Stone Sans II ITC Std Sm"/>
          <w:b/>
          <w:sz w:val="35"/>
        </w:rPr>
      </w:pPr>
    </w:p>
    <w:p>
      <w:pPr>
        <w:pStyle w:val="Heading7"/>
        <w:spacing w:before="0"/>
        <w:ind w:left="4002"/>
        <w:rPr>
          <w:rFonts w:ascii="Stone Sans II ITC Std X Bd" w:hAnsi="Stone Sans II ITC Std X Bd"/>
          <w:b/>
          <w:sz w:val="24"/>
        </w:rPr>
      </w:pP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 </w:t>
      </w:r>
      <w:r>
        <w:rPr>
          <w:rFonts w:ascii="Symbol" w:hAnsi="Symbol"/>
          <w:color w:val="7EAABF"/>
          <w:w w:val="110"/>
        </w:rPr>
        <w:t></w:t>
      </w:r>
      <w:r>
        <w:rPr>
          <w:rFonts w:ascii="Times New Roman" w:hAnsi="Times New Roman"/>
          <w:color w:val="7EAABF"/>
          <w:w w:val="110"/>
        </w:rPr>
        <w:t> </w:t>
      </w:r>
      <w:r>
        <w:rPr>
          <w:rFonts w:ascii="Stone Sans II ITC Std X Bd" w:hAnsi="Stone Sans II ITC Std X Bd"/>
          <w:b/>
          <w:w w:val="110"/>
          <w:sz w:val="24"/>
        </w:rPr>
        <w:t>79</w:t>
      </w:r>
    </w:p>
    <w:p>
      <w:pPr>
        <w:spacing w:after="0"/>
        <w:rPr>
          <w:rFonts w:ascii="Stone Sans II ITC Std X Bd" w:hAnsi="Stone Sans II ITC Std X Bd"/>
          <w:sz w:val="24"/>
        </w:rPr>
        <w:sectPr>
          <w:headerReference w:type="default" r:id="rId228"/>
          <w:footerReference w:type="default" r:id="rId229"/>
          <w:pgSz w:w="11910" w:h="16840"/>
          <w:pgMar w:header="0" w:footer="0" w:top="1580" w:bottom="280" w:left="420" w:right="380"/>
        </w:sectPr>
      </w:pPr>
    </w:p>
    <w:p>
      <w:pPr>
        <w:pStyle w:val="BodyText"/>
        <w:rPr>
          <w:rFonts w:ascii="Stone Sans II ITC Std X Bd"/>
          <w:b/>
        </w:rPr>
      </w:pPr>
      <w:r>
        <w:rPr/>
        <w:pict>
          <v:rect style="position:absolute;margin-left:46.777pt;margin-top:.000015pt;width:548.498pt;height:841.89pt;mso-position-horizontal-relative:page;mso-position-vertical-relative:page;z-index:-267403264" filled="true" fillcolor="#d4e9f7" stroked="false">
            <v:fill type="solid"/>
            <w10:wrap type="none"/>
          </v:rect>
        </w:pict>
      </w:r>
      <w:r>
        <w:rPr/>
        <w:drawing>
          <wp:anchor distT="0" distB="0" distL="0" distR="0" allowOverlap="1" layoutInCell="1" locked="0" behindDoc="1" simplePos="0" relativeHeight="235914240">
            <wp:simplePos x="0" y="0"/>
            <wp:positionH relativeFrom="page">
              <wp:posOffset>0</wp:posOffset>
            </wp:positionH>
            <wp:positionV relativeFrom="page">
              <wp:posOffset>0</wp:posOffset>
            </wp:positionV>
            <wp:extent cx="594067" cy="10692003"/>
            <wp:effectExtent l="0" t="0" r="0" b="0"/>
            <wp:wrapNone/>
            <wp:docPr id="147" name="image70.png"/>
            <wp:cNvGraphicFramePr>
              <a:graphicFrameLocks noChangeAspect="1"/>
            </wp:cNvGraphicFramePr>
            <a:graphic>
              <a:graphicData uri="http://schemas.openxmlformats.org/drawingml/2006/picture">
                <pic:pic>
                  <pic:nvPicPr>
                    <pic:cNvPr id="14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line="213" w:lineRule="auto" w:before="153"/>
        <w:ind w:left="827" w:right="3604" w:firstLine="0"/>
        <w:jc w:val="left"/>
        <w:rPr>
          <w:rFonts w:ascii="Stone Sans II ITC Std X Bd"/>
          <w:b/>
          <w:sz w:val="50"/>
        </w:rPr>
      </w:pPr>
      <w:r>
        <w:rPr/>
        <w:pict>
          <v:shape style="position:absolute;margin-left:20.519100pt;margin-top:-5.989334pt;width:26pt;height:248.05pt;mso-position-horizontal-relative:page;mso-position-vertical-relative:paragraph;z-index:251882496" type="#_x0000_t202" filled="false" stroked="false">
            <v:textbox inset="0,0,0,0" style="layout-flow:vertical">
              <w:txbxContent>
                <w:p>
                  <w:pPr>
                    <w:spacing w:before="29"/>
                    <w:ind w:left="20" w:right="0" w:firstLine="0"/>
                    <w:jc w:val="left"/>
                    <w:rPr>
                      <w:sz w:val="39"/>
                    </w:rPr>
                  </w:pPr>
                  <w:r>
                    <w:rPr>
                      <w:color w:val="FFFFFF"/>
                      <w:spacing w:val="9"/>
                      <w:w w:val="125"/>
                      <w:sz w:val="39"/>
                    </w:rPr>
                    <w:t>Assembly</w:t>
                  </w:r>
                  <w:r>
                    <w:rPr>
                      <w:color w:val="FFFFFF"/>
                      <w:spacing w:val="-46"/>
                      <w:w w:val="125"/>
                      <w:sz w:val="39"/>
                    </w:rPr>
                    <w:t> </w:t>
                  </w:r>
                  <w:r>
                    <w:rPr>
                      <w:color w:val="FFFFFF"/>
                      <w:spacing w:val="11"/>
                      <w:w w:val="125"/>
                      <w:sz w:val="39"/>
                    </w:rPr>
                    <w:t>arrangements</w:t>
                  </w:r>
                </w:p>
              </w:txbxContent>
            </v:textbox>
            <w10:wrap type="none"/>
          </v:shape>
        </w:pict>
      </w:r>
      <w:bookmarkStart w:name="_bookmark14" w:id="15"/>
      <w:bookmarkEnd w:id="15"/>
      <w:r>
        <w:rPr/>
      </w:r>
      <w:r>
        <w:rPr>
          <w:rFonts w:ascii="Stone Sans II ITC Std X Bd"/>
          <w:b/>
          <w:color w:val="0090D4"/>
          <w:w w:val="110"/>
          <w:sz w:val="50"/>
        </w:rPr>
        <w:t>Assembly arrangements committee</w:t>
      </w:r>
    </w:p>
    <w:p>
      <w:pPr>
        <w:spacing w:line="616" w:lineRule="exact" w:before="0"/>
        <w:ind w:left="827" w:right="0" w:firstLine="0"/>
        <w:jc w:val="left"/>
        <w:rPr>
          <w:rFonts w:ascii="Stone Sans II ITC Std X Bd"/>
          <w:b/>
          <w:sz w:val="50"/>
        </w:rPr>
      </w:pPr>
      <w:r>
        <w:rPr>
          <w:rFonts w:ascii="Stone Sans II ITC Std X Bd"/>
          <w:b/>
          <w:w w:val="110"/>
          <w:sz w:val="50"/>
        </w:rPr>
        <w:t>Report and resolution</w:t>
      </w:r>
    </w:p>
    <w:p>
      <w:pPr>
        <w:spacing w:before="339" w:after="10"/>
        <w:ind w:left="82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15"/>
                <w:sz w:val="20"/>
              </w:rPr>
              <w:t>James Breslin: </w:t>
            </w:r>
            <w:hyperlink r:id="rId246">
              <w:r>
                <w:rPr>
                  <w:color w:val="006AB3"/>
                  <w:w w:val="115"/>
                  <w:sz w:val="20"/>
                </w:rPr>
                <w:t>james_breslin2@outlook.com</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Decision.</w:t>
            </w:r>
          </w:p>
        </w:tc>
      </w:tr>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line="213" w:lineRule="auto" w:before="117"/>
              <w:ind w:left="80" w:right="160"/>
              <w:jc w:val="both"/>
              <w:rPr>
                <w:rFonts w:ascii="Stone Sans II ITC Std Bk"/>
                <w:b/>
                <w:sz w:val="20"/>
              </w:rPr>
            </w:pPr>
            <w:r>
              <w:rPr>
                <w:rFonts w:ascii="Stone Sans II ITC Std Bk"/>
                <w:b/>
                <w:w w:val="110"/>
                <w:sz w:val="20"/>
              </w:rPr>
              <w:t>21. General Assembly resolves to meet in Birmingham at the University of Aston from 3 July to 6 July 2020 or at such other time and place as may be duly determined.</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395"/>
              <w:rPr>
                <w:sz w:val="20"/>
              </w:rPr>
            </w:pPr>
            <w:r>
              <w:rPr>
                <w:w w:val="120"/>
                <w:sz w:val="20"/>
              </w:rPr>
              <w:t>To report on the work of the committee and decide on the venue for the General Assembly 2020.</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before="107"/>
              <w:ind w:left="80"/>
              <w:rPr>
                <w:sz w:val="20"/>
              </w:rPr>
            </w:pPr>
            <w:r>
              <w:rPr>
                <w:w w:val="120"/>
                <w:sz w:val="20"/>
              </w:rPr>
              <w:t>As resolution.</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w w:val="125"/>
                <w:sz w:val="20"/>
              </w:rPr>
              <w:t>None.</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ight="4347"/>
              <w:rPr>
                <w:sz w:val="20"/>
              </w:rPr>
            </w:pPr>
            <w:r>
              <w:rPr>
                <w:w w:val="120"/>
                <w:sz w:val="20"/>
              </w:rPr>
              <w:t>Equalities committee. East Midlands Synod.</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No unbudgeted expenditure.</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5"/>
                <w:sz w:val="20"/>
              </w:rPr>
              <w:t>None.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0"/>
        <w:rPr>
          <w:rFonts w:ascii="Stone Sans II ITC Std Bk"/>
          <w:b/>
          <w:sz w:val="17"/>
        </w:rPr>
      </w:pPr>
    </w:p>
    <w:p>
      <w:pPr>
        <w:spacing w:before="1"/>
        <w:ind w:left="827" w:right="0" w:firstLine="0"/>
        <w:jc w:val="left"/>
        <w:rPr>
          <w:sz w:val="23"/>
        </w:rPr>
      </w:pPr>
      <w:r>
        <w:rPr>
          <w:rFonts w:ascii="Stone Sans II ITC Std X Bd" w:hAnsi="Stone Sans II ITC Std X Bd"/>
          <w:b/>
          <w:w w:val="110"/>
          <w:sz w:val="24"/>
        </w:rPr>
        <w:t>80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243"/>
          <w:footerReference w:type="even" r:id="rId244"/>
          <w:pgSz w:w="11910" w:h="16840"/>
          <w:pgMar w:header="0" w:footer="0" w:top="0" w:bottom="0" w:left="420" w:right="380"/>
        </w:sectPr>
      </w:pPr>
    </w:p>
    <w:p>
      <w:pPr>
        <w:pStyle w:val="BodyText"/>
      </w:pPr>
      <w:r>
        <w:rPr/>
        <w:drawing>
          <wp:anchor distT="0" distB="0" distL="0" distR="0" allowOverlap="1" layoutInCell="1" locked="0" behindDoc="0" simplePos="0" relativeHeight="251883520">
            <wp:simplePos x="0" y="0"/>
            <wp:positionH relativeFrom="page">
              <wp:posOffset>6974928</wp:posOffset>
            </wp:positionH>
            <wp:positionV relativeFrom="page">
              <wp:posOffset>0</wp:posOffset>
            </wp:positionV>
            <wp:extent cx="585063" cy="10692003"/>
            <wp:effectExtent l="0" t="0" r="0" b="0"/>
            <wp:wrapNone/>
            <wp:docPr id="149" name="image57.png"/>
            <wp:cNvGraphicFramePr>
              <a:graphicFrameLocks noChangeAspect="1"/>
            </wp:cNvGraphicFramePr>
            <a:graphic>
              <a:graphicData uri="http://schemas.openxmlformats.org/drawingml/2006/picture">
                <pic:pic>
                  <pic:nvPicPr>
                    <pic:cNvPr id="15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before="97"/>
        <w:ind w:left="1261" w:right="564" w:firstLine="0"/>
        <w:jc w:val="center"/>
        <w:rPr>
          <w:rFonts w:ascii="Stone Sans II ITC Std X Bd"/>
          <w:b/>
          <w:sz w:val="50"/>
        </w:rPr>
      </w:pPr>
      <w:r>
        <w:rPr/>
        <w:pict>
          <v:shape style="position:absolute;margin-left:554.141174pt;margin-top:-5.998084pt;width:26pt;height:248.05pt;mso-position-horizontal-relative:page;mso-position-vertical-relative:paragraph;z-index:251884544" type="#_x0000_t202" filled="false" stroked="false">
            <v:textbox inset="0,0,0,0" style="layout-flow:vertical">
              <w:txbxContent>
                <w:p>
                  <w:pPr>
                    <w:spacing w:before="29"/>
                    <w:ind w:left="20" w:right="0" w:firstLine="0"/>
                    <w:jc w:val="left"/>
                    <w:rPr>
                      <w:sz w:val="39"/>
                    </w:rPr>
                  </w:pPr>
                  <w:r>
                    <w:rPr>
                      <w:color w:val="FFFFFF"/>
                      <w:spacing w:val="9"/>
                      <w:w w:val="125"/>
                      <w:sz w:val="39"/>
                    </w:rPr>
                    <w:t>Assembly</w:t>
                  </w:r>
                  <w:r>
                    <w:rPr>
                      <w:color w:val="FFFFFF"/>
                      <w:spacing w:val="-46"/>
                      <w:w w:val="125"/>
                      <w:sz w:val="39"/>
                    </w:rPr>
                    <w:t> </w:t>
                  </w:r>
                  <w:r>
                    <w:rPr>
                      <w:color w:val="FFFFFF"/>
                      <w:spacing w:val="11"/>
                      <w:w w:val="125"/>
                      <w:sz w:val="39"/>
                    </w:rPr>
                    <w:t>arrangements</w:t>
                  </w:r>
                </w:p>
              </w:txbxContent>
            </v:textbox>
            <w10:wrap type="none"/>
          </v:shape>
        </w:pict>
      </w:r>
      <w:r>
        <w:rPr>
          <w:rFonts w:ascii="Stone Sans II ITC Std X Bd"/>
          <w:b/>
          <w:w w:val="110"/>
          <w:sz w:val="50"/>
        </w:rPr>
        <w:t>Report and resolution</w:t>
      </w:r>
    </w:p>
    <w:p>
      <w:pPr>
        <w:pStyle w:val="ListParagraph"/>
        <w:numPr>
          <w:ilvl w:val="1"/>
          <w:numId w:val="47"/>
        </w:numPr>
        <w:tabs>
          <w:tab w:pos="2244" w:val="left" w:leader="none"/>
          <w:tab w:pos="2245" w:val="left" w:leader="none"/>
        </w:tabs>
        <w:spacing w:line="240" w:lineRule="auto" w:before="394" w:after="0"/>
        <w:ind w:left="2244" w:right="0" w:hanging="681"/>
        <w:jc w:val="left"/>
        <w:rPr>
          <w:rFonts w:ascii="Stone Sans II ITC Std Bk"/>
          <w:b/>
          <w:sz w:val="29"/>
        </w:rPr>
      </w:pPr>
      <w:r>
        <w:rPr>
          <w:rFonts w:ascii="Stone Sans II ITC Std Bk"/>
          <w:b/>
          <w:spacing w:val="4"/>
          <w:w w:val="110"/>
          <w:sz w:val="29"/>
        </w:rPr>
        <w:t>The </w:t>
      </w:r>
      <w:r>
        <w:rPr>
          <w:rFonts w:ascii="Stone Sans II ITC Std Bk"/>
          <w:b/>
          <w:spacing w:val="2"/>
          <w:w w:val="110"/>
          <w:sz w:val="29"/>
        </w:rPr>
        <w:t>work </w:t>
      </w:r>
      <w:r>
        <w:rPr>
          <w:rFonts w:ascii="Stone Sans II ITC Std Bk"/>
          <w:b/>
          <w:w w:val="110"/>
          <w:sz w:val="29"/>
        </w:rPr>
        <w:t>of </w:t>
      </w:r>
      <w:r>
        <w:rPr>
          <w:rFonts w:ascii="Stone Sans II ITC Std Bk"/>
          <w:b/>
          <w:spacing w:val="2"/>
          <w:w w:val="110"/>
          <w:sz w:val="29"/>
        </w:rPr>
        <w:t>the</w:t>
      </w:r>
      <w:r>
        <w:rPr>
          <w:rFonts w:ascii="Stone Sans II ITC Std Bk"/>
          <w:b/>
          <w:spacing w:val="45"/>
          <w:w w:val="110"/>
          <w:sz w:val="29"/>
        </w:rPr>
        <w:t> </w:t>
      </w:r>
      <w:r>
        <w:rPr>
          <w:rFonts w:ascii="Stone Sans II ITC Std Bk"/>
          <w:b/>
          <w:spacing w:val="4"/>
          <w:w w:val="110"/>
          <w:sz w:val="29"/>
        </w:rPr>
        <w:t>committee</w:t>
      </w:r>
    </w:p>
    <w:p>
      <w:pPr>
        <w:pStyle w:val="BodyText"/>
        <w:spacing w:line="235" w:lineRule="auto" w:before="69"/>
        <w:ind w:left="1564" w:right="923"/>
      </w:pPr>
      <w:r>
        <w:rPr>
          <w:w w:val="120"/>
        </w:rPr>
        <w:t>The committee is responsible for all practical arrangements concerning the Assembly.   It organises accommodation for Assembly members and staff. It sources suitable venues for the Assembly and for the youth event ‘What do you think?’ It plans the Assembly programme; the order of business; special presentations; other meetings; displays and arrangements for distinguished visitors, both local and from farther afield. Since </w:t>
      </w:r>
      <w:r>
        <w:rPr>
          <w:spacing w:val="-7"/>
          <w:w w:val="120"/>
        </w:rPr>
        <w:t>2014 </w:t>
      </w:r>
      <w:r>
        <w:rPr>
          <w:w w:val="120"/>
        </w:rPr>
        <w:t>it has also been responsible for the provision of evening meals. </w:t>
      </w:r>
      <w:r>
        <w:rPr>
          <w:spacing w:val="-7"/>
          <w:w w:val="120"/>
        </w:rPr>
        <w:t>To </w:t>
      </w:r>
      <w:r>
        <w:rPr>
          <w:w w:val="120"/>
        </w:rPr>
        <w:t>do this the committee works closely with several </w:t>
      </w:r>
      <w:r>
        <w:rPr>
          <w:spacing w:val="2"/>
          <w:w w:val="120"/>
        </w:rPr>
        <w:t>extra </w:t>
      </w:r>
      <w:r>
        <w:rPr>
          <w:w w:val="120"/>
        </w:rPr>
        <w:t>bodies, some of whom send representatives to its meetings. Particular mention should be made of the communications committee, the equalities committee and the </w:t>
      </w:r>
      <w:r>
        <w:rPr>
          <w:spacing w:val="-3"/>
          <w:w w:val="120"/>
        </w:rPr>
        <w:t>children’s </w:t>
      </w:r>
      <w:r>
        <w:rPr>
          <w:w w:val="120"/>
        </w:rPr>
        <w:t>and youth work committee whose input and involvement is</w:t>
      </w:r>
      <w:r>
        <w:rPr>
          <w:spacing w:val="3"/>
          <w:w w:val="120"/>
        </w:rPr>
        <w:t> </w:t>
      </w:r>
      <w:r>
        <w:rPr>
          <w:w w:val="120"/>
        </w:rPr>
        <w:t>invaluable.</w:t>
      </w:r>
    </w:p>
    <w:p>
      <w:pPr>
        <w:pStyle w:val="BodyText"/>
        <w:spacing w:before="8"/>
        <w:rPr>
          <w:sz w:val="22"/>
        </w:rPr>
      </w:pPr>
    </w:p>
    <w:p>
      <w:pPr>
        <w:pStyle w:val="ListParagraph"/>
        <w:numPr>
          <w:ilvl w:val="1"/>
          <w:numId w:val="47"/>
        </w:numPr>
        <w:tabs>
          <w:tab w:pos="2244" w:val="left" w:leader="none"/>
          <w:tab w:pos="2245" w:val="left" w:leader="none"/>
        </w:tabs>
        <w:spacing w:line="240" w:lineRule="auto" w:before="0" w:after="0"/>
        <w:ind w:left="2244" w:right="0" w:hanging="681"/>
        <w:jc w:val="left"/>
        <w:rPr>
          <w:rFonts w:ascii="Stone Sans II ITC Std Bk"/>
          <w:b/>
          <w:sz w:val="29"/>
        </w:rPr>
      </w:pPr>
      <w:r>
        <w:rPr>
          <w:rFonts w:ascii="Stone Sans II ITC Std Bk"/>
          <w:b/>
          <w:spacing w:val="3"/>
          <w:w w:val="110"/>
          <w:sz w:val="29"/>
        </w:rPr>
        <w:t>Staffing </w:t>
      </w:r>
      <w:r>
        <w:rPr>
          <w:rFonts w:ascii="Stone Sans II ITC Std Bk"/>
          <w:b/>
          <w:spacing w:val="2"/>
          <w:w w:val="110"/>
          <w:sz w:val="29"/>
        </w:rPr>
        <w:t>the</w:t>
      </w:r>
      <w:r>
        <w:rPr>
          <w:rFonts w:ascii="Stone Sans II ITC Std Bk"/>
          <w:b/>
          <w:spacing w:val="22"/>
          <w:w w:val="110"/>
          <w:sz w:val="29"/>
        </w:rPr>
        <w:t> </w:t>
      </w:r>
      <w:r>
        <w:rPr>
          <w:rFonts w:ascii="Stone Sans II ITC Std Bk"/>
          <w:b/>
          <w:spacing w:val="4"/>
          <w:w w:val="110"/>
          <w:sz w:val="29"/>
        </w:rPr>
        <w:t>Assembly</w:t>
      </w:r>
    </w:p>
    <w:p>
      <w:pPr>
        <w:pStyle w:val="ListParagraph"/>
        <w:numPr>
          <w:ilvl w:val="2"/>
          <w:numId w:val="47"/>
        </w:numPr>
        <w:tabs>
          <w:tab w:pos="2244" w:val="left" w:leader="none"/>
          <w:tab w:pos="2245" w:val="left" w:leader="none"/>
        </w:tabs>
        <w:spacing w:line="235" w:lineRule="auto" w:before="69" w:after="0"/>
        <w:ind w:left="1564" w:right="967" w:firstLine="0"/>
        <w:jc w:val="left"/>
        <w:rPr>
          <w:sz w:val="20"/>
        </w:rPr>
      </w:pPr>
      <w:r>
        <w:rPr>
          <w:w w:val="120"/>
          <w:sz w:val="20"/>
        </w:rPr>
        <w:t>While some of the work involved in managing the Assembly is visible to everyone, there is also a great deal that happens behind the scenes and in preparation. Those responsible for all of this fall into three groups, each of which plays a major </w:t>
      </w:r>
      <w:r>
        <w:rPr>
          <w:spacing w:val="2"/>
          <w:w w:val="120"/>
          <w:sz w:val="20"/>
        </w:rPr>
        <w:t>part </w:t>
      </w:r>
      <w:r>
        <w:rPr>
          <w:w w:val="120"/>
          <w:sz w:val="20"/>
        </w:rPr>
        <w:t>in making the Assembly</w:t>
      </w:r>
      <w:r>
        <w:rPr>
          <w:spacing w:val="9"/>
          <w:w w:val="120"/>
          <w:sz w:val="20"/>
        </w:rPr>
        <w:t> </w:t>
      </w:r>
      <w:r>
        <w:rPr>
          <w:w w:val="120"/>
          <w:sz w:val="20"/>
        </w:rPr>
        <w:t>happen.</w:t>
      </w:r>
    </w:p>
    <w:p>
      <w:pPr>
        <w:pStyle w:val="BodyText"/>
        <w:spacing w:before="11"/>
        <w:rPr>
          <w:sz w:val="19"/>
        </w:rPr>
      </w:pPr>
    </w:p>
    <w:p>
      <w:pPr>
        <w:pStyle w:val="ListParagraph"/>
        <w:numPr>
          <w:ilvl w:val="2"/>
          <w:numId w:val="47"/>
        </w:numPr>
        <w:tabs>
          <w:tab w:pos="2244" w:val="left" w:leader="none"/>
          <w:tab w:pos="2245" w:val="left" w:leader="none"/>
        </w:tabs>
        <w:spacing w:line="235" w:lineRule="auto" w:before="0" w:after="0"/>
        <w:ind w:left="1564" w:right="959" w:firstLine="0"/>
        <w:jc w:val="left"/>
        <w:rPr>
          <w:sz w:val="20"/>
        </w:rPr>
      </w:pPr>
      <w:r>
        <w:rPr>
          <w:w w:val="120"/>
          <w:sz w:val="20"/>
        </w:rPr>
        <w:t>Firstly, we have several volunteers, some recruited locally through the assistance of the hosting synod and others with specific tasks recruited directly by the Assembly arrangements committee. While a </w:t>
      </w:r>
      <w:r>
        <w:rPr>
          <w:spacing w:val="-3"/>
          <w:w w:val="120"/>
          <w:sz w:val="20"/>
        </w:rPr>
        <w:t>few, </w:t>
      </w:r>
      <w:r>
        <w:rPr>
          <w:w w:val="120"/>
          <w:sz w:val="20"/>
        </w:rPr>
        <w:t>e.g. the timekeeper, are present on the</w:t>
      </w:r>
      <w:r>
        <w:rPr>
          <w:spacing w:val="8"/>
          <w:w w:val="120"/>
          <w:sz w:val="20"/>
        </w:rPr>
        <w:t> </w:t>
      </w:r>
      <w:r>
        <w:rPr>
          <w:w w:val="120"/>
          <w:sz w:val="20"/>
        </w:rPr>
        <w:t>floor</w:t>
      </w:r>
    </w:p>
    <w:p>
      <w:pPr>
        <w:pStyle w:val="BodyText"/>
        <w:spacing w:line="235" w:lineRule="auto" w:before="2"/>
        <w:ind w:left="1564" w:right="923"/>
      </w:pPr>
      <w:r>
        <w:rPr>
          <w:w w:val="120"/>
        </w:rPr>
        <w:t>of the Assembly, most are based in the general office and assist in the production of minutes, order papers and all the various items needed by members. A recent and valuable development in this has been the appointment of youth interns. This year we have two – Georgina Neale and Megan Marston-Phipps.</w:t>
      </w:r>
    </w:p>
    <w:p>
      <w:pPr>
        <w:pStyle w:val="BodyText"/>
        <w:spacing w:before="11"/>
        <w:rPr>
          <w:sz w:val="19"/>
        </w:rPr>
      </w:pPr>
    </w:p>
    <w:p>
      <w:pPr>
        <w:pStyle w:val="ListParagraph"/>
        <w:numPr>
          <w:ilvl w:val="2"/>
          <w:numId w:val="47"/>
        </w:numPr>
        <w:tabs>
          <w:tab w:pos="2244" w:val="left" w:leader="none"/>
          <w:tab w:pos="2245" w:val="left" w:leader="none"/>
        </w:tabs>
        <w:spacing w:line="235" w:lineRule="auto" w:before="0" w:after="0"/>
        <w:ind w:left="1564" w:right="879" w:firstLine="0"/>
        <w:jc w:val="left"/>
        <w:rPr>
          <w:sz w:val="20"/>
        </w:rPr>
      </w:pPr>
      <w:r>
        <w:rPr>
          <w:w w:val="120"/>
          <w:sz w:val="20"/>
        </w:rPr>
        <w:t>The second group is made up of outside professionals. These provide the various services needed to manage the Assembly that we cannot provide in house. Some of the firms we use for these purposes have worked with us for several years and contribute generously to the efficiency and comfort of the</w:t>
      </w:r>
      <w:r>
        <w:rPr>
          <w:spacing w:val="16"/>
          <w:w w:val="120"/>
          <w:sz w:val="20"/>
        </w:rPr>
        <w:t> </w:t>
      </w:r>
      <w:r>
        <w:rPr>
          <w:w w:val="120"/>
          <w:sz w:val="20"/>
        </w:rPr>
        <w:t>Assembly.</w:t>
      </w:r>
    </w:p>
    <w:p>
      <w:pPr>
        <w:pStyle w:val="BodyText"/>
        <w:spacing w:before="11"/>
        <w:rPr>
          <w:sz w:val="19"/>
        </w:rPr>
      </w:pPr>
    </w:p>
    <w:p>
      <w:pPr>
        <w:pStyle w:val="ListParagraph"/>
        <w:numPr>
          <w:ilvl w:val="2"/>
          <w:numId w:val="47"/>
        </w:numPr>
        <w:tabs>
          <w:tab w:pos="2244" w:val="left" w:leader="none"/>
          <w:tab w:pos="2245" w:val="left" w:leader="none"/>
        </w:tabs>
        <w:spacing w:line="235" w:lineRule="auto" w:before="0" w:after="0"/>
        <w:ind w:left="1564" w:right="1530" w:firstLine="0"/>
        <w:jc w:val="left"/>
        <w:rPr>
          <w:sz w:val="20"/>
        </w:rPr>
      </w:pPr>
      <w:r>
        <w:rPr>
          <w:w w:val="120"/>
          <w:sz w:val="20"/>
        </w:rPr>
        <w:t>Last, but by no means least, the Assembly draws upon the time and skills of many of the staff of Church House. The Head of Communications and her staff, the</w:t>
      </w:r>
      <w:r>
        <w:rPr>
          <w:spacing w:val="7"/>
          <w:w w:val="120"/>
          <w:sz w:val="20"/>
        </w:rPr>
        <w:t> </w:t>
      </w:r>
      <w:r>
        <w:rPr>
          <w:w w:val="120"/>
          <w:sz w:val="20"/>
        </w:rPr>
        <w:t>Head</w:t>
      </w:r>
      <w:r>
        <w:rPr>
          <w:spacing w:val="7"/>
          <w:w w:val="120"/>
          <w:sz w:val="20"/>
        </w:rPr>
        <w:t> </w:t>
      </w:r>
      <w:r>
        <w:rPr>
          <w:w w:val="120"/>
          <w:sz w:val="20"/>
        </w:rPr>
        <w:t>of</w:t>
      </w:r>
      <w:r>
        <w:rPr>
          <w:spacing w:val="8"/>
          <w:w w:val="120"/>
          <w:sz w:val="20"/>
        </w:rPr>
        <w:t> </w:t>
      </w:r>
      <w:r>
        <w:rPr>
          <w:spacing w:val="-3"/>
          <w:w w:val="120"/>
          <w:sz w:val="20"/>
        </w:rPr>
        <w:t>Children's</w:t>
      </w:r>
      <w:r>
        <w:rPr>
          <w:spacing w:val="7"/>
          <w:w w:val="120"/>
          <w:sz w:val="20"/>
        </w:rPr>
        <w:t> </w:t>
      </w:r>
      <w:r>
        <w:rPr>
          <w:w w:val="120"/>
          <w:sz w:val="20"/>
        </w:rPr>
        <w:t>and</w:t>
      </w:r>
      <w:r>
        <w:rPr>
          <w:spacing w:val="8"/>
          <w:w w:val="120"/>
          <w:sz w:val="20"/>
        </w:rPr>
        <w:t> </w:t>
      </w:r>
      <w:r>
        <w:rPr>
          <w:spacing w:val="-3"/>
          <w:w w:val="120"/>
          <w:sz w:val="20"/>
        </w:rPr>
        <w:t>Youth</w:t>
      </w:r>
      <w:r>
        <w:rPr>
          <w:spacing w:val="7"/>
          <w:w w:val="120"/>
          <w:sz w:val="20"/>
        </w:rPr>
        <w:t> </w:t>
      </w:r>
      <w:r>
        <w:rPr>
          <w:w w:val="120"/>
          <w:sz w:val="20"/>
        </w:rPr>
        <w:t>Work,</w:t>
      </w:r>
      <w:r>
        <w:rPr>
          <w:spacing w:val="8"/>
          <w:w w:val="120"/>
          <w:sz w:val="20"/>
        </w:rPr>
        <w:t> </w:t>
      </w:r>
      <w:r>
        <w:rPr>
          <w:w w:val="120"/>
          <w:sz w:val="20"/>
        </w:rPr>
        <w:t>the</w:t>
      </w:r>
      <w:r>
        <w:rPr>
          <w:spacing w:val="7"/>
          <w:w w:val="120"/>
          <w:sz w:val="20"/>
        </w:rPr>
        <w:t> </w:t>
      </w:r>
      <w:r>
        <w:rPr>
          <w:w w:val="120"/>
          <w:sz w:val="20"/>
        </w:rPr>
        <w:t>Secretary</w:t>
      </w:r>
      <w:r>
        <w:rPr>
          <w:spacing w:val="7"/>
          <w:w w:val="120"/>
          <w:sz w:val="20"/>
        </w:rPr>
        <w:t> </w:t>
      </w:r>
      <w:r>
        <w:rPr>
          <w:w w:val="120"/>
          <w:sz w:val="20"/>
        </w:rPr>
        <w:t>for</w:t>
      </w:r>
      <w:r>
        <w:rPr>
          <w:spacing w:val="8"/>
          <w:w w:val="120"/>
          <w:sz w:val="20"/>
        </w:rPr>
        <w:t> </w:t>
      </w:r>
      <w:r>
        <w:rPr>
          <w:w w:val="120"/>
          <w:sz w:val="20"/>
        </w:rPr>
        <w:t>Global</w:t>
      </w:r>
      <w:r>
        <w:rPr>
          <w:spacing w:val="7"/>
          <w:w w:val="120"/>
          <w:sz w:val="20"/>
        </w:rPr>
        <w:t> </w:t>
      </w:r>
      <w:r>
        <w:rPr>
          <w:w w:val="120"/>
          <w:sz w:val="20"/>
        </w:rPr>
        <w:t>and</w:t>
      </w:r>
      <w:r>
        <w:rPr>
          <w:spacing w:val="8"/>
          <w:w w:val="120"/>
          <w:sz w:val="20"/>
        </w:rPr>
        <w:t> </w:t>
      </w:r>
      <w:r>
        <w:rPr>
          <w:w w:val="120"/>
          <w:sz w:val="20"/>
        </w:rPr>
        <w:t>Intercultural</w:t>
      </w:r>
    </w:p>
    <w:p>
      <w:pPr>
        <w:pStyle w:val="BodyText"/>
        <w:spacing w:line="235" w:lineRule="auto" w:before="2"/>
        <w:ind w:left="1564" w:right="1169"/>
      </w:pPr>
      <w:r>
        <w:rPr>
          <w:w w:val="120"/>
        </w:rPr>
        <w:t>Ministries, the Secretary for Ecumenical and Interfaith Relations together with others have important roles in organising the Assembly. However, more than any other, the heaviest burden is carried by the secretary of the committee Ann Barton. Since 2005 she has ensured that the Assembly happens. Without her considerable organisational and negotiating skills the Assembly would be much poorer, both in terms of content and cost. This is her last Assembly before retirement and the committee invites Assembly to acknowledge all that she has done, going well beyond anything that might be expected.</w:t>
      </w:r>
    </w:p>
    <w:p>
      <w:pPr>
        <w:spacing w:after="0" w:line="235" w:lineRule="auto"/>
        <w:sectPr>
          <w:headerReference w:type="default" r:id="rId247"/>
          <w:footerReference w:type="default" r:id="rId248"/>
          <w:pgSz w:w="11910" w:h="16840"/>
          <w:pgMar w:header="0" w:footer="647" w:top="0" w:bottom="840" w:left="420" w:right="380"/>
          <w:pgNumType w:start="81"/>
        </w:sectPr>
      </w:pPr>
    </w:p>
    <w:p>
      <w:pPr>
        <w:pStyle w:val="BodyText"/>
      </w:pPr>
      <w:r>
        <w:rPr/>
        <w:pict>
          <v:rect style="position:absolute;margin-left:46.777pt;margin-top:.000015pt;width:548.498pt;height:841.89pt;mso-position-horizontal-relative:page;mso-position-vertical-relative:page;z-index:-267398144" filled="true" fillcolor="#d4e9f7" stroked="false">
            <v:fill type="solid"/>
            <w10:wrap type="none"/>
          </v:rect>
        </w:pict>
      </w:r>
      <w:r>
        <w:rPr/>
        <w:drawing>
          <wp:anchor distT="0" distB="0" distL="0" distR="0" allowOverlap="1" layoutInCell="1" locked="0" behindDoc="1" simplePos="0" relativeHeight="235919360">
            <wp:simplePos x="0" y="0"/>
            <wp:positionH relativeFrom="page">
              <wp:posOffset>0</wp:posOffset>
            </wp:positionH>
            <wp:positionV relativeFrom="page">
              <wp:posOffset>0</wp:posOffset>
            </wp:positionV>
            <wp:extent cx="594067" cy="10692003"/>
            <wp:effectExtent l="0" t="0" r="0" b="0"/>
            <wp:wrapNone/>
            <wp:docPr id="151" name="image70.png"/>
            <wp:cNvGraphicFramePr>
              <a:graphicFrameLocks noChangeAspect="1"/>
            </wp:cNvGraphicFramePr>
            <a:graphic>
              <a:graphicData uri="http://schemas.openxmlformats.org/drawingml/2006/picture">
                <pic:pic>
                  <pic:nvPicPr>
                    <pic:cNvPr id="15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line="213" w:lineRule="auto" w:before="153"/>
        <w:ind w:left="827" w:right="3149" w:firstLine="0"/>
        <w:jc w:val="left"/>
        <w:rPr>
          <w:rFonts w:ascii="Stone Sans II ITC Std X Bd" w:hAnsi="Stone Sans II ITC Std X Bd"/>
          <w:b/>
          <w:sz w:val="50"/>
        </w:rPr>
      </w:pPr>
      <w:r>
        <w:rPr/>
        <w:pict>
          <v:shape style="position:absolute;margin-left:20.519100pt;margin-top:-5.989334pt;width:26pt;height:272.95pt;mso-position-horizontal-relative:page;mso-position-vertical-relative:paragraph;z-index:251887616" type="#_x0000_t202" filled="false" stroked="false">
            <v:textbox inset="0,0,0,0" style="layout-flow:vertical">
              <w:txbxContent>
                <w:p>
                  <w:pPr>
                    <w:spacing w:before="29"/>
                    <w:ind w:left="20" w:right="0" w:firstLine="0"/>
                    <w:jc w:val="left"/>
                    <w:rPr>
                      <w:sz w:val="39"/>
                    </w:rPr>
                  </w:pPr>
                  <w:r>
                    <w:rPr>
                      <w:color w:val="FFFFFF"/>
                      <w:spacing w:val="3"/>
                      <w:w w:val="125"/>
                      <w:sz w:val="39"/>
                    </w:rPr>
                    <w:t>Children’s </w:t>
                  </w:r>
                  <w:r>
                    <w:rPr>
                      <w:color w:val="FFFFFF"/>
                      <w:spacing w:val="7"/>
                      <w:w w:val="125"/>
                      <w:sz w:val="39"/>
                    </w:rPr>
                    <w:t>and </w:t>
                  </w:r>
                  <w:r>
                    <w:rPr>
                      <w:color w:val="FFFFFF"/>
                      <w:spacing w:val="8"/>
                      <w:w w:val="125"/>
                      <w:sz w:val="39"/>
                    </w:rPr>
                    <w:t>youth</w:t>
                  </w:r>
                  <w:r>
                    <w:rPr>
                      <w:color w:val="FFFFFF"/>
                      <w:spacing w:val="81"/>
                      <w:w w:val="125"/>
                      <w:sz w:val="39"/>
                    </w:rPr>
                    <w:t> </w:t>
                  </w:r>
                  <w:r>
                    <w:rPr>
                      <w:color w:val="FFFFFF"/>
                      <w:spacing w:val="7"/>
                      <w:w w:val="125"/>
                      <w:sz w:val="39"/>
                    </w:rPr>
                    <w:t>work</w:t>
                  </w:r>
                </w:p>
              </w:txbxContent>
            </v:textbox>
            <w10:wrap type="none"/>
          </v:shape>
        </w:pict>
      </w:r>
      <w:r>
        <w:rPr>
          <w:rFonts w:ascii="Stone Sans II ITC Std X Bd" w:hAnsi="Stone Sans II ITC Std X Bd"/>
          <w:b/>
          <w:color w:val="0090D4"/>
          <w:spacing w:val="-14"/>
          <w:w w:val="110"/>
          <w:sz w:val="50"/>
        </w:rPr>
        <w:t>Children’s </w:t>
      </w:r>
      <w:r>
        <w:rPr>
          <w:rFonts w:ascii="Stone Sans II ITC Std X Bd" w:hAnsi="Stone Sans II ITC Std X Bd"/>
          <w:b/>
          <w:color w:val="0090D4"/>
          <w:spacing w:val="-7"/>
          <w:w w:val="110"/>
          <w:sz w:val="50"/>
        </w:rPr>
        <w:t>and </w:t>
      </w:r>
      <w:r>
        <w:rPr>
          <w:rFonts w:ascii="Stone Sans II ITC Std X Bd" w:hAnsi="Stone Sans II ITC Std X Bd"/>
          <w:b/>
          <w:color w:val="0090D4"/>
          <w:spacing w:val="-11"/>
          <w:w w:val="110"/>
          <w:sz w:val="50"/>
        </w:rPr>
        <w:t>youth </w:t>
      </w:r>
      <w:r>
        <w:rPr>
          <w:rFonts w:ascii="Stone Sans II ITC Std X Bd" w:hAnsi="Stone Sans II ITC Std X Bd"/>
          <w:b/>
          <w:color w:val="0090D4"/>
          <w:spacing w:val="-12"/>
          <w:w w:val="110"/>
          <w:sz w:val="50"/>
        </w:rPr>
        <w:t>work</w:t>
      </w:r>
      <w:bookmarkStart w:name="_bookmark15" w:id="16"/>
      <w:bookmarkEnd w:id="16"/>
      <w:r>
        <w:rPr>
          <w:rFonts w:ascii="Stone Sans II ITC Std X Bd" w:hAnsi="Stone Sans II ITC Std X Bd"/>
          <w:b/>
          <w:color w:val="0090D4"/>
          <w:spacing w:val="-12"/>
          <w:w w:val="110"/>
          <w:sz w:val="50"/>
        </w:rPr>
      </w:r>
      <w:r>
        <w:rPr>
          <w:rFonts w:ascii="Stone Sans II ITC Std X Bd" w:hAnsi="Stone Sans II ITC Std X Bd"/>
          <w:b/>
          <w:color w:val="0090D4"/>
          <w:spacing w:val="-12"/>
          <w:w w:val="110"/>
          <w:sz w:val="50"/>
        </w:rPr>
        <w:t> </w:t>
      </w:r>
      <w:r>
        <w:rPr>
          <w:rFonts w:ascii="Stone Sans II ITC Std X Bd" w:hAnsi="Stone Sans II ITC Std X Bd"/>
          <w:b/>
          <w:color w:val="0090D4"/>
          <w:spacing w:val="-10"/>
          <w:w w:val="110"/>
          <w:sz w:val="50"/>
        </w:rPr>
        <w:t>committee</w:t>
      </w:r>
    </w:p>
    <w:p>
      <w:pPr>
        <w:spacing w:line="616" w:lineRule="exact" w:before="0"/>
        <w:ind w:left="827" w:right="0" w:firstLine="0"/>
        <w:jc w:val="left"/>
        <w:rPr>
          <w:rFonts w:ascii="Stone Sans II ITC Std X Bd"/>
          <w:b/>
          <w:sz w:val="50"/>
        </w:rPr>
      </w:pPr>
      <w:r>
        <w:rPr>
          <w:rFonts w:ascii="Stone Sans II ITC Std X Bd"/>
          <w:b/>
          <w:w w:val="110"/>
          <w:sz w:val="50"/>
        </w:rPr>
        <w:t>General report</w:t>
      </w:r>
    </w:p>
    <w:p>
      <w:pPr>
        <w:spacing w:before="339" w:after="10"/>
        <w:ind w:left="82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35" w:lineRule="auto" w:before="111"/>
              <w:ind w:left="80" w:right="2640"/>
              <w:rPr>
                <w:sz w:val="20"/>
              </w:rPr>
            </w:pPr>
            <w:r>
              <w:rPr>
                <w:w w:val="120"/>
                <w:sz w:val="20"/>
              </w:rPr>
              <w:t>Jenny Mills: </w:t>
            </w:r>
            <w:hyperlink r:id="rId251">
              <w:r>
                <w:rPr>
                  <w:color w:val="006AB3"/>
                  <w:w w:val="120"/>
                  <w:sz w:val="20"/>
                </w:rPr>
                <w:t>revdjmills@btinternet.com</w:t>
              </w:r>
            </w:hyperlink>
            <w:r>
              <w:rPr>
                <w:color w:val="006AB3"/>
                <w:w w:val="120"/>
                <w:sz w:val="20"/>
              </w:rPr>
              <w:t> </w:t>
            </w:r>
            <w:r>
              <w:rPr>
                <w:w w:val="120"/>
                <w:sz w:val="20"/>
              </w:rPr>
              <w:t>Sam Richards: </w:t>
            </w:r>
            <w:hyperlink r:id="rId252">
              <w:r>
                <w:rPr>
                  <w:color w:val="006AB3"/>
                  <w:w w:val="120"/>
                  <w:sz w:val="20"/>
                </w:rPr>
                <w:t>children.youth@urc.org</w:t>
              </w:r>
            </w:hyperlink>
          </w:p>
        </w:tc>
      </w:tr>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line="235" w:lineRule="auto" w:before="111"/>
              <w:ind w:left="80"/>
              <w:rPr>
                <w:sz w:val="20"/>
              </w:rPr>
            </w:pPr>
            <w:r>
              <w:rPr>
                <w:w w:val="120"/>
                <w:sz w:val="20"/>
              </w:rPr>
              <w:t>Report to General Assembly and re-presentation and discussion related to the Charter for Children, followed by resolution.</w:t>
            </w:r>
          </w:p>
        </w:tc>
      </w:tr>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w:t>
            </w:r>
          </w:p>
        </w:tc>
        <w:tc>
          <w:tcPr>
            <w:tcW w:w="6582" w:type="dxa"/>
            <w:shd w:val="clear" w:color="auto" w:fill="FFFFFF"/>
          </w:tcPr>
          <w:p>
            <w:pPr>
              <w:pStyle w:val="TableParagraph"/>
              <w:tabs>
                <w:tab w:pos="760" w:val="left" w:leader="none"/>
              </w:tabs>
              <w:spacing w:line="213" w:lineRule="auto" w:before="117"/>
              <w:ind w:left="80" w:right="213"/>
              <w:rPr>
                <w:rFonts w:ascii="Stone Sans II ITC Std Bk"/>
                <w:b/>
                <w:sz w:val="20"/>
              </w:rPr>
            </w:pPr>
            <w:r>
              <w:rPr>
                <w:rFonts w:ascii="Stone Sans II ITC Std Bk"/>
                <w:b/>
                <w:w w:val="110"/>
                <w:sz w:val="20"/>
              </w:rPr>
              <w:t>22.</w:t>
              <w:tab/>
              <w:t>General Assembly recommits the United Reformed Church to the Charter for Children and its implementation in this </w:t>
            </w:r>
            <w:r>
              <w:rPr>
                <w:rFonts w:ascii="Stone Sans II ITC Std Bk"/>
                <w:b/>
                <w:spacing w:val="-5"/>
                <w:w w:val="110"/>
                <w:sz w:val="20"/>
              </w:rPr>
              <w:t>21st </w:t>
            </w:r>
            <w:r>
              <w:rPr>
                <w:rFonts w:ascii="Stone Sans II ITC Std Bk"/>
                <w:b/>
                <w:w w:val="110"/>
                <w:sz w:val="20"/>
              </w:rPr>
              <w:t>century</w:t>
            </w:r>
            <w:r>
              <w:rPr>
                <w:rFonts w:ascii="Stone Sans II ITC Std Bk"/>
                <w:b/>
                <w:spacing w:val="4"/>
                <w:w w:val="110"/>
                <w:sz w:val="20"/>
              </w:rPr>
              <w:t> </w:t>
            </w:r>
            <w:r>
              <w:rPr>
                <w:rFonts w:ascii="Stone Sans II ITC Std Bk"/>
                <w:b/>
                <w:w w:val="110"/>
                <w:sz w:val="20"/>
              </w:rPr>
              <w:t>world.</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Pr>
                <w:sz w:val="20"/>
              </w:rPr>
            </w:pPr>
            <w:r>
              <w:rPr>
                <w:w w:val="120"/>
                <w:sz w:val="20"/>
              </w:rPr>
              <w:t>Actions and developments since General Assembly 2016 and future actions.</w:t>
            </w:r>
          </w:p>
        </w:tc>
      </w:tr>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395"/>
              <w:rPr>
                <w:sz w:val="20"/>
              </w:rPr>
            </w:pPr>
            <w:r>
              <w:rPr>
                <w:w w:val="120"/>
                <w:sz w:val="20"/>
              </w:rPr>
              <w:t>Reviews, staff changes, report of work undertaken, future actions.</w:t>
            </w:r>
          </w:p>
        </w:tc>
      </w:tr>
      <w:tr>
        <w:trPr>
          <w:trHeight w:val="112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1843"/>
              <w:rPr>
                <w:sz w:val="20"/>
              </w:rPr>
            </w:pPr>
            <w:r>
              <w:rPr>
                <w:w w:val="120"/>
                <w:sz w:val="20"/>
              </w:rPr>
              <w:t>Papers </w:t>
            </w:r>
            <w:r>
              <w:rPr>
                <w:spacing w:val="-8"/>
                <w:w w:val="120"/>
                <w:sz w:val="20"/>
              </w:rPr>
              <w:t>B1, </w:t>
            </w:r>
            <w:r>
              <w:rPr>
                <w:w w:val="120"/>
                <w:sz w:val="20"/>
              </w:rPr>
              <w:t>B2 and </w:t>
            </w:r>
            <w:r>
              <w:rPr>
                <w:spacing w:val="-4"/>
                <w:w w:val="120"/>
                <w:sz w:val="20"/>
              </w:rPr>
              <w:t>B3 </w:t>
            </w:r>
            <w:r>
              <w:rPr>
                <w:w w:val="120"/>
                <w:sz w:val="20"/>
              </w:rPr>
              <w:t>Mission Council May </w:t>
            </w:r>
            <w:r>
              <w:rPr>
                <w:spacing w:val="-9"/>
                <w:w w:val="120"/>
                <w:sz w:val="20"/>
              </w:rPr>
              <w:t>2017 </w:t>
            </w:r>
            <w:r>
              <w:rPr>
                <w:w w:val="120"/>
                <w:sz w:val="20"/>
              </w:rPr>
              <w:t>Paper </w:t>
            </w:r>
            <w:r>
              <w:rPr>
                <w:spacing w:val="-5"/>
                <w:w w:val="120"/>
                <w:sz w:val="20"/>
              </w:rPr>
              <w:t>B1  </w:t>
            </w:r>
            <w:r>
              <w:rPr>
                <w:w w:val="120"/>
                <w:sz w:val="20"/>
              </w:rPr>
              <w:t>Mission Council November </w:t>
            </w:r>
            <w:r>
              <w:rPr>
                <w:spacing w:val="-9"/>
                <w:w w:val="120"/>
                <w:sz w:val="20"/>
              </w:rPr>
              <w:t>2017 </w:t>
            </w:r>
            <w:r>
              <w:rPr>
                <w:w w:val="120"/>
                <w:sz w:val="20"/>
              </w:rPr>
              <w:t>Paper </w:t>
            </w:r>
            <w:r>
              <w:rPr>
                <w:spacing w:val="-5"/>
                <w:w w:val="120"/>
                <w:sz w:val="20"/>
              </w:rPr>
              <w:t>B1 </w:t>
            </w:r>
            <w:r>
              <w:rPr>
                <w:w w:val="120"/>
                <w:sz w:val="20"/>
              </w:rPr>
              <w:t>Mission Council March</w:t>
            </w:r>
            <w:r>
              <w:rPr>
                <w:spacing w:val="19"/>
                <w:w w:val="120"/>
                <w:sz w:val="20"/>
              </w:rPr>
              <w:t> </w:t>
            </w:r>
            <w:r>
              <w:rPr>
                <w:spacing w:val="-6"/>
                <w:w w:val="120"/>
                <w:sz w:val="20"/>
              </w:rPr>
              <w:t>2018</w:t>
            </w:r>
          </w:p>
          <w:p>
            <w:pPr>
              <w:pStyle w:val="TableParagraph"/>
              <w:spacing w:line="242" w:lineRule="exact"/>
              <w:ind w:left="80"/>
              <w:rPr>
                <w:sz w:val="20"/>
              </w:rPr>
            </w:pPr>
            <w:r>
              <w:rPr>
                <w:w w:val="120"/>
                <w:sz w:val="20"/>
              </w:rPr>
              <w:t>CYWC Review Terms of Reference.</w:t>
            </w:r>
          </w:p>
        </w:tc>
      </w:tr>
      <w:tr>
        <w:trPr>
          <w:trHeight w:val="136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numPr>
                <w:ilvl w:val="0"/>
                <w:numId w:val="62"/>
              </w:numPr>
              <w:tabs>
                <w:tab w:pos="760" w:val="left" w:leader="none"/>
                <w:tab w:pos="761" w:val="left" w:leader="none"/>
              </w:tabs>
              <w:spacing w:line="242" w:lineRule="exact" w:before="108" w:after="0"/>
              <w:ind w:left="760" w:right="0" w:hanging="681"/>
              <w:jc w:val="left"/>
              <w:rPr>
                <w:sz w:val="20"/>
              </w:rPr>
            </w:pPr>
            <w:r>
              <w:rPr>
                <w:spacing w:val="-3"/>
                <w:w w:val="120"/>
                <w:sz w:val="20"/>
              </w:rPr>
              <w:t>Youth </w:t>
            </w:r>
            <w:r>
              <w:rPr>
                <w:w w:val="120"/>
                <w:sz w:val="20"/>
              </w:rPr>
              <w:t>Executive </w:t>
            </w:r>
            <w:r>
              <w:rPr>
                <w:spacing w:val="-9"/>
                <w:w w:val="120"/>
                <w:sz w:val="20"/>
              </w:rPr>
              <w:t>2017 </w:t>
            </w:r>
            <w:r>
              <w:rPr>
                <w:w w:val="120"/>
                <w:sz w:val="20"/>
              </w:rPr>
              <w:t>and</w:t>
            </w:r>
            <w:r>
              <w:rPr>
                <w:spacing w:val="24"/>
                <w:w w:val="120"/>
                <w:sz w:val="20"/>
              </w:rPr>
              <w:t> </w:t>
            </w:r>
            <w:r>
              <w:rPr>
                <w:spacing w:val="-6"/>
                <w:w w:val="120"/>
                <w:sz w:val="20"/>
              </w:rPr>
              <w:t>2018</w:t>
            </w:r>
          </w:p>
          <w:p>
            <w:pPr>
              <w:pStyle w:val="TableParagraph"/>
              <w:numPr>
                <w:ilvl w:val="0"/>
                <w:numId w:val="62"/>
              </w:numPr>
              <w:tabs>
                <w:tab w:pos="760" w:val="left" w:leader="none"/>
                <w:tab w:pos="761" w:val="left" w:leader="none"/>
              </w:tabs>
              <w:spacing w:line="240" w:lineRule="exact" w:before="0" w:after="0"/>
              <w:ind w:left="760" w:right="0" w:hanging="681"/>
              <w:jc w:val="left"/>
              <w:rPr>
                <w:sz w:val="20"/>
              </w:rPr>
            </w:pPr>
            <w:r>
              <w:rPr>
                <w:w w:val="120"/>
                <w:sz w:val="20"/>
              </w:rPr>
              <w:t>The General</w:t>
            </w:r>
            <w:r>
              <w:rPr>
                <w:spacing w:val="4"/>
                <w:w w:val="120"/>
                <w:sz w:val="20"/>
              </w:rPr>
              <w:t> </w:t>
            </w:r>
            <w:r>
              <w:rPr>
                <w:w w:val="120"/>
                <w:sz w:val="20"/>
              </w:rPr>
              <w:t>Secretary</w:t>
            </w:r>
          </w:p>
          <w:p>
            <w:pPr>
              <w:pStyle w:val="TableParagraph"/>
              <w:numPr>
                <w:ilvl w:val="0"/>
                <w:numId w:val="62"/>
              </w:numPr>
              <w:tabs>
                <w:tab w:pos="760" w:val="left" w:leader="none"/>
                <w:tab w:pos="761" w:val="left" w:leader="none"/>
              </w:tabs>
              <w:spacing w:line="240" w:lineRule="exact" w:before="0" w:after="0"/>
              <w:ind w:left="760" w:right="0" w:hanging="681"/>
              <w:jc w:val="left"/>
              <w:rPr>
                <w:sz w:val="20"/>
              </w:rPr>
            </w:pPr>
            <w:r>
              <w:rPr>
                <w:w w:val="120"/>
                <w:sz w:val="20"/>
              </w:rPr>
              <w:t>The </w:t>
            </w:r>
            <w:r>
              <w:rPr>
                <w:spacing w:val="-3"/>
                <w:w w:val="120"/>
                <w:sz w:val="20"/>
              </w:rPr>
              <w:t>children’s </w:t>
            </w:r>
            <w:r>
              <w:rPr>
                <w:w w:val="120"/>
                <w:sz w:val="20"/>
              </w:rPr>
              <w:t>and youth work</w:t>
            </w:r>
            <w:r>
              <w:rPr>
                <w:spacing w:val="19"/>
                <w:w w:val="120"/>
                <w:sz w:val="20"/>
              </w:rPr>
              <w:t> </w:t>
            </w:r>
            <w:r>
              <w:rPr>
                <w:w w:val="120"/>
                <w:sz w:val="20"/>
              </w:rPr>
              <w:t>committee</w:t>
            </w:r>
          </w:p>
          <w:p>
            <w:pPr>
              <w:pStyle w:val="TableParagraph"/>
              <w:numPr>
                <w:ilvl w:val="0"/>
                <w:numId w:val="62"/>
              </w:numPr>
              <w:tabs>
                <w:tab w:pos="760" w:val="left" w:leader="none"/>
                <w:tab w:pos="761" w:val="left" w:leader="none"/>
              </w:tabs>
              <w:spacing w:line="240" w:lineRule="exact" w:before="0" w:after="0"/>
              <w:ind w:left="760" w:right="0" w:hanging="681"/>
              <w:jc w:val="left"/>
              <w:rPr>
                <w:sz w:val="20"/>
              </w:rPr>
            </w:pPr>
            <w:r>
              <w:rPr>
                <w:w w:val="120"/>
                <w:sz w:val="20"/>
              </w:rPr>
              <w:t>Education and learning </w:t>
            </w:r>
            <w:r>
              <w:rPr>
                <w:spacing w:val="-3"/>
                <w:w w:val="120"/>
                <w:sz w:val="20"/>
              </w:rPr>
              <w:t>(the </w:t>
            </w:r>
            <w:r>
              <w:rPr>
                <w:w w:val="120"/>
                <w:sz w:val="20"/>
              </w:rPr>
              <w:t>Revd Fiona</w:t>
            </w:r>
            <w:r>
              <w:rPr>
                <w:spacing w:val="25"/>
                <w:w w:val="120"/>
                <w:sz w:val="20"/>
              </w:rPr>
              <w:t> </w:t>
            </w:r>
            <w:r>
              <w:rPr>
                <w:w w:val="120"/>
                <w:sz w:val="20"/>
              </w:rPr>
              <w:t>Thomas)</w:t>
            </w:r>
          </w:p>
          <w:p>
            <w:pPr>
              <w:pStyle w:val="TableParagraph"/>
              <w:numPr>
                <w:ilvl w:val="0"/>
                <w:numId w:val="62"/>
              </w:numPr>
              <w:tabs>
                <w:tab w:pos="760" w:val="left" w:leader="none"/>
                <w:tab w:pos="761" w:val="left" w:leader="none"/>
              </w:tabs>
              <w:spacing w:line="242" w:lineRule="exact" w:before="0" w:after="0"/>
              <w:ind w:left="760" w:right="0" w:hanging="681"/>
              <w:jc w:val="left"/>
              <w:rPr>
                <w:sz w:val="20"/>
              </w:rPr>
            </w:pPr>
            <w:r>
              <w:rPr>
                <w:w w:val="120"/>
                <w:sz w:val="20"/>
              </w:rPr>
              <w:t>General Assembly arrangements</w:t>
            </w:r>
            <w:r>
              <w:rPr>
                <w:spacing w:val="7"/>
                <w:w w:val="120"/>
                <w:sz w:val="20"/>
              </w:rPr>
              <w:t> </w:t>
            </w:r>
            <w:r>
              <w:rPr>
                <w:w w:val="120"/>
                <w:sz w:val="20"/>
              </w:rPr>
              <w:t>committee.</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Printing costs (from CYW budget).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0"/>
                <w:sz w:val="20"/>
              </w:rPr>
              <w:t>Sharing with ecumenical partners to promote CYW.</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0"/>
        <w:rPr>
          <w:rFonts w:ascii="Stone Sans II ITC Std Bk"/>
          <w:b/>
          <w:sz w:val="31"/>
        </w:rPr>
      </w:pPr>
    </w:p>
    <w:p>
      <w:pPr>
        <w:spacing w:before="0"/>
        <w:ind w:left="827" w:right="0" w:firstLine="0"/>
        <w:jc w:val="left"/>
        <w:rPr>
          <w:sz w:val="23"/>
        </w:rPr>
      </w:pPr>
      <w:r>
        <w:rPr>
          <w:rFonts w:ascii="Stone Sans II ITC Std X Bd" w:hAnsi="Stone Sans II ITC Std X Bd"/>
          <w:b/>
          <w:w w:val="110"/>
          <w:sz w:val="24"/>
        </w:rPr>
        <w:t>82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249"/>
          <w:footerReference w:type="even" r:id="rId250"/>
          <w:pgSz w:w="11910" w:h="16840"/>
          <w:pgMar w:header="0" w:footer="0" w:top="0" w:bottom="0" w:left="420" w:right="380"/>
        </w:sectPr>
      </w:pPr>
    </w:p>
    <w:p>
      <w:pPr>
        <w:pStyle w:val="BodyText"/>
      </w:pPr>
      <w:r>
        <w:rPr/>
        <w:drawing>
          <wp:anchor distT="0" distB="0" distL="0" distR="0" allowOverlap="1" layoutInCell="1" locked="0" behindDoc="0" simplePos="0" relativeHeight="251888640">
            <wp:simplePos x="0" y="0"/>
            <wp:positionH relativeFrom="page">
              <wp:posOffset>6974928</wp:posOffset>
            </wp:positionH>
            <wp:positionV relativeFrom="page">
              <wp:posOffset>0</wp:posOffset>
            </wp:positionV>
            <wp:extent cx="585063" cy="10692003"/>
            <wp:effectExtent l="0" t="0" r="0" b="0"/>
            <wp:wrapNone/>
            <wp:docPr id="153" name="image57.png"/>
            <wp:cNvGraphicFramePr>
              <a:graphicFrameLocks noChangeAspect="1"/>
            </wp:cNvGraphicFramePr>
            <a:graphic>
              <a:graphicData uri="http://schemas.openxmlformats.org/drawingml/2006/picture">
                <pic:pic>
                  <pic:nvPicPr>
                    <pic:cNvPr id="15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before="97"/>
        <w:ind w:left="1261" w:right="565" w:firstLine="0"/>
        <w:jc w:val="center"/>
        <w:rPr>
          <w:rFonts w:ascii="Stone Sans II ITC Std X Bd"/>
          <w:b/>
          <w:sz w:val="50"/>
        </w:rPr>
      </w:pPr>
      <w:r>
        <w:rPr/>
        <w:pict>
          <v:shape style="position:absolute;margin-left:554.141174pt;margin-top:-5.998084pt;width:26pt;height:272.95pt;mso-position-horizontal-relative:page;mso-position-vertical-relative:paragraph;z-index:251889664" type="#_x0000_t202" filled="false" stroked="false">
            <v:textbox inset="0,0,0,0" style="layout-flow:vertical">
              <w:txbxContent>
                <w:p>
                  <w:pPr>
                    <w:spacing w:before="29"/>
                    <w:ind w:left="20" w:right="0" w:firstLine="0"/>
                    <w:jc w:val="left"/>
                    <w:rPr>
                      <w:sz w:val="39"/>
                    </w:rPr>
                  </w:pPr>
                  <w:r>
                    <w:rPr>
                      <w:color w:val="FFFFFF"/>
                      <w:spacing w:val="3"/>
                      <w:w w:val="125"/>
                      <w:sz w:val="39"/>
                    </w:rPr>
                    <w:t>Children’s </w:t>
                  </w:r>
                  <w:r>
                    <w:rPr>
                      <w:color w:val="FFFFFF"/>
                      <w:spacing w:val="7"/>
                      <w:w w:val="125"/>
                      <w:sz w:val="39"/>
                    </w:rPr>
                    <w:t>and </w:t>
                  </w:r>
                  <w:r>
                    <w:rPr>
                      <w:color w:val="FFFFFF"/>
                      <w:spacing w:val="8"/>
                      <w:w w:val="125"/>
                      <w:sz w:val="39"/>
                    </w:rPr>
                    <w:t>youth</w:t>
                  </w:r>
                  <w:r>
                    <w:rPr>
                      <w:color w:val="FFFFFF"/>
                      <w:spacing w:val="81"/>
                      <w:w w:val="125"/>
                      <w:sz w:val="39"/>
                    </w:rPr>
                    <w:t> </w:t>
                  </w:r>
                  <w:r>
                    <w:rPr>
                      <w:color w:val="FFFFFF"/>
                      <w:spacing w:val="7"/>
                      <w:w w:val="125"/>
                      <w:sz w:val="39"/>
                    </w:rPr>
                    <w:t>work</w:t>
                  </w:r>
                </w:p>
              </w:txbxContent>
            </v:textbox>
            <w10:wrap type="none"/>
          </v:shape>
        </w:pict>
      </w:r>
      <w:r>
        <w:rPr>
          <w:rFonts w:ascii="Stone Sans II ITC Std X Bd"/>
          <w:b/>
          <w:spacing w:val="-9"/>
          <w:w w:val="110"/>
          <w:sz w:val="50"/>
        </w:rPr>
        <w:t>General</w:t>
      </w:r>
      <w:r>
        <w:rPr>
          <w:rFonts w:ascii="Stone Sans II ITC Std X Bd"/>
          <w:b/>
          <w:spacing w:val="70"/>
          <w:w w:val="110"/>
          <w:sz w:val="50"/>
        </w:rPr>
        <w:t> </w:t>
      </w:r>
      <w:r>
        <w:rPr>
          <w:rFonts w:ascii="Stone Sans II ITC Std X Bd"/>
          <w:b/>
          <w:spacing w:val="-6"/>
          <w:w w:val="110"/>
          <w:sz w:val="50"/>
        </w:rPr>
        <w:t>report</w:t>
      </w:r>
    </w:p>
    <w:p>
      <w:pPr>
        <w:pStyle w:val="ListParagraph"/>
        <w:numPr>
          <w:ilvl w:val="0"/>
          <w:numId w:val="63"/>
        </w:numPr>
        <w:tabs>
          <w:tab w:pos="2244" w:val="left" w:leader="none"/>
          <w:tab w:pos="2245" w:val="left" w:leader="none"/>
        </w:tabs>
        <w:spacing w:line="240" w:lineRule="auto" w:before="394" w:after="0"/>
        <w:ind w:left="2244" w:right="0" w:hanging="681"/>
        <w:jc w:val="left"/>
        <w:rPr>
          <w:rFonts w:ascii="Stone Sans II ITC Std Bk"/>
          <w:b/>
          <w:sz w:val="29"/>
        </w:rPr>
      </w:pPr>
      <w:r>
        <w:rPr>
          <w:rFonts w:ascii="Stone Sans II ITC Std Bk"/>
          <w:b/>
          <w:spacing w:val="2"/>
          <w:w w:val="110"/>
          <w:sz w:val="29"/>
        </w:rPr>
        <w:t>Statement </w:t>
      </w:r>
      <w:r>
        <w:rPr>
          <w:rFonts w:ascii="Stone Sans II ITC Std Bk"/>
          <w:b/>
          <w:w w:val="110"/>
          <w:sz w:val="29"/>
        </w:rPr>
        <w:t>of</w:t>
      </w:r>
      <w:r>
        <w:rPr>
          <w:rFonts w:ascii="Stone Sans II ITC Std Bk"/>
          <w:b/>
          <w:spacing w:val="43"/>
          <w:w w:val="110"/>
          <w:sz w:val="29"/>
        </w:rPr>
        <w:t> </w:t>
      </w:r>
      <w:r>
        <w:rPr>
          <w:rFonts w:ascii="Stone Sans II ITC Std Bk"/>
          <w:b/>
          <w:spacing w:val="4"/>
          <w:w w:val="110"/>
          <w:sz w:val="29"/>
        </w:rPr>
        <w:t>purpose</w:t>
      </w:r>
    </w:p>
    <w:p>
      <w:pPr>
        <w:pStyle w:val="BodyText"/>
        <w:spacing w:line="235" w:lineRule="auto" w:before="69"/>
        <w:ind w:left="1564" w:right="1528"/>
      </w:pPr>
      <w:r>
        <w:rPr>
          <w:w w:val="120"/>
        </w:rPr>
        <w:t>Children, young people and young adults are central to God’s mission and Christ’s Church (Matt 18:1-14; 19:13-14).</w:t>
      </w:r>
    </w:p>
    <w:p>
      <w:pPr>
        <w:pStyle w:val="BodyText"/>
        <w:spacing w:before="10"/>
        <w:rPr>
          <w:sz w:val="19"/>
        </w:rPr>
      </w:pPr>
    </w:p>
    <w:p>
      <w:pPr>
        <w:pStyle w:val="BodyText"/>
        <w:spacing w:line="235" w:lineRule="auto"/>
        <w:ind w:left="1564" w:right="1169"/>
      </w:pPr>
      <w:r>
        <w:rPr>
          <w:w w:val="120"/>
        </w:rPr>
        <w:t>‘The remit of the children’s and youth work committee is to support, encourage and promote work with children, young people and young adults (0-25 years old) at all levels of the church.’</w:t>
      </w:r>
    </w:p>
    <w:p>
      <w:pPr>
        <w:pStyle w:val="BodyText"/>
        <w:spacing w:before="6"/>
        <w:rPr>
          <w:sz w:val="19"/>
        </w:rPr>
      </w:pPr>
    </w:p>
    <w:p>
      <w:pPr>
        <w:pStyle w:val="BodyText"/>
        <w:spacing w:line="237" w:lineRule="exact"/>
        <w:ind w:left="1564"/>
      </w:pPr>
      <w:r>
        <w:rPr>
          <w:w w:val="120"/>
        </w:rPr>
        <w:t>Imagine a brightly coloured golfing umbrella – that’s how we see ourselves:</w:t>
      </w:r>
    </w:p>
    <w:p>
      <w:pPr>
        <w:pStyle w:val="ListParagraph"/>
        <w:numPr>
          <w:ilvl w:val="0"/>
          <w:numId w:val="64"/>
        </w:numPr>
        <w:tabs>
          <w:tab w:pos="2244" w:val="left" w:leader="none"/>
          <w:tab w:pos="2245" w:val="left" w:leader="none"/>
        </w:tabs>
        <w:spacing w:line="235" w:lineRule="auto" w:before="0" w:after="0"/>
        <w:ind w:left="2244" w:right="1193" w:hanging="681"/>
        <w:jc w:val="left"/>
        <w:rPr>
          <w:sz w:val="20"/>
        </w:rPr>
      </w:pPr>
      <w:r>
        <w:rPr>
          <w:w w:val="120"/>
          <w:sz w:val="20"/>
        </w:rPr>
        <w:t>A colourful canopy for the breadth and diversity of activity undertaken with children, young people and young adults, providing an environment to foster flourishing</w:t>
      </w:r>
    </w:p>
    <w:p>
      <w:pPr>
        <w:pStyle w:val="ListParagraph"/>
        <w:numPr>
          <w:ilvl w:val="0"/>
          <w:numId w:val="64"/>
        </w:numPr>
        <w:tabs>
          <w:tab w:pos="2244" w:val="left" w:leader="none"/>
          <w:tab w:pos="2245" w:val="left" w:leader="none"/>
        </w:tabs>
        <w:spacing w:line="235" w:lineRule="auto" w:before="0" w:after="0"/>
        <w:ind w:left="2244" w:right="1032" w:hanging="681"/>
        <w:jc w:val="left"/>
        <w:rPr>
          <w:sz w:val="20"/>
        </w:rPr>
      </w:pPr>
      <w:r>
        <w:rPr>
          <w:w w:val="120"/>
          <w:sz w:val="20"/>
        </w:rPr>
        <w:t>A spoked-network of connectivity and communication between local churches, synods and the committee providing a structure and</w:t>
      </w:r>
      <w:r>
        <w:rPr>
          <w:spacing w:val="35"/>
          <w:w w:val="120"/>
          <w:sz w:val="20"/>
        </w:rPr>
        <w:t> </w:t>
      </w:r>
      <w:r>
        <w:rPr>
          <w:w w:val="120"/>
          <w:sz w:val="20"/>
        </w:rPr>
        <w:t>programme</w:t>
      </w:r>
    </w:p>
    <w:p>
      <w:pPr>
        <w:pStyle w:val="ListParagraph"/>
        <w:numPr>
          <w:ilvl w:val="0"/>
          <w:numId w:val="64"/>
        </w:numPr>
        <w:tabs>
          <w:tab w:pos="2244" w:val="left" w:leader="none"/>
          <w:tab w:pos="2245" w:val="left" w:leader="none"/>
        </w:tabs>
        <w:spacing w:line="235" w:lineRule="auto" w:before="0" w:after="0"/>
        <w:ind w:left="2244" w:right="1749" w:hanging="681"/>
        <w:jc w:val="left"/>
        <w:rPr>
          <w:sz w:val="20"/>
        </w:rPr>
      </w:pPr>
      <w:r>
        <w:rPr>
          <w:w w:val="120"/>
          <w:sz w:val="20"/>
        </w:rPr>
        <w:t>A handle to enable the whole to be carried and represented by staff and committee to the URC and</w:t>
      </w:r>
      <w:r>
        <w:rPr>
          <w:spacing w:val="12"/>
          <w:w w:val="120"/>
          <w:sz w:val="20"/>
        </w:rPr>
        <w:t> </w:t>
      </w:r>
      <w:r>
        <w:rPr>
          <w:w w:val="120"/>
          <w:sz w:val="20"/>
        </w:rPr>
        <w:t>beyond</w:t>
      </w:r>
    </w:p>
    <w:p>
      <w:pPr>
        <w:pStyle w:val="ListParagraph"/>
        <w:numPr>
          <w:ilvl w:val="0"/>
          <w:numId w:val="64"/>
        </w:numPr>
        <w:tabs>
          <w:tab w:pos="2244" w:val="left" w:leader="none"/>
          <w:tab w:pos="2245" w:val="left" w:leader="none"/>
        </w:tabs>
        <w:spacing w:line="234" w:lineRule="exact" w:before="0" w:after="0"/>
        <w:ind w:left="2244" w:right="0" w:hanging="681"/>
        <w:jc w:val="left"/>
        <w:rPr>
          <w:sz w:val="20"/>
        </w:rPr>
      </w:pPr>
      <w:r>
        <w:rPr>
          <w:w w:val="120"/>
          <w:sz w:val="20"/>
        </w:rPr>
        <w:t>A sharp end to drive developments forward </w:t>
      </w:r>
      <w:r>
        <w:rPr>
          <w:spacing w:val="-5"/>
          <w:w w:val="120"/>
          <w:sz w:val="20"/>
        </w:rPr>
        <w:t>(and </w:t>
      </w:r>
      <w:r>
        <w:rPr>
          <w:w w:val="120"/>
          <w:sz w:val="20"/>
        </w:rPr>
        <w:t>fend off</w:t>
      </w:r>
      <w:r>
        <w:rPr>
          <w:spacing w:val="27"/>
          <w:w w:val="120"/>
          <w:sz w:val="20"/>
        </w:rPr>
        <w:t> </w:t>
      </w:r>
      <w:r>
        <w:rPr>
          <w:w w:val="120"/>
          <w:sz w:val="20"/>
        </w:rPr>
        <w:t>threats)</w:t>
      </w:r>
    </w:p>
    <w:p>
      <w:pPr>
        <w:pStyle w:val="ListParagraph"/>
        <w:numPr>
          <w:ilvl w:val="0"/>
          <w:numId w:val="64"/>
        </w:numPr>
        <w:tabs>
          <w:tab w:pos="2244" w:val="left" w:leader="none"/>
          <w:tab w:pos="2245" w:val="left" w:leader="none"/>
        </w:tabs>
        <w:spacing w:line="240" w:lineRule="exact" w:before="0" w:after="0"/>
        <w:ind w:left="2244" w:right="0" w:hanging="681"/>
        <w:jc w:val="left"/>
        <w:rPr>
          <w:sz w:val="20"/>
        </w:rPr>
      </w:pPr>
      <w:r>
        <w:rPr>
          <w:w w:val="120"/>
          <w:sz w:val="20"/>
        </w:rPr>
        <w:t>A moving mechanism to enable responsive</w:t>
      </w:r>
      <w:r>
        <w:rPr>
          <w:spacing w:val="15"/>
          <w:w w:val="120"/>
          <w:sz w:val="20"/>
        </w:rPr>
        <w:t> </w:t>
      </w:r>
      <w:r>
        <w:rPr>
          <w:w w:val="120"/>
          <w:sz w:val="20"/>
        </w:rPr>
        <w:t>change</w:t>
      </w:r>
    </w:p>
    <w:p>
      <w:pPr>
        <w:pStyle w:val="ListParagraph"/>
        <w:numPr>
          <w:ilvl w:val="0"/>
          <w:numId w:val="64"/>
        </w:numPr>
        <w:tabs>
          <w:tab w:pos="2244" w:val="left" w:leader="none"/>
          <w:tab w:pos="2245" w:val="left" w:leader="none"/>
        </w:tabs>
        <w:spacing w:line="235" w:lineRule="auto" w:before="0" w:after="0"/>
        <w:ind w:left="2244" w:right="1401" w:hanging="681"/>
        <w:jc w:val="left"/>
        <w:rPr>
          <w:sz w:val="20"/>
        </w:rPr>
      </w:pPr>
      <w:r>
        <w:rPr>
          <w:w w:val="120"/>
          <w:sz w:val="20"/>
        </w:rPr>
        <w:t>The whole providing a sense of denominational identity for children, young people and young</w:t>
      </w:r>
      <w:r>
        <w:rPr>
          <w:spacing w:val="7"/>
          <w:w w:val="120"/>
          <w:sz w:val="20"/>
        </w:rPr>
        <w:t> </w:t>
      </w:r>
      <w:r>
        <w:rPr>
          <w:w w:val="120"/>
          <w:sz w:val="20"/>
        </w:rPr>
        <w:t>adults</w:t>
      </w:r>
    </w:p>
    <w:p>
      <w:pPr>
        <w:pStyle w:val="ListParagraph"/>
        <w:numPr>
          <w:ilvl w:val="0"/>
          <w:numId w:val="64"/>
        </w:numPr>
        <w:tabs>
          <w:tab w:pos="2244" w:val="left" w:leader="none"/>
          <w:tab w:pos="2245" w:val="left" w:leader="none"/>
        </w:tabs>
        <w:spacing w:line="235" w:lineRule="auto" w:before="0" w:after="0"/>
        <w:ind w:left="2244" w:right="1243" w:hanging="681"/>
        <w:jc w:val="left"/>
        <w:rPr>
          <w:sz w:val="20"/>
        </w:rPr>
      </w:pPr>
      <w:r>
        <w:rPr>
          <w:w w:val="120"/>
          <w:sz w:val="20"/>
        </w:rPr>
        <w:t>The sheer joy of dancing and singing in the rain with the prospect of puddles to jump</w:t>
      </w:r>
      <w:r>
        <w:rPr>
          <w:spacing w:val="3"/>
          <w:w w:val="120"/>
          <w:sz w:val="20"/>
        </w:rPr>
        <w:t> </w:t>
      </w:r>
      <w:r>
        <w:rPr>
          <w:w w:val="120"/>
          <w:sz w:val="20"/>
        </w:rPr>
        <w:t>in!</w:t>
      </w:r>
    </w:p>
    <w:p>
      <w:pPr>
        <w:pStyle w:val="BodyText"/>
        <w:spacing w:line="235" w:lineRule="auto" w:before="208"/>
        <w:ind w:left="1564" w:right="923"/>
      </w:pPr>
      <w:r>
        <w:rPr>
          <w:w w:val="125"/>
        </w:rPr>
        <w:t>The</w:t>
      </w:r>
      <w:r>
        <w:rPr>
          <w:spacing w:val="-21"/>
          <w:w w:val="125"/>
        </w:rPr>
        <w:t> </w:t>
      </w:r>
      <w:r>
        <w:rPr>
          <w:spacing w:val="-6"/>
          <w:w w:val="125"/>
        </w:rPr>
        <w:t>2018</w:t>
      </w:r>
      <w:r>
        <w:rPr>
          <w:spacing w:val="-20"/>
          <w:w w:val="125"/>
        </w:rPr>
        <w:t> </w:t>
      </w:r>
      <w:r>
        <w:rPr>
          <w:i/>
          <w:w w:val="125"/>
        </w:rPr>
        <w:t>Yearbook</w:t>
      </w:r>
      <w:r>
        <w:rPr>
          <w:i/>
          <w:spacing w:val="-22"/>
          <w:w w:val="125"/>
        </w:rPr>
        <w:t> </w:t>
      </w:r>
      <w:r>
        <w:rPr>
          <w:w w:val="125"/>
        </w:rPr>
        <w:t>statistics</w:t>
      </w:r>
      <w:r>
        <w:rPr>
          <w:spacing w:val="-20"/>
          <w:w w:val="125"/>
        </w:rPr>
        <w:t> </w:t>
      </w:r>
      <w:r>
        <w:rPr>
          <w:w w:val="125"/>
        </w:rPr>
        <w:t>state</w:t>
      </w:r>
      <w:r>
        <w:rPr>
          <w:spacing w:val="-21"/>
          <w:w w:val="125"/>
        </w:rPr>
        <w:t> </w:t>
      </w:r>
      <w:r>
        <w:rPr>
          <w:w w:val="125"/>
        </w:rPr>
        <w:t>we</w:t>
      </w:r>
      <w:r>
        <w:rPr>
          <w:spacing w:val="-20"/>
          <w:w w:val="125"/>
        </w:rPr>
        <w:t> </w:t>
      </w:r>
      <w:r>
        <w:rPr>
          <w:w w:val="125"/>
        </w:rPr>
        <w:t>have</w:t>
      </w:r>
      <w:r>
        <w:rPr>
          <w:spacing w:val="-20"/>
          <w:w w:val="125"/>
        </w:rPr>
        <w:t> </w:t>
      </w:r>
      <w:r>
        <w:rPr>
          <w:spacing w:val="-9"/>
          <w:w w:val="125"/>
        </w:rPr>
        <w:t>14,188</w:t>
      </w:r>
      <w:r>
        <w:rPr>
          <w:spacing w:val="-20"/>
          <w:w w:val="125"/>
        </w:rPr>
        <w:t> </w:t>
      </w:r>
      <w:r>
        <w:rPr>
          <w:w w:val="125"/>
        </w:rPr>
        <w:t>children,</w:t>
      </w:r>
      <w:r>
        <w:rPr>
          <w:spacing w:val="-21"/>
          <w:w w:val="125"/>
        </w:rPr>
        <w:t> </w:t>
      </w:r>
      <w:r>
        <w:rPr>
          <w:w w:val="125"/>
        </w:rPr>
        <w:t>young</w:t>
      </w:r>
      <w:r>
        <w:rPr>
          <w:spacing w:val="-20"/>
          <w:w w:val="125"/>
        </w:rPr>
        <w:t> </w:t>
      </w:r>
      <w:r>
        <w:rPr>
          <w:w w:val="125"/>
        </w:rPr>
        <w:t>people</w:t>
      </w:r>
      <w:r>
        <w:rPr>
          <w:spacing w:val="-20"/>
          <w:w w:val="125"/>
        </w:rPr>
        <w:t> </w:t>
      </w:r>
      <w:r>
        <w:rPr>
          <w:w w:val="125"/>
        </w:rPr>
        <w:t>and</w:t>
      </w:r>
      <w:r>
        <w:rPr>
          <w:spacing w:val="-20"/>
          <w:w w:val="125"/>
        </w:rPr>
        <w:t> </w:t>
      </w:r>
      <w:r>
        <w:rPr>
          <w:w w:val="125"/>
        </w:rPr>
        <w:t>young adults</w:t>
      </w:r>
      <w:r>
        <w:rPr>
          <w:spacing w:val="-19"/>
          <w:w w:val="125"/>
        </w:rPr>
        <w:t> </w:t>
      </w:r>
      <w:r>
        <w:rPr>
          <w:spacing w:val="-3"/>
          <w:w w:val="125"/>
        </w:rPr>
        <w:t>(0-25)</w:t>
      </w:r>
      <w:r>
        <w:rPr>
          <w:spacing w:val="-18"/>
          <w:w w:val="125"/>
        </w:rPr>
        <w:t> </w:t>
      </w:r>
      <w:r>
        <w:rPr>
          <w:w w:val="125"/>
        </w:rPr>
        <w:t>worshipping</w:t>
      </w:r>
      <w:r>
        <w:rPr>
          <w:spacing w:val="-19"/>
          <w:w w:val="125"/>
        </w:rPr>
        <w:t> </w:t>
      </w:r>
      <w:r>
        <w:rPr>
          <w:w w:val="125"/>
        </w:rPr>
        <w:t>at</w:t>
      </w:r>
      <w:r>
        <w:rPr>
          <w:spacing w:val="-18"/>
          <w:w w:val="125"/>
        </w:rPr>
        <w:t> </w:t>
      </w:r>
      <w:r>
        <w:rPr>
          <w:w w:val="125"/>
        </w:rPr>
        <w:t>main</w:t>
      </w:r>
      <w:r>
        <w:rPr>
          <w:spacing w:val="-19"/>
          <w:w w:val="125"/>
        </w:rPr>
        <w:t> </w:t>
      </w:r>
      <w:r>
        <w:rPr>
          <w:w w:val="125"/>
        </w:rPr>
        <w:t>services,</w:t>
      </w:r>
      <w:r>
        <w:rPr>
          <w:spacing w:val="-18"/>
          <w:w w:val="125"/>
        </w:rPr>
        <w:t> </w:t>
      </w:r>
      <w:r>
        <w:rPr>
          <w:w w:val="125"/>
        </w:rPr>
        <w:t>and</w:t>
      </w:r>
      <w:r>
        <w:rPr>
          <w:spacing w:val="-19"/>
          <w:w w:val="125"/>
        </w:rPr>
        <w:t> </w:t>
      </w:r>
      <w:r>
        <w:rPr>
          <w:w w:val="125"/>
        </w:rPr>
        <w:t>an</w:t>
      </w:r>
      <w:r>
        <w:rPr>
          <w:spacing w:val="-18"/>
          <w:w w:val="125"/>
        </w:rPr>
        <w:t> </w:t>
      </w:r>
      <w:r>
        <w:rPr>
          <w:w w:val="125"/>
        </w:rPr>
        <w:t>additional</w:t>
      </w:r>
      <w:r>
        <w:rPr>
          <w:spacing w:val="-19"/>
          <w:w w:val="125"/>
        </w:rPr>
        <w:t> </w:t>
      </w:r>
      <w:r>
        <w:rPr>
          <w:w w:val="125"/>
        </w:rPr>
        <w:t>30,784</w:t>
      </w:r>
      <w:r>
        <w:rPr>
          <w:spacing w:val="-18"/>
          <w:w w:val="125"/>
        </w:rPr>
        <w:t> </w:t>
      </w:r>
      <w:r>
        <w:rPr>
          <w:w w:val="125"/>
        </w:rPr>
        <w:t>associated</w:t>
      </w:r>
      <w:r>
        <w:rPr>
          <w:spacing w:val="-19"/>
          <w:w w:val="125"/>
        </w:rPr>
        <w:t> </w:t>
      </w:r>
      <w:r>
        <w:rPr>
          <w:w w:val="125"/>
        </w:rPr>
        <w:t>with the life of the Church across the</w:t>
      </w:r>
      <w:r>
        <w:rPr>
          <w:spacing w:val="-12"/>
          <w:w w:val="125"/>
        </w:rPr>
        <w:t> </w:t>
      </w:r>
      <w:r>
        <w:rPr>
          <w:w w:val="125"/>
        </w:rPr>
        <w:t>URC.</w:t>
      </w:r>
    </w:p>
    <w:p>
      <w:pPr>
        <w:pStyle w:val="BodyText"/>
        <w:spacing w:before="10"/>
        <w:rPr>
          <w:sz w:val="19"/>
        </w:rPr>
      </w:pPr>
    </w:p>
    <w:p>
      <w:pPr>
        <w:pStyle w:val="BodyText"/>
        <w:spacing w:line="235" w:lineRule="auto"/>
        <w:ind w:left="1564" w:right="970"/>
      </w:pPr>
      <w:r>
        <w:rPr>
          <w:w w:val="120"/>
        </w:rPr>
        <w:t>The </w:t>
      </w:r>
      <w:r>
        <w:rPr>
          <w:spacing w:val="-3"/>
          <w:w w:val="120"/>
        </w:rPr>
        <w:t>URC’s </w:t>
      </w:r>
      <w:r>
        <w:rPr>
          <w:w w:val="120"/>
        </w:rPr>
        <w:t>‘Towards a Charter for Children in the </w:t>
      </w:r>
      <w:r>
        <w:rPr>
          <w:spacing w:val="-4"/>
          <w:w w:val="120"/>
        </w:rPr>
        <w:t>Church’, </w:t>
      </w:r>
      <w:r>
        <w:rPr>
          <w:w w:val="120"/>
        </w:rPr>
        <w:t>introduced at General Assembly </w:t>
      </w:r>
      <w:r>
        <w:rPr>
          <w:spacing w:val="-4"/>
          <w:w w:val="120"/>
        </w:rPr>
        <w:t>1990, </w:t>
      </w:r>
      <w:r>
        <w:rPr>
          <w:w w:val="120"/>
        </w:rPr>
        <w:t>challenged churches to become fully inclusive in their work with children. The </w:t>
      </w:r>
      <w:r>
        <w:rPr>
          <w:spacing w:val="-3"/>
          <w:w w:val="120"/>
        </w:rPr>
        <w:t>children’s </w:t>
      </w:r>
      <w:r>
        <w:rPr>
          <w:w w:val="120"/>
        </w:rPr>
        <w:t>and youth work committee feel the charter is as relevant to the life of the Church today as it was then and intend to reacquaint the Church with it at  this General Assembly, to continue to challenge, support and inspire work with children in the churches of the</w:t>
      </w:r>
      <w:r>
        <w:rPr>
          <w:spacing w:val="10"/>
          <w:w w:val="120"/>
        </w:rPr>
        <w:t> </w:t>
      </w:r>
      <w:r>
        <w:rPr>
          <w:w w:val="120"/>
        </w:rPr>
        <w:t>URC.</w:t>
      </w:r>
    </w:p>
    <w:p>
      <w:pPr>
        <w:pStyle w:val="BodyText"/>
      </w:pPr>
    </w:p>
    <w:p>
      <w:pPr>
        <w:pStyle w:val="BodyText"/>
        <w:spacing w:line="235" w:lineRule="auto"/>
        <w:ind w:left="1564" w:right="923"/>
      </w:pPr>
      <w:r>
        <w:rPr>
          <w:spacing w:val="-3"/>
          <w:w w:val="120"/>
        </w:rPr>
        <w:t>Children’s </w:t>
      </w:r>
      <w:r>
        <w:rPr>
          <w:w w:val="120"/>
        </w:rPr>
        <w:t>and youth work have adopted an integrated theme each year – Roots and Foundations in </w:t>
      </w:r>
      <w:r>
        <w:rPr>
          <w:spacing w:val="-6"/>
          <w:w w:val="120"/>
        </w:rPr>
        <w:t>2016, </w:t>
      </w:r>
      <w:r>
        <w:rPr>
          <w:w w:val="120"/>
        </w:rPr>
        <w:t>Feasts and Festivals in </w:t>
      </w:r>
      <w:r>
        <w:rPr>
          <w:spacing w:val="-12"/>
          <w:w w:val="120"/>
        </w:rPr>
        <w:t>2017, </w:t>
      </w:r>
      <w:r>
        <w:rPr>
          <w:w w:val="120"/>
        </w:rPr>
        <w:t>Pilgrimage in </w:t>
      </w:r>
      <w:r>
        <w:rPr>
          <w:spacing w:val="-6"/>
          <w:w w:val="120"/>
        </w:rPr>
        <w:t>2018 </w:t>
      </w:r>
      <w:r>
        <w:rPr>
          <w:w w:val="120"/>
        </w:rPr>
        <w:t>– and we are planning One Body for </w:t>
      </w:r>
      <w:r>
        <w:rPr>
          <w:spacing w:val="-8"/>
          <w:w w:val="120"/>
        </w:rPr>
        <w:t>2019, </w:t>
      </w:r>
      <w:r>
        <w:rPr>
          <w:w w:val="120"/>
        </w:rPr>
        <w:t>and Common Ground for</w:t>
      </w:r>
      <w:r>
        <w:rPr>
          <w:spacing w:val="53"/>
          <w:w w:val="120"/>
        </w:rPr>
        <w:t> </w:t>
      </w:r>
      <w:r>
        <w:rPr>
          <w:spacing w:val="-3"/>
          <w:w w:val="120"/>
        </w:rPr>
        <w:t>2020.</w:t>
      </w:r>
    </w:p>
    <w:p>
      <w:pPr>
        <w:pStyle w:val="BodyText"/>
        <w:spacing w:before="10"/>
        <w:rPr>
          <w:sz w:val="19"/>
        </w:rPr>
      </w:pPr>
    </w:p>
    <w:p>
      <w:pPr>
        <w:pStyle w:val="BodyText"/>
        <w:spacing w:line="235" w:lineRule="auto" w:before="1"/>
        <w:ind w:left="1564" w:right="783"/>
      </w:pPr>
      <w:r>
        <w:rPr>
          <w:w w:val="120"/>
        </w:rPr>
        <w:t>Children’s and youth work have been intentionally working in a more integrated way with the whole URC, particularly contributing an intergenerational perspective to Walking the Way, Stepwise and Greenbelt. We are highlighting the hidden gems of Messy Church, toddler groups, junior church, Godly Play, Open the Book, holiday clubs, performing arts groups, open youth clubs, Crossfire and many other forms of children’s and youth work, alongside Pilots, URC Youth, URC Guide and Scout Fellowship, Boys’ Brigade and Girls’ Brigade. We believe we have a lot to offer in joined-up thinking and discussions.</w:t>
      </w:r>
    </w:p>
    <w:p>
      <w:pPr>
        <w:pStyle w:val="BodyText"/>
        <w:spacing w:before="5"/>
        <w:rPr>
          <w:sz w:val="22"/>
        </w:rPr>
      </w:pPr>
    </w:p>
    <w:p>
      <w:pPr>
        <w:pStyle w:val="ListParagraph"/>
        <w:numPr>
          <w:ilvl w:val="0"/>
          <w:numId w:val="63"/>
        </w:numPr>
        <w:tabs>
          <w:tab w:pos="2244" w:val="left" w:leader="none"/>
          <w:tab w:pos="2245" w:val="left" w:leader="none"/>
        </w:tabs>
        <w:spacing w:line="240" w:lineRule="auto" w:before="1" w:after="0"/>
        <w:ind w:left="2244" w:right="0" w:hanging="681"/>
        <w:jc w:val="left"/>
        <w:rPr>
          <w:rFonts w:ascii="Stone Sans II ITC Std Bk"/>
          <w:b/>
          <w:sz w:val="29"/>
        </w:rPr>
      </w:pPr>
      <w:r>
        <w:rPr>
          <w:rFonts w:ascii="Stone Sans II ITC Std Bk"/>
          <w:b/>
          <w:spacing w:val="2"/>
          <w:w w:val="110"/>
          <w:sz w:val="29"/>
        </w:rPr>
        <w:t>Reviews</w:t>
      </w:r>
    </w:p>
    <w:p>
      <w:pPr>
        <w:pStyle w:val="BodyText"/>
        <w:spacing w:line="235" w:lineRule="auto" w:before="69"/>
        <w:ind w:left="1564" w:right="881"/>
      </w:pPr>
      <w:r>
        <w:rPr>
          <w:w w:val="120"/>
        </w:rPr>
        <w:t>In </w:t>
      </w:r>
      <w:r>
        <w:rPr>
          <w:spacing w:val="-7"/>
          <w:w w:val="120"/>
        </w:rPr>
        <w:t>2016, </w:t>
      </w:r>
      <w:r>
        <w:rPr>
          <w:spacing w:val="-2"/>
          <w:w w:val="120"/>
        </w:rPr>
        <w:t>following </w:t>
      </w:r>
      <w:r>
        <w:rPr>
          <w:spacing w:val="-3"/>
          <w:w w:val="120"/>
        </w:rPr>
        <w:t>notice </w:t>
      </w:r>
      <w:r>
        <w:rPr>
          <w:w w:val="120"/>
        </w:rPr>
        <w:t>of </w:t>
      </w:r>
      <w:r>
        <w:rPr>
          <w:spacing w:val="-3"/>
          <w:w w:val="120"/>
        </w:rPr>
        <w:t>resignation, </w:t>
      </w:r>
      <w:r>
        <w:rPr>
          <w:w w:val="120"/>
        </w:rPr>
        <w:t>the post of Head of </w:t>
      </w:r>
      <w:r>
        <w:rPr>
          <w:spacing w:val="-4"/>
          <w:w w:val="120"/>
        </w:rPr>
        <w:t>Children’s </w:t>
      </w:r>
      <w:r>
        <w:rPr>
          <w:w w:val="120"/>
        </w:rPr>
        <w:t>and </w:t>
      </w:r>
      <w:r>
        <w:rPr>
          <w:spacing w:val="-4"/>
          <w:w w:val="120"/>
        </w:rPr>
        <w:t>Youth </w:t>
      </w:r>
      <w:r>
        <w:rPr>
          <w:w w:val="120"/>
        </w:rPr>
        <w:t>Work Development</w:t>
      </w:r>
      <w:r>
        <w:rPr>
          <w:spacing w:val="-15"/>
          <w:w w:val="120"/>
        </w:rPr>
        <w:t> </w:t>
      </w:r>
      <w:r>
        <w:rPr>
          <w:w w:val="120"/>
        </w:rPr>
        <w:t>was</w:t>
      </w:r>
      <w:r>
        <w:rPr>
          <w:spacing w:val="-14"/>
          <w:w w:val="120"/>
        </w:rPr>
        <w:t> </w:t>
      </w:r>
      <w:r>
        <w:rPr>
          <w:w w:val="120"/>
        </w:rPr>
        <w:t>reviewed</w:t>
      </w:r>
      <w:r>
        <w:rPr>
          <w:spacing w:val="-14"/>
          <w:w w:val="120"/>
        </w:rPr>
        <w:t> </w:t>
      </w:r>
      <w:r>
        <w:rPr>
          <w:w w:val="120"/>
        </w:rPr>
        <w:t>and</w:t>
      </w:r>
      <w:r>
        <w:rPr>
          <w:spacing w:val="-15"/>
          <w:w w:val="120"/>
        </w:rPr>
        <w:t> </w:t>
      </w:r>
      <w:r>
        <w:rPr>
          <w:w w:val="120"/>
        </w:rPr>
        <w:t>revised</w:t>
      </w:r>
      <w:r>
        <w:rPr>
          <w:spacing w:val="-14"/>
          <w:w w:val="120"/>
        </w:rPr>
        <w:t> </w:t>
      </w:r>
      <w:r>
        <w:rPr>
          <w:w w:val="120"/>
        </w:rPr>
        <w:t>prior</w:t>
      </w:r>
      <w:r>
        <w:rPr>
          <w:spacing w:val="-14"/>
          <w:w w:val="120"/>
        </w:rPr>
        <w:t> </w:t>
      </w:r>
      <w:r>
        <w:rPr>
          <w:spacing w:val="-3"/>
          <w:w w:val="120"/>
        </w:rPr>
        <w:t>to</w:t>
      </w:r>
      <w:r>
        <w:rPr>
          <w:spacing w:val="-14"/>
          <w:w w:val="120"/>
        </w:rPr>
        <w:t> </w:t>
      </w:r>
      <w:r>
        <w:rPr>
          <w:w w:val="120"/>
        </w:rPr>
        <w:t>recruitment.</w:t>
      </w:r>
      <w:r>
        <w:rPr>
          <w:spacing w:val="-15"/>
          <w:w w:val="120"/>
        </w:rPr>
        <w:t> </w:t>
      </w:r>
      <w:r>
        <w:rPr>
          <w:w w:val="120"/>
        </w:rPr>
        <w:t>A</w:t>
      </w:r>
      <w:r>
        <w:rPr>
          <w:spacing w:val="-14"/>
          <w:w w:val="120"/>
        </w:rPr>
        <w:t> </w:t>
      </w:r>
      <w:r>
        <w:rPr>
          <w:spacing w:val="-3"/>
          <w:w w:val="120"/>
        </w:rPr>
        <w:t>key</w:t>
      </w:r>
      <w:r>
        <w:rPr>
          <w:spacing w:val="-14"/>
          <w:w w:val="120"/>
        </w:rPr>
        <w:t> </w:t>
      </w:r>
      <w:r>
        <w:rPr>
          <w:w w:val="120"/>
        </w:rPr>
        <w:t>recommendation</w:t>
      </w:r>
      <w:r>
        <w:rPr>
          <w:spacing w:val="-15"/>
          <w:w w:val="120"/>
        </w:rPr>
        <w:t> </w:t>
      </w:r>
      <w:r>
        <w:rPr>
          <w:w w:val="120"/>
        </w:rPr>
        <w:t>was a</w:t>
      </w:r>
      <w:r>
        <w:rPr>
          <w:spacing w:val="-10"/>
          <w:w w:val="120"/>
        </w:rPr>
        <w:t> </w:t>
      </w:r>
      <w:r>
        <w:rPr>
          <w:w w:val="120"/>
        </w:rPr>
        <w:t>total</w:t>
      </w:r>
      <w:r>
        <w:rPr>
          <w:spacing w:val="-10"/>
          <w:w w:val="120"/>
        </w:rPr>
        <w:t> </w:t>
      </w:r>
      <w:r>
        <w:rPr>
          <w:w w:val="120"/>
        </w:rPr>
        <w:t>review</w:t>
      </w:r>
      <w:r>
        <w:rPr>
          <w:spacing w:val="-10"/>
          <w:w w:val="120"/>
        </w:rPr>
        <w:t> </w:t>
      </w:r>
      <w:r>
        <w:rPr>
          <w:w w:val="120"/>
        </w:rPr>
        <w:t>of</w:t>
      </w:r>
      <w:r>
        <w:rPr>
          <w:spacing w:val="-9"/>
          <w:w w:val="120"/>
        </w:rPr>
        <w:t> </w:t>
      </w:r>
      <w:r>
        <w:rPr>
          <w:w w:val="120"/>
        </w:rPr>
        <w:t>the</w:t>
      </w:r>
      <w:r>
        <w:rPr>
          <w:spacing w:val="-10"/>
          <w:w w:val="120"/>
        </w:rPr>
        <w:t> </w:t>
      </w:r>
      <w:r>
        <w:rPr>
          <w:w w:val="120"/>
        </w:rPr>
        <w:t>work</w:t>
      </w:r>
      <w:r>
        <w:rPr>
          <w:spacing w:val="-10"/>
          <w:w w:val="120"/>
        </w:rPr>
        <w:t> </w:t>
      </w:r>
      <w:r>
        <w:rPr>
          <w:w w:val="120"/>
        </w:rPr>
        <w:t>in</w:t>
      </w:r>
      <w:r>
        <w:rPr>
          <w:spacing w:val="-10"/>
          <w:w w:val="120"/>
        </w:rPr>
        <w:t> </w:t>
      </w:r>
      <w:r>
        <w:rPr>
          <w:w w:val="120"/>
        </w:rPr>
        <w:t>the</w:t>
      </w:r>
      <w:r>
        <w:rPr>
          <w:spacing w:val="-9"/>
          <w:w w:val="120"/>
        </w:rPr>
        <w:t> </w:t>
      </w:r>
      <w:r>
        <w:rPr>
          <w:w w:val="120"/>
        </w:rPr>
        <w:t>light</w:t>
      </w:r>
      <w:r>
        <w:rPr>
          <w:spacing w:val="-10"/>
          <w:w w:val="120"/>
        </w:rPr>
        <w:t> </w:t>
      </w:r>
      <w:r>
        <w:rPr>
          <w:w w:val="120"/>
        </w:rPr>
        <w:t>of</w:t>
      </w:r>
      <w:r>
        <w:rPr>
          <w:spacing w:val="-10"/>
          <w:w w:val="120"/>
        </w:rPr>
        <w:t> </w:t>
      </w:r>
      <w:r>
        <w:rPr>
          <w:w w:val="120"/>
        </w:rPr>
        <w:t>budget</w:t>
      </w:r>
      <w:r>
        <w:rPr>
          <w:spacing w:val="-9"/>
          <w:w w:val="120"/>
        </w:rPr>
        <w:t> </w:t>
      </w:r>
      <w:r>
        <w:rPr>
          <w:w w:val="120"/>
        </w:rPr>
        <w:t>and</w:t>
      </w:r>
      <w:r>
        <w:rPr>
          <w:spacing w:val="-10"/>
          <w:w w:val="120"/>
        </w:rPr>
        <w:t> </w:t>
      </w:r>
      <w:r>
        <w:rPr>
          <w:w w:val="120"/>
        </w:rPr>
        <w:t>post</w:t>
      </w:r>
      <w:r>
        <w:rPr>
          <w:spacing w:val="-10"/>
          <w:w w:val="120"/>
        </w:rPr>
        <w:t> </w:t>
      </w:r>
      <w:r>
        <w:rPr>
          <w:w w:val="120"/>
        </w:rPr>
        <w:t>reductions</w:t>
      </w:r>
      <w:r>
        <w:rPr>
          <w:spacing w:val="-10"/>
          <w:w w:val="120"/>
        </w:rPr>
        <w:t> </w:t>
      </w:r>
      <w:r>
        <w:rPr>
          <w:w w:val="120"/>
        </w:rPr>
        <w:t>from</w:t>
      </w:r>
      <w:r>
        <w:rPr>
          <w:spacing w:val="-9"/>
          <w:w w:val="120"/>
        </w:rPr>
        <w:t> </w:t>
      </w:r>
      <w:r>
        <w:rPr>
          <w:spacing w:val="-12"/>
          <w:w w:val="120"/>
        </w:rPr>
        <w:t>2012-13</w:t>
      </w:r>
      <w:r>
        <w:rPr>
          <w:spacing w:val="-10"/>
          <w:w w:val="120"/>
        </w:rPr>
        <w:t> </w:t>
      </w:r>
      <w:r>
        <w:rPr>
          <w:w w:val="120"/>
        </w:rPr>
        <w:t>that</w:t>
      </w:r>
      <w:r>
        <w:rPr>
          <w:spacing w:val="-10"/>
          <w:w w:val="120"/>
        </w:rPr>
        <w:t> </w:t>
      </w:r>
      <w:r>
        <w:rPr>
          <w:w w:val="120"/>
        </w:rPr>
        <w:t>had </w:t>
      </w:r>
      <w:r>
        <w:rPr>
          <w:spacing w:val="-3"/>
          <w:w w:val="120"/>
        </w:rPr>
        <w:t>continued to </w:t>
      </w:r>
      <w:r>
        <w:rPr>
          <w:w w:val="120"/>
        </w:rPr>
        <w:t>affect the overall programme. Mission </w:t>
      </w:r>
      <w:r>
        <w:rPr>
          <w:spacing w:val="-3"/>
          <w:w w:val="120"/>
        </w:rPr>
        <w:t>Council </w:t>
      </w:r>
      <w:r>
        <w:rPr>
          <w:w w:val="120"/>
        </w:rPr>
        <w:t>in May </w:t>
      </w:r>
      <w:r>
        <w:rPr>
          <w:spacing w:val="-10"/>
          <w:w w:val="120"/>
        </w:rPr>
        <w:t>2017 </w:t>
      </w:r>
      <w:r>
        <w:rPr>
          <w:w w:val="120"/>
        </w:rPr>
        <w:t>encouraged the </w:t>
      </w:r>
      <w:r>
        <w:rPr>
          <w:spacing w:val="-4"/>
          <w:w w:val="120"/>
        </w:rPr>
        <w:t>children’s </w:t>
      </w:r>
      <w:r>
        <w:rPr>
          <w:w w:val="120"/>
        </w:rPr>
        <w:t>and </w:t>
      </w:r>
      <w:r>
        <w:rPr>
          <w:spacing w:val="-3"/>
          <w:w w:val="120"/>
        </w:rPr>
        <w:t>youth </w:t>
      </w:r>
      <w:r>
        <w:rPr>
          <w:w w:val="120"/>
        </w:rPr>
        <w:t>work </w:t>
      </w:r>
      <w:r>
        <w:rPr>
          <w:spacing w:val="-3"/>
          <w:w w:val="120"/>
        </w:rPr>
        <w:t>committee to </w:t>
      </w:r>
      <w:r>
        <w:rPr>
          <w:w w:val="120"/>
        </w:rPr>
        <w:t>conduct such a review </w:t>
      </w:r>
      <w:r>
        <w:rPr>
          <w:spacing w:val="-2"/>
          <w:w w:val="120"/>
        </w:rPr>
        <w:t>within </w:t>
      </w:r>
      <w:r>
        <w:rPr>
          <w:w w:val="120"/>
        </w:rPr>
        <w:t>the </w:t>
      </w:r>
      <w:r>
        <w:rPr>
          <w:spacing w:val="-4"/>
          <w:w w:val="120"/>
        </w:rPr>
        <w:t>committee’s </w:t>
      </w:r>
      <w:r>
        <w:rPr>
          <w:w w:val="120"/>
        </w:rPr>
        <w:t>own budget, and </w:t>
      </w:r>
      <w:r>
        <w:rPr>
          <w:spacing w:val="-3"/>
          <w:w w:val="120"/>
        </w:rPr>
        <w:t>this </w:t>
      </w:r>
      <w:r>
        <w:rPr>
          <w:w w:val="120"/>
        </w:rPr>
        <w:t>is in process. The Review plans </w:t>
      </w:r>
      <w:r>
        <w:rPr>
          <w:spacing w:val="-3"/>
          <w:w w:val="120"/>
        </w:rPr>
        <w:t>to </w:t>
      </w:r>
      <w:r>
        <w:rPr>
          <w:w w:val="120"/>
        </w:rPr>
        <w:t>present a report </w:t>
      </w:r>
      <w:r>
        <w:rPr>
          <w:spacing w:val="-3"/>
          <w:w w:val="120"/>
        </w:rPr>
        <w:t>to </w:t>
      </w:r>
      <w:r>
        <w:rPr>
          <w:w w:val="120"/>
        </w:rPr>
        <w:t>November </w:t>
      </w:r>
      <w:r>
        <w:rPr>
          <w:spacing w:val="-8"/>
          <w:w w:val="120"/>
        </w:rPr>
        <w:t>2018 </w:t>
      </w:r>
      <w:r>
        <w:rPr>
          <w:w w:val="120"/>
        </w:rPr>
        <w:t>Mission </w:t>
      </w:r>
      <w:r>
        <w:rPr>
          <w:spacing w:val="-3"/>
          <w:w w:val="120"/>
        </w:rPr>
        <w:t>Council </w:t>
      </w:r>
      <w:r>
        <w:rPr>
          <w:w w:val="120"/>
        </w:rPr>
        <w:t>with </w:t>
      </w:r>
      <w:r>
        <w:rPr>
          <w:spacing w:val="-3"/>
          <w:w w:val="120"/>
        </w:rPr>
        <w:t>recommendations to </w:t>
      </w:r>
      <w:r>
        <w:rPr>
          <w:w w:val="120"/>
        </w:rPr>
        <w:t>shape future vision and</w:t>
      </w:r>
      <w:r>
        <w:rPr>
          <w:spacing w:val="-35"/>
          <w:w w:val="120"/>
        </w:rPr>
        <w:t> </w:t>
      </w:r>
      <w:r>
        <w:rPr>
          <w:spacing w:val="-3"/>
          <w:w w:val="120"/>
        </w:rPr>
        <w:t>strategy.</w:t>
      </w:r>
    </w:p>
    <w:p>
      <w:pPr>
        <w:spacing w:after="0" w:line="235" w:lineRule="auto"/>
        <w:sectPr>
          <w:headerReference w:type="default" r:id="rId253"/>
          <w:footerReference w:type="default" r:id="rId254"/>
          <w:footerReference w:type="even" r:id="rId255"/>
          <w:pgSz w:w="11910" w:h="16840"/>
          <w:pgMar w:header="0" w:footer="647" w:top="0" w:bottom="840" w:left="420" w:right="380"/>
          <w:pgNumType w:start="83"/>
        </w:sectPr>
      </w:pPr>
    </w:p>
    <w:p>
      <w:pPr>
        <w:pStyle w:val="BodyText"/>
      </w:pPr>
      <w:r>
        <w:rPr/>
        <w:drawing>
          <wp:anchor distT="0" distB="0" distL="0" distR="0" allowOverlap="1" layoutInCell="1" locked="0" behindDoc="1" simplePos="0" relativeHeight="235923456">
            <wp:simplePos x="0" y="0"/>
            <wp:positionH relativeFrom="page">
              <wp:posOffset>0</wp:posOffset>
            </wp:positionH>
            <wp:positionV relativeFrom="page">
              <wp:posOffset>0</wp:posOffset>
            </wp:positionV>
            <wp:extent cx="594067" cy="10692003"/>
            <wp:effectExtent l="0" t="0" r="0" b="0"/>
            <wp:wrapNone/>
            <wp:docPr id="155" name="image70.png"/>
            <wp:cNvGraphicFramePr>
              <a:graphicFrameLocks noChangeAspect="1"/>
            </wp:cNvGraphicFramePr>
            <a:graphic>
              <a:graphicData uri="http://schemas.openxmlformats.org/drawingml/2006/picture">
                <pic:pic>
                  <pic:nvPicPr>
                    <pic:cNvPr id="15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72.95pt;mso-position-horizontal-relative:page;mso-position-vertical-relative:paragraph;z-index:251891712" type="#_x0000_t202" filled="false" stroked="false">
            <v:textbox inset="0,0,0,0" style="layout-flow:vertical">
              <w:txbxContent>
                <w:p>
                  <w:pPr>
                    <w:spacing w:before="29"/>
                    <w:ind w:left="20" w:right="0" w:firstLine="0"/>
                    <w:jc w:val="left"/>
                    <w:rPr>
                      <w:sz w:val="39"/>
                    </w:rPr>
                  </w:pPr>
                  <w:r>
                    <w:rPr>
                      <w:color w:val="FFFFFF"/>
                      <w:spacing w:val="3"/>
                      <w:w w:val="125"/>
                      <w:sz w:val="39"/>
                    </w:rPr>
                    <w:t>Children’s </w:t>
                  </w:r>
                  <w:r>
                    <w:rPr>
                      <w:color w:val="FFFFFF"/>
                      <w:spacing w:val="7"/>
                      <w:w w:val="125"/>
                      <w:sz w:val="39"/>
                    </w:rPr>
                    <w:t>and </w:t>
                  </w:r>
                  <w:r>
                    <w:rPr>
                      <w:color w:val="FFFFFF"/>
                      <w:spacing w:val="8"/>
                      <w:w w:val="125"/>
                      <w:sz w:val="39"/>
                    </w:rPr>
                    <w:t>youth</w:t>
                  </w:r>
                  <w:r>
                    <w:rPr>
                      <w:color w:val="FFFFFF"/>
                      <w:spacing w:val="81"/>
                      <w:w w:val="125"/>
                      <w:sz w:val="39"/>
                    </w:rPr>
                    <w:t> </w:t>
                  </w:r>
                  <w:r>
                    <w:rPr>
                      <w:color w:val="FFFFFF"/>
                      <w:spacing w:val="7"/>
                      <w:w w:val="125"/>
                      <w:sz w:val="39"/>
                    </w:rPr>
                    <w:t>work</w:t>
                  </w:r>
                </w:p>
              </w:txbxContent>
            </v:textbox>
            <w10:wrap type="none"/>
          </v:shape>
        </w:pict>
      </w:r>
      <w:bookmarkStart w:name="_TOC_250009" w:id="17"/>
      <w:bookmarkEnd w:id="17"/>
      <w:r>
        <w:rPr>
          <w:color w:val="7EAABF"/>
          <w:w w:val="120"/>
        </w:rPr>
        <w:t>Children’s and youth work</w:t>
      </w:r>
    </w:p>
    <w:p>
      <w:pPr>
        <w:pStyle w:val="ListParagraph"/>
        <w:numPr>
          <w:ilvl w:val="0"/>
          <w:numId w:val="63"/>
        </w:numPr>
        <w:tabs>
          <w:tab w:pos="1507" w:val="left" w:leader="none"/>
          <w:tab w:pos="1508" w:val="left" w:leader="none"/>
        </w:tabs>
        <w:spacing w:line="240" w:lineRule="auto" w:before="215" w:after="0"/>
        <w:ind w:left="1507" w:right="0" w:hanging="681"/>
        <w:jc w:val="left"/>
        <w:rPr>
          <w:rFonts w:ascii="Stone Sans II ITC Std Bk"/>
          <w:b/>
          <w:sz w:val="29"/>
        </w:rPr>
      </w:pPr>
      <w:r>
        <w:rPr>
          <w:rFonts w:ascii="Stone Sans II ITC Std Bk"/>
          <w:b/>
          <w:spacing w:val="2"/>
          <w:w w:val="110"/>
          <w:sz w:val="29"/>
        </w:rPr>
        <w:t>Staff</w:t>
      </w:r>
      <w:r>
        <w:rPr>
          <w:rFonts w:ascii="Stone Sans II ITC Std Bk"/>
          <w:b/>
          <w:spacing w:val="12"/>
          <w:w w:val="110"/>
          <w:sz w:val="29"/>
        </w:rPr>
        <w:t> </w:t>
      </w:r>
      <w:r>
        <w:rPr>
          <w:rFonts w:ascii="Stone Sans II ITC Std Bk"/>
          <w:b/>
          <w:spacing w:val="4"/>
          <w:w w:val="110"/>
          <w:sz w:val="29"/>
        </w:rPr>
        <w:t>changes</w:t>
      </w:r>
    </w:p>
    <w:p>
      <w:pPr>
        <w:pStyle w:val="BodyText"/>
        <w:spacing w:line="235" w:lineRule="auto" w:before="69"/>
        <w:ind w:left="827" w:right="1868"/>
      </w:pPr>
      <w:r>
        <w:rPr>
          <w:w w:val="120"/>
        </w:rPr>
        <w:t>Karen Morrison, Head of </w:t>
      </w:r>
      <w:r>
        <w:rPr>
          <w:spacing w:val="-3"/>
          <w:w w:val="120"/>
        </w:rPr>
        <w:t>Children’s </w:t>
      </w:r>
      <w:r>
        <w:rPr>
          <w:w w:val="120"/>
        </w:rPr>
        <w:t>and </w:t>
      </w:r>
      <w:r>
        <w:rPr>
          <w:spacing w:val="-3"/>
          <w:w w:val="120"/>
        </w:rPr>
        <w:t>Youth </w:t>
      </w:r>
      <w:r>
        <w:rPr>
          <w:w w:val="120"/>
        </w:rPr>
        <w:t>Development since January </w:t>
      </w:r>
      <w:r>
        <w:rPr>
          <w:spacing w:val="-7"/>
          <w:w w:val="120"/>
        </w:rPr>
        <w:t>2013, </w:t>
      </w:r>
      <w:r>
        <w:rPr>
          <w:w w:val="120"/>
        </w:rPr>
        <w:t>resigned and </w:t>
      </w:r>
      <w:r>
        <w:rPr>
          <w:spacing w:val="2"/>
          <w:w w:val="120"/>
        </w:rPr>
        <w:t>left </w:t>
      </w:r>
      <w:r>
        <w:rPr>
          <w:w w:val="120"/>
        </w:rPr>
        <w:t>post in </w:t>
      </w:r>
      <w:r>
        <w:rPr>
          <w:spacing w:val="2"/>
          <w:w w:val="120"/>
        </w:rPr>
        <w:t>February </w:t>
      </w:r>
      <w:r>
        <w:rPr>
          <w:spacing w:val="-12"/>
          <w:w w:val="120"/>
        </w:rPr>
        <w:t>2017. </w:t>
      </w:r>
      <w:r>
        <w:rPr>
          <w:w w:val="120"/>
        </w:rPr>
        <w:t>We give thanks for her faithful service to the URC. The </w:t>
      </w:r>
      <w:r>
        <w:rPr>
          <w:spacing w:val="-3"/>
          <w:w w:val="120"/>
        </w:rPr>
        <w:t>children’s </w:t>
      </w:r>
      <w:r>
        <w:rPr>
          <w:w w:val="120"/>
        </w:rPr>
        <w:t>and youth work office did a fantastic job of keeping everything running smoothly. Dr Sam Richards was appointed from November </w:t>
      </w:r>
      <w:r>
        <w:rPr>
          <w:spacing w:val="-9"/>
          <w:w w:val="120"/>
        </w:rPr>
        <w:t>2017  </w:t>
      </w:r>
      <w:r>
        <w:rPr>
          <w:w w:val="120"/>
        </w:rPr>
        <w:t>to the   revised post of Head of </w:t>
      </w:r>
      <w:r>
        <w:rPr>
          <w:spacing w:val="-3"/>
          <w:w w:val="120"/>
        </w:rPr>
        <w:t>Children’s </w:t>
      </w:r>
      <w:r>
        <w:rPr>
          <w:w w:val="120"/>
        </w:rPr>
        <w:t>and </w:t>
      </w:r>
      <w:r>
        <w:rPr>
          <w:spacing w:val="-3"/>
          <w:w w:val="120"/>
        </w:rPr>
        <w:t>Youth </w:t>
      </w:r>
      <w:r>
        <w:rPr>
          <w:w w:val="120"/>
        </w:rPr>
        <w:t>Work </w:t>
      </w:r>
      <w:r>
        <w:rPr>
          <w:spacing w:val="2"/>
          <w:w w:val="120"/>
        </w:rPr>
        <w:t>(HCYW). </w:t>
      </w:r>
      <w:r>
        <w:rPr>
          <w:w w:val="120"/>
        </w:rPr>
        <w:t>Simon Peters (Programme Officer) moved on in December </w:t>
      </w:r>
      <w:r>
        <w:rPr>
          <w:spacing w:val="-9"/>
          <w:w w:val="120"/>
        </w:rPr>
        <w:t>2017 </w:t>
      </w:r>
      <w:r>
        <w:rPr>
          <w:w w:val="120"/>
        </w:rPr>
        <w:t>to become Walking the Way Project</w:t>
      </w:r>
      <w:r>
        <w:rPr>
          <w:spacing w:val="4"/>
          <w:w w:val="120"/>
        </w:rPr>
        <w:t> </w:t>
      </w:r>
      <w:r>
        <w:rPr>
          <w:w w:val="120"/>
        </w:rPr>
        <w:t>Manager.</w:t>
      </w:r>
    </w:p>
    <w:p>
      <w:pPr>
        <w:pStyle w:val="BodyText"/>
        <w:spacing w:line="235" w:lineRule="auto" w:before="5"/>
        <w:ind w:left="827" w:right="1814"/>
      </w:pPr>
      <w:r>
        <w:rPr>
          <w:w w:val="120"/>
        </w:rPr>
        <w:t>Carole Sired (Pilots Desk and </w:t>
      </w:r>
      <w:r>
        <w:rPr>
          <w:spacing w:val="-5"/>
          <w:w w:val="120"/>
        </w:rPr>
        <w:t>PA  </w:t>
      </w:r>
      <w:r>
        <w:rPr>
          <w:w w:val="120"/>
        </w:rPr>
        <w:t>to </w:t>
      </w:r>
      <w:r>
        <w:rPr>
          <w:spacing w:val="5"/>
          <w:w w:val="120"/>
        </w:rPr>
        <w:t>HCYW) </w:t>
      </w:r>
      <w:r>
        <w:rPr>
          <w:w w:val="120"/>
        </w:rPr>
        <w:t>moved on in January </w:t>
      </w:r>
      <w:r>
        <w:rPr>
          <w:spacing w:val="-6"/>
          <w:w w:val="120"/>
        </w:rPr>
        <w:t>2018  </w:t>
      </w:r>
      <w:r>
        <w:rPr>
          <w:w w:val="120"/>
        </w:rPr>
        <w:t>to become </w:t>
      </w:r>
      <w:r>
        <w:rPr>
          <w:spacing w:val="-5"/>
          <w:w w:val="120"/>
        </w:rPr>
        <w:t>PA  </w:t>
      </w:r>
      <w:r>
        <w:rPr>
          <w:w w:val="120"/>
        </w:rPr>
        <w:t>to Mission, Ecumenical and Interfaith Relations. </w:t>
      </w:r>
      <w:r>
        <w:rPr>
          <w:spacing w:val="3"/>
          <w:w w:val="120"/>
        </w:rPr>
        <w:t>As </w:t>
      </w:r>
      <w:r>
        <w:rPr>
          <w:w w:val="120"/>
        </w:rPr>
        <w:t>the </w:t>
      </w:r>
      <w:r>
        <w:rPr>
          <w:spacing w:val="5"/>
          <w:w w:val="120"/>
        </w:rPr>
        <w:t>HCYW </w:t>
      </w:r>
      <w:r>
        <w:rPr>
          <w:w w:val="120"/>
        </w:rPr>
        <w:t>had been charged with a review of the area of work, it was agreed to recruit to one-year fixed term posts for a new</w:t>
      </w:r>
      <w:r>
        <w:rPr>
          <w:spacing w:val="5"/>
          <w:w w:val="120"/>
        </w:rPr>
        <w:t> </w:t>
      </w:r>
      <w:r>
        <w:rPr>
          <w:w w:val="120"/>
        </w:rPr>
        <w:t>programme</w:t>
      </w:r>
      <w:r>
        <w:rPr>
          <w:spacing w:val="5"/>
          <w:w w:val="120"/>
        </w:rPr>
        <w:t> </w:t>
      </w:r>
      <w:r>
        <w:rPr>
          <w:w w:val="120"/>
        </w:rPr>
        <w:t>officer</w:t>
      </w:r>
      <w:r>
        <w:rPr>
          <w:spacing w:val="6"/>
          <w:w w:val="120"/>
        </w:rPr>
        <w:t> </w:t>
      </w:r>
      <w:r>
        <w:rPr>
          <w:w w:val="120"/>
        </w:rPr>
        <w:t>(Lorraine</w:t>
      </w:r>
      <w:r>
        <w:rPr>
          <w:spacing w:val="5"/>
          <w:w w:val="120"/>
        </w:rPr>
        <w:t> </w:t>
      </w:r>
      <w:r>
        <w:rPr>
          <w:w w:val="120"/>
        </w:rPr>
        <w:t>Webb</w:t>
      </w:r>
      <w:r>
        <w:rPr>
          <w:spacing w:val="5"/>
          <w:w w:val="120"/>
        </w:rPr>
        <w:t> </w:t>
      </w:r>
      <w:r>
        <w:rPr>
          <w:w w:val="120"/>
        </w:rPr>
        <w:t>due</w:t>
      </w:r>
      <w:r>
        <w:rPr>
          <w:spacing w:val="6"/>
          <w:w w:val="120"/>
        </w:rPr>
        <w:t> </w:t>
      </w:r>
      <w:r>
        <w:rPr>
          <w:w w:val="120"/>
        </w:rPr>
        <w:t>to</w:t>
      </w:r>
      <w:r>
        <w:rPr>
          <w:spacing w:val="5"/>
          <w:w w:val="120"/>
        </w:rPr>
        <w:t> </w:t>
      </w:r>
      <w:r>
        <w:rPr>
          <w:spacing w:val="2"/>
          <w:w w:val="120"/>
        </w:rPr>
        <w:t>start</w:t>
      </w:r>
      <w:r>
        <w:rPr>
          <w:spacing w:val="5"/>
          <w:w w:val="120"/>
        </w:rPr>
        <w:t> </w:t>
      </w:r>
      <w:r>
        <w:rPr>
          <w:w w:val="120"/>
        </w:rPr>
        <w:t>April</w:t>
      </w:r>
      <w:r>
        <w:rPr>
          <w:spacing w:val="6"/>
          <w:w w:val="120"/>
        </w:rPr>
        <w:t> </w:t>
      </w:r>
      <w:r>
        <w:rPr>
          <w:spacing w:val="-7"/>
          <w:w w:val="120"/>
        </w:rPr>
        <w:t>2018);</w:t>
      </w:r>
      <w:r>
        <w:rPr>
          <w:spacing w:val="5"/>
          <w:w w:val="120"/>
        </w:rPr>
        <w:t> </w:t>
      </w:r>
      <w:r>
        <w:rPr>
          <w:w w:val="120"/>
        </w:rPr>
        <w:t>and</w:t>
      </w:r>
      <w:r>
        <w:rPr>
          <w:spacing w:val="5"/>
          <w:w w:val="120"/>
        </w:rPr>
        <w:t> </w:t>
      </w:r>
      <w:r>
        <w:rPr>
          <w:w w:val="120"/>
        </w:rPr>
        <w:t>to</w:t>
      </w:r>
      <w:r>
        <w:rPr>
          <w:spacing w:val="6"/>
          <w:w w:val="120"/>
        </w:rPr>
        <w:t> </w:t>
      </w:r>
      <w:r>
        <w:rPr>
          <w:w w:val="120"/>
        </w:rPr>
        <w:t>create</w:t>
      </w:r>
      <w:r>
        <w:rPr>
          <w:spacing w:val="5"/>
          <w:w w:val="120"/>
        </w:rPr>
        <w:t> </w:t>
      </w:r>
      <w:r>
        <w:rPr>
          <w:w w:val="120"/>
        </w:rPr>
        <w:t>a</w:t>
      </w:r>
      <w:r>
        <w:rPr>
          <w:spacing w:val="5"/>
          <w:w w:val="120"/>
        </w:rPr>
        <w:t> </w:t>
      </w:r>
      <w:r>
        <w:rPr>
          <w:w w:val="120"/>
        </w:rPr>
        <w:t>non-</w:t>
      </w:r>
    </w:p>
    <w:p>
      <w:pPr>
        <w:pStyle w:val="BodyText"/>
        <w:spacing w:line="235" w:lineRule="auto" w:before="3"/>
        <w:ind w:left="827" w:right="1735"/>
      </w:pPr>
      <w:r>
        <w:rPr>
          <w:w w:val="120"/>
        </w:rPr>
        <w:t>Church-House-based post of Pilots Coordinator </w:t>
      </w:r>
      <w:r>
        <w:rPr>
          <w:spacing w:val="-3"/>
          <w:w w:val="120"/>
        </w:rPr>
        <w:t>(two </w:t>
      </w:r>
      <w:r>
        <w:rPr>
          <w:w w:val="120"/>
        </w:rPr>
        <w:t>days per </w:t>
      </w:r>
      <w:r>
        <w:rPr>
          <w:spacing w:val="-3"/>
          <w:w w:val="120"/>
        </w:rPr>
        <w:t>week) </w:t>
      </w:r>
      <w:r>
        <w:rPr>
          <w:w w:val="120"/>
        </w:rPr>
        <w:t>to which Steve </w:t>
      </w:r>
      <w:r>
        <w:rPr>
          <w:spacing w:val="-4"/>
          <w:w w:val="120"/>
        </w:rPr>
        <w:t>Tait </w:t>
      </w:r>
      <w:r>
        <w:rPr>
          <w:w w:val="120"/>
        </w:rPr>
        <w:t>was appointed from March </w:t>
      </w:r>
      <w:r>
        <w:rPr>
          <w:spacing w:val="-5"/>
          <w:w w:val="120"/>
        </w:rPr>
        <w:t>2018, </w:t>
      </w:r>
      <w:r>
        <w:rPr>
          <w:w w:val="120"/>
        </w:rPr>
        <w:t>alongside a three-day-a-week Administrator post to  be staffed by a temp (currently Helen Corbett) from </w:t>
      </w:r>
      <w:r>
        <w:rPr>
          <w:spacing w:val="2"/>
          <w:w w:val="120"/>
        </w:rPr>
        <w:t>February </w:t>
      </w:r>
      <w:r>
        <w:rPr>
          <w:spacing w:val="-5"/>
          <w:w w:val="120"/>
        </w:rPr>
        <w:t>2018. </w:t>
      </w:r>
      <w:r>
        <w:rPr>
          <w:w w:val="120"/>
        </w:rPr>
        <w:t>This should enable staffing to be reconfigured, if appropriate, in the light of the Review outcomes in </w:t>
      </w:r>
      <w:r>
        <w:rPr>
          <w:spacing w:val="-8"/>
          <w:w w:val="120"/>
        </w:rPr>
        <w:t>2019. </w:t>
      </w:r>
      <w:r>
        <w:rPr>
          <w:w w:val="120"/>
        </w:rPr>
        <w:t>Enormous thanks are due to all the staff who have moved on in this period for their dedication and commitment to the work over their many years of</w:t>
      </w:r>
      <w:r>
        <w:rPr>
          <w:spacing w:val="19"/>
          <w:w w:val="120"/>
        </w:rPr>
        <w:t> </w:t>
      </w:r>
      <w:r>
        <w:rPr>
          <w:w w:val="120"/>
        </w:rPr>
        <w:t>service.</w:t>
      </w:r>
    </w:p>
    <w:p>
      <w:pPr>
        <w:pStyle w:val="BodyText"/>
        <w:spacing w:before="4"/>
        <w:rPr>
          <w:sz w:val="22"/>
        </w:rPr>
      </w:pPr>
    </w:p>
    <w:p>
      <w:pPr>
        <w:pStyle w:val="Heading4"/>
        <w:numPr>
          <w:ilvl w:val="0"/>
          <w:numId w:val="63"/>
        </w:numPr>
        <w:tabs>
          <w:tab w:pos="1507" w:val="left" w:leader="none"/>
          <w:tab w:pos="1508" w:val="left" w:leader="none"/>
        </w:tabs>
        <w:spacing w:line="240" w:lineRule="auto" w:before="1" w:after="0"/>
        <w:ind w:left="1507" w:right="0" w:hanging="681"/>
        <w:jc w:val="left"/>
      </w:pPr>
      <w:r>
        <w:rPr>
          <w:spacing w:val="3"/>
          <w:w w:val="110"/>
        </w:rPr>
        <w:t>URC</w:t>
      </w:r>
      <w:r>
        <w:rPr>
          <w:spacing w:val="12"/>
          <w:w w:val="110"/>
        </w:rPr>
        <w:t> </w:t>
      </w:r>
      <w:r>
        <w:rPr>
          <w:w w:val="110"/>
        </w:rPr>
        <w:t>Youth</w:t>
      </w:r>
    </w:p>
    <w:p>
      <w:pPr>
        <w:pStyle w:val="ListParagraph"/>
        <w:numPr>
          <w:ilvl w:val="1"/>
          <w:numId w:val="63"/>
        </w:numPr>
        <w:tabs>
          <w:tab w:pos="1507" w:val="left" w:leader="none"/>
          <w:tab w:pos="1508" w:val="left" w:leader="none"/>
        </w:tabs>
        <w:spacing w:line="235" w:lineRule="auto" w:before="69" w:after="0"/>
        <w:ind w:left="827" w:right="1851" w:firstLine="0"/>
        <w:jc w:val="left"/>
        <w:rPr>
          <w:sz w:val="20"/>
        </w:rPr>
      </w:pPr>
      <w:r>
        <w:rPr>
          <w:w w:val="120"/>
          <w:sz w:val="20"/>
        </w:rPr>
        <w:t>URC </w:t>
      </w:r>
      <w:r>
        <w:rPr>
          <w:spacing w:val="-3"/>
          <w:w w:val="120"/>
          <w:sz w:val="20"/>
        </w:rPr>
        <w:t>Youth </w:t>
      </w:r>
      <w:r>
        <w:rPr>
          <w:w w:val="120"/>
          <w:sz w:val="20"/>
        </w:rPr>
        <w:t>Assembly </w:t>
      </w:r>
      <w:r>
        <w:rPr>
          <w:spacing w:val="-12"/>
          <w:w w:val="120"/>
          <w:sz w:val="20"/>
        </w:rPr>
        <w:t>2017. </w:t>
      </w:r>
      <w:r>
        <w:rPr>
          <w:w w:val="120"/>
          <w:sz w:val="20"/>
        </w:rPr>
        <w:t>Introducing the URC theme of the year of Feasts  and Festivals, </w:t>
      </w:r>
      <w:r>
        <w:rPr>
          <w:spacing w:val="-6"/>
          <w:w w:val="120"/>
          <w:sz w:val="20"/>
        </w:rPr>
        <w:t>YA  </w:t>
      </w:r>
      <w:r>
        <w:rPr>
          <w:spacing w:val="-9"/>
          <w:w w:val="120"/>
          <w:sz w:val="20"/>
        </w:rPr>
        <w:t>2017  </w:t>
      </w:r>
      <w:r>
        <w:rPr>
          <w:w w:val="120"/>
          <w:sz w:val="20"/>
        </w:rPr>
        <w:t>was a brilliant celebration of our heritage and life together. The keynote speeches and ceilidh were well received. Business brought to Assembly included: an introduction of ‘Get </w:t>
      </w:r>
      <w:r>
        <w:rPr>
          <w:spacing w:val="-5"/>
          <w:w w:val="120"/>
          <w:sz w:val="20"/>
        </w:rPr>
        <w:t>Talking’, </w:t>
      </w:r>
      <w:r>
        <w:rPr>
          <w:w w:val="120"/>
          <w:sz w:val="20"/>
        </w:rPr>
        <w:t>URC </w:t>
      </w:r>
      <w:r>
        <w:rPr>
          <w:spacing w:val="-4"/>
          <w:w w:val="120"/>
          <w:sz w:val="20"/>
        </w:rPr>
        <w:t>Youth’s </w:t>
      </w:r>
      <w:r>
        <w:rPr>
          <w:w w:val="120"/>
          <w:sz w:val="20"/>
        </w:rPr>
        <w:t>resource to stimulate conversation on Mental Health; ‘Commitment to God’s </w:t>
      </w:r>
      <w:r>
        <w:rPr>
          <w:spacing w:val="-3"/>
          <w:w w:val="120"/>
          <w:sz w:val="20"/>
        </w:rPr>
        <w:t>Creation’; </w:t>
      </w:r>
      <w:r>
        <w:rPr>
          <w:w w:val="120"/>
          <w:sz w:val="20"/>
        </w:rPr>
        <w:t>as well as a detailed and thought-provoking conversation on the future of the</w:t>
      </w:r>
      <w:r>
        <w:rPr>
          <w:spacing w:val="24"/>
          <w:w w:val="120"/>
          <w:sz w:val="20"/>
        </w:rPr>
        <w:t> </w:t>
      </w:r>
      <w:r>
        <w:rPr>
          <w:w w:val="120"/>
          <w:sz w:val="20"/>
        </w:rPr>
        <w:t>URC.</w:t>
      </w:r>
    </w:p>
    <w:p>
      <w:pPr>
        <w:pStyle w:val="BodyText"/>
      </w:pPr>
    </w:p>
    <w:p>
      <w:pPr>
        <w:pStyle w:val="ListParagraph"/>
        <w:numPr>
          <w:ilvl w:val="1"/>
          <w:numId w:val="63"/>
        </w:numPr>
        <w:tabs>
          <w:tab w:pos="1507" w:val="left" w:leader="none"/>
          <w:tab w:pos="1508" w:val="left" w:leader="none"/>
        </w:tabs>
        <w:spacing w:line="235" w:lineRule="auto" w:before="0" w:after="0"/>
        <w:ind w:left="827" w:right="1609" w:firstLine="0"/>
        <w:jc w:val="left"/>
        <w:rPr>
          <w:sz w:val="20"/>
        </w:rPr>
      </w:pPr>
      <w:r>
        <w:rPr>
          <w:spacing w:val="-3"/>
          <w:w w:val="120"/>
          <w:sz w:val="20"/>
        </w:rPr>
        <w:t>Youth </w:t>
      </w:r>
      <w:r>
        <w:rPr>
          <w:w w:val="120"/>
          <w:sz w:val="20"/>
        </w:rPr>
        <w:t>Executive (YE) had a very busy year in </w:t>
      </w:r>
      <w:r>
        <w:rPr>
          <w:spacing w:val="-12"/>
          <w:w w:val="120"/>
          <w:sz w:val="20"/>
        </w:rPr>
        <w:t>2017, </w:t>
      </w:r>
      <w:r>
        <w:rPr>
          <w:w w:val="120"/>
          <w:sz w:val="20"/>
        </w:rPr>
        <w:t>with plenty of time allowed at meetings for planning YA, for communication between synods and YE, and discussing and exploring Feasts and Festivals. On behalf of URC </w:t>
      </w:r>
      <w:r>
        <w:rPr>
          <w:spacing w:val="-3"/>
          <w:w w:val="120"/>
          <w:sz w:val="20"/>
        </w:rPr>
        <w:t>Youth </w:t>
      </w:r>
      <w:r>
        <w:rPr>
          <w:w w:val="120"/>
          <w:sz w:val="20"/>
        </w:rPr>
        <w:t>Assembly, YE brought the ‘Commitment to God’s Creation’ to Mission Council in May </w:t>
      </w:r>
      <w:r>
        <w:rPr>
          <w:spacing w:val="-12"/>
          <w:w w:val="120"/>
          <w:sz w:val="20"/>
        </w:rPr>
        <w:t>2017.  </w:t>
      </w:r>
      <w:r>
        <w:rPr>
          <w:w w:val="120"/>
          <w:sz w:val="20"/>
        </w:rPr>
        <w:t>Work continues on how the whole church can reduce its carbon footprint, but progress is slower than expected. After discussions at </w:t>
      </w:r>
      <w:r>
        <w:rPr>
          <w:spacing w:val="-3"/>
          <w:w w:val="120"/>
          <w:sz w:val="20"/>
        </w:rPr>
        <w:t>Youth  </w:t>
      </w:r>
      <w:r>
        <w:rPr>
          <w:w w:val="120"/>
          <w:sz w:val="20"/>
        </w:rPr>
        <w:t>Executive a paper regarding the election of  General Assembly Moderators was brought to Mission Council in November </w:t>
      </w:r>
      <w:r>
        <w:rPr>
          <w:spacing w:val="-12"/>
          <w:w w:val="120"/>
          <w:sz w:val="20"/>
        </w:rPr>
        <w:t>2017,  </w:t>
      </w:r>
      <w:r>
        <w:rPr>
          <w:w w:val="120"/>
          <w:sz w:val="20"/>
        </w:rPr>
        <w:t>and    a revised version will be discussed at GA </w:t>
      </w:r>
      <w:r>
        <w:rPr>
          <w:spacing w:val="-5"/>
          <w:w w:val="120"/>
          <w:sz w:val="20"/>
        </w:rPr>
        <w:t>2018. </w:t>
      </w:r>
      <w:r>
        <w:rPr>
          <w:w w:val="120"/>
          <w:sz w:val="20"/>
        </w:rPr>
        <w:t>YE responded to feedback by starting to focus on intentional inclusion in order to widen participation, and committing to ensure that the promotion of URC </w:t>
      </w:r>
      <w:r>
        <w:rPr>
          <w:spacing w:val="-3"/>
          <w:w w:val="120"/>
          <w:sz w:val="20"/>
        </w:rPr>
        <w:t>Youth </w:t>
      </w:r>
      <w:r>
        <w:rPr>
          <w:w w:val="120"/>
          <w:sz w:val="20"/>
        </w:rPr>
        <w:t>events demonstrated the diversity within the</w:t>
      </w:r>
      <w:r>
        <w:rPr>
          <w:spacing w:val="52"/>
          <w:w w:val="120"/>
          <w:sz w:val="20"/>
        </w:rPr>
        <w:t> </w:t>
      </w:r>
      <w:r>
        <w:rPr>
          <w:w w:val="120"/>
          <w:sz w:val="20"/>
        </w:rPr>
        <w:t>URC.</w:t>
      </w:r>
    </w:p>
    <w:p>
      <w:pPr>
        <w:pStyle w:val="BodyText"/>
        <w:spacing w:before="3"/>
      </w:pPr>
    </w:p>
    <w:p>
      <w:pPr>
        <w:pStyle w:val="ListParagraph"/>
        <w:numPr>
          <w:ilvl w:val="1"/>
          <w:numId w:val="63"/>
        </w:numPr>
        <w:tabs>
          <w:tab w:pos="1507" w:val="left" w:leader="none"/>
          <w:tab w:pos="1508" w:val="left" w:leader="none"/>
        </w:tabs>
        <w:spacing w:line="235" w:lineRule="auto" w:before="0" w:after="0"/>
        <w:ind w:left="827" w:right="1841" w:firstLine="0"/>
        <w:jc w:val="left"/>
        <w:rPr>
          <w:sz w:val="20"/>
        </w:rPr>
      </w:pPr>
      <w:r>
        <w:rPr>
          <w:w w:val="120"/>
          <w:sz w:val="20"/>
        </w:rPr>
        <w:t>URC </w:t>
      </w:r>
      <w:r>
        <w:rPr>
          <w:spacing w:val="-3"/>
          <w:w w:val="120"/>
          <w:sz w:val="20"/>
        </w:rPr>
        <w:t>Youth </w:t>
      </w:r>
      <w:r>
        <w:rPr>
          <w:w w:val="120"/>
          <w:sz w:val="20"/>
        </w:rPr>
        <w:t>Assembly </w:t>
      </w:r>
      <w:r>
        <w:rPr>
          <w:spacing w:val="-5"/>
          <w:w w:val="120"/>
          <w:sz w:val="20"/>
        </w:rPr>
        <w:t>2018. </w:t>
      </w:r>
      <w:r>
        <w:rPr>
          <w:spacing w:val="-10"/>
          <w:w w:val="120"/>
          <w:sz w:val="20"/>
        </w:rPr>
        <w:t>YA’s </w:t>
      </w:r>
      <w:r>
        <w:rPr>
          <w:w w:val="120"/>
          <w:sz w:val="20"/>
        </w:rPr>
        <w:t>take on Pilgrimage was to ask: </w:t>
      </w:r>
      <w:r>
        <w:rPr>
          <w:spacing w:val="-3"/>
          <w:w w:val="120"/>
          <w:sz w:val="20"/>
        </w:rPr>
        <w:t>‘Are </w:t>
      </w:r>
      <w:r>
        <w:rPr>
          <w:w w:val="120"/>
          <w:sz w:val="20"/>
        </w:rPr>
        <w:t>we nearly there yet?’ through a series of keynote talks, creative and issue-based workshops, and worship. </w:t>
      </w:r>
      <w:r>
        <w:rPr>
          <w:spacing w:val="2"/>
          <w:w w:val="120"/>
          <w:sz w:val="20"/>
        </w:rPr>
        <w:t>Thirty </w:t>
      </w:r>
      <w:r>
        <w:rPr>
          <w:w w:val="120"/>
          <w:sz w:val="20"/>
        </w:rPr>
        <w:t>per cent more young people attended than the previous </w:t>
      </w:r>
      <w:r>
        <w:rPr>
          <w:spacing w:val="-4"/>
          <w:w w:val="120"/>
          <w:sz w:val="20"/>
        </w:rPr>
        <w:t>year. </w:t>
      </w:r>
      <w:r>
        <w:rPr>
          <w:w w:val="120"/>
          <w:sz w:val="20"/>
        </w:rPr>
        <w:t>It was encouraging to see young people attending from a greater variety of backgrounds, many for the first time, with more synods being represented, and improved access   for those with disabilities. A resolution was passed to co-opt the new role of equality and diversity representative on to YE, their job will be to ensure that all URC </w:t>
      </w:r>
      <w:r>
        <w:rPr>
          <w:spacing w:val="-3"/>
          <w:w w:val="120"/>
          <w:sz w:val="20"/>
        </w:rPr>
        <w:t>Youth </w:t>
      </w:r>
      <w:r>
        <w:rPr>
          <w:w w:val="120"/>
          <w:sz w:val="20"/>
        </w:rPr>
        <w:t>events are inclusive. We also passed a resolution calling on synods to support the Greenbelt Festival. Other business included exploring the development of URC </w:t>
      </w:r>
      <w:r>
        <w:rPr>
          <w:spacing w:val="-3"/>
          <w:w w:val="120"/>
          <w:sz w:val="20"/>
        </w:rPr>
        <w:t>Youth </w:t>
      </w:r>
      <w:r>
        <w:rPr>
          <w:w w:val="120"/>
          <w:sz w:val="20"/>
        </w:rPr>
        <w:t>merchandise; and considering the possibility of lowering the age of </w:t>
      </w:r>
      <w:r>
        <w:rPr>
          <w:spacing w:val="-3"/>
          <w:w w:val="120"/>
          <w:sz w:val="20"/>
        </w:rPr>
        <w:t>Youth </w:t>
      </w:r>
      <w:r>
        <w:rPr>
          <w:w w:val="120"/>
          <w:sz w:val="20"/>
        </w:rPr>
        <w:t>Assembly   to </w:t>
      </w:r>
      <w:r>
        <w:rPr>
          <w:spacing w:val="-12"/>
          <w:w w:val="120"/>
          <w:sz w:val="20"/>
        </w:rPr>
        <w:t>11. </w:t>
      </w:r>
      <w:r>
        <w:rPr>
          <w:w w:val="120"/>
          <w:sz w:val="20"/>
        </w:rPr>
        <w:t>The 20s to 40s task group findings were reported to</w:t>
      </w:r>
      <w:r>
        <w:rPr>
          <w:spacing w:val="7"/>
          <w:w w:val="120"/>
          <w:sz w:val="20"/>
        </w:rPr>
        <w:t> </w:t>
      </w:r>
      <w:r>
        <w:rPr>
          <w:w w:val="120"/>
          <w:sz w:val="20"/>
        </w:rPr>
        <w:t>us.</w:t>
      </w:r>
    </w:p>
    <w:p>
      <w:pPr>
        <w:pStyle w:val="BodyText"/>
        <w:spacing w:before="4"/>
      </w:pPr>
    </w:p>
    <w:p>
      <w:pPr>
        <w:pStyle w:val="ListParagraph"/>
        <w:numPr>
          <w:ilvl w:val="1"/>
          <w:numId w:val="63"/>
        </w:numPr>
        <w:tabs>
          <w:tab w:pos="1507" w:val="left" w:leader="none"/>
          <w:tab w:pos="1508" w:val="left" w:leader="none"/>
        </w:tabs>
        <w:spacing w:line="235" w:lineRule="auto" w:before="0" w:after="0"/>
        <w:ind w:left="827" w:right="1888" w:firstLine="0"/>
        <w:jc w:val="left"/>
        <w:rPr>
          <w:sz w:val="20"/>
        </w:rPr>
      </w:pPr>
      <w:r>
        <w:rPr>
          <w:w w:val="120"/>
          <w:sz w:val="20"/>
        </w:rPr>
        <w:t>URC YE </w:t>
      </w:r>
      <w:r>
        <w:rPr>
          <w:spacing w:val="-6"/>
          <w:w w:val="120"/>
          <w:sz w:val="20"/>
        </w:rPr>
        <w:t>2018 </w:t>
      </w:r>
      <w:r>
        <w:rPr>
          <w:w w:val="120"/>
          <w:sz w:val="20"/>
        </w:rPr>
        <w:t>has all the thirteen synods represented for the first time since  the structures changed. The first equality and diversity officer was co-opted and will serve</w:t>
      </w:r>
      <w:r>
        <w:rPr>
          <w:spacing w:val="5"/>
          <w:w w:val="120"/>
          <w:sz w:val="20"/>
        </w:rPr>
        <w:t> </w:t>
      </w:r>
      <w:r>
        <w:rPr>
          <w:w w:val="120"/>
          <w:sz w:val="20"/>
        </w:rPr>
        <w:t>on</w:t>
      </w:r>
      <w:r>
        <w:rPr>
          <w:spacing w:val="6"/>
          <w:w w:val="120"/>
          <w:sz w:val="20"/>
        </w:rPr>
        <w:t> </w:t>
      </w:r>
      <w:r>
        <w:rPr>
          <w:w w:val="120"/>
          <w:sz w:val="20"/>
        </w:rPr>
        <w:t>YE</w:t>
      </w:r>
      <w:r>
        <w:rPr>
          <w:spacing w:val="6"/>
          <w:w w:val="120"/>
          <w:sz w:val="20"/>
        </w:rPr>
        <w:t> </w:t>
      </w:r>
      <w:r>
        <w:rPr>
          <w:w w:val="120"/>
          <w:sz w:val="20"/>
        </w:rPr>
        <w:t>until</w:t>
      </w:r>
      <w:r>
        <w:rPr>
          <w:spacing w:val="6"/>
          <w:w w:val="120"/>
          <w:sz w:val="20"/>
        </w:rPr>
        <w:t> </w:t>
      </w:r>
      <w:r>
        <w:rPr>
          <w:spacing w:val="-3"/>
          <w:w w:val="120"/>
          <w:sz w:val="20"/>
        </w:rPr>
        <w:t>Youth</w:t>
      </w:r>
      <w:r>
        <w:rPr>
          <w:spacing w:val="5"/>
          <w:w w:val="120"/>
          <w:sz w:val="20"/>
        </w:rPr>
        <w:t> </w:t>
      </w:r>
      <w:r>
        <w:rPr>
          <w:w w:val="120"/>
          <w:sz w:val="20"/>
        </w:rPr>
        <w:t>Assembly</w:t>
      </w:r>
      <w:r>
        <w:rPr>
          <w:spacing w:val="6"/>
          <w:w w:val="120"/>
          <w:sz w:val="20"/>
        </w:rPr>
        <w:t> </w:t>
      </w:r>
      <w:r>
        <w:rPr>
          <w:spacing w:val="-8"/>
          <w:w w:val="120"/>
          <w:sz w:val="20"/>
        </w:rPr>
        <w:t>2019.</w:t>
      </w:r>
      <w:r>
        <w:rPr>
          <w:spacing w:val="6"/>
          <w:w w:val="120"/>
          <w:sz w:val="20"/>
        </w:rPr>
        <w:t> </w:t>
      </w:r>
      <w:r>
        <w:rPr>
          <w:w w:val="120"/>
          <w:sz w:val="20"/>
        </w:rPr>
        <w:t>We</w:t>
      </w:r>
      <w:r>
        <w:rPr>
          <w:spacing w:val="6"/>
          <w:w w:val="120"/>
          <w:sz w:val="20"/>
        </w:rPr>
        <w:t> </w:t>
      </w:r>
      <w:r>
        <w:rPr>
          <w:w w:val="120"/>
          <w:sz w:val="20"/>
        </w:rPr>
        <w:t>are</w:t>
      </w:r>
      <w:r>
        <w:rPr>
          <w:spacing w:val="5"/>
          <w:w w:val="120"/>
          <w:sz w:val="20"/>
        </w:rPr>
        <w:t> </w:t>
      </w:r>
      <w:r>
        <w:rPr>
          <w:w w:val="120"/>
          <w:sz w:val="20"/>
        </w:rPr>
        <w:t>redesigning</w:t>
      </w:r>
      <w:r>
        <w:rPr>
          <w:spacing w:val="6"/>
          <w:w w:val="120"/>
          <w:sz w:val="20"/>
        </w:rPr>
        <w:t> </w:t>
      </w:r>
      <w:r>
        <w:rPr>
          <w:spacing w:val="-3"/>
          <w:w w:val="120"/>
          <w:sz w:val="20"/>
        </w:rPr>
        <w:t>Youth</w:t>
      </w:r>
      <w:r>
        <w:rPr>
          <w:spacing w:val="6"/>
          <w:w w:val="120"/>
          <w:sz w:val="20"/>
        </w:rPr>
        <w:t> </w:t>
      </w:r>
      <w:r>
        <w:rPr>
          <w:w w:val="120"/>
          <w:sz w:val="20"/>
        </w:rPr>
        <w:t>Assembly</w:t>
      </w:r>
      <w:r>
        <w:rPr>
          <w:spacing w:val="6"/>
          <w:w w:val="120"/>
          <w:sz w:val="20"/>
        </w:rPr>
        <w:t> </w:t>
      </w:r>
      <w:r>
        <w:rPr>
          <w:w w:val="120"/>
          <w:sz w:val="20"/>
        </w:rPr>
        <w:t>to</w:t>
      </w:r>
      <w:r>
        <w:rPr>
          <w:spacing w:val="6"/>
          <w:w w:val="120"/>
          <w:sz w:val="20"/>
        </w:rPr>
        <w:t> </w:t>
      </w:r>
      <w:r>
        <w:rPr>
          <w:w w:val="120"/>
          <w:sz w:val="20"/>
        </w:rPr>
        <w:t>have</w:t>
      </w:r>
      <w:r>
        <w:rPr>
          <w:spacing w:val="5"/>
          <w:w w:val="120"/>
          <w:sz w:val="20"/>
        </w:rPr>
        <w:t> </w:t>
      </w:r>
      <w:r>
        <w:rPr>
          <w:w w:val="120"/>
          <w:sz w:val="20"/>
        </w:rPr>
        <w:t>a</w:t>
      </w:r>
    </w:p>
    <w:p>
      <w:pPr>
        <w:pStyle w:val="BodyText"/>
        <w:spacing w:line="235" w:lineRule="auto" w:before="2"/>
        <w:ind w:left="827" w:right="1528"/>
      </w:pPr>
      <w:r>
        <w:rPr>
          <w:w w:val="120"/>
        </w:rPr>
        <w:t>greater focus on empowering everyone. The 2019 theme will be One Body: We’re all in this together. The price will be frozen. We have received, and are actively exploring, a proposal to establish a URC Youth music group. YE are getting involved in establishing a JPIT Ecumenical Youth Forum and sending a rep to the Quaker Youth gathering in 2018. We give thanks for our Youth Moderators (past and present) and all the work they have done and continue to do.</w:t>
      </w:r>
    </w:p>
    <w:p>
      <w:pPr>
        <w:spacing w:after="0" w:line="235" w:lineRule="auto"/>
        <w:sectPr>
          <w:headerReference w:type="even" r:id="rId256"/>
          <w:pgSz w:w="11910" w:h="16840"/>
          <w:pgMar w:header="0" w:footer="647" w:top="0" w:bottom="840" w:left="420" w:right="380"/>
        </w:sectPr>
      </w:pPr>
    </w:p>
    <w:p>
      <w:pPr>
        <w:pStyle w:val="BodyText"/>
      </w:pPr>
    </w:p>
    <w:p>
      <w:pPr>
        <w:pStyle w:val="BodyText"/>
        <w:spacing w:before="5"/>
        <w:rPr>
          <w:sz w:val="21"/>
        </w:rPr>
      </w:pPr>
    </w:p>
    <w:p>
      <w:pPr>
        <w:spacing w:after="0"/>
        <w:rPr>
          <w:sz w:val="21"/>
        </w:rPr>
        <w:sectPr>
          <w:headerReference w:type="default" r:id="rId257"/>
          <w:footerReference w:type="default" r:id="rId258"/>
          <w:footerReference w:type="even" r:id="rId259"/>
          <w:pgSz w:w="11910" w:h="16840"/>
          <w:pgMar w:header="0" w:footer="647" w:top="0" w:bottom="840" w:left="420" w:right="380"/>
          <w:pgNumType w:start="85"/>
        </w:sectPr>
      </w:pPr>
    </w:p>
    <w:p>
      <w:pPr>
        <w:pStyle w:val="BodyText"/>
        <w:spacing w:before="6"/>
        <w:rPr>
          <w:sz w:val="52"/>
        </w:rPr>
      </w:pPr>
    </w:p>
    <w:p>
      <w:pPr>
        <w:pStyle w:val="Heading4"/>
        <w:numPr>
          <w:ilvl w:val="0"/>
          <w:numId w:val="63"/>
        </w:numPr>
        <w:tabs>
          <w:tab w:pos="2244" w:val="left" w:leader="none"/>
          <w:tab w:pos="2245" w:val="left" w:leader="none"/>
        </w:tabs>
        <w:spacing w:line="240" w:lineRule="auto" w:before="0" w:after="0"/>
        <w:ind w:left="2244" w:right="0" w:hanging="681"/>
        <w:jc w:val="left"/>
      </w:pPr>
      <w:r>
        <w:rPr>
          <w:spacing w:val="3"/>
          <w:w w:val="110"/>
        </w:rPr>
        <w:t>Pilots</w:t>
      </w:r>
    </w:p>
    <w:p>
      <w:pPr>
        <w:pStyle w:val="Heading5"/>
        <w:ind w:left="1564"/>
      </w:pPr>
      <w:r>
        <w:rPr/>
        <w:br w:type="column"/>
      </w:r>
      <w:r>
        <w:rPr>
          <w:color w:val="7EAABF"/>
          <w:w w:val="120"/>
        </w:rPr>
        <w:t>Children’s and youth work</w:t>
      </w:r>
    </w:p>
    <w:p>
      <w:pPr>
        <w:spacing w:after="0"/>
        <w:sectPr>
          <w:type w:val="continuous"/>
          <w:pgSz w:w="11910" w:h="16840"/>
          <w:pgMar w:top="1580" w:bottom="280" w:left="420" w:right="380"/>
          <w:cols w:num="2" w:equalWidth="0">
            <w:col w:w="3168" w:space="2226"/>
            <w:col w:w="5716"/>
          </w:cols>
        </w:sectPr>
      </w:pPr>
    </w:p>
    <w:p>
      <w:pPr>
        <w:pStyle w:val="ListParagraph"/>
        <w:numPr>
          <w:ilvl w:val="1"/>
          <w:numId w:val="63"/>
        </w:numPr>
        <w:tabs>
          <w:tab w:pos="2244" w:val="left" w:leader="none"/>
          <w:tab w:pos="2245" w:val="left" w:leader="none"/>
        </w:tabs>
        <w:spacing w:line="235" w:lineRule="auto" w:before="69" w:after="0"/>
        <w:ind w:left="1564" w:right="1007" w:firstLine="0"/>
        <w:jc w:val="left"/>
        <w:rPr>
          <w:sz w:val="20"/>
        </w:rPr>
      </w:pPr>
      <w:r>
        <w:rPr/>
        <w:drawing>
          <wp:anchor distT="0" distB="0" distL="0" distR="0" allowOverlap="1" layoutInCell="1" locked="0" behindDoc="0" simplePos="0" relativeHeight="251892736">
            <wp:simplePos x="0" y="0"/>
            <wp:positionH relativeFrom="page">
              <wp:posOffset>6974928</wp:posOffset>
            </wp:positionH>
            <wp:positionV relativeFrom="page">
              <wp:posOffset>0</wp:posOffset>
            </wp:positionV>
            <wp:extent cx="585063" cy="10692003"/>
            <wp:effectExtent l="0" t="0" r="0" b="0"/>
            <wp:wrapNone/>
            <wp:docPr id="157" name="image57.png"/>
            <wp:cNvGraphicFramePr>
              <a:graphicFrameLocks noChangeAspect="1"/>
            </wp:cNvGraphicFramePr>
            <a:graphic>
              <a:graphicData uri="http://schemas.openxmlformats.org/drawingml/2006/picture">
                <pic:pic>
                  <pic:nvPicPr>
                    <pic:cNvPr id="158" name="image57.png"/>
                    <pic:cNvPicPr/>
                  </pic:nvPicPr>
                  <pic:blipFill>
                    <a:blip r:embed="rId230" cstate="print"/>
                    <a:stretch>
                      <a:fillRect/>
                    </a:stretch>
                  </pic:blipFill>
                  <pic:spPr>
                    <a:xfrm>
                      <a:off x="0" y="0"/>
                      <a:ext cx="585063" cy="10692003"/>
                    </a:xfrm>
                    <a:prstGeom prst="rect">
                      <a:avLst/>
                    </a:prstGeom>
                  </pic:spPr>
                </pic:pic>
              </a:graphicData>
            </a:graphic>
          </wp:anchor>
        </w:drawing>
      </w:r>
      <w:r>
        <w:rPr/>
        <w:drawing>
          <wp:anchor distT="0" distB="0" distL="0" distR="0" allowOverlap="1" layoutInCell="1" locked="0" behindDoc="0" simplePos="0" relativeHeight="251893760">
            <wp:simplePos x="0" y="0"/>
            <wp:positionH relativeFrom="page">
              <wp:posOffset>5670000</wp:posOffset>
            </wp:positionH>
            <wp:positionV relativeFrom="paragraph">
              <wp:posOffset>478672</wp:posOffset>
            </wp:positionV>
            <wp:extent cx="1084519" cy="881999"/>
            <wp:effectExtent l="0" t="0" r="0" b="0"/>
            <wp:wrapNone/>
            <wp:docPr id="159" name="image71.jpeg"/>
            <wp:cNvGraphicFramePr>
              <a:graphicFrameLocks noChangeAspect="1"/>
            </wp:cNvGraphicFramePr>
            <a:graphic>
              <a:graphicData uri="http://schemas.openxmlformats.org/drawingml/2006/picture">
                <pic:pic>
                  <pic:nvPicPr>
                    <pic:cNvPr id="160" name="image71.jpeg"/>
                    <pic:cNvPicPr/>
                  </pic:nvPicPr>
                  <pic:blipFill>
                    <a:blip r:embed="rId260" cstate="print"/>
                    <a:stretch>
                      <a:fillRect/>
                    </a:stretch>
                  </pic:blipFill>
                  <pic:spPr>
                    <a:xfrm>
                      <a:off x="0" y="0"/>
                      <a:ext cx="1084519" cy="881999"/>
                    </a:xfrm>
                    <a:prstGeom prst="rect">
                      <a:avLst/>
                    </a:prstGeom>
                  </pic:spPr>
                </pic:pic>
              </a:graphicData>
            </a:graphic>
          </wp:anchor>
        </w:drawing>
      </w:r>
      <w:r>
        <w:rPr/>
        <w:pict>
          <v:shape style="position:absolute;margin-left:554.141174pt;margin-top:-28.931347pt;width:26pt;height:272.95pt;mso-position-horizontal-relative:page;mso-position-vertical-relative:paragraph;z-index:251894784" type="#_x0000_t202" filled="false" stroked="false">
            <v:textbox inset="0,0,0,0" style="layout-flow:vertical">
              <w:txbxContent>
                <w:p>
                  <w:pPr>
                    <w:spacing w:before="29"/>
                    <w:ind w:left="20" w:right="0" w:firstLine="0"/>
                    <w:jc w:val="left"/>
                    <w:rPr>
                      <w:sz w:val="39"/>
                    </w:rPr>
                  </w:pPr>
                  <w:r>
                    <w:rPr>
                      <w:color w:val="FFFFFF"/>
                      <w:spacing w:val="3"/>
                      <w:w w:val="125"/>
                      <w:sz w:val="39"/>
                    </w:rPr>
                    <w:t>Children’s </w:t>
                  </w:r>
                  <w:r>
                    <w:rPr>
                      <w:color w:val="FFFFFF"/>
                      <w:spacing w:val="7"/>
                      <w:w w:val="125"/>
                      <w:sz w:val="39"/>
                    </w:rPr>
                    <w:t>and </w:t>
                  </w:r>
                  <w:r>
                    <w:rPr>
                      <w:color w:val="FFFFFF"/>
                      <w:spacing w:val="8"/>
                      <w:w w:val="125"/>
                      <w:sz w:val="39"/>
                    </w:rPr>
                    <w:t>youth</w:t>
                  </w:r>
                  <w:r>
                    <w:rPr>
                      <w:color w:val="FFFFFF"/>
                      <w:spacing w:val="81"/>
                      <w:w w:val="125"/>
                      <w:sz w:val="39"/>
                    </w:rPr>
                    <w:t> </w:t>
                  </w:r>
                  <w:r>
                    <w:rPr>
                      <w:color w:val="FFFFFF"/>
                      <w:spacing w:val="7"/>
                      <w:w w:val="125"/>
                      <w:sz w:val="39"/>
                    </w:rPr>
                    <w:t>work</w:t>
                  </w:r>
                </w:p>
              </w:txbxContent>
            </v:textbox>
            <w10:wrap type="none"/>
          </v:shape>
        </w:pict>
      </w:r>
      <w:r>
        <w:rPr>
          <w:spacing w:val="-7"/>
          <w:w w:val="120"/>
          <w:sz w:val="20"/>
        </w:rPr>
        <w:t>2016 </w:t>
      </w:r>
      <w:r>
        <w:rPr>
          <w:w w:val="120"/>
          <w:sz w:val="20"/>
        </w:rPr>
        <w:t>saw the 80th anniversary of Pilots. Celebrations were ‘low key’ having had national events only 5 years previously. Pilots celebrated the past to affirm the present and look to the</w:t>
      </w:r>
      <w:r>
        <w:rPr>
          <w:spacing w:val="7"/>
          <w:w w:val="120"/>
          <w:sz w:val="20"/>
        </w:rPr>
        <w:t> </w:t>
      </w:r>
      <w:r>
        <w:rPr>
          <w:w w:val="120"/>
          <w:sz w:val="20"/>
        </w:rPr>
        <w:t>future:</w:t>
      </w:r>
    </w:p>
    <w:p>
      <w:pPr>
        <w:pStyle w:val="ListParagraph"/>
        <w:numPr>
          <w:ilvl w:val="2"/>
          <w:numId w:val="63"/>
        </w:numPr>
        <w:tabs>
          <w:tab w:pos="2244" w:val="left" w:leader="none"/>
          <w:tab w:pos="2245" w:val="left" w:leader="none"/>
        </w:tabs>
        <w:spacing w:line="235" w:lineRule="exact" w:before="0" w:after="0"/>
        <w:ind w:left="2244" w:right="0" w:hanging="681"/>
        <w:jc w:val="left"/>
        <w:rPr>
          <w:sz w:val="20"/>
        </w:rPr>
      </w:pPr>
      <w:r>
        <w:rPr>
          <w:w w:val="120"/>
          <w:sz w:val="20"/>
        </w:rPr>
        <w:t>Pilots produced a special 80th anniversary</w:t>
      </w:r>
      <w:r>
        <w:rPr>
          <w:spacing w:val="16"/>
          <w:w w:val="120"/>
          <w:sz w:val="20"/>
        </w:rPr>
        <w:t> </w:t>
      </w:r>
      <w:r>
        <w:rPr>
          <w:w w:val="120"/>
          <w:sz w:val="20"/>
        </w:rPr>
        <w:t>logo.</w:t>
      </w:r>
    </w:p>
    <w:p>
      <w:pPr>
        <w:pStyle w:val="ListParagraph"/>
        <w:numPr>
          <w:ilvl w:val="2"/>
          <w:numId w:val="63"/>
        </w:numPr>
        <w:tabs>
          <w:tab w:pos="2244" w:val="left" w:leader="none"/>
          <w:tab w:pos="2245" w:val="left" w:leader="none"/>
        </w:tabs>
        <w:spacing w:line="240" w:lineRule="exact" w:before="0" w:after="0"/>
        <w:ind w:left="2244" w:right="0" w:hanging="681"/>
        <w:jc w:val="left"/>
        <w:rPr>
          <w:sz w:val="20"/>
        </w:rPr>
      </w:pPr>
      <w:r>
        <w:rPr>
          <w:w w:val="120"/>
          <w:sz w:val="20"/>
        </w:rPr>
        <w:t>Anniversary badges and balloons were sent to all</w:t>
      </w:r>
      <w:r>
        <w:rPr>
          <w:spacing w:val="19"/>
          <w:w w:val="120"/>
          <w:sz w:val="20"/>
        </w:rPr>
        <w:t> </w:t>
      </w:r>
      <w:r>
        <w:rPr>
          <w:w w:val="120"/>
          <w:sz w:val="20"/>
        </w:rPr>
        <w:t>companies.</w:t>
      </w:r>
    </w:p>
    <w:p>
      <w:pPr>
        <w:pStyle w:val="ListParagraph"/>
        <w:numPr>
          <w:ilvl w:val="2"/>
          <w:numId w:val="63"/>
        </w:numPr>
        <w:tabs>
          <w:tab w:pos="2244" w:val="left" w:leader="none"/>
          <w:tab w:pos="2245" w:val="left" w:leader="none"/>
        </w:tabs>
        <w:spacing w:line="235" w:lineRule="auto" w:before="0" w:after="0"/>
        <w:ind w:left="2244" w:right="2914" w:hanging="681"/>
        <w:jc w:val="left"/>
        <w:rPr>
          <w:sz w:val="20"/>
        </w:rPr>
      </w:pPr>
      <w:r>
        <w:rPr>
          <w:w w:val="120"/>
          <w:sz w:val="20"/>
        </w:rPr>
        <w:t>Pilots companies around the country were encouraged to celebrate and then to tell their stories and those of old Pilots through </w:t>
      </w:r>
      <w:r>
        <w:rPr>
          <w:i/>
          <w:w w:val="120"/>
          <w:sz w:val="20"/>
        </w:rPr>
        <w:t>The Bridge</w:t>
      </w:r>
      <w:r>
        <w:rPr>
          <w:w w:val="120"/>
          <w:sz w:val="20"/>
        </w:rPr>
        <w:t>. The Revd Janet Lees penned a hymn especially for the</w:t>
      </w:r>
      <w:r>
        <w:rPr>
          <w:spacing w:val="4"/>
          <w:w w:val="120"/>
          <w:sz w:val="20"/>
        </w:rPr>
        <w:t> </w:t>
      </w:r>
      <w:r>
        <w:rPr>
          <w:w w:val="120"/>
          <w:sz w:val="20"/>
        </w:rPr>
        <w:t>anniversary.</w:t>
      </w:r>
    </w:p>
    <w:p>
      <w:pPr>
        <w:pStyle w:val="BodyText"/>
        <w:spacing w:before="4"/>
        <w:rPr>
          <w:sz w:val="19"/>
        </w:rPr>
      </w:pPr>
    </w:p>
    <w:p>
      <w:pPr>
        <w:pStyle w:val="ListParagraph"/>
        <w:numPr>
          <w:ilvl w:val="1"/>
          <w:numId w:val="63"/>
        </w:numPr>
        <w:tabs>
          <w:tab w:pos="2244" w:val="left" w:leader="none"/>
          <w:tab w:pos="2245" w:val="left" w:leader="none"/>
        </w:tabs>
        <w:spacing w:line="237" w:lineRule="exact" w:before="0" w:after="0"/>
        <w:ind w:left="2244" w:right="0" w:hanging="681"/>
        <w:jc w:val="left"/>
        <w:rPr>
          <w:sz w:val="20"/>
        </w:rPr>
      </w:pPr>
      <w:r>
        <w:rPr>
          <w:w w:val="120"/>
          <w:sz w:val="20"/>
        </w:rPr>
        <w:t>Publications:</w:t>
      </w:r>
    </w:p>
    <w:p>
      <w:pPr>
        <w:pStyle w:val="ListParagraph"/>
        <w:numPr>
          <w:ilvl w:val="2"/>
          <w:numId w:val="63"/>
        </w:numPr>
        <w:tabs>
          <w:tab w:pos="2244" w:val="left" w:leader="none"/>
          <w:tab w:pos="2245" w:val="left" w:leader="none"/>
        </w:tabs>
        <w:spacing w:line="235" w:lineRule="auto" w:before="0" w:after="0"/>
        <w:ind w:left="2244" w:right="2186" w:hanging="681"/>
        <w:jc w:val="left"/>
        <w:rPr>
          <w:sz w:val="20"/>
        </w:rPr>
      </w:pPr>
      <w:r>
        <w:rPr>
          <w:spacing w:val="-7"/>
          <w:w w:val="120"/>
          <w:sz w:val="20"/>
        </w:rPr>
        <w:t>2016 </w:t>
      </w:r>
      <w:r>
        <w:rPr>
          <w:w w:val="120"/>
          <w:sz w:val="20"/>
        </w:rPr>
        <w:t>Roots &amp; Foundations Worship Materials, and Canada Overseas Voyage</w:t>
      </w:r>
      <w:r>
        <w:rPr>
          <w:spacing w:val="1"/>
          <w:w w:val="120"/>
          <w:sz w:val="20"/>
        </w:rPr>
        <w:t> </w:t>
      </w:r>
      <w:r>
        <w:rPr>
          <w:w w:val="120"/>
          <w:sz w:val="20"/>
        </w:rPr>
        <w:t>Resource</w:t>
      </w:r>
    </w:p>
    <w:p>
      <w:pPr>
        <w:pStyle w:val="ListParagraph"/>
        <w:numPr>
          <w:ilvl w:val="2"/>
          <w:numId w:val="63"/>
        </w:numPr>
        <w:tabs>
          <w:tab w:pos="2244" w:val="left" w:leader="none"/>
          <w:tab w:pos="2245" w:val="left" w:leader="none"/>
        </w:tabs>
        <w:spacing w:line="235" w:lineRule="auto" w:before="0" w:after="0"/>
        <w:ind w:left="2244" w:right="1714" w:hanging="681"/>
        <w:jc w:val="left"/>
        <w:rPr>
          <w:sz w:val="20"/>
        </w:rPr>
      </w:pPr>
      <w:r>
        <w:rPr>
          <w:spacing w:val="-9"/>
          <w:w w:val="120"/>
          <w:sz w:val="20"/>
        </w:rPr>
        <w:t>2017 </w:t>
      </w:r>
      <w:r>
        <w:rPr>
          <w:w w:val="120"/>
          <w:sz w:val="20"/>
        </w:rPr>
        <w:t>Feasts &amp; Festivals Worship Materials, and Pakistan Overseas Voyage Resource</w:t>
      </w:r>
    </w:p>
    <w:p>
      <w:pPr>
        <w:pStyle w:val="ListParagraph"/>
        <w:numPr>
          <w:ilvl w:val="2"/>
          <w:numId w:val="63"/>
        </w:numPr>
        <w:tabs>
          <w:tab w:pos="2244" w:val="left" w:leader="none"/>
          <w:tab w:pos="2245" w:val="left" w:leader="none"/>
        </w:tabs>
        <w:spacing w:line="235" w:lineRule="auto" w:before="0" w:after="0"/>
        <w:ind w:left="2244" w:right="1192" w:hanging="681"/>
        <w:jc w:val="left"/>
        <w:rPr>
          <w:i/>
          <w:sz w:val="20"/>
        </w:rPr>
      </w:pPr>
      <w:r>
        <w:rPr>
          <w:w w:val="120"/>
          <w:sz w:val="20"/>
        </w:rPr>
        <w:t>Basic</w:t>
      </w:r>
      <w:r>
        <w:rPr>
          <w:spacing w:val="-9"/>
          <w:w w:val="120"/>
          <w:sz w:val="20"/>
        </w:rPr>
        <w:t> </w:t>
      </w:r>
      <w:r>
        <w:rPr>
          <w:w w:val="120"/>
          <w:sz w:val="20"/>
        </w:rPr>
        <w:t>Introductory</w:t>
      </w:r>
      <w:r>
        <w:rPr>
          <w:spacing w:val="-8"/>
          <w:w w:val="120"/>
          <w:sz w:val="20"/>
        </w:rPr>
        <w:t> </w:t>
      </w:r>
      <w:r>
        <w:rPr>
          <w:w w:val="120"/>
          <w:sz w:val="20"/>
        </w:rPr>
        <w:t>Training</w:t>
      </w:r>
      <w:r>
        <w:rPr>
          <w:spacing w:val="-8"/>
          <w:w w:val="120"/>
          <w:sz w:val="20"/>
        </w:rPr>
        <w:t> </w:t>
      </w:r>
      <w:r>
        <w:rPr>
          <w:w w:val="120"/>
          <w:sz w:val="20"/>
        </w:rPr>
        <w:t>material</w:t>
      </w:r>
      <w:r>
        <w:rPr>
          <w:spacing w:val="-8"/>
          <w:w w:val="120"/>
          <w:sz w:val="20"/>
        </w:rPr>
        <w:t> </w:t>
      </w:r>
      <w:r>
        <w:rPr>
          <w:w w:val="120"/>
          <w:sz w:val="20"/>
        </w:rPr>
        <w:t>was</w:t>
      </w:r>
      <w:r>
        <w:rPr>
          <w:spacing w:val="-8"/>
          <w:w w:val="120"/>
          <w:sz w:val="20"/>
        </w:rPr>
        <w:t> </w:t>
      </w:r>
      <w:r>
        <w:rPr>
          <w:w w:val="120"/>
          <w:sz w:val="20"/>
        </w:rPr>
        <w:t>produced</w:t>
      </w:r>
      <w:r>
        <w:rPr>
          <w:spacing w:val="-8"/>
          <w:w w:val="120"/>
          <w:sz w:val="20"/>
        </w:rPr>
        <w:t> </w:t>
      </w:r>
      <w:r>
        <w:rPr>
          <w:w w:val="120"/>
          <w:sz w:val="20"/>
        </w:rPr>
        <w:t>for</w:t>
      </w:r>
      <w:r>
        <w:rPr>
          <w:spacing w:val="-8"/>
          <w:w w:val="120"/>
          <w:sz w:val="20"/>
        </w:rPr>
        <w:t> </w:t>
      </w:r>
      <w:r>
        <w:rPr>
          <w:w w:val="120"/>
          <w:sz w:val="20"/>
        </w:rPr>
        <w:t>Pilots</w:t>
      </w:r>
      <w:r>
        <w:rPr>
          <w:spacing w:val="-8"/>
          <w:w w:val="120"/>
          <w:sz w:val="20"/>
        </w:rPr>
        <w:t> </w:t>
      </w:r>
      <w:r>
        <w:rPr>
          <w:w w:val="120"/>
          <w:sz w:val="20"/>
        </w:rPr>
        <w:t>leaders;</w:t>
      </w:r>
      <w:r>
        <w:rPr>
          <w:spacing w:val="-9"/>
          <w:w w:val="120"/>
          <w:sz w:val="20"/>
        </w:rPr>
        <w:t> </w:t>
      </w:r>
      <w:r>
        <w:rPr>
          <w:i/>
          <w:w w:val="120"/>
          <w:sz w:val="20"/>
        </w:rPr>
        <w:t>Let</w:t>
      </w:r>
      <w:r>
        <w:rPr>
          <w:i/>
          <w:spacing w:val="-10"/>
          <w:w w:val="120"/>
          <w:sz w:val="20"/>
        </w:rPr>
        <w:t> </w:t>
      </w:r>
      <w:r>
        <w:rPr>
          <w:i/>
          <w:w w:val="120"/>
          <w:sz w:val="20"/>
        </w:rPr>
        <w:t>Justice </w:t>
      </w:r>
      <w:r>
        <w:rPr>
          <w:i/>
          <w:w w:val="120"/>
          <w:sz w:val="20"/>
        </w:rPr>
        <w:t>Flow </w:t>
      </w:r>
      <w:r>
        <w:rPr>
          <w:spacing w:val="-3"/>
          <w:w w:val="120"/>
          <w:sz w:val="20"/>
        </w:rPr>
        <w:t>(social </w:t>
      </w:r>
      <w:r>
        <w:rPr>
          <w:w w:val="120"/>
          <w:sz w:val="20"/>
        </w:rPr>
        <w:t>justice material) was written by members of the Pilots Community and Commitment for Life Interns; and </w:t>
      </w:r>
      <w:r>
        <w:rPr>
          <w:i/>
          <w:w w:val="120"/>
          <w:sz w:val="20"/>
        </w:rPr>
        <w:t>The New Compass </w:t>
      </w:r>
      <w:r>
        <w:rPr>
          <w:w w:val="120"/>
          <w:sz w:val="20"/>
        </w:rPr>
        <w:t>(Pilots Manual) was produced by Pilots and </w:t>
      </w:r>
      <w:r>
        <w:rPr>
          <w:spacing w:val="-3"/>
          <w:w w:val="120"/>
          <w:sz w:val="20"/>
        </w:rPr>
        <w:t>Children’s </w:t>
      </w:r>
      <w:r>
        <w:rPr>
          <w:w w:val="120"/>
          <w:sz w:val="20"/>
        </w:rPr>
        <w:t>and </w:t>
      </w:r>
      <w:r>
        <w:rPr>
          <w:spacing w:val="-3"/>
          <w:w w:val="120"/>
          <w:sz w:val="20"/>
        </w:rPr>
        <w:t>Youth </w:t>
      </w:r>
      <w:r>
        <w:rPr>
          <w:w w:val="120"/>
          <w:sz w:val="20"/>
        </w:rPr>
        <w:t>Work Development Officers </w:t>
      </w:r>
      <w:r>
        <w:rPr>
          <w:spacing w:val="-3"/>
          <w:w w:val="120"/>
          <w:sz w:val="20"/>
        </w:rPr>
        <w:t>(CYDOs) </w:t>
      </w:r>
      <w:r>
        <w:rPr>
          <w:w w:val="120"/>
          <w:sz w:val="20"/>
        </w:rPr>
        <w:t>along with </w:t>
      </w:r>
      <w:r>
        <w:rPr>
          <w:i/>
          <w:w w:val="120"/>
          <w:sz w:val="20"/>
        </w:rPr>
        <w:t>Compass </w:t>
      </w:r>
      <w:r>
        <w:rPr>
          <w:i/>
          <w:spacing w:val="-3"/>
          <w:w w:val="120"/>
          <w:sz w:val="20"/>
        </w:rPr>
        <w:t>Taster </w:t>
      </w:r>
      <w:r>
        <w:rPr>
          <w:w w:val="120"/>
          <w:sz w:val="20"/>
        </w:rPr>
        <w:t>booklet and new</w:t>
      </w:r>
      <w:r>
        <w:rPr>
          <w:spacing w:val="9"/>
          <w:w w:val="120"/>
          <w:sz w:val="20"/>
        </w:rPr>
        <w:t> </w:t>
      </w:r>
      <w:r>
        <w:rPr>
          <w:i/>
          <w:w w:val="120"/>
          <w:sz w:val="20"/>
        </w:rPr>
        <w:t>Logbook</w:t>
      </w:r>
    </w:p>
    <w:p>
      <w:pPr>
        <w:pStyle w:val="ListParagraph"/>
        <w:numPr>
          <w:ilvl w:val="2"/>
          <w:numId w:val="63"/>
        </w:numPr>
        <w:tabs>
          <w:tab w:pos="2244" w:val="left" w:leader="none"/>
          <w:tab w:pos="2245" w:val="left" w:leader="none"/>
        </w:tabs>
        <w:spacing w:line="244" w:lineRule="exact" w:before="0" w:after="0"/>
        <w:ind w:left="2244" w:right="0" w:hanging="681"/>
        <w:jc w:val="left"/>
        <w:rPr>
          <w:sz w:val="20"/>
        </w:rPr>
      </w:pPr>
      <w:r>
        <w:rPr>
          <w:spacing w:val="-6"/>
          <w:w w:val="120"/>
          <w:sz w:val="20"/>
        </w:rPr>
        <w:t>2018 </w:t>
      </w:r>
      <w:r>
        <w:rPr>
          <w:w w:val="120"/>
          <w:sz w:val="20"/>
        </w:rPr>
        <w:t>Pilgrimage Worship</w:t>
      </w:r>
      <w:r>
        <w:rPr>
          <w:spacing w:val="12"/>
          <w:w w:val="120"/>
          <w:sz w:val="20"/>
        </w:rPr>
        <w:t> </w:t>
      </w:r>
      <w:r>
        <w:rPr>
          <w:w w:val="120"/>
          <w:sz w:val="20"/>
        </w:rPr>
        <w:t>Materials.</w:t>
      </w:r>
    </w:p>
    <w:p>
      <w:pPr>
        <w:pStyle w:val="BodyText"/>
        <w:spacing w:before="10"/>
        <w:rPr>
          <w:sz w:val="17"/>
        </w:rPr>
      </w:pPr>
    </w:p>
    <w:p>
      <w:pPr>
        <w:pStyle w:val="ListParagraph"/>
        <w:numPr>
          <w:ilvl w:val="1"/>
          <w:numId w:val="63"/>
        </w:numPr>
        <w:tabs>
          <w:tab w:pos="2244" w:val="left" w:leader="none"/>
          <w:tab w:pos="2245" w:val="left" w:leader="none"/>
        </w:tabs>
        <w:spacing w:line="235" w:lineRule="auto" w:before="0" w:after="0"/>
        <w:ind w:left="1564" w:right="1404" w:firstLine="0"/>
        <w:jc w:val="left"/>
        <w:rPr>
          <w:sz w:val="20"/>
        </w:rPr>
      </w:pPr>
      <w:r>
        <w:rPr>
          <w:w w:val="120"/>
          <w:sz w:val="20"/>
        </w:rPr>
        <w:t>Big Day Out </w:t>
      </w:r>
      <w:r>
        <w:rPr>
          <w:spacing w:val="-12"/>
          <w:w w:val="120"/>
          <w:sz w:val="20"/>
        </w:rPr>
        <w:t>2017. </w:t>
      </w:r>
      <w:r>
        <w:rPr>
          <w:w w:val="120"/>
          <w:sz w:val="20"/>
        </w:rPr>
        <w:t>At the request of the discipleship department, Pilots hosted the </w:t>
      </w:r>
      <w:r>
        <w:rPr>
          <w:spacing w:val="-3"/>
          <w:w w:val="120"/>
          <w:sz w:val="20"/>
        </w:rPr>
        <w:t>URC’s </w:t>
      </w:r>
      <w:r>
        <w:rPr>
          <w:w w:val="120"/>
          <w:sz w:val="20"/>
        </w:rPr>
        <w:t>Feasts and Festivals Big Day Out at Warwick Castle in </w:t>
      </w:r>
      <w:r>
        <w:rPr>
          <w:spacing w:val="-4"/>
          <w:w w:val="120"/>
          <w:sz w:val="20"/>
        </w:rPr>
        <w:t>May, </w:t>
      </w:r>
      <w:r>
        <w:rPr>
          <w:w w:val="120"/>
          <w:sz w:val="20"/>
        </w:rPr>
        <w:t>as an intergenerational event. Over </w:t>
      </w:r>
      <w:r>
        <w:rPr>
          <w:spacing w:val="-3"/>
          <w:w w:val="120"/>
          <w:sz w:val="20"/>
        </w:rPr>
        <w:t>1,300 </w:t>
      </w:r>
      <w:r>
        <w:rPr>
          <w:w w:val="120"/>
          <w:sz w:val="20"/>
        </w:rPr>
        <w:t>attendees, engaging worship, </w:t>
      </w:r>
      <w:r>
        <w:rPr>
          <w:spacing w:val="2"/>
          <w:w w:val="120"/>
          <w:sz w:val="20"/>
        </w:rPr>
        <w:t>crafts </w:t>
      </w:r>
      <w:r>
        <w:rPr>
          <w:w w:val="120"/>
          <w:sz w:val="20"/>
        </w:rPr>
        <w:t>activities, poetry, workshops, bird shows, sword fights, journeys through time, and</w:t>
      </w:r>
      <w:r>
        <w:rPr>
          <w:spacing w:val="8"/>
          <w:w w:val="120"/>
          <w:sz w:val="20"/>
        </w:rPr>
        <w:t> </w:t>
      </w:r>
      <w:r>
        <w:rPr>
          <w:w w:val="120"/>
          <w:sz w:val="20"/>
        </w:rPr>
        <w:t>other</w:t>
      </w:r>
    </w:p>
    <w:p>
      <w:pPr>
        <w:pStyle w:val="BodyText"/>
        <w:spacing w:line="235" w:lineRule="auto" w:before="3"/>
        <w:ind w:left="1564" w:right="923"/>
      </w:pPr>
      <w:r>
        <w:rPr>
          <w:w w:val="120"/>
        </w:rPr>
        <w:t>activities, provided the whole URC with a good starting point from which Walking the Way: Living the life of Jesus today could emerge as the URC’s fresh focus on missional discipleship. Warmest thanks to all who worked hard to make this day a success.</w:t>
      </w:r>
    </w:p>
    <w:p>
      <w:pPr>
        <w:pStyle w:val="BodyText"/>
        <w:spacing w:line="235" w:lineRule="auto" w:before="2"/>
        <w:ind w:left="1564" w:right="923"/>
      </w:pPr>
      <w:r>
        <w:rPr>
          <w:w w:val="120"/>
        </w:rPr>
        <w:t>Guests and contributors on the day came from Christian Aid, Messy Church, URC Youth, Racial Justice Advocates and the Council for World Mission – plus the Moderators of General Assembly. Music was provided by Mersey Synod’s Café Jam band and there</w:t>
      </w:r>
    </w:p>
    <w:p>
      <w:pPr>
        <w:pStyle w:val="BodyText"/>
        <w:spacing w:line="235" w:lineRule="auto" w:before="3"/>
        <w:ind w:left="1564"/>
      </w:pPr>
      <w:r>
        <w:rPr>
          <w:w w:val="120"/>
        </w:rPr>
        <w:t>was a Treasure Hunt around the castle and grounds. Films of the day can be seen on </w:t>
      </w:r>
      <w:r>
        <w:rPr>
          <w:color w:val="006AB3"/>
          <w:w w:val="120"/>
        </w:rPr>
        <w:t>bit.ly/PilotsBDO18 </w:t>
      </w:r>
      <w:r>
        <w:rPr>
          <w:w w:val="120"/>
        </w:rPr>
        <w:t>and </w:t>
      </w:r>
      <w:r>
        <w:rPr>
          <w:color w:val="006AB3"/>
          <w:w w:val="120"/>
        </w:rPr>
        <w:t>bit.ly/PBDO18</w:t>
      </w:r>
      <w:r>
        <w:rPr>
          <w:w w:val="120"/>
        </w:rPr>
        <w:t>.</w:t>
      </w:r>
    </w:p>
    <w:p>
      <w:pPr>
        <w:pStyle w:val="BodyText"/>
        <w:spacing w:before="9"/>
        <w:rPr>
          <w:sz w:val="19"/>
        </w:rPr>
      </w:pPr>
    </w:p>
    <w:p>
      <w:pPr>
        <w:pStyle w:val="ListParagraph"/>
        <w:numPr>
          <w:ilvl w:val="1"/>
          <w:numId w:val="63"/>
        </w:numPr>
        <w:tabs>
          <w:tab w:pos="2244" w:val="left" w:leader="none"/>
          <w:tab w:pos="2245" w:val="left" w:leader="none"/>
        </w:tabs>
        <w:spacing w:line="235" w:lineRule="auto" w:before="0" w:after="0"/>
        <w:ind w:left="1564" w:right="1039" w:firstLine="0"/>
        <w:jc w:val="left"/>
        <w:rPr>
          <w:sz w:val="20"/>
        </w:rPr>
      </w:pPr>
      <w:r>
        <w:rPr>
          <w:spacing w:val="-9"/>
          <w:w w:val="120"/>
          <w:sz w:val="20"/>
        </w:rPr>
        <w:t>2017 </w:t>
      </w:r>
      <w:r>
        <w:rPr>
          <w:w w:val="120"/>
          <w:sz w:val="20"/>
        </w:rPr>
        <w:t>was a hugely challenging year for Pilots with the departure of the key staff and further Pilots companies closing. </w:t>
      </w:r>
      <w:r>
        <w:rPr>
          <w:spacing w:val="-9"/>
          <w:w w:val="120"/>
          <w:sz w:val="20"/>
        </w:rPr>
        <w:t>2017 </w:t>
      </w:r>
      <w:r>
        <w:rPr>
          <w:w w:val="120"/>
          <w:sz w:val="20"/>
        </w:rPr>
        <w:t>saw approval given by Mission Council to appoint a Pilots advocate – a voluntary figurehead; it is hoped that this person will make a positive impact, once</w:t>
      </w:r>
      <w:r>
        <w:rPr>
          <w:spacing w:val="11"/>
          <w:w w:val="120"/>
          <w:sz w:val="20"/>
        </w:rPr>
        <w:t> </w:t>
      </w:r>
      <w:r>
        <w:rPr>
          <w:w w:val="120"/>
          <w:sz w:val="20"/>
        </w:rPr>
        <w:t>appointed.</w:t>
      </w:r>
    </w:p>
    <w:p>
      <w:pPr>
        <w:pStyle w:val="BodyText"/>
        <w:spacing w:before="11"/>
        <w:rPr>
          <w:sz w:val="19"/>
        </w:rPr>
      </w:pPr>
    </w:p>
    <w:p>
      <w:pPr>
        <w:pStyle w:val="ListParagraph"/>
        <w:numPr>
          <w:ilvl w:val="1"/>
          <w:numId w:val="63"/>
        </w:numPr>
        <w:tabs>
          <w:tab w:pos="2244" w:val="left" w:leader="none"/>
          <w:tab w:pos="2245" w:val="left" w:leader="none"/>
        </w:tabs>
        <w:spacing w:line="235" w:lineRule="auto" w:before="0" w:after="0"/>
        <w:ind w:left="1564" w:right="876" w:firstLine="0"/>
        <w:jc w:val="left"/>
        <w:rPr>
          <w:sz w:val="20"/>
        </w:rPr>
      </w:pPr>
      <w:r>
        <w:rPr>
          <w:spacing w:val="-6"/>
          <w:w w:val="120"/>
          <w:sz w:val="20"/>
        </w:rPr>
        <w:t>2018 </w:t>
      </w:r>
      <w:r>
        <w:rPr>
          <w:w w:val="120"/>
          <w:sz w:val="20"/>
        </w:rPr>
        <w:t>sees the development of The Big Speak Out, hosted by Pilots for all URC young people aged </w:t>
      </w:r>
      <w:r>
        <w:rPr>
          <w:spacing w:val="-10"/>
          <w:w w:val="120"/>
          <w:sz w:val="20"/>
        </w:rPr>
        <w:t>11-18. </w:t>
      </w:r>
      <w:r>
        <w:rPr>
          <w:w w:val="120"/>
          <w:sz w:val="20"/>
        </w:rPr>
        <w:t>This will run alongside General Assembly, enabling young people to find their voice and have fun and fellowship </w:t>
      </w:r>
      <w:r>
        <w:rPr>
          <w:spacing w:val="-9"/>
          <w:w w:val="120"/>
          <w:sz w:val="20"/>
        </w:rPr>
        <w:t>(a </w:t>
      </w:r>
      <w:r>
        <w:rPr>
          <w:w w:val="120"/>
          <w:sz w:val="20"/>
        </w:rPr>
        <w:t>Voyagers and Navigators event reimagined). Pilots leaders are being offered their own gathering at the weekend, to share learning, build community and consider the future. The new Pilots Coordinator, Steve </w:t>
      </w:r>
      <w:r>
        <w:rPr>
          <w:spacing w:val="-3"/>
          <w:w w:val="120"/>
          <w:sz w:val="20"/>
        </w:rPr>
        <w:t>Tait, </w:t>
      </w:r>
      <w:r>
        <w:rPr>
          <w:w w:val="120"/>
          <w:sz w:val="20"/>
        </w:rPr>
        <w:t>will be working closely with regional Pilot officers to promote and support existing companies. Pilots is planning to contribute to Greenbelt festival; and we celebrate the birth of the newest Pilots company at</w:t>
      </w:r>
      <w:r>
        <w:rPr>
          <w:spacing w:val="16"/>
          <w:w w:val="120"/>
          <w:sz w:val="20"/>
        </w:rPr>
        <w:t> </w:t>
      </w:r>
      <w:r>
        <w:rPr>
          <w:w w:val="120"/>
          <w:sz w:val="20"/>
        </w:rPr>
        <w:t>Tolworth.</w:t>
      </w:r>
    </w:p>
    <w:p>
      <w:pPr>
        <w:pStyle w:val="BodyText"/>
        <w:spacing w:before="6"/>
        <w:rPr>
          <w:sz w:val="22"/>
        </w:rPr>
      </w:pPr>
    </w:p>
    <w:p>
      <w:pPr>
        <w:pStyle w:val="Heading4"/>
        <w:numPr>
          <w:ilvl w:val="0"/>
          <w:numId w:val="63"/>
        </w:numPr>
        <w:tabs>
          <w:tab w:pos="2244" w:val="left" w:leader="none"/>
          <w:tab w:pos="2245" w:val="left" w:leader="none"/>
        </w:tabs>
        <w:spacing w:line="240" w:lineRule="auto" w:before="1" w:after="0"/>
        <w:ind w:left="2244" w:right="0" w:hanging="681"/>
        <w:jc w:val="left"/>
      </w:pPr>
      <w:r>
        <w:rPr>
          <w:spacing w:val="7"/>
          <w:w w:val="110"/>
        </w:rPr>
        <w:t>CYDOs </w:t>
      </w:r>
      <w:r>
        <w:rPr>
          <w:spacing w:val="3"/>
          <w:w w:val="110"/>
        </w:rPr>
        <w:t>and </w:t>
      </w:r>
      <w:r>
        <w:rPr>
          <w:spacing w:val="4"/>
          <w:w w:val="110"/>
        </w:rPr>
        <w:t>synod</w:t>
      </w:r>
      <w:r>
        <w:rPr>
          <w:spacing w:val="28"/>
          <w:w w:val="110"/>
        </w:rPr>
        <w:t> </w:t>
      </w:r>
      <w:r>
        <w:rPr>
          <w:spacing w:val="4"/>
          <w:w w:val="110"/>
        </w:rPr>
        <w:t>developments</w:t>
      </w:r>
    </w:p>
    <w:p>
      <w:pPr>
        <w:pStyle w:val="BodyText"/>
        <w:spacing w:line="235" w:lineRule="auto" w:before="69"/>
        <w:ind w:left="1564" w:right="1814"/>
      </w:pPr>
      <w:r>
        <w:rPr>
          <w:w w:val="120"/>
        </w:rPr>
        <w:t>The </w:t>
      </w:r>
      <w:r>
        <w:rPr>
          <w:spacing w:val="3"/>
          <w:w w:val="120"/>
        </w:rPr>
        <w:t>CYDO </w:t>
      </w:r>
      <w:r>
        <w:rPr>
          <w:w w:val="120"/>
        </w:rPr>
        <w:t>team played an active and supportive role in covering the large gaps in central staffing over </w:t>
      </w:r>
      <w:r>
        <w:rPr>
          <w:spacing w:val="-9"/>
          <w:w w:val="120"/>
        </w:rPr>
        <w:t>2017 </w:t>
      </w:r>
      <w:r>
        <w:rPr>
          <w:w w:val="120"/>
        </w:rPr>
        <w:t>and </w:t>
      </w:r>
      <w:r>
        <w:rPr>
          <w:spacing w:val="-5"/>
          <w:w w:val="120"/>
        </w:rPr>
        <w:t>2018. </w:t>
      </w:r>
      <w:r>
        <w:rPr>
          <w:w w:val="120"/>
        </w:rPr>
        <w:t>There is a focus on improved</w:t>
      </w:r>
      <w:r>
        <w:rPr>
          <w:spacing w:val="32"/>
          <w:w w:val="120"/>
        </w:rPr>
        <w:t> </w:t>
      </w:r>
      <w:r>
        <w:rPr>
          <w:w w:val="120"/>
        </w:rPr>
        <w:t>two-way</w:t>
      </w:r>
    </w:p>
    <w:p>
      <w:pPr>
        <w:pStyle w:val="BodyText"/>
        <w:spacing w:line="235" w:lineRule="auto" w:before="1"/>
        <w:ind w:left="1564" w:right="1068"/>
      </w:pPr>
      <w:r>
        <w:rPr>
          <w:w w:val="120"/>
        </w:rPr>
        <w:t>communication with </w:t>
      </w:r>
      <w:r>
        <w:rPr>
          <w:spacing w:val="2"/>
          <w:w w:val="120"/>
        </w:rPr>
        <w:t>CYDOs </w:t>
      </w:r>
      <w:r>
        <w:rPr>
          <w:w w:val="120"/>
        </w:rPr>
        <w:t>being invited to contribute to a wide range of meetings across URC work that involves children and young people. Some synods, for a variety  of context-specific reasons, have moved away from employing </w:t>
      </w:r>
      <w:r>
        <w:rPr>
          <w:spacing w:val="2"/>
          <w:w w:val="120"/>
        </w:rPr>
        <w:t>CYDOs </w:t>
      </w:r>
      <w:r>
        <w:rPr>
          <w:w w:val="120"/>
        </w:rPr>
        <w:t>which presents new challenges to sustaining an Assembly-level programme and enabling children and young people across the whole denomination to have equal access to all opportunities and resources. This area will form </w:t>
      </w:r>
      <w:r>
        <w:rPr>
          <w:spacing w:val="2"/>
          <w:w w:val="120"/>
        </w:rPr>
        <w:t>part </w:t>
      </w:r>
      <w:r>
        <w:rPr>
          <w:w w:val="120"/>
        </w:rPr>
        <w:t>of the</w:t>
      </w:r>
      <w:r>
        <w:rPr>
          <w:spacing w:val="9"/>
          <w:w w:val="120"/>
        </w:rPr>
        <w:t> </w:t>
      </w:r>
      <w:r>
        <w:rPr>
          <w:w w:val="120"/>
        </w:rPr>
        <w:t>Review.</w:t>
      </w:r>
    </w:p>
    <w:p>
      <w:pPr>
        <w:spacing w:after="0" w:line="235" w:lineRule="auto"/>
        <w:sectPr>
          <w:type w:val="continuous"/>
          <w:pgSz w:w="11910" w:h="16840"/>
          <w:pgMar w:top="1580" w:bottom="280" w:left="420" w:right="380"/>
        </w:sectPr>
      </w:pPr>
    </w:p>
    <w:p>
      <w:pPr>
        <w:pStyle w:val="BodyText"/>
      </w:pPr>
      <w:r>
        <w:rPr/>
        <w:drawing>
          <wp:anchor distT="0" distB="0" distL="0" distR="0" allowOverlap="1" layoutInCell="1" locked="0" behindDoc="1" simplePos="0" relativeHeight="235928576">
            <wp:simplePos x="0" y="0"/>
            <wp:positionH relativeFrom="page">
              <wp:posOffset>0</wp:posOffset>
            </wp:positionH>
            <wp:positionV relativeFrom="page">
              <wp:posOffset>0</wp:posOffset>
            </wp:positionV>
            <wp:extent cx="594067" cy="10692003"/>
            <wp:effectExtent l="0" t="0" r="0" b="0"/>
            <wp:wrapNone/>
            <wp:docPr id="161" name="image70.png"/>
            <wp:cNvGraphicFramePr>
              <a:graphicFrameLocks noChangeAspect="1"/>
            </wp:cNvGraphicFramePr>
            <a:graphic>
              <a:graphicData uri="http://schemas.openxmlformats.org/drawingml/2006/picture">
                <pic:pic>
                  <pic:nvPicPr>
                    <pic:cNvPr id="16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72.95pt;mso-position-horizontal-relative:page;mso-position-vertical-relative:paragraph;z-index:251896832" type="#_x0000_t202" filled="false" stroked="false">
            <v:textbox inset="0,0,0,0" style="layout-flow:vertical">
              <w:txbxContent>
                <w:p>
                  <w:pPr>
                    <w:spacing w:before="29"/>
                    <w:ind w:left="20" w:right="0" w:firstLine="0"/>
                    <w:jc w:val="left"/>
                    <w:rPr>
                      <w:sz w:val="39"/>
                    </w:rPr>
                  </w:pPr>
                  <w:r>
                    <w:rPr>
                      <w:color w:val="FFFFFF"/>
                      <w:spacing w:val="3"/>
                      <w:w w:val="125"/>
                      <w:sz w:val="39"/>
                    </w:rPr>
                    <w:t>Children’s </w:t>
                  </w:r>
                  <w:r>
                    <w:rPr>
                      <w:color w:val="FFFFFF"/>
                      <w:spacing w:val="7"/>
                      <w:w w:val="125"/>
                      <w:sz w:val="39"/>
                    </w:rPr>
                    <w:t>and </w:t>
                  </w:r>
                  <w:r>
                    <w:rPr>
                      <w:color w:val="FFFFFF"/>
                      <w:spacing w:val="8"/>
                      <w:w w:val="125"/>
                      <w:sz w:val="39"/>
                    </w:rPr>
                    <w:t>youth</w:t>
                  </w:r>
                  <w:r>
                    <w:rPr>
                      <w:color w:val="FFFFFF"/>
                      <w:spacing w:val="81"/>
                      <w:w w:val="125"/>
                      <w:sz w:val="39"/>
                    </w:rPr>
                    <w:t> </w:t>
                  </w:r>
                  <w:r>
                    <w:rPr>
                      <w:color w:val="FFFFFF"/>
                      <w:spacing w:val="7"/>
                      <w:w w:val="125"/>
                      <w:sz w:val="39"/>
                    </w:rPr>
                    <w:t>work</w:t>
                  </w:r>
                </w:p>
              </w:txbxContent>
            </v:textbox>
            <w10:wrap type="none"/>
          </v:shape>
        </w:pict>
      </w:r>
      <w:r>
        <w:rPr>
          <w:color w:val="7EAABF"/>
          <w:w w:val="120"/>
        </w:rPr>
        <w:t>Children’s and youth work</w:t>
      </w:r>
    </w:p>
    <w:p>
      <w:pPr>
        <w:pStyle w:val="ListParagraph"/>
        <w:numPr>
          <w:ilvl w:val="0"/>
          <w:numId w:val="63"/>
        </w:numPr>
        <w:tabs>
          <w:tab w:pos="1507" w:val="left" w:leader="none"/>
          <w:tab w:pos="1508" w:val="left" w:leader="none"/>
        </w:tabs>
        <w:spacing w:line="240" w:lineRule="auto" w:before="173" w:after="0"/>
        <w:ind w:left="1507" w:right="0" w:hanging="681"/>
        <w:jc w:val="left"/>
        <w:rPr>
          <w:rFonts w:ascii="Stone Sans II ITC Std Bk"/>
          <w:b/>
          <w:sz w:val="29"/>
        </w:rPr>
      </w:pPr>
      <w:r>
        <w:rPr>
          <w:rFonts w:ascii="Stone Sans II ITC Std Bk"/>
          <w:b/>
          <w:spacing w:val="4"/>
          <w:w w:val="110"/>
          <w:sz w:val="29"/>
        </w:rPr>
        <w:t>Safeguarding</w:t>
      </w:r>
    </w:p>
    <w:p>
      <w:pPr>
        <w:pStyle w:val="BodyText"/>
        <w:spacing w:line="235" w:lineRule="auto" w:before="69"/>
        <w:ind w:left="827" w:right="1722"/>
      </w:pPr>
      <w:r>
        <w:rPr>
          <w:w w:val="120"/>
        </w:rPr>
        <w:t>The accessible nature of </w:t>
      </w:r>
      <w:r>
        <w:rPr>
          <w:i/>
          <w:w w:val="120"/>
        </w:rPr>
        <w:t>Good Practice 4 </w:t>
      </w:r>
      <w:r>
        <w:rPr>
          <w:spacing w:val="-7"/>
          <w:w w:val="120"/>
        </w:rPr>
        <w:t>(GP4) </w:t>
      </w:r>
      <w:r>
        <w:rPr>
          <w:w w:val="120"/>
        </w:rPr>
        <w:t>has been well received, helping churches and synods to understand their obligations and consider safeguarding issues in ways    fit for current times. The </w:t>
      </w:r>
      <w:r>
        <w:rPr>
          <w:spacing w:val="6"/>
          <w:w w:val="120"/>
        </w:rPr>
        <w:t>CYW </w:t>
      </w:r>
      <w:r>
        <w:rPr>
          <w:w w:val="120"/>
        </w:rPr>
        <w:t>office has also benefitted directly by using it to update  its own safeguarding policies for events and services. We are working closely with the newly appointed URC Safeguarding Officer, and have added shutdown and dispersal procedures to our risk assessments, in response to recent terror</w:t>
      </w:r>
      <w:r>
        <w:rPr>
          <w:spacing w:val="2"/>
          <w:w w:val="120"/>
        </w:rPr>
        <w:t> </w:t>
      </w:r>
      <w:r>
        <w:rPr>
          <w:w w:val="120"/>
        </w:rPr>
        <w:t>attacks.</w:t>
      </w:r>
    </w:p>
    <w:p>
      <w:pPr>
        <w:pStyle w:val="BodyText"/>
        <w:spacing w:before="1"/>
        <w:rPr>
          <w:sz w:val="19"/>
        </w:rPr>
      </w:pPr>
    </w:p>
    <w:p>
      <w:pPr>
        <w:pStyle w:val="Heading4"/>
        <w:numPr>
          <w:ilvl w:val="0"/>
          <w:numId w:val="63"/>
        </w:numPr>
        <w:tabs>
          <w:tab w:pos="1507" w:val="left" w:leader="none"/>
          <w:tab w:pos="1508" w:val="left" w:leader="none"/>
        </w:tabs>
        <w:spacing w:line="240" w:lineRule="auto" w:before="0" w:after="0"/>
        <w:ind w:left="1507" w:right="0" w:hanging="681"/>
        <w:jc w:val="left"/>
      </w:pPr>
      <w:r>
        <w:rPr>
          <w:spacing w:val="2"/>
          <w:w w:val="110"/>
        </w:rPr>
        <w:t>Website</w:t>
      </w:r>
    </w:p>
    <w:p>
      <w:pPr>
        <w:pStyle w:val="BodyText"/>
        <w:spacing w:line="235" w:lineRule="auto" w:before="69"/>
        <w:ind w:left="827" w:right="1653"/>
      </w:pPr>
      <w:r>
        <w:rPr>
          <w:w w:val="120"/>
        </w:rPr>
        <w:t>The text-based nature of the site is still somewhat challenging to work with, but our  aim is to ensure it is possible to easily access the breadth of opportunities and resources available through the </w:t>
      </w:r>
      <w:r>
        <w:rPr>
          <w:spacing w:val="6"/>
          <w:w w:val="120"/>
        </w:rPr>
        <w:t>CYW </w:t>
      </w:r>
      <w:r>
        <w:rPr>
          <w:w w:val="120"/>
        </w:rPr>
        <w:t>office. We wish to increase the repository of</w:t>
      </w:r>
      <w:r>
        <w:rPr>
          <w:spacing w:val="-2"/>
          <w:w w:val="120"/>
        </w:rPr>
        <w:t> </w:t>
      </w:r>
      <w:r>
        <w:rPr>
          <w:w w:val="120"/>
        </w:rPr>
        <w:t>resources</w:t>
      </w:r>
    </w:p>
    <w:p>
      <w:pPr>
        <w:pStyle w:val="BodyText"/>
        <w:spacing w:line="235" w:lineRule="auto" w:before="3"/>
        <w:ind w:left="827" w:right="1548"/>
      </w:pPr>
      <w:r>
        <w:rPr>
          <w:w w:val="120"/>
        </w:rPr>
        <w:t>for local churches, include shared stories about children’s and youth work and add materials for parents and carers. We have altered the format of the monthly resources to complement the Holy Habits materials as part of the Walking the Way focus.</w:t>
      </w:r>
    </w:p>
    <w:p>
      <w:pPr>
        <w:pStyle w:val="BodyText"/>
        <w:spacing w:before="11"/>
        <w:rPr>
          <w:sz w:val="18"/>
        </w:rPr>
      </w:pPr>
    </w:p>
    <w:p>
      <w:pPr>
        <w:pStyle w:val="Heading4"/>
        <w:numPr>
          <w:ilvl w:val="0"/>
          <w:numId w:val="63"/>
        </w:numPr>
        <w:tabs>
          <w:tab w:pos="1507" w:val="left" w:leader="none"/>
          <w:tab w:pos="1508" w:val="left" w:leader="none"/>
        </w:tabs>
        <w:spacing w:line="240" w:lineRule="auto" w:before="0" w:after="0"/>
        <w:ind w:left="1507" w:right="0" w:hanging="681"/>
        <w:jc w:val="left"/>
      </w:pPr>
      <w:r>
        <w:rPr>
          <w:spacing w:val="2"/>
          <w:w w:val="110"/>
        </w:rPr>
        <w:t>Society, </w:t>
      </w:r>
      <w:r>
        <w:rPr>
          <w:spacing w:val="3"/>
          <w:w w:val="110"/>
        </w:rPr>
        <w:t>ecumenical and international</w:t>
      </w:r>
      <w:r>
        <w:rPr>
          <w:spacing w:val="45"/>
          <w:w w:val="110"/>
        </w:rPr>
        <w:t> </w:t>
      </w:r>
      <w:r>
        <w:rPr>
          <w:spacing w:val="2"/>
          <w:w w:val="110"/>
        </w:rPr>
        <w:t>work</w:t>
      </w:r>
    </w:p>
    <w:p>
      <w:pPr>
        <w:pStyle w:val="BodyText"/>
        <w:spacing w:line="235" w:lineRule="auto" w:before="69"/>
        <w:ind w:left="827" w:right="1735"/>
      </w:pPr>
      <w:r>
        <w:rPr>
          <w:w w:val="120"/>
        </w:rPr>
        <w:t>There is a genuine sense of interest in the wellbeing and full participation of children and young people in the worldwide Church ecumenically. The recent Council for World Mission Global </w:t>
      </w:r>
      <w:r>
        <w:rPr>
          <w:spacing w:val="-3"/>
          <w:w w:val="120"/>
        </w:rPr>
        <w:t>Youth </w:t>
      </w:r>
      <w:r>
        <w:rPr>
          <w:w w:val="120"/>
        </w:rPr>
        <w:t>Forum and the World Council of Churches Conference on World Mission and Evangelism clearly showed an increased focus on truly intergenerational working and living. The URC continues to support the </w:t>
      </w:r>
      <w:r>
        <w:rPr>
          <w:spacing w:val="-5"/>
          <w:w w:val="120"/>
        </w:rPr>
        <w:t>WCC’s </w:t>
      </w:r>
      <w:r>
        <w:rPr>
          <w:spacing w:val="2"/>
          <w:w w:val="120"/>
        </w:rPr>
        <w:t>efforts </w:t>
      </w:r>
      <w:r>
        <w:rPr>
          <w:w w:val="120"/>
        </w:rPr>
        <w:t>to promote the rights of children in the Church and Society. Our closest Mission partner, </w:t>
      </w:r>
      <w:r>
        <w:rPr>
          <w:spacing w:val="3"/>
          <w:w w:val="120"/>
        </w:rPr>
        <w:t>CWM,</w:t>
      </w:r>
      <w:r>
        <w:rPr>
          <w:spacing w:val="50"/>
          <w:w w:val="120"/>
        </w:rPr>
        <w:t> </w:t>
      </w:r>
      <w:r>
        <w:rPr>
          <w:w w:val="120"/>
        </w:rPr>
        <w:t>is</w:t>
      </w:r>
    </w:p>
    <w:p>
      <w:pPr>
        <w:pStyle w:val="BodyText"/>
        <w:spacing w:line="235" w:lineRule="auto" w:before="4"/>
        <w:ind w:left="827" w:right="1758"/>
      </w:pPr>
      <w:r>
        <w:rPr>
          <w:w w:val="120"/>
        </w:rPr>
        <w:t>also renewing its work with children and young people, regionally and worldwide. In Europe, this will mean a focus on mental health and migration issues in </w:t>
      </w:r>
      <w:r>
        <w:rPr>
          <w:spacing w:val="-5"/>
          <w:w w:val="120"/>
        </w:rPr>
        <w:t>2018, </w:t>
      </w:r>
      <w:r>
        <w:rPr>
          <w:w w:val="120"/>
        </w:rPr>
        <w:t>following calls from children and young people in member churches calling for more action in these areas. We are contributing to the planning of both programmes in the UK and recruiting participants. Members of URC </w:t>
      </w:r>
      <w:r>
        <w:rPr>
          <w:spacing w:val="-3"/>
          <w:w w:val="120"/>
        </w:rPr>
        <w:t>Youth </w:t>
      </w:r>
      <w:r>
        <w:rPr>
          <w:w w:val="120"/>
        </w:rPr>
        <w:t>have participated in worldwide mission and training opportunities enabled by our ecumenical partnerships. Churches Together in Britain and Ireland </w:t>
      </w:r>
      <w:r>
        <w:rPr>
          <w:spacing w:val="-3"/>
          <w:w w:val="120"/>
        </w:rPr>
        <w:t>Children’s  </w:t>
      </w:r>
      <w:r>
        <w:rPr>
          <w:w w:val="120"/>
        </w:rPr>
        <w:t>Ministry Network – The URC continues to play an   active part, developing links with other UK denominations, particularly through mutual invitations to youth representatives to attend</w:t>
      </w:r>
      <w:r>
        <w:rPr>
          <w:spacing w:val="8"/>
          <w:w w:val="120"/>
        </w:rPr>
        <w:t> </w:t>
      </w:r>
      <w:r>
        <w:rPr>
          <w:w w:val="120"/>
        </w:rPr>
        <w:t>events.</w:t>
      </w:r>
    </w:p>
    <w:p>
      <w:pPr>
        <w:pStyle w:val="BodyText"/>
        <w:spacing w:before="4"/>
        <w:rPr>
          <w:sz w:val="19"/>
        </w:rPr>
      </w:pPr>
    </w:p>
    <w:p>
      <w:pPr>
        <w:pStyle w:val="Heading4"/>
        <w:numPr>
          <w:ilvl w:val="0"/>
          <w:numId w:val="63"/>
        </w:numPr>
        <w:tabs>
          <w:tab w:pos="1508" w:val="left" w:leader="none"/>
        </w:tabs>
        <w:spacing w:line="240" w:lineRule="auto" w:before="0" w:after="0"/>
        <w:ind w:left="1507" w:right="0" w:hanging="681"/>
        <w:jc w:val="left"/>
      </w:pPr>
      <w:r>
        <w:rPr>
          <w:spacing w:val="4"/>
          <w:w w:val="110"/>
        </w:rPr>
        <w:t>Other </w:t>
      </w:r>
      <w:r>
        <w:rPr>
          <w:spacing w:val="2"/>
          <w:w w:val="110"/>
        </w:rPr>
        <w:t>work</w:t>
      </w:r>
      <w:r>
        <w:rPr>
          <w:spacing w:val="21"/>
          <w:w w:val="110"/>
        </w:rPr>
        <w:t> </w:t>
      </w:r>
      <w:r>
        <w:rPr>
          <w:spacing w:val="5"/>
          <w:w w:val="110"/>
        </w:rPr>
        <w:t>undertaken</w:t>
      </w:r>
    </w:p>
    <w:p>
      <w:pPr>
        <w:pStyle w:val="BodyText"/>
        <w:spacing w:line="235" w:lineRule="auto" w:before="69"/>
        <w:ind w:left="827" w:right="1778"/>
      </w:pPr>
      <w:r>
        <w:rPr>
          <w:w w:val="120"/>
        </w:rPr>
        <w:t>The </w:t>
      </w:r>
      <w:r>
        <w:rPr>
          <w:spacing w:val="-3"/>
          <w:w w:val="120"/>
        </w:rPr>
        <w:t>Children’s </w:t>
      </w:r>
      <w:r>
        <w:rPr>
          <w:w w:val="120"/>
        </w:rPr>
        <w:t>and </w:t>
      </w:r>
      <w:r>
        <w:rPr>
          <w:spacing w:val="-3"/>
          <w:w w:val="120"/>
        </w:rPr>
        <w:t>Youth </w:t>
      </w:r>
      <w:r>
        <w:rPr>
          <w:w w:val="120"/>
        </w:rPr>
        <w:t>Work office have published a new booklet on ‘Theology of </w:t>
      </w:r>
      <w:r>
        <w:rPr>
          <w:spacing w:val="-4"/>
          <w:w w:val="120"/>
        </w:rPr>
        <w:t>Play’.  </w:t>
      </w:r>
      <w:r>
        <w:rPr>
          <w:w w:val="120"/>
        </w:rPr>
        <w:t>The Child Friendly Church Award scheme has </w:t>
      </w:r>
      <w:r>
        <w:rPr>
          <w:spacing w:val="-15"/>
          <w:w w:val="120"/>
        </w:rPr>
        <w:t>111  </w:t>
      </w:r>
      <w:r>
        <w:rPr>
          <w:w w:val="120"/>
        </w:rPr>
        <w:t>churches participating, with   </w:t>
      </w:r>
      <w:r>
        <w:rPr>
          <w:spacing w:val="-12"/>
          <w:w w:val="120"/>
        </w:rPr>
        <w:t>17</w:t>
      </w:r>
      <w:r>
        <w:rPr>
          <w:spacing w:val="13"/>
          <w:w w:val="120"/>
        </w:rPr>
        <w:t> </w:t>
      </w:r>
      <w:r>
        <w:rPr>
          <w:spacing w:val="2"/>
          <w:w w:val="120"/>
        </w:rPr>
        <w:t>CFCAs</w:t>
      </w:r>
      <w:r>
        <w:rPr>
          <w:spacing w:val="14"/>
          <w:w w:val="120"/>
        </w:rPr>
        <w:t> </w:t>
      </w:r>
      <w:r>
        <w:rPr>
          <w:w w:val="120"/>
        </w:rPr>
        <w:t>being</w:t>
      </w:r>
      <w:r>
        <w:rPr>
          <w:spacing w:val="14"/>
          <w:w w:val="120"/>
        </w:rPr>
        <w:t> </w:t>
      </w:r>
      <w:r>
        <w:rPr>
          <w:w w:val="120"/>
        </w:rPr>
        <w:t>awarded</w:t>
      </w:r>
      <w:r>
        <w:rPr>
          <w:spacing w:val="14"/>
          <w:w w:val="120"/>
        </w:rPr>
        <w:t> </w:t>
      </w:r>
      <w:r>
        <w:rPr>
          <w:w w:val="120"/>
        </w:rPr>
        <w:t>since</w:t>
      </w:r>
      <w:r>
        <w:rPr>
          <w:spacing w:val="13"/>
          <w:w w:val="120"/>
        </w:rPr>
        <w:t> </w:t>
      </w:r>
      <w:r>
        <w:rPr>
          <w:w w:val="120"/>
        </w:rPr>
        <w:t>GA</w:t>
      </w:r>
      <w:r>
        <w:rPr>
          <w:spacing w:val="14"/>
          <w:w w:val="120"/>
        </w:rPr>
        <w:t> </w:t>
      </w:r>
      <w:r>
        <w:rPr>
          <w:spacing w:val="-6"/>
          <w:w w:val="120"/>
        </w:rPr>
        <w:t>2016.</w:t>
      </w:r>
      <w:r>
        <w:rPr>
          <w:spacing w:val="14"/>
          <w:w w:val="120"/>
        </w:rPr>
        <w:t> </w:t>
      </w:r>
      <w:r>
        <w:rPr>
          <w:w w:val="120"/>
        </w:rPr>
        <w:t>Links</w:t>
      </w:r>
      <w:r>
        <w:rPr>
          <w:spacing w:val="14"/>
          <w:w w:val="120"/>
        </w:rPr>
        <w:t> </w:t>
      </w:r>
      <w:r>
        <w:rPr>
          <w:w w:val="120"/>
        </w:rPr>
        <w:t>with</w:t>
      </w:r>
      <w:r>
        <w:rPr>
          <w:spacing w:val="13"/>
          <w:w w:val="120"/>
        </w:rPr>
        <w:t> </w:t>
      </w:r>
      <w:r>
        <w:rPr>
          <w:w w:val="120"/>
        </w:rPr>
        <w:t>Crossfire</w:t>
      </w:r>
      <w:r>
        <w:rPr>
          <w:spacing w:val="14"/>
          <w:w w:val="120"/>
        </w:rPr>
        <w:t> </w:t>
      </w:r>
      <w:r>
        <w:rPr>
          <w:w w:val="120"/>
        </w:rPr>
        <w:t>have</w:t>
      </w:r>
      <w:r>
        <w:rPr>
          <w:spacing w:val="14"/>
          <w:w w:val="120"/>
        </w:rPr>
        <w:t> </w:t>
      </w:r>
      <w:r>
        <w:rPr>
          <w:w w:val="120"/>
        </w:rPr>
        <w:t>been</w:t>
      </w:r>
      <w:r>
        <w:rPr>
          <w:spacing w:val="14"/>
          <w:w w:val="120"/>
        </w:rPr>
        <w:t> </w:t>
      </w:r>
      <w:r>
        <w:rPr>
          <w:w w:val="120"/>
        </w:rPr>
        <w:t>strengthened.</w:t>
      </w:r>
    </w:p>
    <w:p>
      <w:pPr>
        <w:pStyle w:val="BodyText"/>
        <w:spacing w:before="12"/>
        <w:rPr>
          <w:sz w:val="18"/>
        </w:rPr>
      </w:pPr>
    </w:p>
    <w:p>
      <w:pPr>
        <w:pStyle w:val="Heading4"/>
        <w:numPr>
          <w:ilvl w:val="0"/>
          <w:numId w:val="63"/>
        </w:numPr>
        <w:tabs>
          <w:tab w:pos="1507" w:val="left" w:leader="none"/>
          <w:tab w:pos="1508" w:val="left" w:leader="none"/>
        </w:tabs>
        <w:spacing w:line="240" w:lineRule="auto" w:before="0" w:after="0"/>
        <w:ind w:left="1507" w:right="0" w:hanging="681"/>
        <w:jc w:val="left"/>
      </w:pPr>
      <w:r>
        <w:rPr>
          <w:spacing w:val="2"/>
          <w:w w:val="110"/>
        </w:rPr>
        <w:t>Future</w:t>
      </w:r>
      <w:r>
        <w:rPr>
          <w:spacing w:val="12"/>
          <w:w w:val="110"/>
        </w:rPr>
        <w:t> </w:t>
      </w:r>
      <w:r>
        <w:rPr>
          <w:spacing w:val="3"/>
          <w:w w:val="110"/>
        </w:rPr>
        <w:t>plans</w:t>
      </w:r>
    </w:p>
    <w:p>
      <w:pPr>
        <w:pStyle w:val="BodyText"/>
        <w:spacing w:line="235" w:lineRule="auto" w:before="69"/>
        <w:ind w:left="827" w:right="1620"/>
      </w:pPr>
      <w:r>
        <w:rPr>
          <w:w w:val="120"/>
        </w:rPr>
        <w:t>The committee feels that there is a growing need for work related to intergenerational issues in churches and we are identifying the challenges of sustaining and developing such work, along with the challenges of passing on the faith within families and communities in a wide variety of contexts.</w:t>
      </w:r>
    </w:p>
    <w:p>
      <w:pPr>
        <w:pStyle w:val="ListParagraph"/>
        <w:numPr>
          <w:ilvl w:val="0"/>
          <w:numId w:val="65"/>
        </w:numPr>
        <w:tabs>
          <w:tab w:pos="1507" w:val="left" w:leader="none"/>
          <w:tab w:pos="1508" w:val="left" w:leader="none"/>
        </w:tabs>
        <w:spacing w:line="235" w:lineRule="auto" w:before="0" w:after="0"/>
        <w:ind w:left="1507" w:right="2844" w:hanging="681"/>
        <w:jc w:val="left"/>
        <w:rPr>
          <w:sz w:val="20"/>
        </w:rPr>
      </w:pPr>
      <w:r>
        <w:rPr>
          <w:w w:val="120"/>
          <w:sz w:val="20"/>
        </w:rPr>
        <w:t>What Do </w:t>
      </w:r>
      <w:r>
        <w:rPr>
          <w:spacing w:val="-4"/>
          <w:w w:val="120"/>
          <w:sz w:val="20"/>
        </w:rPr>
        <w:t>You </w:t>
      </w:r>
      <w:r>
        <w:rPr>
          <w:w w:val="120"/>
          <w:sz w:val="20"/>
        </w:rPr>
        <w:t>Think </w:t>
      </w:r>
      <w:r>
        <w:rPr>
          <w:spacing w:val="-6"/>
          <w:w w:val="120"/>
          <w:sz w:val="20"/>
        </w:rPr>
        <w:t>2018 </w:t>
      </w:r>
      <w:r>
        <w:rPr>
          <w:w w:val="120"/>
          <w:sz w:val="20"/>
        </w:rPr>
        <w:t>– An event to help prepare </w:t>
      </w:r>
      <w:r>
        <w:rPr>
          <w:spacing w:val="-3"/>
          <w:w w:val="120"/>
          <w:sz w:val="20"/>
        </w:rPr>
        <w:t>under-26 </w:t>
      </w:r>
      <w:r>
        <w:rPr>
          <w:w w:val="120"/>
          <w:sz w:val="20"/>
        </w:rPr>
        <w:t>synod representatives for General</w:t>
      </w:r>
      <w:r>
        <w:rPr>
          <w:spacing w:val="4"/>
          <w:w w:val="120"/>
          <w:sz w:val="20"/>
        </w:rPr>
        <w:t> </w:t>
      </w:r>
      <w:r>
        <w:rPr>
          <w:w w:val="120"/>
          <w:sz w:val="20"/>
        </w:rPr>
        <w:t>Assembly.</w:t>
      </w:r>
    </w:p>
    <w:p>
      <w:pPr>
        <w:pStyle w:val="ListParagraph"/>
        <w:numPr>
          <w:ilvl w:val="0"/>
          <w:numId w:val="65"/>
        </w:numPr>
        <w:tabs>
          <w:tab w:pos="1507" w:val="left" w:leader="none"/>
          <w:tab w:pos="1508" w:val="left" w:leader="none"/>
        </w:tabs>
        <w:spacing w:line="235" w:lineRule="auto" w:before="0" w:after="0"/>
        <w:ind w:left="1507" w:right="1763" w:hanging="681"/>
        <w:jc w:val="left"/>
        <w:rPr>
          <w:sz w:val="20"/>
        </w:rPr>
      </w:pPr>
      <w:r>
        <w:rPr>
          <w:w w:val="120"/>
          <w:sz w:val="20"/>
        </w:rPr>
        <w:t>Greenbelt </w:t>
      </w:r>
      <w:r>
        <w:rPr>
          <w:spacing w:val="-6"/>
          <w:w w:val="120"/>
          <w:sz w:val="20"/>
        </w:rPr>
        <w:t>2018 </w:t>
      </w:r>
      <w:r>
        <w:rPr>
          <w:w w:val="120"/>
          <w:sz w:val="20"/>
        </w:rPr>
        <w:t>– The committee have been able to contribute both financially </w:t>
      </w:r>
      <w:r>
        <w:rPr>
          <w:spacing w:val="-6"/>
          <w:w w:val="120"/>
          <w:sz w:val="20"/>
        </w:rPr>
        <w:t>(as </w:t>
      </w:r>
      <w:r>
        <w:rPr>
          <w:w w:val="120"/>
          <w:sz w:val="20"/>
        </w:rPr>
        <w:t>a result of salary savings due to delayed recruitment of </w:t>
      </w:r>
      <w:r>
        <w:rPr>
          <w:spacing w:val="5"/>
          <w:w w:val="120"/>
          <w:sz w:val="20"/>
        </w:rPr>
        <w:t>HCYW) </w:t>
      </w:r>
      <w:r>
        <w:rPr>
          <w:w w:val="120"/>
          <w:sz w:val="20"/>
        </w:rPr>
        <w:t>and through </w:t>
      </w:r>
      <w:r>
        <w:rPr>
          <w:spacing w:val="3"/>
          <w:w w:val="120"/>
          <w:sz w:val="20"/>
        </w:rPr>
        <w:t>CYDO </w:t>
      </w:r>
      <w:r>
        <w:rPr>
          <w:w w:val="120"/>
          <w:sz w:val="20"/>
        </w:rPr>
        <w:t>and URC </w:t>
      </w:r>
      <w:r>
        <w:rPr>
          <w:spacing w:val="-3"/>
          <w:w w:val="120"/>
          <w:sz w:val="20"/>
        </w:rPr>
        <w:t>Youth </w:t>
      </w:r>
      <w:r>
        <w:rPr>
          <w:w w:val="120"/>
          <w:sz w:val="20"/>
        </w:rPr>
        <w:t>time to the URC associate partnership programme. We  are recruiting URC </w:t>
      </w:r>
      <w:r>
        <w:rPr>
          <w:spacing w:val="-3"/>
          <w:w w:val="120"/>
          <w:sz w:val="20"/>
        </w:rPr>
        <w:t>Youth </w:t>
      </w:r>
      <w:r>
        <w:rPr>
          <w:w w:val="120"/>
          <w:sz w:val="20"/>
        </w:rPr>
        <w:t>Greenbelt ambassadors to promote Greenbelt in their synods and to contribute to the URC programme at the</w:t>
      </w:r>
      <w:r>
        <w:rPr>
          <w:spacing w:val="26"/>
          <w:w w:val="120"/>
          <w:sz w:val="20"/>
        </w:rPr>
        <w:t> </w:t>
      </w:r>
      <w:r>
        <w:rPr>
          <w:w w:val="120"/>
          <w:sz w:val="20"/>
        </w:rPr>
        <w:t>festival.</w:t>
      </w:r>
    </w:p>
    <w:p>
      <w:pPr>
        <w:pStyle w:val="ListParagraph"/>
        <w:numPr>
          <w:ilvl w:val="0"/>
          <w:numId w:val="65"/>
        </w:numPr>
        <w:tabs>
          <w:tab w:pos="1507" w:val="left" w:leader="none"/>
          <w:tab w:pos="1508" w:val="left" w:leader="none"/>
        </w:tabs>
        <w:spacing w:line="237" w:lineRule="exact" w:before="0" w:after="0"/>
        <w:ind w:left="1507" w:right="0" w:hanging="681"/>
        <w:jc w:val="left"/>
        <w:rPr>
          <w:sz w:val="20"/>
        </w:rPr>
      </w:pPr>
      <w:r>
        <w:rPr>
          <w:w w:val="120"/>
          <w:sz w:val="20"/>
        </w:rPr>
        <w:t>A trip to </w:t>
      </w:r>
      <w:r>
        <w:rPr>
          <w:spacing w:val="-4"/>
          <w:w w:val="120"/>
          <w:sz w:val="20"/>
        </w:rPr>
        <w:t>Taizé </w:t>
      </w:r>
      <w:r>
        <w:rPr>
          <w:w w:val="120"/>
          <w:sz w:val="20"/>
        </w:rPr>
        <w:t>is being offered in August</w:t>
      </w:r>
      <w:r>
        <w:rPr>
          <w:spacing w:val="27"/>
          <w:w w:val="120"/>
          <w:sz w:val="20"/>
        </w:rPr>
        <w:t> </w:t>
      </w:r>
      <w:r>
        <w:rPr>
          <w:spacing w:val="-5"/>
          <w:w w:val="120"/>
          <w:sz w:val="20"/>
        </w:rPr>
        <w:t>2018.</w:t>
      </w:r>
    </w:p>
    <w:p>
      <w:pPr>
        <w:pStyle w:val="ListParagraph"/>
        <w:numPr>
          <w:ilvl w:val="0"/>
          <w:numId w:val="65"/>
        </w:numPr>
        <w:tabs>
          <w:tab w:pos="1507" w:val="left" w:leader="none"/>
          <w:tab w:pos="1508" w:val="left" w:leader="none"/>
        </w:tabs>
        <w:spacing w:line="235" w:lineRule="auto" w:before="0" w:after="0"/>
        <w:ind w:left="1507" w:right="1605" w:hanging="681"/>
        <w:jc w:val="left"/>
        <w:rPr>
          <w:sz w:val="20"/>
        </w:rPr>
      </w:pPr>
      <w:r>
        <w:rPr>
          <w:w w:val="120"/>
          <w:sz w:val="20"/>
        </w:rPr>
        <w:t>Making Space day conference for local church children’s, families and youth workers is an </w:t>
      </w:r>
      <w:r>
        <w:rPr>
          <w:spacing w:val="-3"/>
          <w:w w:val="120"/>
          <w:sz w:val="20"/>
        </w:rPr>
        <w:t>initiative </w:t>
      </w:r>
      <w:r>
        <w:rPr>
          <w:w w:val="120"/>
          <w:sz w:val="20"/>
        </w:rPr>
        <w:t>proposed by the CYDOs. </w:t>
      </w:r>
      <w:r>
        <w:rPr>
          <w:spacing w:val="-3"/>
          <w:w w:val="120"/>
          <w:sz w:val="20"/>
        </w:rPr>
        <w:t>Plans </w:t>
      </w:r>
      <w:r>
        <w:rPr>
          <w:w w:val="120"/>
          <w:sz w:val="20"/>
        </w:rPr>
        <w:t>are in progress for 6 October </w:t>
      </w:r>
      <w:r>
        <w:rPr>
          <w:spacing w:val="-6"/>
          <w:w w:val="120"/>
          <w:sz w:val="20"/>
        </w:rPr>
        <w:t>2018 </w:t>
      </w:r>
      <w:r>
        <w:rPr>
          <w:w w:val="120"/>
          <w:sz w:val="20"/>
        </w:rPr>
        <w:t>in </w:t>
      </w:r>
      <w:r>
        <w:rPr>
          <w:spacing w:val="-3"/>
          <w:w w:val="120"/>
          <w:sz w:val="20"/>
        </w:rPr>
        <w:t>Rugby, </w:t>
      </w:r>
      <w:r>
        <w:rPr>
          <w:w w:val="120"/>
          <w:sz w:val="20"/>
        </w:rPr>
        <w:t>with an optional networking meal the night before for those choosing to</w:t>
      </w:r>
      <w:r>
        <w:rPr>
          <w:spacing w:val="4"/>
          <w:w w:val="120"/>
          <w:sz w:val="20"/>
        </w:rPr>
        <w:t> </w:t>
      </w:r>
      <w:r>
        <w:rPr>
          <w:w w:val="120"/>
          <w:sz w:val="20"/>
        </w:rPr>
        <w:t>stay.</w:t>
      </w:r>
    </w:p>
    <w:p>
      <w:pPr>
        <w:pStyle w:val="BodyText"/>
        <w:spacing w:line="235" w:lineRule="auto"/>
        <w:ind w:left="827" w:right="1967"/>
      </w:pPr>
      <w:r>
        <w:rPr>
          <w:w w:val="120"/>
        </w:rPr>
        <w:t>For fuller view of children’s and youth work, see </w:t>
      </w:r>
      <w:hyperlink r:id="rId262">
        <w:r>
          <w:rPr>
            <w:color w:val="006AB3"/>
            <w:w w:val="120"/>
          </w:rPr>
          <w:t>www.urc.org.uk/our-work/children-</w:t>
        </w:r>
      </w:hyperlink>
      <w:r>
        <w:rPr>
          <w:color w:val="006AB3"/>
          <w:w w:val="120"/>
        </w:rPr>
        <w:t> and-youth </w:t>
      </w:r>
      <w:r>
        <w:rPr>
          <w:w w:val="120"/>
        </w:rPr>
        <w:t>and synod websites.</w:t>
      </w:r>
    </w:p>
    <w:p>
      <w:pPr>
        <w:spacing w:after="0" w:line="235" w:lineRule="auto"/>
        <w:sectPr>
          <w:headerReference w:type="even" r:id="rId261"/>
          <w:pgSz w:w="11910" w:h="16840"/>
          <w:pgMar w:header="0" w:footer="647" w:top="0" w:bottom="840" w:left="420" w:right="380"/>
        </w:sectPr>
      </w:pPr>
    </w:p>
    <w:p>
      <w:pPr>
        <w:pStyle w:val="BodyText"/>
      </w:pPr>
      <w:r>
        <w:rPr/>
        <w:pict>
          <v:rect style="position:absolute;margin-left:1.417pt;margin-top:.000015pt;width:547.79pt;height:841.89pt;mso-position-horizontal-relative:page;mso-position-vertical-relative:page;z-index:-267385856" filled="true" fillcolor="#d4e9f7" stroked="false">
            <v:fill type="solid"/>
            <w10:wrap type="none"/>
          </v:rect>
        </w:pict>
      </w:r>
      <w:r>
        <w:rPr/>
        <w:drawing>
          <wp:anchor distT="0" distB="0" distL="0" distR="0" allowOverlap="1" layoutInCell="1" locked="0" behindDoc="0" simplePos="0" relativeHeight="251898880">
            <wp:simplePos x="0" y="0"/>
            <wp:positionH relativeFrom="page">
              <wp:posOffset>6974928</wp:posOffset>
            </wp:positionH>
            <wp:positionV relativeFrom="page">
              <wp:posOffset>0</wp:posOffset>
            </wp:positionV>
            <wp:extent cx="585063" cy="10692003"/>
            <wp:effectExtent l="0" t="0" r="0" b="0"/>
            <wp:wrapNone/>
            <wp:docPr id="163" name="image57.png"/>
            <wp:cNvGraphicFramePr>
              <a:graphicFrameLocks noChangeAspect="1"/>
            </wp:cNvGraphicFramePr>
            <a:graphic>
              <a:graphicData uri="http://schemas.openxmlformats.org/drawingml/2006/picture">
                <pic:pic>
                  <pic:nvPicPr>
                    <pic:cNvPr id="16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09" w:right="2073"/>
        <w:jc w:val="both"/>
        <w:rPr>
          <w:b/>
        </w:rPr>
      </w:pPr>
      <w:r>
        <w:rPr/>
        <w:pict>
          <v:shape style="position:absolute;margin-left:554.141174pt;margin-top:-5.989334pt;width:26pt;height:177pt;mso-position-horizontal-relative:page;mso-position-vertical-relative:paragraph;z-index:251899904" type="#_x0000_t202" filled="false" stroked="false">
            <v:textbox inset="0,0,0,0" style="layout-flow:vertical">
              <w:txbxContent>
                <w:p>
                  <w:pPr>
                    <w:spacing w:before="29"/>
                    <w:ind w:left="20" w:right="0" w:firstLine="0"/>
                    <w:jc w:val="left"/>
                    <w:rPr>
                      <w:sz w:val="39"/>
                    </w:rPr>
                  </w:pPr>
                  <w:r>
                    <w:rPr>
                      <w:color w:val="FFFFFF"/>
                      <w:w w:val="125"/>
                      <w:sz w:val="39"/>
                    </w:rPr>
                    <w:t>Communications</w:t>
                  </w:r>
                </w:p>
              </w:txbxContent>
            </v:textbox>
            <w10:wrap type="none"/>
          </v:shape>
        </w:pict>
      </w:r>
      <w:bookmarkStart w:name="_bookmark16" w:id="18"/>
      <w:bookmarkEnd w:id="18"/>
      <w:r>
        <w:rPr>
          <w:b w:val="0"/>
        </w:rPr>
      </w:r>
      <w:r>
        <w:rPr>
          <w:b/>
          <w:color w:val="0090D4"/>
          <w:spacing w:val="-11"/>
          <w:w w:val="110"/>
        </w:rPr>
        <w:t>Communications </w:t>
      </w:r>
      <w:r>
        <w:rPr>
          <w:b/>
          <w:color w:val="0090D4"/>
          <w:spacing w:val="-10"/>
          <w:w w:val="110"/>
        </w:rPr>
        <w:t>committee </w:t>
      </w:r>
      <w:r>
        <w:rPr>
          <w:b/>
          <w:spacing w:val="-6"/>
          <w:w w:val="110"/>
        </w:rPr>
        <w:t>Report </w:t>
      </w:r>
      <w:r>
        <w:rPr>
          <w:b/>
          <w:spacing w:val="-10"/>
          <w:w w:val="110"/>
        </w:rPr>
        <w:t>to </w:t>
      </w:r>
      <w:r>
        <w:rPr>
          <w:b/>
          <w:spacing w:val="-9"/>
          <w:w w:val="110"/>
        </w:rPr>
        <w:t>General </w:t>
      </w:r>
      <w:r>
        <w:rPr>
          <w:b/>
          <w:spacing w:val="-8"/>
          <w:w w:val="110"/>
        </w:rPr>
        <w:t>Assembly </w:t>
      </w:r>
      <w:r>
        <w:rPr>
          <w:b/>
          <w:spacing w:val="-32"/>
          <w:w w:val="110"/>
        </w:rPr>
        <w:t>2018</w:t>
      </w:r>
    </w:p>
    <w:p>
      <w:pPr>
        <w:spacing w:before="354" w:after="9"/>
        <w:ind w:left="1309"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Peter Knowles: </w:t>
            </w:r>
            <w:hyperlink r:id="rId265">
              <w:r>
                <w:rPr>
                  <w:color w:val="006AB3"/>
                  <w:w w:val="120"/>
                  <w:sz w:val="20"/>
                </w:rPr>
                <w:t>peterwknowles@gmail.com</w:t>
              </w:r>
            </w:hyperlink>
          </w:p>
        </w:tc>
      </w:tr>
      <w:tr>
        <w:trPr>
          <w:trHeight w:val="40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Take note.</w:t>
            </w:r>
          </w:p>
        </w:tc>
      </w:tr>
      <w:tr>
        <w:trPr>
          <w:trHeight w:val="40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213"/>
              <w:rPr>
                <w:sz w:val="20"/>
              </w:rPr>
            </w:pPr>
            <w:r>
              <w:rPr>
                <w:w w:val="120"/>
                <w:sz w:val="20"/>
              </w:rPr>
              <w:t>To provide Assembly with an update on the work and priorities of the communications committee.</w:t>
            </w:r>
          </w:p>
        </w:tc>
      </w:tr>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148"/>
              <w:rPr>
                <w:sz w:val="20"/>
              </w:rPr>
            </w:pPr>
            <w:r>
              <w:rPr>
                <w:w w:val="120"/>
                <w:sz w:val="20"/>
              </w:rPr>
              <w:t>To give an overview of the work done in the past two years and to examine future challenges.</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2623"/>
              <w:rPr>
                <w:sz w:val="20"/>
              </w:rPr>
            </w:pPr>
            <w:r>
              <w:rPr>
                <w:w w:val="125"/>
                <w:sz w:val="20"/>
              </w:rPr>
              <w:t>C1 – Mission Council, October </w:t>
            </w:r>
            <w:r>
              <w:rPr>
                <w:spacing w:val="-6"/>
                <w:w w:val="125"/>
                <w:sz w:val="20"/>
              </w:rPr>
              <w:t>2016. </w:t>
            </w:r>
            <w:r>
              <w:rPr>
                <w:w w:val="125"/>
                <w:sz w:val="20"/>
              </w:rPr>
              <w:t>C1 – Mission Council, November </w:t>
            </w:r>
            <w:r>
              <w:rPr>
                <w:spacing w:val="-12"/>
                <w:w w:val="125"/>
                <w:sz w:val="20"/>
              </w:rPr>
              <w:t>2017.</w:t>
            </w:r>
          </w:p>
        </w:tc>
      </w:tr>
      <w:tr>
        <w:trPr>
          <w:trHeight w:val="88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ight="395"/>
              <w:rPr>
                <w:sz w:val="20"/>
              </w:rPr>
            </w:pPr>
            <w:r>
              <w:rPr>
                <w:w w:val="120"/>
                <w:sz w:val="20"/>
              </w:rPr>
              <w:t>Ongoing discussion with the communications committee, the staff of the department and the Deputy General Secretary (Administration &amp; Resources).</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None.</w:t>
            </w:r>
          </w:p>
        </w:tc>
      </w:tr>
      <w:tr>
        <w:trPr>
          <w:trHeight w:val="88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Pr>
                <w:sz w:val="20"/>
              </w:rPr>
            </w:pPr>
            <w:r>
              <w:rPr>
                <w:w w:val="120"/>
                <w:sz w:val="20"/>
              </w:rPr>
              <w:t>It is hoped that the role of the URC will be recognised by ecumenical partners, especially in the context of the work of JPIT and at Greenbelt.</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spacing w:before="0"/>
        <w:ind w:left="400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87</w:t>
      </w:r>
    </w:p>
    <w:p>
      <w:pPr>
        <w:spacing w:after="0"/>
        <w:jc w:val="left"/>
        <w:rPr>
          <w:rFonts w:ascii="Stone Sans II ITC Std X Bd" w:hAnsi="Stone Sans II ITC Std X Bd"/>
          <w:sz w:val="24"/>
        </w:rPr>
        <w:sectPr>
          <w:headerReference w:type="default" r:id="rId263"/>
          <w:footerReference w:type="default" r:id="rId264"/>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5933696">
            <wp:simplePos x="0" y="0"/>
            <wp:positionH relativeFrom="page">
              <wp:posOffset>0</wp:posOffset>
            </wp:positionH>
            <wp:positionV relativeFrom="page">
              <wp:posOffset>0</wp:posOffset>
            </wp:positionV>
            <wp:extent cx="594067" cy="10692003"/>
            <wp:effectExtent l="0" t="0" r="0" b="0"/>
            <wp:wrapNone/>
            <wp:docPr id="165" name="image70.png"/>
            <wp:cNvGraphicFramePr>
              <a:graphicFrameLocks noChangeAspect="1"/>
            </wp:cNvGraphicFramePr>
            <a:graphic>
              <a:graphicData uri="http://schemas.openxmlformats.org/drawingml/2006/picture">
                <pic:pic>
                  <pic:nvPicPr>
                    <pic:cNvPr id="16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rFonts w:ascii="Stone Sans II ITC Std X Bd"/>
          <w:b/>
          <w:sz w:val="17"/>
        </w:rPr>
      </w:pPr>
    </w:p>
    <w:p>
      <w:pPr>
        <w:pStyle w:val="Heading5"/>
        <w:spacing w:before="109"/>
        <w:ind w:left="827"/>
      </w:pPr>
      <w:r>
        <w:rPr/>
        <w:pict>
          <v:shape style="position:absolute;margin-left:20.519100pt;margin-top:22.743946pt;width:26pt;height:177pt;mso-position-horizontal-relative:page;mso-position-vertical-relative:paragraph;z-index:251902976" type="#_x0000_t202" filled="false" stroked="false">
            <v:textbox inset="0,0,0,0" style="layout-flow:vertical">
              <w:txbxContent>
                <w:p>
                  <w:pPr>
                    <w:spacing w:before="29"/>
                    <w:ind w:left="20" w:right="0" w:firstLine="0"/>
                    <w:jc w:val="left"/>
                    <w:rPr>
                      <w:sz w:val="39"/>
                    </w:rPr>
                  </w:pPr>
                  <w:r>
                    <w:rPr>
                      <w:color w:val="FFFFFF"/>
                      <w:w w:val="125"/>
                      <w:sz w:val="39"/>
                    </w:rPr>
                    <w:t>Communications</w:t>
                  </w:r>
                </w:p>
              </w:txbxContent>
            </v:textbox>
            <w10:wrap type="none"/>
          </v:shape>
        </w:pict>
      </w:r>
      <w:bookmarkStart w:name="_TOC_250008" w:id="19"/>
      <w:bookmarkEnd w:id="19"/>
      <w:r>
        <w:rPr>
          <w:color w:val="7EAABF"/>
          <w:w w:val="120"/>
        </w:rPr>
        <w:t>Communications</w:t>
      </w:r>
    </w:p>
    <w:p>
      <w:pPr>
        <w:spacing w:before="245"/>
        <w:ind w:left="850" w:right="0" w:firstLine="0"/>
        <w:jc w:val="left"/>
        <w:rPr>
          <w:rFonts w:ascii="Stone Sans II ITC Std X Bd"/>
          <w:b/>
          <w:sz w:val="50"/>
        </w:rPr>
      </w:pPr>
      <w:r>
        <w:rPr>
          <w:rFonts w:ascii="Stone Sans II ITC Std X Bd"/>
          <w:b/>
          <w:w w:val="110"/>
          <w:sz w:val="50"/>
        </w:rPr>
        <w:t>Communications update report</w:t>
      </w:r>
    </w:p>
    <w:p>
      <w:pPr>
        <w:spacing w:before="129"/>
        <w:ind w:left="940" w:right="0" w:firstLine="0"/>
        <w:jc w:val="left"/>
        <w:rPr>
          <w:rFonts w:ascii="Stone Sans II ITC Std Bk"/>
          <w:b/>
          <w:sz w:val="18"/>
        </w:rPr>
      </w:pPr>
      <w:r>
        <w:rPr/>
        <w:pict>
          <v:line style="position:absolute;mso-position-horizontal-relative:page;mso-position-vertical-relative:paragraph;z-index:251901952" from="61.944801pt,7.811117pt" to="61.944801pt,160.881117pt" stroked="true" strokeweight="1pt" strokecolor="#0090d4">
            <v:stroke dashstyle="solid"/>
            <w10:wrap type="none"/>
          </v:line>
        </w:pict>
      </w:r>
      <w:r>
        <w:rPr>
          <w:rFonts w:ascii="Stone Sans II ITC Std Bk"/>
          <w:b/>
          <w:color w:val="707172"/>
          <w:w w:val="110"/>
          <w:sz w:val="18"/>
        </w:rPr>
        <w:t>Mission statement</w:t>
      </w:r>
    </w:p>
    <w:p>
      <w:pPr>
        <w:spacing w:line="261" w:lineRule="auto" w:before="8"/>
        <w:ind w:left="940" w:right="1868" w:firstLine="0"/>
        <w:jc w:val="left"/>
        <w:rPr>
          <w:sz w:val="18"/>
        </w:rPr>
      </w:pPr>
      <w:r>
        <w:rPr>
          <w:color w:val="707172"/>
          <w:w w:val="120"/>
          <w:sz w:val="18"/>
        </w:rPr>
        <w:t>The communications department exists to promote effective communication and celebration  of the Gospel in and beyond the URC</w:t>
      </w:r>
      <w:r>
        <w:rPr>
          <w:color w:val="707172"/>
          <w:spacing w:val="23"/>
          <w:w w:val="120"/>
          <w:sz w:val="18"/>
        </w:rPr>
        <w:t> </w:t>
      </w:r>
      <w:r>
        <w:rPr>
          <w:color w:val="707172"/>
          <w:w w:val="120"/>
          <w:sz w:val="18"/>
        </w:rPr>
        <w:t>by:</w:t>
      </w:r>
    </w:p>
    <w:p>
      <w:pPr>
        <w:pStyle w:val="ListParagraph"/>
        <w:numPr>
          <w:ilvl w:val="1"/>
          <w:numId w:val="65"/>
        </w:numPr>
        <w:tabs>
          <w:tab w:pos="1507" w:val="left" w:leader="none"/>
          <w:tab w:pos="1508" w:val="left" w:leader="none"/>
        </w:tabs>
        <w:spacing w:line="240" w:lineRule="auto" w:before="1" w:after="0"/>
        <w:ind w:left="1507" w:right="0" w:hanging="568"/>
        <w:jc w:val="left"/>
        <w:rPr>
          <w:sz w:val="18"/>
        </w:rPr>
      </w:pPr>
      <w:r>
        <w:rPr>
          <w:color w:val="707172"/>
          <w:w w:val="125"/>
          <w:sz w:val="18"/>
        </w:rPr>
        <w:t>Giving voice to good</w:t>
      </w:r>
      <w:r>
        <w:rPr>
          <w:color w:val="707172"/>
          <w:spacing w:val="-1"/>
          <w:w w:val="125"/>
          <w:sz w:val="18"/>
        </w:rPr>
        <w:t> </w:t>
      </w:r>
      <w:r>
        <w:rPr>
          <w:color w:val="707172"/>
          <w:w w:val="125"/>
          <w:sz w:val="18"/>
        </w:rPr>
        <w:t>news</w:t>
      </w:r>
    </w:p>
    <w:p>
      <w:pPr>
        <w:pStyle w:val="ListParagraph"/>
        <w:numPr>
          <w:ilvl w:val="1"/>
          <w:numId w:val="65"/>
        </w:numPr>
        <w:tabs>
          <w:tab w:pos="1507" w:val="left" w:leader="none"/>
          <w:tab w:pos="1508" w:val="left" w:leader="none"/>
        </w:tabs>
        <w:spacing w:line="240" w:lineRule="auto" w:before="20" w:after="0"/>
        <w:ind w:left="1507" w:right="0" w:hanging="568"/>
        <w:jc w:val="left"/>
        <w:rPr>
          <w:sz w:val="18"/>
        </w:rPr>
      </w:pPr>
      <w:r>
        <w:rPr>
          <w:color w:val="707172"/>
          <w:w w:val="120"/>
          <w:sz w:val="18"/>
        </w:rPr>
        <w:t>Facilitating regional/national</w:t>
      </w:r>
      <w:r>
        <w:rPr>
          <w:color w:val="707172"/>
          <w:spacing w:val="4"/>
          <w:w w:val="120"/>
          <w:sz w:val="18"/>
        </w:rPr>
        <w:t> </w:t>
      </w:r>
      <w:r>
        <w:rPr>
          <w:color w:val="707172"/>
          <w:w w:val="120"/>
          <w:sz w:val="18"/>
        </w:rPr>
        <w:t>communications</w:t>
      </w:r>
    </w:p>
    <w:p>
      <w:pPr>
        <w:pStyle w:val="ListParagraph"/>
        <w:numPr>
          <w:ilvl w:val="1"/>
          <w:numId w:val="65"/>
        </w:numPr>
        <w:tabs>
          <w:tab w:pos="1507" w:val="left" w:leader="none"/>
          <w:tab w:pos="1508" w:val="left" w:leader="none"/>
        </w:tabs>
        <w:spacing w:line="240" w:lineRule="auto" w:before="20" w:after="0"/>
        <w:ind w:left="1507" w:right="0" w:hanging="568"/>
        <w:jc w:val="left"/>
        <w:rPr>
          <w:sz w:val="18"/>
        </w:rPr>
      </w:pPr>
      <w:r>
        <w:rPr>
          <w:color w:val="707172"/>
          <w:w w:val="120"/>
          <w:sz w:val="18"/>
        </w:rPr>
        <w:t>Supporting the communications of Church House departments and General</w:t>
      </w:r>
      <w:r>
        <w:rPr>
          <w:color w:val="707172"/>
          <w:spacing w:val="11"/>
          <w:w w:val="120"/>
          <w:sz w:val="18"/>
        </w:rPr>
        <w:t> </w:t>
      </w:r>
      <w:r>
        <w:rPr>
          <w:color w:val="707172"/>
          <w:w w:val="120"/>
          <w:sz w:val="18"/>
        </w:rPr>
        <w:t>Assembly</w:t>
      </w:r>
    </w:p>
    <w:p>
      <w:pPr>
        <w:pStyle w:val="ListParagraph"/>
        <w:numPr>
          <w:ilvl w:val="1"/>
          <w:numId w:val="65"/>
        </w:numPr>
        <w:tabs>
          <w:tab w:pos="1507" w:val="left" w:leader="none"/>
          <w:tab w:pos="1508" w:val="left" w:leader="none"/>
        </w:tabs>
        <w:spacing w:line="240" w:lineRule="auto" w:before="20" w:after="0"/>
        <w:ind w:left="1507" w:right="0" w:hanging="568"/>
        <w:jc w:val="left"/>
        <w:rPr>
          <w:sz w:val="18"/>
        </w:rPr>
      </w:pPr>
      <w:r>
        <w:rPr>
          <w:color w:val="707172"/>
          <w:w w:val="120"/>
          <w:sz w:val="18"/>
        </w:rPr>
        <w:t>Resourcing the local</w:t>
      </w:r>
      <w:r>
        <w:rPr>
          <w:color w:val="707172"/>
          <w:spacing w:val="7"/>
          <w:w w:val="120"/>
          <w:sz w:val="18"/>
        </w:rPr>
        <w:t> </w:t>
      </w:r>
      <w:r>
        <w:rPr>
          <w:color w:val="707172"/>
          <w:w w:val="120"/>
          <w:sz w:val="18"/>
        </w:rPr>
        <w:t>churches.</w:t>
      </w:r>
    </w:p>
    <w:p>
      <w:pPr>
        <w:pStyle w:val="BodyText"/>
        <w:spacing w:before="5"/>
      </w:pPr>
    </w:p>
    <w:p>
      <w:pPr>
        <w:spacing w:line="254" w:lineRule="auto" w:before="0"/>
        <w:ind w:left="940" w:right="7164" w:firstLine="0"/>
        <w:jc w:val="left"/>
        <w:rPr>
          <w:sz w:val="18"/>
        </w:rPr>
      </w:pPr>
      <w:r>
        <w:rPr>
          <w:rFonts w:ascii="Stone Sans II ITC Std Bk"/>
          <w:b/>
          <w:color w:val="707172"/>
          <w:w w:val="120"/>
          <w:sz w:val="18"/>
        </w:rPr>
        <w:t>Committee members </w:t>
      </w:r>
      <w:r>
        <w:rPr>
          <w:color w:val="707172"/>
          <w:w w:val="120"/>
          <w:sz w:val="18"/>
        </w:rPr>
        <w:t>Convenor: Peter Knowles Secretary: Gill Nichol</w:t>
      </w:r>
    </w:p>
    <w:p>
      <w:pPr>
        <w:spacing w:line="261" w:lineRule="auto" w:before="7"/>
        <w:ind w:left="940" w:right="2210" w:firstLine="0"/>
        <w:jc w:val="left"/>
        <w:rPr>
          <w:sz w:val="18"/>
        </w:rPr>
      </w:pPr>
      <w:r>
        <w:rPr>
          <w:color w:val="707172"/>
          <w:w w:val="125"/>
          <w:sz w:val="18"/>
        </w:rPr>
        <w:t>Current members: Kate Gray </w:t>
      </w:r>
      <w:r>
        <w:rPr>
          <w:color w:val="707172"/>
          <w:spacing w:val="-7"/>
          <w:w w:val="125"/>
          <w:sz w:val="18"/>
        </w:rPr>
        <w:t>(2018), </w:t>
      </w:r>
      <w:r>
        <w:rPr>
          <w:color w:val="707172"/>
          <w:w w:val="125"/>
          <w:sz w:val="18"/>
        </w:rPr>
        <w:t>Kevin Snyman </w:t>
      </w:r>
      <w:r>
        <w:rPr>
          <w:color w:val="707172"/>
          <w:spacing w:val="-6"/>
          <w:w w:val="125"/>
          <w:sz w:val="18"/>
        </w:rPr>
        <w:t>(2018); </w:t>
      </w:r>
      <w:r>
        <w:rPr>
          <w:color w:val="707172"/>
          <w:w w:val="125"/>
          <w:sz w:val="18"/>
        </w:rPr>
        <w:t>Rebecca Gudgeon </w:t>
      </w:r>
      <w:r>
        <w:rPr>
          <w:color w:val="707172"/>
          <w:spacing w:val="-7"/>
          <w:w w:val="125"/>
          <w:sz w:val="18"/>
        </w:rPr>
        <w:t>(2019); </w:t>
      </w:r>
      <w:r>
        <w:rPr>
          <w:color w:val="707172"/>
          <w:w w:val="125"/>
          <w:sz w:val="18"/>
        </w:rPr>
        <w:t>Tim</w:t>
      </w:r>
      <w:r>
        <w:rPr>
          <w:color w:val="707172"/>
          <w:spacing w:val="5"/>
          <w:w w:val="125"/>
          <w:sz w:val="18"/>
        </w:rPr>
        <w:t> </w:t>
      </w:r>
      <w:r>
        <w:rPr>
          <w:color w:val="707172"/>
          <w:w w:val="125"/>
          <w:sz w:val="18"/>
        </w:rPr>
        <w:t>Llewllyn</w:t>
      </w:r>
      <w:r>
        <w:rPr>
          <w:color w:val="707172"/>
          <w:spacing w:val="6"/>
          <w:w w:val="125"/>
          <w:sz w:val="18"/>
        </w:rPr>
        <w:t> </w:t>
      </w:r>
      <w:r>
        <w:rPr>
          <w:color w:val="707172"/>
          <w:spacing w:val="-7"/>
          <w:w w:val="125"/>
          <w:sz w:val="18"/>
        </w:rPr>
        <w:t>(2019),</w:t>
      </w:r>
      <w:r>
        <w:rPr>
          <w:color w:val="707172"/>
          <w:spacing w:val="5"/>
          <w:w w:val="125"/>
          <w:sz w:val="18"/>
        </w:rPr>
        <w:t> </w:t>
      </w:r>
      <w:r>
        <w:rPr>
          <w:color w:val="707172"/>
          <w:w w:val="125"/>
          <w:sz w:val="18"/>
        </w:rPr>
        <w:t>Heather</w:t>
      </w:r>
      <w:r>
        <w:rPr>
          <w:color w:val="707172"/>
          <w:spacing w:val="6"/>
          <w:w w:val="125"/>
          <w:sz w:val="18"/>
        </w:rPr>
        <w:t> </w:t>
      </w:r>
      <w:r>
        <w:rPr>
          <w:color w:val="707172"/>
          <w:w w:val="125"/>
          <w:sz w:val="18"/>
        </w:rPr>
        <w:t>Carr</w:t>
      </w:r>
      <w:r>
        <w:rPr>
          <w:color w:val="707172"/>
          <w:spacing w:val="5"/>
          <w:w w:val="125"/>
          <w:sz w:val="18"/>
        </w:rPr>
        <w:t> </w:t>
      </w:r>
      <w:r>
        <w:rPr>
          <w:color w:val="707172"/>
          <w:spacing w:val="-7"/>
          <w:w w:val="125"/>
          <w:sz w:val="18"/>
        </w:rPr>
        <w:t>(2019);</w:t>
      </w:r>
      <w:r>
        <w:rPr>
          <w:color w:val="707172"/>
          <w:spacing w:val="6"/>
          <w:w w:val="125"/>
          <w:sz w:val="18"/>
        </w:rPr>
        <w:t> </w:t>
      </w:r>
      <w:r>
        <w:rPr>
          <w:color w:val="707172"/>
          <w:w w:val="125"/>
          <w:sz w:val="18"/>
        </w:rPr>
        <w:t>Eilidh</w:t>
      </w:r>
      <w:r>
        <w:rPr>
          <w:color w:val="707172"/>
          <w:spacing w:val="5"/>
          <w:w w:val="125"/>
          <w:sz w:val="18"/>
        </w:rPr>
        <w:t> </w:t>
      </w:r>
      <w:r>
        <w:rPr>
          <w:color w:val="707172"/>
          <w:w w:val="125"/>
          <w:sz w:val="18"/>
        </w:rPr>
        <w:t>Carmichael</w:t>
      </w:r>
      <w:r>
        <w:rPr>
          <w:color w:val="707172"/>
          <w:spacing w:val="6"/>
          <w:w w:val="125"/>
          <w:sz w:val="18"/>
        </w:rPr>
        <w:t> </w:t>
      </w:r>
      <w:r>
        <w:rPr>
          <w:color w:val="707172"/>
          <w:spacing w:val="-6"/>
          <w:w w:val="125"/>
          <w:sz w:val="18"/>
        </w:rPr>
        <w:t>(2021);</w:t>
      </w:r>
      <w:r>
        <w:rPr>
          <w:color w:val="707172"/>
          <w:spacing w:val="5"/>
          <w:w w:val="125"/>
          <w:sz w:val="18"/>
        </w:rPr>
        <w:t> </w:t>
      </w:r>
      <w:r>
        <w:rPr>
          <w:color w:val="707172"/>
          <w:w w:val="125"/>
          <w:sz w:val="18"/>
        </w:rPr>
        <w:t>Lesley</w:t>
      </w:r>
      <w:r>
        <w:rPr>
          <w:color w:val="707172"/>
          <w:spacing w:val="6"/>
          <w:w w:val="125"/>
          <w:sz w:val="18"/>
        </w:rPr>
        <w:t> </w:t>
      </w:r>
      <w:r>
        <w:rPr>
          <w:color w:val="707172"/>
          <w:w w:val="125"/>
          <w:sz w:val="18"/>
        </w:rPr>
        <w:t>Draper</w:t>
      </w:r>
      <w:r>
        <w:rPr>
          <w:color w:val="707172"/>
          <w:spacing w:val="5"/>
          <w:w w:val="125"/>
          <w:sz w:val="18"/>
        </w:rPr>
        <w:t> </w:t>
      </w:r>
      <w:r>
        <w:rPr>
          <w:color w:val="707172"/>
          <w:spacing w:val="-6"/>
          <w:w w:val="125"/>
          <w:sz w:val="18"/>
        </w:rPr>
        <w:t>(2021)</w:t>
      </w:r>
    </w:p>
    <w:p>
      <w:pPr>
        <w:pStyle w:val="BodyText"/>
        <w:rPr>
          <w:sz w:val="22"/>
        </w:rPr>
      </w:pPr>
    </w:p>
    <w:p>
      <w:pPr>
        <w:pStyle w:val="ListParagraph"/>
        <w:numPr>
          <w:ilvl w:val="0"/>
          <w:numId w:val="66"/>
        </w:numPr>
        <w:tabs>
          <w:tab w:pos="1507" w:val="left" w:leader="none"/>
          <w:tab w:pos="1508" w:val="left" w:leader="none"/>
        </w:tabs>
        <w:spacing w:line="240" w:lineRule="auto" w:before="147" w:after="0"/>
        <w:ind w:left="1507" w:right="0" w:hanging="681"/>
        <w:jc w:val="left"/>
        <w:rPr>
          <w:rFonts w:ascii="Stone Sans II ITC Std Bk"/>
          <w:b/>
          <w:sz w:val="29"/>
        </w:rPr>
      </w:pPr>
      <w:r>
        <w:rPr>
          <w:rFonts w:ascii="Stone Sans II ITC Std Bk"/>
          <w:b/>
          <w:spacing w:val="5"/>
          <w:w w:val="110"/>
          <w:sz w:val="29"/>
        </w:rPr>
        <w:t>Overview</w:t>
      </w:r>
    </w:p>
    <w:p>
      <w:pPr>
        <w:pStyle w:val="ListParagraph"/>
        <w:numPr>
          <w:ilvl w:val="1"/>
          <w:numId w:val="66"/>
        </w:numPr>
        <w:tabs>
          <w:tab w:pos="1507" w:val="left" w:leader="none"/>
          <w:tab w:pos="1508" w:val="left" w:leader="none"/>
        </w:tabs>
        <w:spacing w:line="235" w:lineRule="auto" w:before="69" w:after="0"/>
        <w:ind w:left="827" w:right="1797" w:firstLine="0"/>
        <w:jc w:val="left"/>
        <w:rPr>
          <w:sz w:val="20"/>
        </w:rPr>
      </w:pPr>
      <w:r>
        <w:rPr>
          <w:w w:val="120"/>
          <w:sz w:val="20"/>
        </w:rPr>
        <w:t>The communications team provides </w:t>
      </w:r>
      <w:r>
        <w:rPr>
          <w:spacing w:val="2"/>
          <w:w w:val="120"/>
          <w:sz w:val="20"/>
        </w:rPr>
        <w:t>expert </w:t>
      </w:r>
      <w:r>
        <w:rPr>
          <w:w w:val="120"/>
          <w:sz w:val="20"/>
        </w:rPr>
        <w:t>advice and support for the life and work of the United Reformed Church. The department produces online and physical resources for the use of the Church in every area of its life. </w:t>
      </w:r>
      <w:r>
        <w:rPr>
          <w:spacing w:val="3"/>
          <w:w w:val="120"/>
          <w:sz w:val="20"/>
        </w:rPr>
        <w:t>As </w:t>
      </w:r>
      <w:r>
        <w:rPr>
          <w:w w:val="120"/>
          <w:sz w:val="20"/>
        </w:rPr>
        <w:t>every </w:t>
      </w:r>
      <w:r>
        <w:rPr>
          <w:spacing w:val="2"/>
          <w:w w:val="120"/>
          <w:sz w:val="20"/>
        </w:rPr>
        <w:t>part </w:t>
      </w:r>
      <w:r>
        <w:rPr>
          <w:w w:val="120"/>
          <w:sz w:val="20"/>
        </w:rPr>
        <w:t>of the Church learns to manage with fewer people, the need for high quality published material to resource church life</w:t>
      </w:r>
      <w:r>
        <w:rPr>
          <w:spacing w:val="5"/>
          <w:w w:val="120"/>
          <w:sz w:val="20"/>
        </w:rPr>
        <w:t> </w:t>
      </w:r>
      <w:r>
        <w:rPr>
          <w:w w:val="120"/>
          <w:sz w:val="20"/>
        </w:rPr>
        <w:t>increases.</w:t>
      </w:r>
    </w:p>
    <w:p>
      <w:pPr>
        <w:pStyle w:val="BodyText"/>
        <w:spacing w:before="12"/>
        <w:rPr>
          <w:sz w:val="19"/>
        </w:rPr>
      </w:pPr>
    </w:p>
    <w:p>
      <w:pPr>
        <w:pStyle w:val="ListParagraph"/>
        <w:numPr>
          <w:ilvl w:val="1"/>
          <w:numId w:val="66"/>
        </w:numPr>
        <w:tabs>
          <w:tab w:pos="1507" w:val="left" w:leader="none"/>
          <w:tab w:pos="1508" w:val="left" w:leader="none"/>
        </w:tabs>
        <w:spacing w:line="235" w:lineRule="auto" w:before="0" w:after="0"/>
        <w:ind w:left="827" w:right="1875" w:firstLine="0"/>
        <w:jc w:val="left"/>
        <w:rPr>
          <w:sz w:val="20"/>
        </w:rPr>
      </w:pPr>
      <w:r>
        <w:rPr>
          <w:w w:val="120"/>
          <w:sz w:val="20"/>
        </w:rPr>
        <w:t>The workload is huge, just as the ambition of the Church through Walking the </w:t>
      </w:r>
      <w:r>
        <w:rPr>
          <w:spacing w:val="-5"/>
          <w:w w:val="120"/>
          <w:sz w:val="20"/>
        </w:rPr>
        <w:t>Way, </w:t>
      </w:r>
      <w:r>
        <w:rPr>
          <w:w w:val="120"/>
          <w:sz w:val="20"/>
        </w:rPr>
        <w:t>Stepwise and other major initiatives is vast. The communication requirements  in the current year are especially demanding. In addition to the ‘normal’ workload  the department is also active in the launch of Walking the Way and Stepwise,</w:t>
      </w:r>
      <w:r>
        <w:rPr>
          <w:spacing w:val="14"/>
          <w:w w:val="120"/>
          <w:sz w:val="20"/>
        </w:rPr>
        <w:t> </w:t>
      </w:r>
      <w:r>
        <w:rPr>
          <w:w w:val="120"/>
          <w:sz w:val="20"/>
        </w:rPr>
        <w:t>General</w:t>
      </w:r>
    </w:p>
    <w:p>
      <w:pPr>
        <w:pStyle w:val="BodyText"/>
        <w:spacing w:line="235" w:lineRule="auto" w:before="3"/>
        <w:ind w:left="827" w:right="1657"/>
        <w:jc w:val="both"/>
      </w:pPr>
      <w:r>
        <w:rPr>
          <w:w w:val="120"/>
        </w:rPr>
        <w:t>Assembly, Youth Assembly, two Mission Councils and the Ministers’ Gathering. The last six months have also been busy with the integration of iChurch into the work and life of the department.</w:t>
      </w:r>
    </w:p>
    <w:p>
      <w:pPr>
        <w:pStyle w:val="BodyText"/>
        <w:spacing w:before="10"/>
        <w:rPr>
          <w:sz w:val="19"/>
        </w:rPr>
      </w:pPr>
    </w:p>
    <w:p>
      <w:pPr>
        <w:pStyle w:val="ListParagraph"/>
        <w:numPr>
          <w:ilvl w:val="1"/>
          <w:numId w:val="66"/>
        </w:numPr>
        <w:tabs>
          <w:tab w:pos="1507" w:val="left" w:leader="none"/>
          <w:tab w:pos="1508" w:val="left" w:leader="none"/>
        </w:tabs>
        <w:spacing w:line="235" w:lineRule="auto" w:before="0" w:after="0"/>
        <w:ind w:left="827" w:right="1843" w:firstLine="0"/>
        <w:jc w:val="left"/>
        <w:rPr>
          <w:sz w:val="20"/>
        </w:rPr>
      </w:pPr>
      <w:r>
        <w:rPr>
          <w:w w:val="120"/>
          <w:sz w:val="20"/>
        </w:rPr>
        <w:t>The team cannot do everything, at the same pitch, all the time, and so there is a constant dialogue between ambition and our ability to deliver. Priorities have to be set, but that can sometimes mean work that needs doing has to be turned </w:t>
      </w:r>
      <w:r>
        <w:rPr>
          <w:spacing w:val="-4"/>
          <w:w w:val="120"/>
          <w:sz w:val="20"/>
        </w:rPr>
        <w:t>away, </w:t>
      </w:r>
      <w:r>
        <w:rPr>
          <w:w w:val="120"/>
          <w:sz w:val="20"/>
        </w:rPr>
        <w:t>or sent </w:t>
      </w:r>
      <w:r>
        <w:rPr>
          <w:spacing w:val="-3"/>
          <w:w w:val="120"/>
          <w:sz w:val="20"/>
        </w:rPr>
        <w:t>‘outside’, </w:t>
      </w:r>
      <w:r>
        <w:rPr>
          <w:w w:val="120"/>
          <w:sz w:val="20"/>
        </w:rPr>
        <w:t>to be fulfilled. However, we are now being asked to contribute to more projects earlier in the planning process, which allows communications work to be better considered and</w:t>
      </w:r>
      <w:r>
        <w:rPr>
          <w:spacing w:val="7"/>
          <w:w w:val="120"/>
          <w:sz w:val="20"/>
        </w:rPr>
        <w:t> </w:t>
      </w:r>
      <w:r>
        <w:rPr>
          <w:w w:val="120"/>
          <w:sz w:val="20"/>
        </w:rPr>
        <w:t>scheduled.</w:t>
      </w:r>
    </w:p>
    <w:p>
      <w:pPr>
        <w:pStyle w:val="BodyText"/>
      </w:pPr>
    </w:p>
    <w:p>
      <w:pPr>
        <w:pStyle w:val="ListParagraph"/>
        <w:numPr>
          <w:ilvl w:val="1"/>
          <w:numId w:val="66"/>
        </w:numPr>
        <w:tabs>
          <w:tab w:pos="1507" w:val="left" w:leader="none"/>
          <w:tab w:pos="1508" w:val="left" w:leader="none"/>
        </w:tabs>
        <w:spacing w:line="235" w:lineRule="auto" w:before="0" w:after="0"/>
        <w:ind w:left="827" w:right="1800" w:firstLine="0"/>
        <w:jc w:val="left"/>
        <w:rPr>
          <w:sz w:val="20"/>
        </w:rPr>
      </w:pPr>
      <w:r>
        <w:rPr>
          <w:w w:val="120"/>
          <w:sz w:val="20"/>
        </w:rPr>
        <w:t>There is also </w:t>
      </w:r>
      <w:r>
        <w:rPr>
          <w:spacing w:val="-5"/>
          <w:w w:val="120"/>
          <w:sz w:val="20"/>
        </w:rPr>
        <w:t>(and </w:t>
      </w:r>
      <w:r>
        <w:rPr>
          <w:w w:val="120"/>
          <w:sz w:val="20"/>
        </w:rPr>
        <w:t>inevitably) a tension between the </w:t>
      </w:r>
      <w:r>
        <w:rPr>
          <w:spacing w:val="-4"/>
          <w:w w:val="120"/>
          <w:sz w:val="20"/>
        </w:rPr>
        <w:t>team’s </w:t>
      </w:r>
      <w:r>
        <w:rPr>
          <w:w w:val="120"/>
          <w:sz w:val="20"/>
        </w:rPr>
        <w:t>ambition to offer strategic direction and expertise in the field of communications and a view that communications is simply the fulfilment of service requirements. We are not unique in facing this tension. We resource the church at national, synod and local level, in very many ways, as outlined</w:t>
      </w:r>
      <w:r>
        <w:rPr>
          <w:spacing w:val="8"/>
          <w:w w:val="120"/>
          <w:sz w:val="20"/>
        </w:rPr>
        <w:t> </w:t>
      </w:r>
      <w:r>
        <w:rPr>
          <w:w w:val="120"/>
          <w:sz w:val="20"/>
        </w:rPr>
        <w:t>below:</w:t>
      </w:r>
    </w:p>
    <w:p>
      <w:pPr>
        <w:pStyle w:val="BodyText"/>
        <w:spacing w:before="4"/>
        <w:rPr>
          <w:sz w:val="22"/>
        </w:rPr>
      </w:pPr>
    </w:p>
    <w:p>
      <w:pPr>
        <w:pStyle w:val="Heading4"/>
        <w:numPr>
          <w:ilvl w:val="0"/>
          <w:numId w:val="66"/>
        </w:numPr>
        <w:tabs>
          <w:tab w:pos="1507" w:val="left" w:leader="none"/>
          <w:tab w:pos="1508" w:val="left" w:leader="none"/>
        </w:tabs>
        <w:spacing w:line="240" w:lineRule="auto" w:before="1" w:after="0"/>
        <w:ind w:left="1507" w:right="0" w:hanging="681"/>
        <w:jc w:val="left"/>
      </w:pPr>
      <w:r>
        <w:rPr>
          <w:spacing w:val="3"/>
          <w:w w:val="110"/>
        </w:rPr>
        <w:t>iChurch</w:t>
      </w:r>
    </w:p>
    <w:p>
      <w:pPr>
        <w:pStyle w:val="BodyText"/>
        <w:spacing w:line="235" w:lineRule="auto" w:before="69"/>
        <w:ind w:left="827" w:right="1814"/>
      </w:pPr>
      <w:r>
        <w:rPr>
          <w:w w:val="120"/>
        </w:rPr>
        <w:t>Communications was asked in November 2017 to take over the work of iChurch from the education and learning department and we are excited about the prospect of building up this resource for many more churches. The change to a rate card (from the Windermere Centre’s ‘pay what you can’) has been controversial. For some churches</w:t>
      </w:r>
    </w:p>
    <w:p>
      <w:pPr>
        <w:pStyle w:val="BodyText"/>
        <w:spacing w:line="235" w:lineRule="auto" w:before="3"/>
        <w:ind w:left="827" w:right="1835"/>
      </w:pPr>
      <w:r>
        <w:rPr>
          <w:w w:val="120"/>
        </w:rPr>
        <w:t>it represents an unwelcome ‘commercialising’ step, but many others are pleased at the budgeting clarity it brings. Churches that cannot afford the full costs are invited   to contact us to discuss paying a reduced rate – we do not want any United</w:t>
      </w:r>
      <w:r>
        <w:rPr>
          <w:spacing w:val="3"/>
          <w:w w:val="120"/>
        </w:rPr>
        <w:t> </w:t>
      </w:r>
      <w:r>
        <w:rPr>
          <w:w w:val="120"/>
        </w:rPr>
        <w:t>Reformed</w:t>
      </w:r>
    </w:p>
    <w:p>
      <w:pPr>
        <w:pStyle w:val="BodyText"/>
        <w:spacing w:line="235" w:lineRule="auto" w:before="2"/>
        <w:ind w:left="827" w:right="1620"/>
      </w:pPr>
      <w:r>
        <w:rPr>
          <w:w w:val="120"/>
        </w:rPr>
        <w:t>churches or affiliated groups to be denied the opportunity of having a website. Overall, the new system offers sustainability and the prospect that we will, over time, be able to expand support and training. We are working on marketing iChurch and hope to reach many new churches (and other URC groups), currently without any web presence, or with expensive or inflexible web providers.</w:t>
      </w:r>
    </w:p>
    <w:p>
      <w:pPr>
        <w:spacing w:after="0" w:line="235" w:lineRule="auto"/>
        <w:sectPr>
          <w:headerReference w:type="even" r:id="rId266"/>
          <w:footerReference w:type="even" r:id="rId267"/>
          <w:footerReference w:type="default" r:id="rId268"/>
          <w:pgSz w:w="11910" w:h="16840"/>
          <w:pgMar w:header="0" w:footer="647" w:top="0" w:bottom="840" w:left="420" w:right="380"/>
          <w:pgNumType w:start="88"/>
        </w:sectPr>
      </w:pPr>
    </w:p>
    <w:p>
      <w:pPr>
        <w:pStyle w:val="BodyText"/>
      </w:pPr>
    </w:p>
    <w:p>
      <w:pPr>
        <w:pStyle w:val="BodyText"/>
        <w:spacing w:before="5"/>
        <w:rPr>
          <w:sz w:val="21"/>
        </w:rPr>
      </w:pPr>
    </w:p>
    <w:p>
      <w:pPr>
        <w:spacing w:after="0"/>
        <w:rPr>
          <w:sz w:val="21"/>
        </w:rPr>
        <w:sectPr>
          <w:headerReference w:type="default" r:id="rId269"/>
          <w:pgSz w:w="11910" w:h="16840"/>
          <w:pgMar w:header="0" w:footer="647" w:top="0" w:bottom="840" w:left="420" w:right="380"/>
        </w:sectPr>
      </w:pPr>
    </w:p>
    <w:p>
      <w:pPr>
        <w:pStyle w:val="BodyText"/>
        <w:spacing w:before="6"/>
        <w:rPr>
          <w:sz w:val="52"/>
        </w:rPr>
      </w:pPr>
    </w:p>
    <w:p>
      <w:pPr>
        <w:pStyle w:val="Heading4"/>
        <w:numPr>
          <w:ilvl w:val="0"/>
          <w:numId w:val="66"/>
        </w:numPr>
        <w:tabs>
          <w:tab w:pos="2244" w:val="left" w:leader="none"/>
          <w:tab w:pos="2245" w:val="left" w:leader="none"/>
        </w:tabs>
        <w:spacing w:line="240" w:lineRule="auto" w:before="0" w:after="0"/>
        <w:ind w:left="2244" w:right="0" w:hanging="681"/>
        <w:jc w:val="left"/>
      </w:pPr>
      <w:r>
        <w:rPr>
          <w:w w:val="110"/>
        </w:rPr>
        <w:t>Website</w:t>
      </w:r>
    </w:p>
    <w:p>
      <w:pPr>
        <w:pStyle w:val="Heading5"/>
        <w:ind w:left="1564"/>
      </w:pPr>
      <w:r>
        <w:rPr/>
        <w:br w:type="column"/>
      </w:r>
      <w:r>
        <w:rPr>
          <w:color w:val="7EAABF"/>
          <w:w w:val="120"/>
        </w:rPr>
        <w:t>Communications</w:t>
      </w:r>
    </w:p>
    <w:p>
      <w:pPr>
        <w:spacing w:after="0"/>
        <w:sectPr>
          <w:type w:val="continuous"/>
          <w:pgSz w:w="11910" w:h="16840"/>
          <w:pgMar w:top="1580" w:bottom="280" w:left="420" w:right="380"/>
          <w:cols w:num="2" w:equalWidth="0">
            <w:col w:w="3553" w:space="2992"/>
            <w:col w:w="4565"/>
          </w:cols>
        </w:sectPr>
      </w:pPr>
    </w:p>
    <w:p>
      <w:pPr>
        <w:pStyle w:val="BodyText"/>
        <w:spacing w:line="242" w:lineRule="exact" w:before="65"/>
        <w:ind w:left="1564"/>
      </w:pPr>
      <w:r>
        <w:rPr/>
        <w:drawing>
          <wp:anchor distT="0" distB="0" distL="0" distR="0" allowOverlap="1" layoutInCell="1" locked="0" behindDoc="0" simplePos="0" relativeHeight="251904000">
            <wp:simplePos x="0" y="0"/>
            <wp:positionH relativeFrom="page">
              <wp:posOffset>6974928</wp:posOffset>
            </wp:positionH>
            <wp:positionV relativeFrom="page">
              <wp:posOffset>0</wp:posOffset>
            </wp:positionV>
            <wp:extent cx="585063" cy="10692003"/>
            <wp:effectExtent l="0" t="0" r="0" b="0"/>
            <wp:wrapNone/>
            <wp:docPr id="167" name="image57.png"/>
            <wp:cNvGraphicFramePr>
              <a:graphicFrameLocks noChangeAspect="1"/>
            </wp:cNvGraphicFramePr>
            <a:graphic>
              <a:graphicData uri="http://schemas.openxmlformats.org/drawingml/2006/picture">
                <pic:pic>
                  <pic:nvPicPr>
                    <pic:cNvPr id="168" name="image57.png"/>
                    <pic:cNvPicPr/>
                  </pic:nvPicPr>
                  <pic:blipFill>
                    <a:blip r:embed="rId230" cstate="print"/>
                    <a:stretch>
                      <a:fillRect/>
                    </a:stretch>
                  </pic:blipFill>
                  <pic:spPr>
                    <a:xfrm>
                      <a:off x="0" y="0"/>
                      <a:ext cx="585063" cy="10692003"/>
                    </a:xfrm>
                    <a:prstGeom prst="rect">
                      <a:avLst/>
                    </a:prstGeom>
                  </pic:spPr>
                </pic:pic>
              </a:graphicData>
            </a:graphic>
          </wp:anchor>
        </w:drawing>
      </w:r>
      <w:r>
        <w:rPr/>
        <w:pict>
          <v:shape style="position:absolute;margin-left:554.141174pt;margin-top:-28.940918pt;width:26pt;height:177pt;mso-position-horizontal-relative:page;mso-position-vertical-relative:paragraph;z-index:251905024" type="#_x0000_t202" filled="false" stroked="false">
            <v:textbox inset="0,0,0,0" style="layout-flow:vertical">
              <w:txbxContent>
                <w:p>
                  <w:pPr>
                    <w:spacing w:before="29"/>
                    <w:ind w:left="20" w:right="0" w:firstLine="0"/>
                    <w:jc w:val="left"/>
                    <w:rPr>
                      <w:sz w:val="39"/>
                    </w:rPr>
                  </w:pPr>
                  <w:r>
                    <w:rPr>
                      <w:color w:val="FFFFFF"/>
                      <w:w w:val="125"/>
                      <w:sz w:val="39"/>
                    </w:rPr>
                    <w:t>Communications</w:t>
                  </w:r>
                </w:p>
              </w:txbxContent>
            </v:textbox>
            <w10:wrap type="none"/>
          </v:shape>
        </w:pict>
      </w:r>
      <w:r>
        <w:rPr>
          <w:w w:val="120"/>
        </w:rPr>
        <w:t>Work on the redevelopment and improvement of the URC website – </w:t>
      </w:r>
      <w:hyperlink r:id="rId270">
        <w:r>
          <w:rPr>
            <w:color w:val="006AB3"/>
            <w:w w:val="120"/>
          </w:rPr>
          <w:t>www.urc.org.uk</w:t>
        </w:r>
      </w:hyperlink>
    </w:p>
    <w:p>
      <w:pPr>
        <w:pStyle w:val="BodyText"/>
        <w:spacing w:line="235" w:lineRule="auto" w:before="2"/>
        <w:ind w:left="1564" w:right="923"/>
      </w:pPr>
      <w:r>
        <w:rPr>
          <w:w w:val="120"/>
        </w:rPr>
        <w:t>– continues. In autumn 2017, in collaboration with both a freelance website expert and our website support provider, we restructured the site, redesigned the home page and satisfactorily tackled the longstanding complaint over searchability. A lot of hard work has already gone into developing the new site; we are pleased with progress so far, but the site remains a work in progress and efforts are ongoing. Constructive feedback is very welcome.</w:t>
      </w:r>
    </w:p>
    <w:p>
      <w:pPr>
        <w:pStyle w:val="BodyText"/>
        <w:spacing w:before="5"/>
        <w:rPr>
          <w:sz w:val="22"/>
        </w:rPr>
      </w:pPr>
    </w:p>
    <w:p>
      <w:pPr>
        <w:pStyle w:val="Heading4"/>
        <w:numPr>
          <w:ilvl w:val="0"/>
          <w:numId w:val="66"/>
        </w:numPr>
        <w:tabs>
          <w:tab w:pos="2244" w:val="left" w:leader="none"/>
          <w:tab w:pos="2245" w:val="left" w:leader="none"/>
        </w:tabs>
        <w:spacing w:line="240" w:lineRule="auto" w:before="0" w:after="0"/>
        <w:ind w:left="2244" w:right="0" w:hanging="681"/>
        <w:jc w:val="left"/>
      </w:pPr>
      <w:r>
        <w:rPr>
          <w:spacing w:val="5"/>
          <w:w w:val="110"/>
        </w:rPr>
        <w:t>External</w:t>
      </w:r>
      <w:r>
        <w:rPr>
          <w:spacing w:val="12"/>
          <w:w w:val="110"/>
        </w:rPr>
        <w:t> </w:t>
      </w:r>
      <w:r>
        <w:rPr>
          <w:spacing w:val="3"/>
          <w:w w:val="110"/>
        </w:rPr>
        <w:t>communications</w:t>
      </w:r>
    </w:p>
    <w:p>
      <w:pPr>
        <w:pStyle w:val="ListParagraph"/>
        <w:numPr>
          <w:ilvl w:val="1"/>
          <w:numId w:val="66"/>
        </w:numPr>
        <w:tabs>
          <w:tab w:pos="2244" w:val="left" w:leader="none"/>
          <w:tab w:pos="2245" w:val="left" w:leader="none"/>
        </w:tabs>
        <w:spacing w:line="235" w:lineRule="auto" w:before="69" w:after="0"/>
        <w:ind w:left="1564" w:right="1251" w:firstLine="0"/>
        <w:jc w:val="left"/>
        <w:rPr>
          <w:sz w:val="20"/>
        </w:rPr>
      </w:pPr>
      <w:r>
        <w:rPr>
          <w:w w:val="120"/>
          <w:sz w:val="20"/>
        </w:rPr>
        <w:t>The work of the media office and the Head of Communications in dealing  with urgent and difficult enquiries – known as ‘Reputation Management’ – is largely unpredictable but has been increasing in the last </w:t>
      </w:r>
      <w:r>
        <w:rPr>
          <w:spacing w:val="-5"/>
          <w:w w:val="120"/>
          <w:sz w:val="20"/>
        </w:rPr>
        <w:t>24 </w:t>
      </w:r>
      <w:r>
        <w:rPr>
          <w:w w:val="120"/>
          <w:sz w:val="20"/>
        </w:rPr>
        <w:t>months as more local churches seem to understand the need to bring cases to the attention of the press office at</w:t>
      </w:r>
      <w:r>
        <w:rPr>
          <w:spacing w:val="2"/>
          <w:w w:val="120"/>
          <w:sz w:val="20"/>
        </w:rPr>
        <w:t> </w:t>
      </w:r>
      <w:r>
        <w:rPr>
          <w:w w:val="120"/>
          <w:sz w:val="20"/>
        </w:rPr>
        <w:t>an</w:t>
      </w:r>
    </w:p>
    <w:p>
      <w:pPr>
        <w:pStyle w:val="BodyText"/>
        <w:spacing w:line="235" w:lineRule="auto" w:before="3"/>
        <w:ind w:left="1564" w:right="923"/>
      </w:pPr>
      <w:r>
        <w:rPr>
          <w:w w:val="120"/>
        </w:rPr>
        <w:t>early stage of the process; this has been to the benefit of all. Most of these cases relate to property matters; a number of cases also relate to historical abuse offences.</w:t>
      </w:r>
    </w:p>
    <w:p>
      <w:pPr>
        <w:pStyle w:val="BodyText"/>
        <w:spacing w:before="9"/>
        <w:rPr>
          <w:sz w:val="19"/>
        </w:rPr>
      </w:pPr>
    </w:p>
    <w:p>
      <w:pPr>
        <w:pStyle w:val="ListParagraph"/>
        <w:numPr>
          <w:ilvl w:val="1"/>
          <w:numId w:val="66"/>
        </w:numPr>
        <w:tabs>
          <w:tab w:pos="2244" w:val="left" w:leader="none"/>
          <w:tab w:pos="2245" w:val="left" w:leader="none"/>
        </w:tabs>
        <w:spacing w:line="235" w:lineRule="auto" w:before="0" w:after="0"/>
        <w:ind w:left="1564" w:right="1414" w:firstLine="0"/>
        <w:jc w:val="left"/>
        <w:rPr>
          <w:sz w:val="20"/>
        </w:rPr>
      </w:pPr>
      <w:r>
        <w:rPr>
          <w:w w:val="120"/>
          <w:sz w:val="20"/>
        </w:rPr>
        <w:t>Greenbelt </w:t>
      </w:r>
      <w:r>
        <w:rPr>
          <w:spacing w:val="-7"/>
          <w:w w:val="120"/>
          <w:sz w:val="20"/>
        </w:rPr>
        <w:t>2016 </w:t>
      </w:r>
      <w:r>
        <w:rPr>
          <w:w w:val="120"/>
          <w:sz w:val="20"/>
        </w:rPr>
        <w:t>and </w:t>
      </w:r>
      <w:r>
        <w:rPr>
          <w:spacing w:val="-9"/>
          <w:w w:val="120"/>
          <w:sz w:val="20"/>
        </w:rPr>
        <w:t>2017 </w:t>
      </w:r>
      <w:r>
        <w:rPr>
          <w:w w:val="120"/>
          <w:sz w:val="20"/>
        </w:rPr>
        <w:t>proved to be very successful for the URC as an associate partner. The </w:t>
      </w:r>
      <w:r>
        <w:rPr>
          <w:spacing w:val="-3"/>
          <w:w w:val="120"/>
          <w:sz w:val="20"/>
        </w:rPr>
        <w:t>URC’s </w:t>
      </w:r>
      <w:r>
        <w:rPr>
          <w:w w:val="120"/>
          <w:sz w:val="20"/>
        </w:rPr>
        <w:t>involvement won plaudits from the festival organisers and from those who</w:t>
      </w:r>
      <w:r>
        <w:rPr>
          <w:spacing w:val="8"/>
          <w:w w:val="120"/>
          <w:sz w:val="20"/>
        </w:rPr>
        <w:t> </w:t>
      </w:r>
      <w:r>
        <w:rPr>
          <w:w w:val="120"/>
          <w:sz w:val="20"/>
        </w:rPr>
        <w:t>attended.</w:t>
      </w:r>
    </w:p>
    <w:p>
      <w:pPr>
        <w:pStyle w:val="BodyText"/>
        <w:spacing w:before="10"/>
        <w:rPr>
          <w:sz w:val="19"/>
        </w:rPr>
      </w:pPr>
    </w:p>
    <w:p>
      <w:pPr>
        <w:pStyle w:val="ListParagraph"/>
        <w:numPr>
          <w:ilvl w:val="1"/>
          <w:numId w:val="66"/>
        </w:numPr>
        <w:tabs>
          <w:tab w:pos="2245" w:val="left" w:leader="none"/>
        </w:tabs>
        <w:spacing w:line="235" w:lineRule="auto" w:before="1" w:after="0"/>
        <w:ind w:left="1564" w:right="1071" w:firstLine="0"/>
        <w:jc w:val="both"/>
        <w:rPr>
          <w:sz w:val="20"/>
        </w:rPr>
      </w:pPr>
      <w:r>
        <w:rPr>
          <w:w w:val="120"/>
          <w:sz w:val="20"/>
        </w:rPr>
        <w:t>Work continues with the Joint Public Issues </w:t>
      </w:r>
      <w:r>
        <w:rPr>
          <w:spacing w:val="-4"/>
          <w:w w:val="120"/>
          <w:sz w:val="20"/>
        </w:rPr>
        <w:t>Team </w:t>
      </w:r>
      <w:r>
        <w:rPr>
          <w:w w:val="120"/>
          <w:sz w:val="20"/>
        </w:rPr>
        <w:t>(JPIT) and media officers from partner denominations. We helped promote JPIT’s Brave New World? conference and aim to take the media lead on some JPIT</w:t>
      </w:r>
      <w:r>
        <w:rPr>
          <w:spacing w:val="16"/>
          <w:w w:val="120"/>
          <w:sz w:val="20"/>
        </w:rPr>
        <w:t> </w:t>
      </w:r>
      <w:r>
        <w:rPr>
          <w:w w:val="120"/>
          <w:sz w:val="20"/>
        </w:rPr>
        <w:t>campaigns.</w:t>
      </w:r>
    </w:p>
    <w:p>
      <w:pPr>
        <w:pStyle w:val="BodyText"/>
        <w:spacing w:before="10"/>
        <w:rPr>
          <w:sz w:val="19"/>
        </w:rPr>
      </w:pPr>
    </w:p>
    <w:p>
      <w:pPr>
        <w:pStyle w:val="ListParagraph"/>
        <w:numPr>
          <w:ilvl w:val="1"/>
          <w:numId w:val="67"/>
        </w:numPr>
        <w:tabs>
          <w:tab w:pos="2244" w:val="left" w:leader="none"/>
          <w:tab w:pos="2245" w:val="left" w:leader="none"/>
        </w:tabs>
        <w:spacing w:line="235" w:lineRule="auto" w:before="0" w:after="0"/>
        <w:ind w:left="1564" w:right="938" w:firstLine="0"/>
        <w:jc w:val="left"/>
        <w:rPr>
          <w:sz w:val="20"/>
        </w:rPr>
      </w:pPr>
      <w:r>
        <w:rPr>
          <w:w w:val="120"/>
          <w:sz w:val="20"/>
        </w:rPr>
        <w:t>The Trussell Trust, Greenbelt, Street Child United, Single Communications and Christian Connections have moved onto the top floor of Church House. Where possible we</w:t>
      </w:r>
      <w:r>
        <w:rPr>
          <w:spacing w:val="5"/>
          <w:w w:val="120"/>
          <w:sz w:val="20"/>
        </w:rPr>
        <w:t> </w:t>
      </w:r>
      <w:r>
        <w:rPr>
          <w:w w:val="120"/>
          <w:sz w:val="20"/>
        </w:rPr>
        <w:t>support</w:t>
      </w:r>
      <w:r>
        <w:rPr>
          <w:spacing w:val="5"/>
          <w:w w:val="120"/>
          <w:sz w:val="20"/>
        </w:rPr>
        <w:t> </w:t>
      </w:r>
      <w:r>
        <w:rPr>
          <w:w w:val="120"/>
          <w:sz w:val="20"/>
        </w:rPr>
        <w:t>their</w:t>
      </w:r>
      <w:r>
        <w:rPr>
          <w:spacing w:val="6"/>
          <w:w w:val="120"/>
          <w:sz w:val="20"/>
        </w:rPr>
        <w:t> </w:t>
      </w:r>
      <w:r>
        <w:rPr>
          <w:w w:val="120"/>
          <w:sz w:val="20"/>
        </w:rPr>
        <w:t>work</w:t>
      </w:r>
      <w:r>
        <w:rPr>
          <w:spacing w:val="5"/>
          <w:w w:val="120"/>
          <w:sz w:val="20"/>
        </w:rPr>
        <w:t> </w:t>
      </w:r>
      <w:r>
        <w:rPr>
          <w:w w:val="120"/>
          <w:sz w:val="20"/>
        </w:rPr>
        <w:t>by</w:t>
      </w:r>
      <w:r>
        <w:rPr>
          <w:spacing w:val="6"/>
          <w:w w:val="120"/>
          <w:sz w:val="20"/>
        </w:rPr>
        <w:t> </w:t>
      </w:r>
      <w:r>
        <w:rPr>
          <w:w w:val="120"/>
          <w:sz w:val="20"/>
        </w:rPr>
        <w:t>promoting</w:t>
      </w:r>
      <w:r>
        <w:rPr>
          <w:spacing w:val="5"/>
          <w:w w:val="120"/>
          <w:sz w:val="20"/>
        </w:rPr>
        <w:t> </w:t>
      </w:r>
      <w:r>
        <w:rPr>
          <w:w w:val="120"/>
          <w:sz w:val="20"/>
        </w:rPr>
        <w:t>it</w:t>
      </w:r>
      <w:r>
        <w:rPr>
          <w:spacing w:val="6"/>
          <w:w w:val="120"/>
          <w:sz w:val="20"/>
        </w:rPr>
        <w:t> </w:t>
      </w:r>
      <w:r>
        <w:rPr>
          <w:w w:val="120"/>
          <w:sz w:val="20"/>
        </w:rPr>
        <w:t>through</w:t>
      </w:r>
      <w:r>
        <w:rPr>
          <w:spacing w:val="5"/>
          <w:w w:val="120"/>
          <w:sz w:val="20"/>
        </w:rPr>
        <w:t> </w:t>
      </w:r>
      <w:r>
        <w:rPr>
          <w:w w:val="120"/>
          <w:sz w:val="20"/>
        </w:rPr>
        <w:t>our</w:t>
      </w:r>
      <w:r>
        <w:rPr>
          <w:spacing w:val="5"/>
          <w:w w:val="120"/>
          <w:sz w:val="20"/>
        </w:rPr>
        <w:t> </w:t>
      </w:r>
      <w:r>
        <w:rPr>
          <w:w w:val="120"/>
          <w:sz w:val="20"/>
        </w:rPr>
        <w:t>own</w:t>
      </w:r>
      <w:r>
        <w:rPr>
          <w:spacing w:val="6"/>
          <w:w w:val="120"/>
          <w:sz w:val="20"/>
        </w:rPr>
        <w:t> </w:t>
      </w:r>
      <w:r>
        <w:rPr>
          <w:w w:val="120"/>
          <w:sz w:val="20"/>
        </w:rPr>
        <w:t>social</w:t>
      </w:r>
      <w:r>
        <w:rPr>
          <w:spacing w:val="5"/>
          <w:w w:val="120"/>
          <w:sz w:val="20"/>
        </w:rPr>
        <w:t> </w:t>
      </w:r>
      <w:r>
        <w:rPr>
          <w:w w:val="120"/>
          <w:sz w:val="20"/>
        </w:rPr>
        <w:t>media</w:t>
      </w:r>
      <w:r>
        <w:rPr>
          <w:spacing w:val="6"/>
          <w:w w:val="120"/>
          <w:sz w:val="20"/>
        </w:rPr>
        <w:t> </w:t>
      </w:r>
      <w:r>
        <w:rPr>
          <w:w w:val="120"/>
          <w:sz w:val="20"/>
        </w:rPr>
        <w:t>channels.</w:t>
      </w:r>
    </w:p>
    <w:p>
      <w:pPr>
        <w:pStyle w:val="BodyText"/>
        <w:spacing w:before="10"/>
        <w:rPr>
          <w:sz w:val="19"/>
        </w:rPr>
      </w:pPr>
    </w:p>
    <w:p>
      <w:pPr>
        <w:pStyle w:val="ListParagraph"/>
        <w:numPr>
          <w:ilvl w:val="1"/>
          <w:numId w:val="67"/>
        </w:numPr>
        <w:tabs>
          <w:tab w:pos="2244" w:val="left" w:leader="none"/>
          <w:tab w:pos="2245" w:val="left" w:leader="none"/>
        </w:tabs>
        <w:spacing w:line="235" w:lineRule="auto" w:before="0" w:after="0"/>
        <w:ind w:left="1564" w:right="969" w:firstLine="0"/>
        <w:jc w:val="left"/>
        <w:rPr>
          <w:sz w:val="20"/>
        </w:rPr>
      </w:pPr>
      <w:r>
        <w:rPr>
          <w:w w:val="120"/>
          <w:sz w:val="20"/>
        </w:rPr>
        <w:t>We were delighted with the media interest we generated surrounding the Constance Coltman 100-year anniversary – we generated a good level of coverage in print and broadcast media. The Revd Dr Kirsty Thorpe participated in an item on Radio </w:t>
      </w:r>
      <w:r>
        <w:rPr>
          <w:spacing w:val="-7"/>
          <w:w w:val="120"/>
          <w:sz w:val="20"/>
        </w:rPr>
        <w:t>4’s </w:t>
      </w:r>
      <w:r>
        <w:rPr>
          <w:i/>
          <w:spacing w:val="-4"/>
          <w:w w:val="120"/>
          <w:sz w:val="20"/>
        </w:rPr>
        <w:t>Women’s </w:t>
      </w:r>
      <w:r>
        <w:rPr>
          <w:i/>
          <w:w w:val="120"/>
          <w:sz w:val="20"/>
        </w:rPr>
        <w:t>Hour </w:t>
      </w:r>
      <w:r>
        <w:rPr>
          <w:w w:val="120"/>
          <w:sz w:val="20"/>
        </w:rPr>
        <w:t>and BBC </w:t>
      </w:r>
      <w:r>
        <w:rPr>
          <w:spacing w:val="-3"/>
          <w:w w:val="120"/>
          <w:sz w:val="20"/>
        </w:rPr>
        <w:t>One’s </w:t>
      </w:r>
      <w:r>
        <w:rPr>
          <w:i/>
          <w:w w:val="120"/>
          <w:sz w:val="20"/>
        </w:rPr>
        <w:t>Songs of Praise </w:t>
      </w:r>
      <w:r>
        <w:rPr>
          <w:w w:val="120"/>
          <w:sz w:val="20"/>
        </w:rPr>
        <w:t>produced a show entitled </w:t>
      </w:r>
      <w:r>
        <w:rPr>
          <w:i/>
          <w:w w:val="120"/>
          <w:sz w:val="20"/>
        </w:rPr>
        <w:t>Pioneering </w:t>
      </w:r>
      <w:r>
        <w:rPr>
          <w:i/>
          <w:spacing w:val="-3"/>
          <w:w w:val="120"/>
          <w:sz w:val="20"/>
        </w:rPr>
        <w:t>Women</w:t>
      </w:r>
      <w:r>
        <w:rPr>
          <w:spacing w:val="-3"/>
          <w:w w:val="120"/>
          <w:sz w:val="20"/>
        </w:rPr>
        <w:t>, </w:t>
      </w:r>
      <w:r>
        <w:rPr>
          <w:w w:val="120"/>
          <w:sz w:val="20"/>
        </w:rPr>
        <w:t>which featured the Revd Jenny Mills as a successor to Constance</w:t>
      </w:r>
      <w:r>
        <w:rPr>
          <w:spacing w:val="-20"/>
          <w:w w:val="120"/>
          <w:sz w:val="20"/>
        </w:rPr>
        <w:t> </w:t>
      </w:r>
      <w:r>
        <w:rPr>
          <w:w w:val="120"/>
          <w:sz w:val="20"/>
        </w:rPr>
        <w:t>Coltman.</w:t>
      </w:r>
    </w:p>
    <w:p>
      <w:pPr>
        <w:pStyle w:val="BodyText"/>
        <w:spacing w:before="11"/>
        <w:rPr>
          <w:sz w:val="19"/>
        </w:rPr>
      </w:pPr>
    </w:p>
    <w:p>
      <w:pPr>
        <w:pStyle w:val="ListParagraph"/>
        <w:numPr>
          <w:ilvl w:val="1"/>
          <w:numId w:val="67"/>
        </w:numPr>
        <w:tabs>
          <w:tab w:pos="2245" w:val="left" w:leader="none"/>
        </w:tabs>
        <w:spacing w:line="235" w:lineRule="auto" w:before="1" w:after="0"/>
        <w:ind w:left="1564" w:right="973" w:firstLine="0"/>
        <w:jc w:val="both"/>
        <w:rPr>
          <w:sz w:val="20"/>
        </w:rPr>
      </w:pPr>
      <w:r>
        <w:rPr>
          <w:w w:val="120"/>
          <w:sz w:val="20"/>
        </w:rPr>
        <w:t>St</w:t>
      </w:r>
      <w:r>
        <w:rPr>
          <w:spacing w:val="-5"/>
          <w:w w:val="120"/>
          <w:sz w:val="20"/>
        </w:rPr>
        <w:t> </w:t>
      </w:r>
      <w:r>
        <w:rPr>
          <w:w w:val="120"/>
          <w:sz w:val="20"/>
        </w:rPr>
        <w:t>David’s</w:t>
      </w:r>
      <w:r>
        <w:rPr>
          <w:spacing w:val="-5"/>
          <w:w w:val="120"/>
          <w:sz w:val="20"/>
        </w:rPr>
        <w:t> </w:t>
      </w:r>
      <w:r>
        <w:rPr>
          <w:w w:val="120"/>
          <w:sz w:val="20"/>
        </w:rPr>
        <w:t>Uniting</w:t>
      </w:r>
      <w:r>
        <w:rPr>
          <w:spacing w:val="-5"/>
          <w:w w:val="120"/>
          <w:sz w:val="20"/>
        </w:rPr>
        <w:t> </w:t>
      </w:r>
      <w:r>
        <w:rPr>
          <w:w w:val="120"/>
          <w:sz w:val="20"/>
        </w:rPr>
        <w:t>Church</w:t>
      </w:r>
      <w:r>
        <w:rPr>
          <w:spacing w:val="-4"/>
          <w:w w:val="120"/>
          <w:sz w:val="20"/>
        </w:rPr>
        <w:t> </w:t>
      </w:r>
      <w:r>
        <w:rPr>
          <w:w w:val="120"/>
          <w:sz w:val="20"/>
        </w:rPr>
        <w:t>near</w:t>
      </w:r>
      <w:r>
        <w:rPr>
          <w:spacing w:val="-5"/>
          <w:w w:val="120"/>
          <w:sz w:val="20"/>
        </w:rPr>
        <w:t> </w:t>
      </w:r>
      <w:r>
        <w:rPr>
          <w:w w:val="120"/>
          <w:sz w:val="20"/>
        </w:rPr>
        <w:t>Cardiff</w:t>
      </w:r>
      <w:r>
        <w:rPr>
          <w:spacing w:val="-5"/>
          <w:w w:val="120"/>
          <w:sz w:val="20"/>
        </w:rPr>
        <w:t> </w:t>
      </w:r>
      <w:r>
        <w:rPr>
          <w:w w:val="120"/>
          <w:sz w:val="20"/>
        </w:rPr>
        <w:t>featured</w:t>
      </w:r>
      <w:r>
        <w:rPr>
          <w:spacing w:val="-5"/>
          <w:w w:val="120"/>
          <w:sz w:val="20"/>
        </w:rPr>
        <w:t> </w:t>
      </w:r>
      <w:r>
        <w:rPr>
          <w:w w:val="120"/>
          <w:sz w:val="20"/>
        </w:rPr>
        <w:t>in</w:t>
      </w:r>
      <w:r>
        <w:rPr>
          <w:spacing w:val="-4"/>
          <w:w w:val="120"/>
          <w:sz w:val="20"/>
        </w:rPr>
        <w:t> </w:t>
      </w:r>
      <w:r>
        <w:rPr>
          <w:w w:val="120"/>
          <w:sz w:val="20"/>
        </w:rPr>
        <w:t>an</w:t>
      </w:r>
      <w:r>
        <w:rPr>
          <w:spacing w:val="-5"/>
          <w:w w:val="120"/>
          <w:sz w:val="20"/>
        </w:rPr>
        <w:t> </w:t>
      </w:r>
      <w:r>
        <w:rPr>
          <w:w w:val="120"/>
          <w:sz w:val="20"/>
        </w:rPr>
        <w:t>episode</w:t>
      </w:r>
      <w:r>
        <w:rPr>
          <w:spacing w:val="-5"/>
          <w:w w:val="120"/>
          <w:sz w:val="20"/>
        </w:rPr>
        <w:t> </w:t>
      </w:r>
      <w:r>
        <w:rPr>
          <w:w w:val="120"/>
          <w:sz w:val="20"/>
        </w:rPr>
        <w:t>of</w:t>
      </w:r>
      <w:r>
        <w:rPr>
          <w:spacing w:val="-5"/>
          <w:w w:val="120"/>
          <w:sz w:val="20"/>
        </w:rPr>
        <w:t> </w:t>
      </w:r>
      <w:r>
        <w:rPr>
          <w:i/>
          <w:w w:val="120"/>
          <w:sz w:val="20"/>
        </w:rPr>
        <w:t>Songs</w:t>
      </w:r>
      <w:r>
        <w:rPr>
          <w:i/>
          <w:spacing w:val="-7"/>
          <w:w w:val="120"/>
          <w:sz w:val="20"/>
        </w:rPr>
        <w:t> </w:t>
      </w:r>
      <w:r>
        <w:rPr>
          <w:i/>
          <w:w w:val="120"/>
          <w:sz w:val="20"/>
        </w:rPr>
        <w:t>of</w:t>
      </w:r>
      <w:r>
        <w:rPr>
          <w:i/>
          <w:spacing w:val="-7"/>
          <w:w w:val="120"/>
          <w:sz w:val="20"/>
        </w:rPr>
        <w:t> </w:t>
      </w:r>
      <w:r>
        <w:rPr>
          <w:i/>
          <w:w w:val="120"/>
          <w:sz w:val="20"/>
        </w:rPr>
        <w:t>Praise</w:t>
      </w:r>
      <w:r>
        <w:rPr>
          <w:i/>
          <w:spacing w:val="-5"/>
          <w:w w:val="120"/>
          <w:sz w:val="20"/>
        </w:rPr>
        <w:t> </w:t>
      </w:r>
      <w:r>
        <w:rPr>
          <w:w w:val="120"/>
          <w:sz w:val="20"/>
        </w:rPr>
        <w:t>in October </w:t>
      </w:r>
      <w:r>
        <w:rPr>
          <w:spacing w:val="-12"/>
          <w:w w:val="120"/>
          <w:sz w:val="20"/>
        </w:rPr>
        <w:t>2017, </w:t>
      </w:r>
      <w:r>
        <w:rPr>
          <w:w w:val="120"/>
          <w:sz w:val="20"/>
        </w:rPr>
        <w:t>focusing on its work with</w:t>
      </w:r>
      <w:r>
        <w:rPr>
          <w:spacing w:val="-9"/>
          <w:w w:val="120"/>
          <w:sz w:val="20"/>
        </w:rPr>
        <w:t> </w:t>
      </w:r>
      <w:r>
        <w:rPr>
          <w:w w:val="120"/>
          <w:sz w:val="20"/>
        </w:rPr>
        <w:t>refugees.</w:t>
      </w:r>
    </w:p>
    <w:p>
      <w:pPr>
        <w:pStyle w:val="BodyText"/>
        <w:spacing w:before="5"/>
        <w:rPr>
          <w:sz w:val="19"/>
        </w:rPr>
      </w:pPr>
    </w:p>
    <w:p>
      <w:pPr>
        <w:pStyle w:val="ListParagraph"/>
        <w:numPr>
          <w:ilvl w:val="1"/>
          <w:numId w:val="67"/>
        </w:numPr>
        <w:tabs>
          <w:tab w:pos="2245" w:val="left" w:leader="none"/>
        </w:tabs>
        <w:spacing w:line="242" w:lineRule="exact" w:before="0" w:after="0"/>
        <w:ind w:left="2244" w:right="0" w:hanging="681"/>
        <w:jc w:val="both"/>
        <w:rPr>
          <w:i/>
          <w:sz w:val="20"/>
        </w:rPr>
      </w:pPr>
      <w:r>
        <w:rPr>
          <w:w w:val="120"/>
          <w:sz w:val="20"/>
        </w:rPr>
        <w:t>Several members of URC staff and officers have appeared on Premier’s </w:t>
      </w:r>
      <w:r>
        <w:rPr>
          <w:i/>
          <w:spacing w:val="-3"/>
          <w:w w:val="120"/>
          <w:sz w:val="20"/>
        </w:rPr>
        <w:t>Your</w:t>
      </w:r>
      <w:r>
        <w:rPr>
          <w:i/>
          <w:spacing w:val="-31"/>
          <w:w w:val="120"/>
          <w:sz w:val="20"/>
        </w:rPr>
        <w:t> </w:t>
      </w:r>
      <w:r>
        <w:rPr>
          <w:i/>
          <w:w w:val="120"/>
          <w:sz w:val="20"/>
        </w:rPr>
        <w:t>News</w:t>
      </w:r>
    </w:p>
    <w:p>
      <w:pPr>
        <w:pStyle w:val="BodyText"/>
        <w:spacing w:line="242" w:lineRule="exact"/>
        <w:ind w:left="1564"/>
      </w:pPr>
      <w:r>
        <w:rPr>
          <w:w w:val="120"/>
        </w:rPr>
        <w:t>panel radio show.</w:t>
      </w:r>
    </w:p>
    <w:p>
      <w:pPr>
        <w:pStyle w:val="BodyText"/>
        <w:spacing w:before="1"/>
        <w:rPr>
          <w:sz w:val="22"/>
        </w:rPr>
      </w:pPr>
    </w:p>
    <w:p>
      <w:pPr>
        <w:pStyle w:val="Heading4"/>
        <w:numPr>
          <w:ilvl w:val="0"/>
          <w:numId w:val="66"/>
        </w:numPr>
        <w:tabs>
          <w:tab w:pos="2245" w:val="left" w:leader="none"/>
        </w:tabs>
        <w:spacing w:line="240" w:lineRule="auto" w:before="0" w:after="0"/>
        <w:ind w:left="2244" w:right="0" w:hanging="681"/>
        <w:jc w:val="both"/>
      </w:pPr>
      <w:r>
        <w:rPr>
          <w:spacing w:val="3"/>
          <w:w w:val="110"/>
        </w:rPr>
        <w:t>Internal</w:t>
      </w:r>
      <w:r>
        <w:rPr>
          <w:spacing w:val="12"/>
          <w:w w:val="110"/>
        </w:rPr>
        <w:t> </w:t>
      </w:r>
      <w:r>
        <w:rPr>
          <w:spacing w:val="3"/>
          <w:w w:val="110"/>
        </w:rPr>
        <w:t>communications</w:t>
      </w:r>
    </w:p>
    <w:p>
      <w:pPr>
        <w:pStyle w:val="ListParagraph"/>
        <w:numPr>
          <w:ilvl w:val="1"/>
          <w:numId w:val="66"/>
        </w:numPr>
        <w:tabs>
          <w:tab w:pos="2244" w:val="left" w:leader="none"/>
          <w:tab w:pos="2245" w:val="left" w:leader="none"/>
        </w:tabs>
        <w:spacing w:line="235" w:lineRule="auto" w:before="69" w:after="0"/>
        <w:ind w:left="1564" w:right="876" w:firstLine="0"/>
        <w:jc w:val="left"/>
        <w:rPr>
          <w:sz w:val="20"/>
        </w:rPr>
      </w:pPr>
      <w:r>
        <w:rPr>
          <w:i/>
          <w:w w:val="120"/>
          <w:sz w:val="20"/>
        </w:rPr>
        <w:t>News Update </w:t>
      </w:r>
      <w:r>
        <w:rPr>
          <w:w w:val="120"/>
          <w:sz w:val="20"/>
        </w:rPr>
        <w:t>monthly subscriptions stand at almost 4,000 and one recent issue was forwarded more than 8,000 times. We make clear on NU how people can subscribe directly to the</w:t>
      </w:r>
      <w:r>
        <w:rPr>
          <w:spacing w:val="5"/>
          <w:w w:val="120"/>
          <w:sz w:val="20"/>
        </w:rPr>
        <w:t> </w:t>
      </w:r>
      <w:r>
        <w:rPr>
          <w:w w:val="120"/>
          <w:sz w:val="20"/>
        </w:rPr>
        <w:t>e-newsletter.</w:t>
      </w:r>
    </w:p>
    <w:p>
      <w:pPr>
        <w:pStyle w:val="BodyText"/>
        <w:spacing w:before="10"/>
        <w:rPr>
          <w:sz w:val="19"/>
        </w:rPr>
      </w:pPr>
    </w:p>
    <w:p>
      <w:pPr>
        <w:pStyle w:val="ListParagraph"/>
        <w:numPr>
          <w:ilvl w:val="1"/>
          <w:numId w:val="66"/>
        </w:numPr>
        <w:tabs>
          <w:tab w:pos="2244" w:val="left" w:leader="none"/>
          <w:tab w:pos="2245" w:val="left" w:leader="none"/>
        </w:tabs>
        <w:spacing w:line="235" w:lineRule="auto" w:before="0" w:after="0"/>
        <w:ind w:left="1564" w:right="868" w:firstLine="0"/>
        <w:jc w:val="left"/>
        <w:rPr>
          <w:sz w:val="20"/>
        </w:rPr>
      </w:pPr>
      <w:r>
        <w:rPr>
          <w:w w:val="120"/>
          <w:sz w:val="20"/>
        </w:rPr>
        <w:t>The URC has </w:t>
      </w:r>
      <w:r>
        <w:rPr>
          <w:spacing w:val="-2"/>
          <w:w w:val="120"/>
          <w:sz w:val="20"/>
        </w:rPr>
        <w:t>now </w:t>
      </w:r>
      <w:r>
        <w:rPr>
          <w:spacing w:val="-3"/>
          <w:w w:val="120"/>
          <w:sz w:val="20"/>
        </w:rPr>
        <w:t>enjoyed </w:t>
      </w:r>
      <w:r>
        <w:rPr>
          <w:w w:val="120"/>
          <w:sz w:val="20"/>
        </w:rPr>
        <w:t>working with its redeveloped logo for two years and it is good </w:t>
      </w:r>
      <w:r>
        <w:rPr>
          <w:spacing w:val="-3"/>
          <w:w w:val="120"/>
          <w:sz w:val="20"/>
        </w:rPr>
        <w:t>to </w:t>
      </w:r>
      <w:r>
        <w:rPr>
          <w:w w:val="120"/>
          <w:sz w:val="20"/>
        </w:rPr>
        <w:t>see </w:t>
      </w:r>
      <w:r>
        <w:rPr>
          <w:spacing w:val="-2"/>
          <w:w w:val="120"/>
          <w:sz w:val="20"/>
        </w:rPr>
        <w:t>how </w:t>
      </w:r>
      <w:r>
        <w:rPr>
          <w:spacing w:val="-3"/>
          <w:w w:val="120"/>
          <w:sz w:val="20"/>
        </w:rPr>
        <w:t>well rooted </w:t>
      </w:r>
      <w:r>
        <w:rPr>
          <w:w w:val="120"/>
          <w:sz w:val="20"/>
        </w:rPr>
        <w:t>it has </w:t>
      </w:r>
      <w:r>
        <w:rPr>
          <w:spacing w:val="-3"/>
          <w:w w:val="120"/>
          <w:sz w:val="20"/>
        </w:rPr>
        <w:t>become, </w:t>
      </w:r>
      <w:r>
        <w:rPr>
          <w:w w:val="120"/>
          <w:sz w:val="20"/>
        </w:rPr>
        <w:t>in </w:t>
      </w:r>
      <w:r>
        <w:rPr>
          <w:spacing w:val="-3"/>
          <w:w w:val="120"/>
          <w:sz w:val="20"/>
        </w:rPr>
        <w:t>multiple </w:t>
      </w:r>
      <w:r>
        <w:rPr>
          <w:w w:val="120"/>
          <w:sz w:val="20"/>
        </w:rPr>
        <w:t>formats, </w:t>
      </w:r>
      <w:r>
        <w:rPr>
          <w:spacing w:val="-3"/>
          <w:w w:val="120"/>
          <w:sz w:val="20"/>
        </w:rPr>
        <w:t>across </w:t>
      </w:r>
      <w:r>
        <w:rPr>
          <w:w w:val="120"/>
          <w:sz w:val="20"/>
        </w:rPr>
        <w:t>the life of the </w:t>
      </w:r>
      <w:r>
        <w:rPr>
          <w:spacing w:val="-3"/>
          <w:w w:val="120"/>
          <w:sz w:val="20"/>
        </w:rPr>
        <w:t>Church. </w:t>
      </w:r>
      <w:r>
        <w:rPr>
          <w:w w:val="120"/>
          <w:sz w:val="20"/>
        </w:rPr>
        <w:t>The logo offers a meaningful </w:t>
      </w:r>
      <w:r>
        <w:rPr>
          <w:spacing w:val="-2"/>
          <w:w w:val="120"/>
          <w:sz w:val="20"/>
        </w:rPr>
        <w:t>way </w:t>
      </w:r>
      <w:r>
        <w:rPr>
          <w:w w:val="120"/>
          <w:sz w:val="20"/>
        </w:rPr>
        <w:t>of describing ourselves through the </w:t>
      </w:r>
      <w:r>
        <w:rPr>
          <w:spacing w:val="-3"/>
          <w:w w:val="120"/>
          <w:sz w:val="20"/>
        </w:rPr>
        <w:t>cross </w:t>
      </w:r>
      <w:r>
        <w:rPr>
          <w:w w:val="120"/>
          <w:sz w:val="20"/>
        </w:rPr>
        <w:t>made up of paint strokes and the symbol of the fish. It is a very </w:t>
      </w:r>
      <w:r>
        <w:rPr>
          <w:spacing w:val="-3"/>
          <w:w w:val="120"/>
          <w:sz w:val="20"/>
        </w:rPr>
        <w:t>recognisable </w:t>
      </w:r>
      <w:r>
        <w:rPr>
          <w:spacing w:val="-2"/>
          <w:w w:val="120"/>
          <w:sz w:val="20"/>
        </w:rPr>
        <w:t>way </w:t>
      </w:r>
      <w:r>
        <w:rPr>
          <w:w w:val="120"/>
          <w:sz w:val="20"/>
        </w:rPr>
        <w:t>of identifying the </w:t>
      </w:r>
      <w:r>
        <w:rPr>
          <w:spacing w:val="-3"/>
          <w:w w:val="120"/>
          <w:sz w:val="20"/>
        </w:rPr>
        <w:t>denomination </w:t>
      </w:r>
      <w:r>
        <w:rPr>
          <w:w w:val="120"/>
          <w:sz w:val="20"/>
        </w:rPr>
        <w:t>and provides </w:t>
      </w:r>
      <w:r>
        <w:rPr>
          <w:spacing w:val="-3"/>
          <w:w w:val="120"/>
          <w:sz w:val="20"/>
        </w:rPr>
        <w:t>continuity </w:t>
      </w:r>
      <w:r>
        <w:rPr>
          <w:w w:val="120"/>
          <w:sz w:val="20"/>
        </w:rPr>
        <w:t>with the original design for the</w:t>
      </w:r>
      <w:r>
        <w:rPr>
          <w:spacing w:val="26"/>
          <w:w w:val="120"/>
          <w:sz w:val="20"/>
        </w:rPr>
        <w:t> </w:t>
      </w:r>
      <w:r>
        <w:rPr>
          <w:spacing w:val="-3"/>
          <w:w w:val="120"/>
          <w:sz w:val="20"/>
        </w:rPr>
        <w:t>denomination.</w:t>
      </w:r>
    </w:p>
    <w:p>
      <w:pPr>
        <w:pStyle w:val="BodyText"/>
      </w:pPr>
    </w:p>
    <w:p>
      <w:pPr>
        <w:pStyle w:val="ListParagraph"/>
        <w:numPr>
          <w:ilvl w:val="1"/>
          <w:numId w:val="66"/>
        </w:numPr>
        <w:tabs>
          <w:tab w:pos="2244" w:val="left" w:leader="none"/>
          <w:tab w:pos="2245" w:val="left" w:leader="none"/>
        </w:tabs>
        <w:spacing w:line="235" w:lineRule="auto" w:before="0" w:after="0"/>
        <w:ind w:left="1564" w:right="931" w:firstLine="0"/>
        <w:jc w:val="left"/>
        <w:rPr>
          <w:sz w:val="20"/>
        </w:rPr>
      </w:pPr>
      <w:r>
        <w:rPr>
          <w:spacing w:val="-3"/>
          <w:w w:val="115"/>
          <w:sz w:val="20"/>
        </w:rPr>
        <w:t>Communications </w:t>
      </w:r>
      <w:r>
        <w:rPr>
          <w:w w:val="115"/>
          <w:sz w:val="20"/>
        </w:rPr>
        <w:t>is working </w:t>
      </w:r>
      <w:r>
        <w:rPr>
          <w:spacing w:val="-3"/>
          <w:w w:val="115"/>
          <w:sz w:val="20"/>
        </w:rPr>
        <w:t>closely </w:t>
      </w:r>
      <w:r>
        <w:rPr>
          <w:w w:val="115"/>
          <w:sz w:val="20"/>
        </w:rPr>
        <w:t>with the  </w:t>
      </w:r>
      <w:r>
        <w:rPr>
          <w:spacing w:val="-3"/>
          <w:w w:val="115"/>
          <w:sz w:val="20"/>
        </w:rPr>
        <w:t>Ministers’  </w:t>
      </w:r>
      <w:r>
        <w:rPr>
          <w:w w:val="115"/>
          <w:sz w:val="20"/>
        </w:rPr>
        <w:t>Gathering  steering  </w:t>
      </w:r>
      <w:r>
        <w:rPr>
          <w:spacing w:val="-3"/>
          <w:w w:val="115"/>
          <w:sz w:val="20"/>
        </w:rPr>
        <w:t>group, </w:t>
      </w:r>
      <w:r>
        <w:rPr>
          <w:w w:val="115"/>
          <w:sz w:val="20"/>
        </w:rPr>
        <w:t>the </w:t>
      </w:r>
      <w:r>
        <w:rPr>
          <w:spacing w:val="-3"/>
          <w:w w:val="115"/>
          <w:sz w:val="20"/>
        </w:rPr>
        <w:t>Walking </w:t>
      </w:r>
      <w:r>
        <w:rPr>
          <w:w w:val="115"/>
          <w:sz w:val="20"/>
        </w:rPr>
        <w:t>the </w:t>
      </w:r>
      <w:r>
        <w:rPr>
          <w:spacing w:val="-3"/>
          <w:w w:val="115"/>
          <w:sz w:val="20"/>
        </w:rPr>
        <w:t>Way </w:t>
      </w:r>
      <w:r>
        <w:rPr>
          <w:w w:val="115"/>
          <w:sz w:val="20"/>
        </w:rPr>
        <w:t>steering group and </w:t>
      </w:r>
      <w:r>
        <w:rPr>
          <w:spacing w:val="-3"/>
          <w:w w:val="115"/>
          <w:sz w:val="20"/>
        </w:rPr>
        <w:t>Children </w:t>
      </w:r>
      <w:r>
        <w:rPr>
          <w:w w:val="115"/>
          <w:sz w:val="20"/>
        </w:rPr>
        <w:t>and  </w:t>
      </w:r>
      <w:r>
        <w:rPr>
          <w:spacing w:val="-4"/>
          <w:w w:val="115"/>
          <w:sz w:val="20"/>
        </w:rPr>
        <w:t>Youth  </w:t>
      </w:r>
      <w:r>
        <w:rPr>
          <w:w w:val="115"/>
          <w:sz w:val="20"/>
        </w:rPr>
        <w:t>department  </w:t>
      </w:r>
      <w:r>
        <w:rPr>
          <w:spacing w:val="-7"/>
          <w:w w:val="115"/>
          <w:sz w:val="20"/>
        </w:rPr>
        <w:t>(on  </w:t>
      </w:r>
      <w:r>
        <w:rPr>
          <w:w w:val="115"/>
          <w:sz w:val="20"/>
        </w:rPr>
        <w:t>projects which </w:t>
      </w:r>
      <w:r>
        <w:rPr>
          <w:spacing w:val="-3"/>
          <w:w w:val="115"/>
          <w:sz w:val="20"/>
        </w:rPr>
        <w:t>have </w:t>
      </w:r>
      <w:r>
        <w:rPr>
          <w:w w:val="115"/>
          <w:sz w:val="20"/>
        </w:rPr>
        <w:t>included </w:t>
      </w:r>
      <w:r>
        <w:rPr>
          <w:spacing w:val="-4"/>
          <w:w w:val="115"/>
          <w:sz w:val="20"/>
        </w:rPr>
        <w:t>Youth </w:t>
      </w:r>
      <w:r>
        <w:rPr>
          <w:w w:val="115"/>
          <w:sz w:val="20"/>
        </w:rPr>
        <w:t>Assembly and The Big Speak </w:t>
      </w:r>
      <w:r>
        <w:rPr>
          <w:spacing w:val="-5"/>
          <w:w w:val="115"/>
          <w:sz w:val="20"/>
        </w:rPr>
        <w:t>Out). </w:t>
      </w:r>
      <w:r>
        <w:rPr>
          <w:spacing w:val="-3"/>
          <w:w w:val="115"/>
          <w:sz w:val="20"/>
        </w:rPr>
        <w:t>We </w:t>
      </w:r>
      <w:r>
        <w:rPr>
          <w:w w:val="115"/>
          <w:sz w:val="20"/>
        </w:rPr>
        <w:t>provide </w:t>
      </w:r>
      <w:r>
        <w:rPr>
          <w:spacing w:val="-3"/>
          <w:w w:val="115"/>
          <w:sz w:val="20"/>
        </w:rPr>
        <w:t>comprehensive communications </w:t>
      </w:r>
      <w:r>
        <w:rPr>
          <w:w w:val="115"/>
          <w:sz w:val="20"/>
        </w:rPr>
        <w:t>plans that break down </w:t>
      </w:r>
      <w:r>
        <w:rPr>
          <w:spacing w:val="-3"/>
          <w:w w:val="115"/>
          <w:sz w:val="20"/>
        </w:rPr>
        <w:t>key areas/issues/messages to </w:t>
      </w:r>
      <w:r>
        <w:rPr>
          <w:w w:val="115"/>
          <w:sz w:val="20"/>
        </w:rPr>
        <w:t>be </w:t>
      </w:r>
      <w:r>
        <w:rPr>
          <w:spacing w:val="-3"/>
          <w:w w:val="115"/>
          <w:sz w:val="20"/>
        </w:rPr>
        <w:t>promoted, </w:t>
      </w:r>
      <w:r>
        <w:rPr>
          <w:w w:val="115"/>
          <w:sz w:val="20"/>
        </w:rPr>
        <w:t>the </w:t>
      </w:r>
      <w:r>
        <w:rPr>
          <w:spacing w:val="-3"/>
          <w:w w:val="115"/>
          <w:sz w:val="20"/>
        </w:rPr>
        <w:t>channels</w:t>
      </w:r>
      <w:r>
        <w:rPr>
          <w:spacing w:val="7"/>
          <w:w w:val="115"/>
          <w:sz w:val="20"/>
        </w:rPr>
        <w:t> </w:t>
      </w:r>
      <w:r>
        <w:rPr>
          <w:w w:val="115"/>
          <w:sz w:val="20"/>
        </w:rPr>
        <w:t>which</w:t>
      </w:r>
      <w:r>
        <w:rPr>
          <w:spacing w:val="7"/>
          <w:w w:val="115"/>
          <w:sz w:val="20"/>
        </w:rPr>
        <w:t> </w:t>
      </w:r>
      <w:r>
        <w:rPr>
          <w:w w:val="115"/>
          <w:sz w:val="20"/>
        </w:rPr>
        <w:t>are</w:t>
      </w:r>
      <w:r>
        <w:rPr>
          <w:spacing w:val="7"/>
          <w:w w:val="115"/>
          <w:sz w:val="20"/>
        </w:rPr>
        <w:t> </w:t>
      </w:r>
      <w:r>
        <w:rPr>
          <w:w w:val="115"/>
          <w:sz w:val="20"/>
        </w:rPr>
        <w:t>best</w:t>
      </w:r>
      <w:r>
        <w:rPr>
          <w:spacing w:val="7"/>
          <w:w w:val="115"/>
          <w:sz w:val="20"/>
        </w:rPr>
        <w:t> </w:t>
      </w:r>
      <w:r>
        <w:rPr>
          <w:spacing w:val="-3"/>
          <w:w w:val="115"/>
          <w:sz w:val="20"/>
        </w:rPr>
        <w:t>placed</w:t>
      </w:r>
      <w:r>
        <w:rPr>
          <w:spacing w:val="7"/>
          <w:w w:val="115"/>
          <w:sz w:val="20"/>
        </w:rPr>
        <w:t> </w:t>
      </w:r>
      <w:r>
        <w:rPr>
          <w:spacing w:val="-3"/>
          <w:w w:val="115"/>
          <w:sz w:val="20"/>
        </w:rPr>
        <w:t>to</w:t>
      </w:r>
      <w:r>
        <w:rPr>
          <w:spacing w:val="7"/>
          <w:w w:val="115"/>
          <w:sz w:val="20"/>
        </w:rPr>
        <w:t> </w:t>
      </w:r>
      <w:r>
        <w:rPr>
          <w:spacing w:val="-3"/>
          <w:w w:val="115"/>
          <w:sz w:val="20"/>
        </w:rPr>
        <w:t>promote</w:t>
      </w:r>
      <w:r>
        <w:rPr>
          <w:spacing w:val="8"/>
          <w:w w:val="115"/>
          <w:sz w:val="20"/>
        </w:rPr>
        <w:t> </w:t>
      </w:r>
      <w:r>
        <w:rPr>
          <w:w w:val="115"/>
          <w:sz w:val="20"/>
        </w:rPr>
        <w:t>these</w:t>
      </w:r>
      <w:r>
        <w:rPr>
          <w:spacing w:val="7"/>
          <w:w w:val="115"/>
          <w:sz w:val="20"/>
        </w:rPr>
        <w:t> </w:t>
      </w:r>
      <w:r>
        <w:rPr>
          <w:w w:val="115"/>
          <w:sz w:val="20"/>
        </w:rPr>
        <w:t>elements,</w:t>
      </w:r>
      <w:r>
        <w:rPr>
          <w:spacing w:val="7"/>
          <w:w w:val="115"/>
          <w:sz w:val="20"/>
        </w:rPr>
        <w:t> </w:t>
      </w:r>
      <w:r>
        <w:rPr>
          <w:w w:val="115"/>
          <w:sz w:val="20"/>
        </w:rPr>
        <w:t>and</w:t>
      </w:r>
      <w:r>
        <w:rPr>
          <w:spacing w:val="7"/>
          <w:w w:val="115"/>
          <w:sz w:val="20"/>
        </w:rPr>
        <w:t> </w:t>
      </w:r>
      <w:r>
        <w:rPr>
          <w:w w:val="115"/>
          <w:sz w:val="20"/>
        </w:rPr>
        <w:t>overall</w:t>
      </w:r>
      <w:r>
        <w:rPr>
          <w:spacing w:val="7"/>
          <w:w w:val="115"/>
          <w:sz w:val="20"/>
        </w:rPr>
        <w:t> </w:t>
      </w:r>
      <w:r>
        <w:rPr>
          <w:w w:val="115"/>
          <w:sz w:val="20"/>
        </w:rPr>
        <w:t>objectives.</w:t>
      </w:r>
    </w:p>
    <w:p>
      <w:pPr>
        <w:spacing w:after="0" w:line="235" w:lineRule="auto"/>
        <w:jc w:val="left"/>
        <w:rPr>
          <w:sz w:val="20"/>
        </w:rPr>
        <w:sectPr>
          <w:type w:val="continuous"/>
          <w:pgSz w:w="11910" w:h="16840"/>
          <w:pgMar w:top="1580" w:bottom="280" w:left="420" w:right="380"/>
        </w:sectPr>
      </w:pPr>
    </w:p>
    <w:p>
      <w:pPr>
        <w:pStyle w:val="BodyText"/>
      </w:pPr>
      <w:r>
        <w:rPr/>
        <w:drawing>
          <wp:anchor distT="0" distB="0" distL="0" distR="0" allowOverlap="1" layoutInCell="1" locked="0" behindDoc="1" simplePos="0" relativeHeight="235938816">
            <wp:simplePos x="0" y="0"/>
            <wp:positionH relativeFrom="page">
              <wp:posOffset>0</wp:posOffset>
            </wp:positionH>
            <wp:positionV relativeFrom="page">
              <wp:posOffset>0</wp:posOffset>
            </wp:positionV>
            <wp:extent cx="594067" cy="10692003"/>
            <wp:effectExtent l="0" t="0" r="0" b="0"/>
            <wp:wrapNone/>
            <wp:docPr id="169" name="image70.png"/>
            <wp:cNvGraphicFramePr>
              <a:graphicFrameLocks noChangeAspect="1"/>
            </wp:cNvGraphicFramePr>
            <a:graphic>
              <a:graphicData uri="http://schemas.openxmlformats.org/drawingml/2006/picture">
                <pic:pic>
                  <pic:nvPicPr>
                    <pic:cNvPr id="17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77pt;mso-position-horizontal-relative:page;mso-position-vertical-relative:paragraph;z-index:251907072" type="#_x0000_t202" filled="false" stroked="false">
            <v:textbox inset="0,0,0,0" style="layout-flow:vertical">
              <w:txbxContent>
                <w:p>
                  <w:pPr>
                    <w:spacing w:before="29"/>
                    <w:ind w:left="20" w:right="0" w:firstLine="0"/>
                    <w:jc w:val="left"/>
                    <w:rPr>
                      <w:sz w:val="39"/>
                    </w:rPr>
                  </w:pPr>
                  <w:r>
                    <w:rPr>
                      <w:color w:val="FFFFFF"/>
                      <w:w w:val="125"/>
                      <w:sz w:val="39"/>
                    </w:rPr>
                    <w:t>Communications</w:t>
                  </w:r>
                </w:p>
              </w:txbxContent>
            </v:textbox>
            <w10:wrap type="none"/>
          </v:shape>
        </w:pict>
      </w:r>
      <w:r>
        <w:rPr>
          <w:color w:val="7EAABF"/>
          <w:w w:val="120"/>
        </w:rPr>
        <w:t>Communications</w:t>
      </w:r>
    </w:p>
    <w:p>
      <w:pPr>
        <w:pStyle w:val="ListParagraph"/>
        <w:numPr>
          <w:ilvl w:val="0"/>
          <w:numId w:val="66"/>
        </w:numPr>
        <w:tabs>
          <w:tab w:pos="1507" w:val="left" w:leader="none"/>
          <w:tab w:pos="1508" w:val="left" w:leader="none"/>
        </w:tabs>
        <w:spacing w:line="240" w:lineRule="auto" w:before="215" w:after="0"/>
        <w:ind w:left="1507" w:right="0" w:hanging="681"/>
        <w:jc w:val="left"/>
        <w:rPr>
          <w:rFonts w:ascii="Stone Sans II ITC Std Bk"/>
          <w:b/>
          <w:sz w:val="29"/>
        </w:rPr>
      </w:pPr>
      <w:r>
        <w:rPr>
          <w:rFonts w:ascii="Stone Sans II ITC Std Bk"/>
          <w:b/>
          <w:spacing w:val="3"/>
          <w:w w:val="110"/>
          <w:sz w:val="29"/>
        </w:rPr>
        <w:t>Social</w:t>
      </w:r>
      <w:r>
        <w:rPr>
          <w:rFonts w:ascii="Stone Sans II ITC Std Bk"/>
          <w:b/>
          <w:spacing w:val="12"/>
          <w:w w:val="110"/>
          <w:sz w:val="29"/>
        </w:rPr>
        <w:t> </w:t>
      </w:r>
      <w:r>
        <w:rPr>
          <w:rFonts w:ascii="Stone Sans II ITC Std Bk"/>
          <w:b/>
          <w:spacing w:val="4"/>
          <w:w w:val="110"/>
          <w:sz w:val="29"/>
        </w:rPr>
        <w:t>media</w:t>
      </w:r>
    </w:p>
    <w:p>
      <w:pPr>
        <w:pStyle w:val="ListParagraph"/>
        <w:numPr>
          <w:ilvl w:val="1"/>
          <w:numId w:val="66"/>
        </w:numPr>
        <w:tabs>
          <w:tab w:pos="1507" w:val="left" w:leader="none"/>
          <w:tab w:pos="1508" w:val="left" w:leader="none"/>
        </w:tabs>
        <w:spacing w:line="235" w:lineRule="auto" w:before="69" w:after="0"/>
        <w:ind w:left="827" w:right="1926" w:firstLine="0"/>
        <w:jc w:val="left"/>
        <w:rPr>
          <w:sz w:val="20"/>
        </w:rPr>
      </w:pPr>
      <w:r>
        <w:rPr>
          <w:w w:val="120"/>
          <w:sz w:val="20"/>
        </w:rPr>
        <w:t>We have been able to create social media campaigns, news stories, and well- timed resources for audiences to engage with. News stories are regularly posted and news</w:t>
      </w:r>
      <w:r>
        <w:rPr>
          <w:spacing w:val="-8"/>
          <w:w w:val="120"/>
          <w:sz w:val="20"/>
        </w:rPr>
        <w:t> </w:t>
      </w:r>
      <w:r>
        <w:rPr>
          <w:w w:val="120"/>
          <w:sz w:val="20"/>
        </w:rPr>
        <w:t>items</w:t>
      </w:r>
      <w:r>
        <w:rPr>
          <w:spacing w:val="-7"/>
          <w:w w:val="120"/>
          <w:sz w:val="20"/>
        </w:rPr>
        <w:t> </w:t>
      </w:r>
      <w:r>
        <w:rPr>
          <w:w w:val="120"/>
          <w:sz w:val="20"/>
        </w:rPr>
        <w:t>from</w:t>
      </w:r>
      <w:r>
        <w:rPr>
          <w:spacing w:val="-7"/>
          <w:w w:val="120"/>
          <w:sz w:val="20"/>
        </w:rPr>
        <w:t> </w:t>
      </w:r>
      <w:r>
        <w:rPr>
          <w:w w:val="120"/>
          <w:sz w:val="20"/>
        </w:rPr>
        <w:t>associated</w:t>
      </w:r>
      <w:r>
        <w:rPr>
          <w:spacing w:val="-7"/>
          <w:w w:val="120"/>
          <w:sz w:val="20"/>
        </w:rPr>
        <w:t> </w:t>
      </w:r>
      <w:r>
        <w:rPr>
          <w:w w:val="120"/>
          <w:sz w:val="20"/>
        </w:rPr>
        <w:t>accounts</w:t>
      </w:r>
      <w:r>
        <w:rPr>
          <w:spacing w:val="-7"/>
          <w:w w:val="120"/>
          <w:sz w:val="20"/>
        </w:rPr>
        <w:t> </w:t>
      </w:r>
      <w:r>
        <w:rPr>
          <w:w w:val="120"/>
          <w:sz w:val="20"/>
        </w:rPr>
        <w:t>such</w:t>
      </w:r>
      <w:r>
        <w:rPr>
          <w:spacing w:val="-7"/>
          <w:w w:val="120"/>
          <w:sz w:val="20"/>
        </w:rPr>
        <w:t> </w:t>
      </w:r>
      <w:r>
        <w:rPr>
          <w:w w:val="120"/>
          <w:sz w:val="20"/>
        </w:rPr>
        <w:t>as</w:t>
      </w:r>
      <w:r>
        <w:rPr>
          <w:spacing w:val="-7"/>
          <w:w w:val="120"/>
          <w:sz w:val="20"/>
        </w:rPr>
        <w:t> </w:t>
      </w:r>
      <w:r>
        <w:rPr>
          <w:i/>
          <w:w w:val="120"/>
          <w:sz w:val="20"/>
        </w:rPr>
        <w:t>Reform</w:t>
      </w:r>
      <w:r>
        <w:rPr>
          <w:i/>
          <w:spacing w:val="-7"/>
          <w:w w:val="120"/>
          <w:sz w:val="20"/>
        </w:rPr>
        <w:t> </w:t>
      </w:r>
      <w:r>
        <w:rPr>
          <w:w w:val="120"/>
          <w:sz w:val="20"/>
        </w:rPr>
        <w:t>magazine,</w:t>
      </w:r>
      <w:r>
        <w:rPr>
          <w:spacing w:val="-7"/>
          <w:w w:val="120"/>
          <w:sz w:val="20"/>
        </w:rPr>
        <w:t> </w:t>
      </w:r>
      <w:r>
        <w:rPr>
          <w:spacing w:val="-3"/>
          <w:w w:val="120"/>
          <w:sz w:val="20"/>
        </w:rPr>
        <w:t>JPIT,</w:t>
      </w:r>
      <w:r>
        <w:rPr>
          <w:spacing w:val="-7"/>
          <w:w w:val="120"/>
          <w:sz w:val="20"/>
        </w:rPr>
        <w:t> </w:t>
      </w:r>
      <w:r>
        <w:rPr>
          <w:w w:val="120"/>
          <w:sz w:val="20"/>
        </w:rPr>
        <w:t>Walking</w:t>
      </w:r>
      <w:r>
        <w:rPr>
          <w:spacing w:val="-7"/>
          <w:w w:val="120"/>
          <w:sz w:val="20"/>
        </w:rPr>
        <w:t> </w:t>
      </w:r>
      <w:r>
        <w:rPr>
          <w:w w:val="120"/>
          <w:sz w:val="20"/>
        </w:rPr>
        <w:t>the</w:t>
      </w:r>
      <w:r>
        <w:rPr>
          <w:spacing w:val="-7"/>
          <w:w w:val="120"/>
          <w:sz w:val="20"/>
        </w:rPr>
        <w:t> </w:t>
      </w:r>
      <w:r>
        <w:rPr>
          <w:w w:val="120"/>
          <w:sz w:val="20"/>
        </w:rPr>
        <w:t>Way and URC </w:t>
      </w:r>
      <w:r>
        <w:rPr>
          <w:spacing w:val="-3"/>
          <w:w w:val="120"/>
          <w:sz w:val="20"/>
        </w:rPr>
        <w:t>Youth </w:t>
      </w:r>
      <w:r>
        <w:rPr>
          <w:w w:val="120"/>
          <w:sz w:val="20"/>
        </w:rPr>
        <w:t>are regularly shared and promoted to increase</w:t>
      </w:r>
      <w:r>
        <w:rPr>
          <w:spacing w:val="50"/>
          <w:w w:val="120"/>
          <w:sz w:val="20"/>
        </w:rPr>
        <w:t> </w:t>
      </w:r>
      <w:r>
        <w:rPr>
          <w:w w:val="120"/>
          <w:sz w:val="20"/>
        </w:rPr>
        <w:t>engagement.</w:t>
      </w:r>
    </w:p>
    <w:p>
      <w:pPr>
        <w:pStyle w:val="BodyText"/>
        <w:spacing w:before="11"/>
        <w:rPr>
          <w:sz w:val="19"/>
        </w:rPr>
      </w:pPr>
    </w:p>
    <w:p>
      <w:pPr>
        <w:pStyle w:val="ListParagraph"/>
        <w:numPr>
          <w:ilvl w:val="1"/>
          <w:numId w:val="66"/>
        </w:numPr>
        <w:tabs>
          <w:tab w:pos="1507" w:val="left" w:leader="none"/>
          <w:tab w:pos="1508" w:val="left" w:leader="none"/>
        </w:tabs>
        <w:spacing w:line="235" w:lineRule="auto" w:before="0" w:after="0"/>
        <w:ind w:left="827" w:right="1573" w:firstLine="0"/>
        <w:jc w:val="left"/>
        <w:rPr>
          <w:sz w:val="20"/>
        </w:rPr>
      </w:pPr>
      <w:r>
        <w:rPr>
          <w:w w:val="120"/>
          <w:sz w:val="20"/>
        </w:rPr>
        <w:t>By the beginning of </w:t>
      </w:r>
      <w:r>
        <w:rPr>
          <w:spacing w:val="-7"/>
          <w:w w:val="120"/>
          <w:sz w:val="20"/>
        </w:rPr>
        <w:t>2018, </w:t>
      </w:r>
      <w:r>
        <w:rPr>
          <w:w w:val="120"/>
          <w:sz w:val="20"/>
        </w:rPr>
        <w:t>more than </w:t>
      </w:r>
      <w:r>
        <w:rPr>
          <w:spacing w:val="-3"/>
          <w:w w:val="120"/>
          <w:sz w:val="20"/>
        </w:rPr>
        <w:t>1,000 </w:t>
      </w:r>
      <w:r>
        <w:rPr>
          <w:w w:val="120"/>
          <w:sz w:val="20"/>
        </w:rPr>
        <w:t>people </w:t>
      </w:r>
      <w:r>
        <w:rPr>
          <w:spacing w:val="-4"/>
          <w:w w:val="120"/>
          <w:sz w:val="20"/>
        </w:rPr>
        <w:t>‘liked’ </w:t>
      </w:r>
      <w:r>
        <w:rPr>
          <w:w w:val="120"/>
          <w:sz w:val="20"/>
        </w:rPr>
        <w:t>the URC </w:t>
      </w:r>
      <w:r>
        <w:rPr>
          <w:spacing w:val="-3"/>
          <w:w w:val="120"/>
          <w:sz w:val="20"/>
        </w:rPr>
        <w:t>communications’ Facebook </w:t>
      </w:r>
      <w:r>
        <w:rPr>
          <w:w w:val="120"/>
          <w:sz w:val="20"/>
        </w:rPr>
        <w:t>page and 3,000 </w:t>
      </w:r>
      <w:r>
        <w:rPr>
          <w:spacing w:val="-3"/>
          <w:w w:val="120"/>
          <w:sz w:val="20"/>
        </w:rPr>
        <w:t>followed </w:t>
      </w:r>
      <w:r>
        <w:rPr>
          <w:w w:val="120"/>
          <w:sz w:val="20"/>
        </w:rPr>
        <w:t>the </w:t>
      </w:r>
      <w:r>
        <w:rPr>
          <w:spacing w:val="-5"/>
          <w:w w:val="120"/>
          <w:sz w:val="20"/>
        </w:rPr>
        <w:t>URC’s </w:t>
      </w:r>
      <w:r>
        <w:rPr>
          <w:spacing w:val="-3"/>
          <w:w w:val="120"/>
          <w:sz w:val="20"/>
        </w:rPr>
        <w:t>communications’ </w:t>
      </w:r>
      <w:r>
        <w:rPr>
          <w:spacing w:val="-4"/>
          <w:w w:val="120"/>
          <w:sz w:val="20"/>
        </w:rPr>
        <w:t>Twitter</w:t>
      </w:r>
      <w:r>
        <w:rPr>
          <w:spacing w:val="-2"/>
          <w:w w:val="120"/>
          <w:sz w:val="20"/>
        </w:rPr>
        <w:t> </w:t>
      </w:r>
      <w:r>
        <w:rPr>
          <w:spacing w:val="-4"/>
          <w:w w:val="120"/>
          <w:sz w:val="20"/>
        </w:rPr>
        <w:t>account.</w:t>
      </w:r>
    </w:p>
    <w:p>
      <w:pPr>
        <w:pStyle w:val="BodyText"/>
        <w:spacing w:before="2"/>
        <w:rPr>
          <w:sz w:val="22"/>
        </w:rPr>
      </w:pPr>
    </w:p>
    <w:p>
      <w:pPr>
        <w:pStyle w:val="Heading4"/>
        <w:numPr>
          <w:ilvl w:val="0"/>
          <w:numId w:val="66"/>
        </w:numPr>
        <w:tabs>
          <w:tab w:pos="1507" w:val="left" w:leader="none"/>
          <w:tab w:pos="1508" w:val="left" w:leader="none"/>
        </w:tabs>
        <w:spacing w:line="240" w:lineRule="auto" w:before="0" w:after="0"/>
        <w:ind w:left="1507" w:right="0" w:hanging="681"/>
        <w:jc w:val="left"/>
      </w:pPr>
      <w:r>
        <w:rPr>
          <w:spacing w:val="4"/>
          <w:w w:val="110"/>
        </w:rPr>
        <w:t>Reform</w:t>
      </w:r>
    </w:p>
    <w:p>
      <w:pPr>
        <w:pStyle w:val="ListParagraph"/>
        <w:numPr>
          <w:ilvl w:val="1"/>
          <w:numId w:val="66"/>
        </w:numPr>
        <w:tabs>
          <w:tab w:pos="1507" w:val="left" w:leader="none"/>
          <w:tab w:pos="1508" w:val="left" w:leader="none"/>
        </w:tabs>
        <w:spacing w:line="235" w:lineRule="auto" w:before="69" w:after="0"/>
        <w:ind w:left="827" w:right="1830" w:firstLine="0"/>
        <w:jc w:val="left"/>
        <w:rPr>
          <w:sz w:val="20"/>
        </w:rPr>
      </w:pPr>
      <w:r>
        <w:rPr>
          <w:i/>
          <w:w w:val="120"/>
          <w:sz w:val="20"/>
        </w:rPr>
        <w:t>Reform </w:t>
      </w:r>
      <w:r>
        <w:rPr>
          <w:w w:val="120"/>
          <w:sz w:val="20"/>
        </w:rPr>
        <w:t>is well loved and increasingly well used by local churches. Following a review, we have re-focused the editorial content on material which can be used in the daily life of the Church, such as in discussion groups. </w:t>
      </w:r>
      <w:r>
        <w:rPr>
          <w:i/>
          <w:w w:val="120"/>
          <w:sz w:val="20"/>
        </w:rPr>
        <w:t>Reform </w:t>
      </w:r>
      <w:r>
        <w:rPr>
          <w:w w:val="120"/>
          <w:sz w:val="20"/>
        </w:rPr>
        <w:t>has seen a </w:t>
      </w:r>
      <w:r>
        <w:rPr>
          <w:spacing w:val="-3"/>
          <w:w w:val="120"/>
          <w:sz w:val="20"/>
        </w:rPr>
        <w:t>3% </w:t>
      </w:r>
      <w:r>
        <w:rPr>
          <w:w w:val="120"/>
          <w:sz w:val="20"/>
        </w:rPr>
        <w:t>decline in subscribers over the past </w:t>
      </w:r>
      <w:r>
        <w:rPr>
          <w:spacing w:val="-4"/>
          <w:w w:val="120"/>
          <w:sz w:val="20"/>
        </w:rPr>
        <w:t>year, </w:t>
      </w:r>
      <w:r>
        <w:rPr>
          <w:w w:val="120"/>
          <w:sz w:val="20"/>
        </w:rPr>
        <w:t>which we hope to make up in the coming months with digital</w:t>
      </w:r>
      <w:r>
        <w:rPr>
          <w:spacing w:val="2"/>
          <w:w w:val="120"/>
          <w:sz w:val="20"/>
        </w:rPr>
        <w:t> </w:t>
      </w:r>
      <w:r>
        <w:rPr>
          <w:w w:val="120"/>
          <w:sz w:val="20"/>
        </w:rPr>
        <w:t>subscriptions.</w:t>
      </w:r>
    </w:p>
    <w:p>
      <w:pPr>
        <w:pStyle w:val="BodyText"/>
      </w:pPr>
    </w:p>
    <w:p>
      <w:pPr>
        <w:pStyle w:val="ListParagraph"/>
        <w:numPr>
          <w:ilvl w:val="1"/>
          <w:numId w:val="66"/>
        </w:numPr>
        <w:tabs>
          <w:tab w:pos="1507" w:val="left" w:leader="none"/>
          <w:tab w:pos="1508" w:val="left" w:leader="none"/>
        </w:tabs>
        <w:spacing w:line="235" w:lineRule="auto" w:before="0" w:after="0"/>
        <w:ind w:left="827" w:right="1669" w:firstLine="0"/>
        <w:jc w:val="left"/>
        <w:rPr>
          <w:sz w:val="20"/>
        </w:rPr>
      </w:pPr>
      <w:r>
        <w:rPr>
          <w:w w:val="120"/>
          <w:sz w:val="20"/>
        </w:rPr>
        <w:t>Since General Assembly last met, </w:t>
      </w:r>
      <w:r>
        <w:rPr>
          <w:i/>
          <w:w w:val="120"/>
          <w:sz w:val="20"/>
        </w:rPr>
        <w:t>Reform’s </w:t>
      </w:r>
      <w:r>
        <w:rPr>
          <w:w w:val="120"/>
          <w:sz w:val="20"/>
        </w:rPr>
        <w:t>editorial board has met twice </w:t>
      </w:r>
      <w:r>
        <w:rPr>
          <w:spacing w:val="-5"/>
          <w:w w:val="120"/>
          <w:sz w:val="20"/>
        </w:rPr>
        <w:t>(and </w:t>
      </w:r>
      <w:r>
        <w:rPr>
          <w:w w:val="120"/>
          <w:sz w:val="20"/>
        </w:rPr>
        <w:t>is scheduled to meet again in June </w:t>
      </w:r>
      <w:r>
        <w:rPr>
          <w:spacing w:val="-7"/>
          <w:w w:val="120"/>
          <w:sz w:val="20"/>
        </w:rPr>
        <w:t>2018). </w:t>
      </w:r>
      <w:r>
        <w:rPr>
          <w:w w:val="120"/>
          <w:sz w:val="20"/>
        </w:rPr>
        <w:t>The board gives us helpful feedback, and has been particularly useful in helping us understand more about how </w:t>
      </w:r>
      <w:r>
        <w:rPr>
          <w:i/>
          <w:w w:val="120"/>
          <w:sz w:val="20"/>
        </w:rPr>
        <w:t>Reform </w:t>
      </w:r>
      <w:r>
        <w:rPr>
          <w:w w:val="120"/>
          <w:sz w:val="20"/>
        </w:rPr>
        <w:t>is received in local</w:t>
      </w:r>
      <w:r>
        <w:rPr>
          <w:spacing w:val="2"/>
          <w:w w:val="120"/>
          <w:sz w:val="20"/>
        </w:rPr>
        <w:t> </w:t>
      </w:r>
      <w:r>
        <w:rPr>
          <w:w w:val="120"/>
          <w:sz w:val="20"/>
        </w:rPr>
        <w:t>churches.</w:t>
      </w:r>
    </w:p>
    <w:p>
      <w:pPr>
        <w:pStyle w:val="BodyText"/>
        <w:spacing w:before="10"/>
        <w:rPr>
          <w:sz w:val="19"/>
        </w:rPr>
      </w:pPr>
    </w:p>
    <w:p>
      <w:pPr>
        <w:pStyle w:val="ListParagraph"/>
        <w:numPr>
          <w:ilvl w:val="1"/>
          <w:numId w:val="66"/>
        </w:numPr>
        <w:tabs>
          <w:tab w:pos="1507" w:val="left" w:leader="none"/>
          <w:tab w:pos="1508" w:val="left" w:leader="none"/>
        </w:tabs>
        <w:spacing w:line="235" w:lineRule="auto" w:before="1" w:after="0"/>
        <w:ind w:left="827" w:right="2019" w:firstLine="0"/>
        <w:jc w:val="left"/>
        <w:rPr>
          <w:sz w:val="20"/>
        </w:rPr>
      </w:pPr>
      <w:r>
        <w:rPr>
          <w:w w:val="120"/>
          <w:sz w:val="20"/>
        </w:rPr>
        <w:t>The magazine remains something of which the URC can be proud </w:t>
      </w:r>
      <w:r>
        <w:rPr>
          <w:spacing w:val="-3"/>
          <w:w w:val="120"/>
          <w:sz w:val="20"/>
        </w:rPr>
        <w:t>(other </w:t>
      </w:r>
      <w:r>
        <w:rPr>
          <w:w w:val="120"/>
          <w:sz w:val="20"/>
        </w:rPr>
        <w:t>similar publications having failed in recent </w:t>
      </w:r>
      <w:r>
        <w:rPr>
          <w:spacing w:val="-3"/>
          <w:w w:val="120"/>
          <w:sz w:val="20"/>
        </w:rPr>
        <w:t>years) </w:t>
      </w:r>
      <w:r>
        <w:rPr>
          <w:w w:val="120"/>
          <w:sz w:val="20"/>
        </w:rPr>
        <w:t>even as print circulations and print advertising revenues decline throughout the publishing</w:t>
      </w:r>
      <w:r>
        <w:rPr>
          <w:spacing w:val="26"/>
          <w:w w:val="120"/>
          <w:sz w:val="20"/>
        </w:rPr>
        <w:t> </w:t>
      </w:r>
      <w:r>
        <w:rPr>
          <w:w w:val="120"/>
          <w:sz w:val="20"/>
        </w:rPr>
        <w:t>world.</w:t>
      </w:r>
    </w:p>
    <w:p>
      <w:pPr>
        <w:pStyle w:val="BodyText"/>
        <w:spacing w:before="10"/>
        <w:rPr>
          <w:sz w:val="19"/>
        </w:rPr>
      </w:pPr>
    </w:p>
    <w:p>
      <w:pPr>
        <w:pStyle w:val="ListParagraph"/>
        <w:numPr>
          <w:ilvl w:val="1"/>
          <w:numId w:val="66"/>
        </w:numPr>
        <w:tabs>
          <w:tab w:pos="1507" w:val="left" w:leader="none"/>
          <w:tab w:pos="1508" w:val="left" w:leader="none"/>
        </w:tabs>
        <w:spacing w:line="235" w:lineRule="auto" w:before="0" w:after="0"/>
        <w:ind w:left="827" w:right="1996" w:firstLine="0"/>
        <w:jc w:val="left"/>
        <w:rPr>
          <w:sz w:val="20"/>
        </w:rPr>
      </w:pPr>
      <w:r>
        <w:rPr>
          <w:w w:val="120"/>
          <w:sz w:val="20"/>
        </w:rPr>
        <w:t>We are grateful to Mission Council for agreeing to maintain the current level of investment (without which the magazine would not </w:t>
      </w:r>
      <w:r>
        <w:rPr>
          <w:spacing w:val="-3"/>
          <w:w w:val="120"/>
          <w:sz w:val="20"/>
        </w:rPr>
        <w:t>continue) </w:t>
      </w:r>
      <w:r>
        <w:rPr>
          <w:w w:val="120"/>
          <w:sz w:val="20"/>
        </w:rPr>
        <w:t>for a further three years,</w:t>
      </w:r>
      <w:r>
        <w:rPr>
          <w:spacing w:val="-4"/>
          <w:w w:val="120"/>
          <w:sz w:val="20"/>
        </w:rPr>
        <w:t> </w:t>
      </w:r>
      <w:r>
        <w:rPr>
          <w:w w:val="120"/>
          <w:sz w:val="20"/>
        </w:rPr>
        <w:t>from</w:t>
      </w:r>
      <w:r>
        <w:rPr>
          <w:spacing w:val="-3"/>
          <w:w w:val="120"/>
          <w:sz w:val="20"/>
        </w:rPr>
        <w:t> </w:t>
      </w:r>
      <w:r>
        <w:rPr>
          <w:w w:val="120"/>
          <w:sz w:val="20"/>
        </w:rPr>
        <w:t>January</w:t>
      </w:r>
      <w:r>
        <w:rPr>
          <w:spacing w:val="-3"/>
          <w:w w:val="120"/>
          <w:sz w:val="20"/>
        </w:rPr>
        <w:t> </w:t>
      </w:r>
      <w:r>
        <w:rPr>
          <w:spacing w:val="-5"/>
          <w:w w:val="120"/>
          <w:sz w:val="20"/>
        </w:rPr>
        <w:t>2018.</w:t>
      </w:r>
      <w:r>
        <w:rPr>
          <w:spacing w:val="-3"/>
          <w:w w:val="120"/>
          <w:sz w:val="20"/>
        </w:rPr>
        <w:t> </w:t>
      </w:r>
      <w:r>
        <w:rPr>
          <w:w w:val="120"/>
          <w:sz w:val="20"/>
        </w:rPr>
        <w:t>The</w:t>
      </w:r>
      <w:r>
        <w:rPr>
          <w:spacing w:val="-3"/>
          <w:w w:val="120"/>
          <w:sz w:val="20"/>
        </w:rPr>
        <w:t> </w:t>
      </w:r>
      <w:r>
        <w:rPr>
          <w:w w:val="120"/>
          <w:sz w:val="20"/>
        </w:rPr>
        <w:t>debate</w:t>
      </w:r>
      <w:r>
        <w:rPr>
          <w:spacing w:val="-3"/>
          <w:w w:val="120"/>
          <w:sz w:val="20"/>
        </w:rPr>
        <w:t> </w:t>
      </w:r>
      <w:r>
        <w:rPr>
          <w:w w:val="120"/>
          <w:sz w:val="20"/>
        </w:rPr>
        <w:t>that</w:t>
      </w:r>
      <w:r>
        <w:rPr>
          <w:spacing w:val="-3"/>
          <w:w w:val="120"/>
          <w:sz w:val="20"/>
        </w:rPr>
        <w:t> </w:t>
      </w:r>
      <w:r>
        <w:rPr>
          <w:w w:val="120"/>
          <w:sz w:val="20"/>
        </w:rPr>
        <w:t>took</w:t>
      </w:r>
      <w:r>
        <w:rPr>
          <w:spacing w:val="-3"/>
          <w:w w:val="120"/>
          <w:sz w:val="20"/>
        </w:rPr>
        <w:t> </w:t>
      </w:r>
      <w:r>
        <w:rPr>
          <w:w w:val="120"/>
          <w:sz w:val="20"/>
        </w:rPr>
        <w:t>place</w:t>
      </w:r>
      <w:r>
        <w:rPr>
          <w:spacing w:val="-3"/>
          <w:w w:val="120"/>
          <w:sz w:val="20"/>
        </w:rPr>
        <w:t> </w:t>
      </w:r>
      <w:r>
        <w:rPr>
          <w:w w:val="120"/>
          <w:sz w:val="20"/>
        </w:rPr>
        <w:t>about</w:t>
      </w:r>
      <w:r>
        <w:rPr>
          <w:spacing w:val="-3"/>
          <w:w w:val="120"/>
          <w:sz w:val="20"/>
        </w:rPr>
        <w:t> </w:t>
      </w:r>
      <w:r>
        <w:rPr>
          <w:w w:val="120"/>
          <w:sz w:val="20"/>
        </w:rPr>
        <w:t>the</w:t>
      </w:r>
      <w:r>
        <w:rPr>
          <w:spacing w:val="-3"/>
          <w:w w:val="120"/>
          <w:sz w:val="20"/>
        </w:rPr>
        <w:t> </w:t>
      </w:r>
      <w:r>
        <w:rPr>
          <w:w w:val="120"/>
          <w:sz w:val="20"/>
        </w:rPr>
        <w:t>cost</w:t>
      </w:r>
      <w:r>
        <w:rPr>
          <w:spacing w:val="-3"/>
          <w:w w:val="120"/>
          <w:sz w:val="20"/>
        </w:rPr>
        <w:t> </w:t>
      </w:r>
      <w:r>
        <w:rPr>
          <w:w w:val="120"/>
          <w:sz w:val="20"/>
        </w:rPr>
        <w:t>of</w:t>
      </w:r>
      <w:r>
        <w:rPr>
          <w:spacing w:val="-3"/>
          <w:w w:val="120"/>
          <w:sz w:val="20"/>
        </w:rPr>
        <w:t> </w:t>
      </w:r>
      <w:r>
        <w:rPr>
          <w:i/>
          <w:w w:val="120"/>
          <w:sz w:val="20"/>
        </w:rPr>
        <w:t>Reform</w:t>
      </w:r>
      <w:r>
        <w:rPr>
          <w:i/>
          <w:spacing w:val="-6"/>
          <w:w w:val="120"/>
          <w:sz w:val="20"/>
        </w:rPr>
        <w:t> </w:t>
      </w:r>
      <w:r>
        <w:rPr>
          <w:w w:val="120"/>
          <w:sz w:val="20"/>
        </w:rPr>
        <w:t>to</w:t>
      </w:r>
      <w:r>
        <w:rPr>
          <w:spacing w:val="-3"/>
          <w:w w:val="120"/>
          <w:sz w:val="20"/>
        </w:rPr>
        <w:t> </w:t>
      </w:r>
      <w:r>
        <w:rPr>
          <w:w w:val="120"/>
          <w:sz w:val="20"/>
        </w:rPr>
        <w:t>the denomination was a forceful reminder that the future cannot be assumed. We</w:t>
      </w:r>
      <w:r>
        <w:rPr>
          <w:spacing w:val="-22"/>
          <w:w w:val="120"/>
          <w:sz w:val="20"/>
        </w:rPr>
        <w:t> </w:t>
      </w:r>
      <w:r>
        <w:rPr>
          <w:w w:val="120"/>
          <w:sz w:val="20"/>
        </w:rPr>
        <w:t>were</w:t>
      </w:r>
    </w:p>
    <w:p>
      <w:pPr>
        <w:pStyle w:val="BodyText"/>
        <w:spacing w:line="235" w:lineRule="auto" w:before="3"/>
        <w:ind w:left="827" w:right="1584"/>
      </w:pPr>
      <w:r>
        <w:rPr>
          <w:w w:val="120"/>
        </w:rPr>
        <w:t>reminded that </w:t>
      </w:r>
      <w:r>
        <w:rPr>
          <w:i/>
          <w:w w:val="120"/>
        </w:rPr>
        <w:t>Reform </w:t>
      </w:r>
      <w:r>
        <w:rPr>
          <w:w w:val="120"/>
        </w:rPr>
        <w:t>claims scarce financial resources and that the Church has to weigh that cost against </w:t>
      </w:r>
      <w:r>
        <w:rPr>
          <w:i/>
          <w:w w:val="120"/>
        </w:rPr>
        <w:t>Reform’s </w:t>
      </w:r>
      <w:r>
        <w:rPr>
          <w:w w:val="120"/>
        </w:rPr>
        <w:t>acknowledged value.</w:t>
      </w:r>
    </w:p>
    <w:p>
      <w:pPr>
        <w:pStyle w:val="BodyText"/>
        <w:spacing w:before="9"/>
        <w:rPr>
          <w:sz w:val="19"/>
        </w:rPr>
      </w:pPr>
    </w:p>
    <w:p>
      <w:pPr>
        <w:pStyle w:val="ListParagraph"/>
        <w:numPr>
          <w:ilvl w:val="1"/>
          <w:numId w:val="66"/>
        </w:numPr>
        <w:tabs>
          <w:tab w:pos="1508" w:val="left" w:leader="none"/>
        </w:tabs>
        <w:spacing w:line="235" w:lineRule="auto" w:before="0" w:after="0"/>
        <w:ind w:left="827" w:right="2148" w:firstLine="0"/>
        <w:jc w:val="both"/>
        <w:rPr>
          <w:sz w:val="20"/>
        </w:rPr>
      </w:pPr>
      <w:r>
        <w:rPr>
          <w:w w:val="120"/>
          <w:sz w:val="20"/>
        </w:rPr>
        <w:t>One clear requirement of Mission Council was that we increase the number of subscribers to the digital edition of </w:t>
      </w:r>
      <w:r>
        <w:rPr>
          <w:i/>
          <w:w w:val="120"/>
          <w:sz w:val="20"/>
        </w:rPr>
        <w:t>Reform</w:t>
      </w:r>
      <w:r>
        <w:rPr>
          <w:w w:val="120"/>
          <w:sz w:val="20"/>
        </w:rPr>
        <w:t>. This is a strong product with a good retention rate of subscribers and a major advantage in that, once created, it has</w:t>
      </w:r>
      <w:r>
        <w:rPr>
          <w:spacing w:val="-1"/>
          <w:w w:val="120"/>
          <w:sz w:val="20"/>
        </w:rPr>
        <w:t> </w:t>
      </w:r>
      <w:r>
        <w:rPr>
          <w:w w:val="120"/>
          <w:sz w:val="20"/>
        </w:rPr>
        <w:t>no</w:t>
      </w:r>
    </w:p>
    <w:p>
      <w:pPr>
        <w:pStyle w:val="BodyText"/>
        <w:spacing w:line="235" w:lineRule="auto" w:before="2"/>
        <w:ind w:left="827" w:right="1681"/>
      </w:pPr>
      <w:r>
        <w:rPr>
          <w:w w:val="120"/>
        </w:rPr>
        <w:t>additional costs associated with each </w:t>
      </w:r>
      <w:r>
        <w:rPr>
          <w:spacing w:val="-3"/>
          <w:w w:val="120"/>
        </w:rPr>
        <w:t>‘copy’ </w:t>
      </w:r>
      <w:r>
        <w:rPr>
          <w:w w:val="120"/>
        </w:rPr>
        <w:t>distributed. Digital subscription numbers are currently small, but are constantly rising. We believe that, if we can get new readers to </w:t>
      </w:r>
      <w:r>
        <w:rPr>
          <w:spacing w:val="3"/>
          <w:w w:val="120"/>
        </w:rPr>
        <w:t>try </w:t>
      </w:r>
      <w:r>
        <w:rPr>
          <w:w w:val="120"/>
        </w:rPr>
        <w:t>digital </w:t>
      </w:r>
      <w:r>
        <w:rPr>
          <w:i/>
          <w:w w:val="120"/>
        </w:rPr>
        <w:t>Reform</w:t>
      </w:r>
      <w:r>
        <w:rPr>
          <w:w w:val="120"/>
        </w:rPr>
        <w:t>, we will see a sustained increase. For these reasons, promoting digital </w:t>
      </w:r>
      <w:r>
        <w:rPr>
          <w:i/>
          <w:w w:val="120"/>
        </w:rPr>
        <w:t>Reform </w:t>
      </w:r>
      <w:r>
        <w:rPr>
          <w:w w:val="120"/>
        </w:rPr>
        <w:t>is a major focus of our marketing strategy in </w:t>
      </w:r>
      <w:r>
        <w:rPr>
          <w:spacing w:val="-6"/>
          <w:w w:val="120"/>
        </w:rPr>
        <w:t>2018 </w:t>
      </w:r>
      <w:r>
        <w:rPr>
          <w:w w:val="120"/>
        </w:rPr>
        <w:t>and we are also aiming to increase digital advertising</w:t>
      </w:r>
      <w:r>
        <w:rPr>
          <w:spacing w:val="8"/>
          <w:w w:val="120"/>
        </w:rPr>
        <w:t> </w:t>
      </w:r>
      <w:r>
        <w:rPr>
          <w:w w:val="120"/>
        </w:rPr>
        <w:t>revenue.</w:t>
      </w:r>
    </w:p>
    <w:p>
      <w:pPr>
        <w:pStyle w:val="BodyText"/>
        <w:spacing w:before="5"/>
        <w:rPr>
          <w:sz w:val="22"/>
        </w:rPr>
      </w:pPr>
    </w:p>
    <w:p>
      <w:pPr>
        <w:pStyle w:val="Heading4"/>
        <w:numPr>
          <w:ilvl w:val="0"/>
          <w:numId w:val="66"/>
        </w:numPr>
        <w:tabs>
          <w:tab w:pos="1507" w:val="left" w:leader="none"/>
          <w:tab w:pos="1508" w:val="left" w:leader="none"/>
        </w:tabs>
        <w:spacing w:line="240" w:lineRule="auto" w:before="0" w:after="0"/>
        <w:ind w:left="1507" w:right="0" w:hanging="681"/>
        <w:jc w:val="left"/>
      </w:pPr>
      <w:r>
        <w:rPr>
          <w:spacing w:val="3"/>
          <w:w w:val="110"/>
        </w:rPr>
        <w:t>Publications </w:t>
      </w:r>
      <w:r>
        <w:rPr>
          <w:w w:val="110"/>
        </w:rPr>
        <w:t>office/online</w:t>
      </w:r>
      <w:r>
        <w:rPr>
          <w:spacing w:val="23"/>
          <w:w w:val="110"/>
        </w:rPr>
        <w:t> </w:t>
      </w:r>
      <w:r>
        <w:rPr>
          <w:spacing w:val="2"/>
          <w:w w:val="110"/>
        </w:rPr>
        <w:t>store</w:t>
      </w:r>
    </w:p>
    <w:p>
      <w:pPr>
        <w:pStyle w:val="ListParagraph"/>
        <w:numPr>
          <w:ilvl w:val="1"/>
          <w:numId w:val="66"/>
        </w:numPr>
        <w:tabs>
          <w:tab w:pos="1507" w:val="left" w:leader="none"/>
          <w:tab w:pos="1508" w:val="left" w:leader="none"/>
        </w:tabs>
        <w:spacing w:line="235" w:lineRule="auto" w:before="69" w:after="0"/>
        <w:ind w:left="827" w:right="1583" w:firstLine="0"/>
        <w:jc w:val="left"/>
        <w:rPr>
          <w:sz w:val="20"/>
        </w:rPr>
      </w:pPr>
      <w:r>
        <w:rPr>
          <w:spacing w:val="-3"/>
          <w:w w:val="115"/>
          <w:sz w:val="20"/>
        </w:rPr>
        <w:t>We moved to </w:t>
      </w:r>
      <w:r>
        <w:rPr>
          <w:w w:val="115"/>
          <w:sz w:val="20"/>
        </w:rPr>
        <w:t>a new-style </w:t>
      </w:r>
      <w:r>
        <w:rPr>
          <w:spacing w:val="-3"/>
          <w:w w:val="115"/>
          <w:sz w:val="20"/>
        </w:rPr>
        <w:t>pocket </w:t>
      </w:r>
      <w:r>
        <w:rPr>
          <w:w w:val="115"/>
          <w:sz w:val="20"/>
        </w:rPr>
        <w:t>diary for </w:t>
      </w:r>
      <w:r>
        <w:rPr>
          <w:spacing w:val="-7"/>
          <w:w w:val="115"/>
          <w:sz w:val="20"/>
        </w:rPr>
        <w:t>2018, </w:t>
      </w:r>
      <w:r>
        <w:rPr>
          <w:w w:val="115"/>
          <w:sz w:val="20"/>
        </w:rPr>
        <w:t>and </w:t>
      </w:r>
      <w:r>
        <w:rPr>
          <w:spacing w:val="-2"/>
          <w:w w:val="115"/>
          <w:sz w:val="20"/>
        </w:rPr>
        <w:t>published </w:t>
      </w:r>
      <w:r>
        <w:rPr>
          <w:w w:val="115"/>
          <w:sz w:val="20"/>
        </w:rPr>
        <w:t>an A5 desk diary for the first </w:t>
      </w:r>
      <w:r>
        <w:rPr>
          <w:spacing w:val="-3"/>
          <w:w w:val="115"/>
          <w:sz w:val="20"/>
        </w:rPr>
        <w:t>time. </w:t>
      </w:r>
      <w:r>
        <w:rPr>
          <w:w w:val="115"/>
          <w:sz w:val="20"/>
        </w:rPr>
        <w:t>Both sold </w:t>
      </w:r>
      <w:r>
        <w:rPr>
          <w:spacing w:val="-3"/>
          <w:w w:val="115"/>
          <w:sz w:val="20"/>
        </w:rPr>
        <w:t>well </w:t>
      </w:r>
      <w:r>
        <w:rPr>
          <w:spacing w:val="-5"/>
          <w:w w:val="115"/>
          <w:sz w:val="20"/>
        </w:rPr>
        <w:t>(the </w:t>
      </w:r>
      <w:r>
        <w:rPr>
          <w:spacing w:val="-3"/>
          <w:w w:val="115"/>
          <w:sz w:val="20"/>
        </w:rPr>
        <w:t>pocket </w:t>
      </w:r>
      <w:r>
        <w:rPr>
          <w:w w:val="115"/>
          <w:sz w:val="20"/>
        </w:rPr>
        <w:t>diary sold </w:t>
      </w:r>
      <w:r>
        <w:rPr>
          <w:spacing w:val="-4"/>
          <w:w w:val="115"/>
          <w:sz w:val="20"/>
        </w:rPr>
        <w:t>out!). </w:t>
      </w:r>
      <w:r>
        <w:rPr>
          <w:spacing w:val="-3"/>
          <w:w w:val="115"/>
          <w:sz w:val="20"/>
        </w:rPr>
        <w:t>We have </w:t>
      </w:r>
      <w:r>
        <w:rPr>
          <w:w w:val="115"/>
          <w:sz w:val="20"/>
        </w:rPr>
        <w:t>taken on feedback about the</w:t>
      </w:r>
      <w:r>
        <w:rPr>
          <w:spacing w:val="6"/>
          <w:w w:val="115"/>
          <w:sz w:val="20"/>
        </w:rPr>
        <w:t> </w:t>
      </w:r>
      <w:r>
        <w:rPr>
          <w:w w:val="115"/>
          <w:sz w:val="20"/>
        </w:rPr>
        <w:t>new</w:t>
      </w:r>
      <w:r>
        <w:rPr>
          <w:spacing w:val="6"/>
          <w:w w:val="115"/>
          <w:sz w:val="20"/>
        </w:rPr>
        <w:t> </w:t>
      </w:r>
      <w:r>
        <w:rPr>
          <w:w w:val="115"/>
          <w:sz w:val="20"/>
        </w:rPr>
        <w:t>style</w:t>
      </w:r>
      <w:r>
        <w:rPr>
          <w:spacing w:val="6"/>
          <w:w w:val="115"/>
          <w:sz w:val="20"/>
        </w:rPr>
        <w:t> </w:t>
      </w:r>
      <w:r>
        <w:rPr>
          <w:w w:val="115"/>
          <w:sz w:val="20"/>
        </w:rPr>
        <w:t>of</w:t>
      </w:r>
      <w:r>
        <w:rPr>
          <w:spacing w:val="6"/>
          <w:w w:val="115"/>
          <w:sz w:val="20"/>
        </w:rPr>
        <w:t> </w:t>
      </w:r>
      <w:r>
        <w:rPr>
          <w:w w:val="115"/>
          <w:sz w:val="20"/>
        </w:rPr>
        <w:t>diary</w:t>
      </w:r>
      <w:r>
        <w:rPr>
          <w:spacing w:val="6"/>
          <w:w w:val="115"/>
          <w:sz w:val="20"/>
        </w:rPr>
        <w:t> </w:t>
      </w:r>
      <w:r>
        <w:rPr>
          <w:w w:val="115"/>
          <w:sz w:val="20"/>
        </w:rPr>
        <w:t>and</w:t>
      </w:r>
      <w:r>
        <w:rPr>
          <w:spacing w:val="7"/>
          <w:w w:val="115"/>
          <w:sz w:val="20"/>
        </w:rPr>
        <w:t> </w:t>
      </w:r>
      <w:r>
        <w:rPr>
          <w:spacing w:val="-3"/>
          <w:w w:val="115"/>
          <w:sz w:val="20"/>
        </w:rPr>
        <w:t>may</w:t>
      </w:r>
      <w:r>
        <w:rPr>
          <w:spacing w:val="6"/>
          <w:w w:val="115"/>
          <w:sz w:val="20"/>
        </w:rPr>
        <w:t> </w:t>
      </w:r>
      <w:r>
        <w:rPr>
          <w:spacing w:val="-3"/>
          <w:w w:val="115"/>
          <w:sz w:val="20"/>
        </w:rPr>
        <w:t>make</w:t>
      </w:r>
      <w:r>
        <w:rPr>
          <w:spacing w:val="6"/>
          <w:w w:val="115"/>
          <w:sz w:val="20"/>
        </w:rPr>
        <w:t> </w:t>
      </w:r>
      <w:r>
        <w:rPr>
          <w:w w:val="115"/>
          <w:sz w:val="20"/>
        </w:rPr>
        <w:t>further</w:t>
      </w:r>
      <w:r>
        <w:rPr>
          <w:spacing w:val="6"/>
          <w:w w:val="115"/>
          <w:sz w:val="20"/>
        </w:rPr>
        <w:t> </w:t>
      </w:r>
      <w:r>
        <w:rPr>
          <w:w w:val="115"/>
          <w:sz w:val="20"/>
        </w:rPr>
        <w:t>refinements</w:t>
      </w:r>
      <w:r>
        <w:rPr>
          <w:spacing w:val="6"/>
          <w:w w:val="115"/>
          <w:sz w:val="20"/>
        </w:rPr>
        <w:t> </w:t>
      </w:r>
      <w:r>
        <w:rPr>
          <w:spacing w:val="-3"/>
          <w:w w:val="115"/>
          <w:sz w:val="20"/>
        </w:rPr>
        <w:t>to</w:t>
      </w:r>
      <w:r>
        <w:rPr>
          <w:spacing w:val="6"/>
          <w:w w:val="115"/>
          <w:sz w:val="20"/>
        </w:rPr>
        <w:t> </w:t>
      </w:r>
      <w:r>
        <w:rPr>
          <w:w w:val="115"/>
          <w:sz w:val="20"/>
        </w:rPr>
        <w:t>the</w:t>
      </w:r>
      <w:r>
        <w:rPr>
          <w:spacing w:val="7"/>
          <w:w w:val="115"/>
          <w:sz w:val="20"/>
        </w:rPr>
        <w:t> </w:t>
      </w:r>
      <w:r>
        <w:rPr>
          <w:spacing w:val="-3"/>
          <w:w w:val="115"/>
          <w:sz w:val="20"/>
        </w:rPr>
        <w:t>pocket</w:t>
      </w:r>
      <w:r>
        <w:rPr>
          <w:spacing w:val="6"/>
          <w:w w:val="115"/>
          <w:sz w:val="20"/>
        </w:rPr>
        <w:t> </w:t>
      </w:r>
      <w:r>
        <w:rPr>
          <w:w w:val="115"/>
          <w:sz w:val="20"/>
        </w:rPr>
        <w:t>diary</w:t>
      </w:r>
      <w:r>
        <w:rPr>
          <w:spacing w:val="6"/>
          <w:w w:val="115"/>
          <w:sz w:val="20"/>
        </w:rPr>
        <w:t> </w:t>
      </w:r>
      <w:r>
        <w:rPr>
          <w:w w:val="115"/>
          <w:sz w:val="20"/>
        </w:rPr>
        <w:t>for</w:t>
      </w:r>
      <w:r>
        <w:rPr>
          <w:spacing w:val="6"/>
          <w:w w:val="115"/>
          <w:sz w:val="20"/>
        </w:rPr>
        <w:t> </w:t>
      </w:r>
      <w:r>
        <w:rPr>
          <w:spacing w:val="-10"/>
          <w:w w:val="115"/>
          <w:sz w:val="20"/>
        </w:rPr>
        <w:t>2019.</w:t>
      </w:r>
    </w:p>
    <w:p>
      <w:pPr>
        <w:pStyle w:val="BodyText"/>
        <w:spacing w:before="10"/>
        <w:rPr>
          <w:sz w:val="19"/>
        </w:rPr>
      </w:pPr>
    </w:p>
    <w:p>
      <w:pPr>
        <w:pStyle w:val="ListParagraph"/>
        <w:numPr>
          <w:ilvl w:val="1"/>
          <w:numId w:val="66"/>
        </w:numPr>
        <w:tabs>
          <w:tab w:pos="1507" w:val="left" w:leader="none"/>
          <w:tab w:pos="1508" w:val="left" w:leader="none"/>
        </w:tabs>
        <w:spacing w:line="235" w:lineRule="auto" w:before="0" w:after="0"/>
        <w:ind w:left="827" w:right="2113" w:firstLine="0"/>
        <w:jc w:val="left"/>
        <w:rPr>
          <w:sz w:val="20"/>
        </w:rPr>
      </w:pPr>
      <w:r>
        <w:rPr>
          <w:w w:val="120"/>
          <w:sz w:val="20"/>
        </w:rPr>
        <w:t>A</w:t>
      </w:r>
      <w:r>
        <w:rPr>
          <w:spacing w:val="-10"/>
          <w:w w:val="120"/>
          <w:sz w:val="20"/>
        </w:rPr>
        <w:t> </w:t>
      </w:r>
      <w:r>
        <w:rPr>
          <w:w w:val="120"/>
          <w:sz w:val="20"/>
        </w:rPr>
        <w:t>copy</w:t>
      </w:r>
      <w:r>
        <w:rPr>
          <w:spacing w:val="-9"/>
          <w:w w:val="120"/>
          <w:sz w:val="20"/>
        </w:rPr>
        <w:t> </w:t>
      </w:r>
      <w:r>
        <w:rPr>
          <w:w w:val="120"/>
          <w:sz w:val="20"/>
        </w:rPr>
        <w:t>of</w:t>
      </w:r>
      <w:r>
        <w:rPr>
          <w:spacing w:val="-10"/>
          <w:w w:val="120"/>
          <w:sz w:val="20"/>
        </w:rPr>
        <w:t> </w:t>
      </w:r>
      <w:r>
        <w:rPr>
          <w:i/>
          <w:w w:val="120"/>
          <w:sz w:val="20"/>
        </w:rPr>
        <w:t>Celebrated</w:t>
      </w:r>
      <w:r>
        <w:rPr>
          <w:i/>
          <w:spacing w:val="-12"/>
          <w:w w:val="120"/>
          <w:sz w:val="20"/>
        </w:rPr>
        <w:t> </w:t>
      </w:r>
      <w:r>
        <w:rPr>
          <w:i/>
          <w:w w:val="120"/>
          <w:sz w:val="20"/>
        </w:rPr>
        <w:t>Lives</w:t>
      </w:r>
      <w:r>
        <w:rPr>
          <w:i/>
          <w:spacing w:val="-9"/>
          <w:w w:val="120"/>
          <w:sz w:val="20"/>
        </w:rPr>
        <w:t> </w:t>
      </w:r>
      <w:r>
        <w:rPr>
          <w:w w:val="120"/>
          <w:sz w:val="20"/>
        </w:rPr>
        <w:t>is</w:t>
      </w:r>
      <w:r>
        <w:rPr>
          <w:spacing w:val="-9"/>
          <w:w w:val="120"/>
          <w:sz w:val="20"/>
        </w:rPr>
        <w:t> </w:t>
      </w:r>
      <w:r>
        <w:rPr>
          <w:w w:val="120"/>
          <w:sz w:val="20"/>
        </w:rPr>
        <w:t>included</w:t>
      </w:r>
      <w:r>
        <w:rPr>
          <w:spacing w:val="-10"/>
          <w:w w:val="120"/>
          <w:sz w:val="20"/>
        </w:rPr>
        <w:t> </w:t>
      </w:r>
      <w:r>
        <w:rPr>
          <w:w w:val="120"/>
          <w:sz w:val="20"/>
        </w:rPr>
        <w:t>in</w:t>
      </w:r>
      <w:r>
        <w:rPr>
          <w:spacing w:val="-9"/>
          <w:w w:val="120"/>
          <w:sz w:val="20"/>
        </w:rPr>
        <w:t> </w:t>
      </w:r>
      <w:r>
        <w:rPr>
          <w:w w:val="120"/>
          <w:sz w:val="20"/>
        </w:rPr>
        <w:t>the</w:t>
      </w:r>
      <w:r>
        <w:rPr>
          <w:spacing w:val="-10"/>
          <w:w w:val="120"/>
          <w:sz w:val="20"/>
        </w:rPr>
        <w:t> </w:t>
      </w:r>
      <w:r>
        <w:rPr>
          <w:w w:val="120"/>
          <w:sz w:val="20"/>
        </w:rPr>
        <w:t>price</w:t>
      </w:r>
      <w:r>
        <w:rPr>
          <w:spacing w:val="-9"/>
          <w:w w:val="120"/>
          <w:sz w:val="20"/>
        </w:rPr>
        <w:t> </w:t>
      </w:r>
      <w:r>
        <w:rPr>
          <w:w w:val="120"/>
          <w:sz w:val="20"/>
        </w:rPr>
        <w:t>of</w:t>
      </w:r>
      <w:r>
        <w:rPr>
          <w:spacing w:val="-10"/>
          <w:w w:val="120"/>
          <w:sz w:val="20"/>
        </w:rPr>
        <w:t> </w:t>
      </w:r>
      <w:r>
        <w:rPr>
          <w:w w:val="120"/>
          <w:sz w:val="20"/>
        </w:rPr>
        <w:t>each</w:t>
      </w:r>
      <w:r>
        <w:rPr>
          <w:spacing w:val="-9"/>
          <w:w w:val="120"/>
          <w:sz w:val="20"/>
        </w:rPr>
        <w:t> </w:t>
      </w:r>
      <w:r>
        <w:rPr>
          <w:i/>
          <w:w w:val="120"/>
          <w:sz w:val="20"/>
        </w:rPr>
        <w:t>Yearbook</w:t>
      </w:r>
      <w:r>
        <w:rPr>
          <w:i/>
          <w:spacing w:val="-9"/>
          <w:w w:val="120"/>
          <w:sz w:val="20"/>
        </w:rPr>
        <w:t> </w:t>
      </w:r>
      <w:r>
        <w:rPr>
          <w:w w:val="120"/>
          <w:sz w:val="20"/>
        </w:rPr>
        <w:t>and</w:t>
      </w:r>
      <w:r>
        <w:rPr>
          <w:spacing w:val="-10"/>
          <w:w w:val="120"/>
          <w:sz w:val="20"/>
        </w:rPr>
        <w:t> </w:t>
      </w:r>
      <w:r>
        <w:rPr>
          <w:w w:val="120"/>
          <w:sz w:val="20"/>
        </w:rPr>
        <w:t>is</w:t>
      </w:r>
      <w:r>
        <w:rPr>
          <w:spacing w:val="-9"/>
          <w:w w:val="120"/>
          <w:sz w:val="20"/>
        </w:rPr>
        <w:t> </w:t>
      </w:r>
      <w:r>
        <w:rPr>
          <w:w w:val="120"/>
          <w:sz w:val="20"/>
        </w:rPr>
        <w:t>also sold separately. The take-up for the separate edition has been very small. We will review this</w:t>
      </w:r>
      <w:r>
        <w:rPr>
          <w:spacing w:val="3"/>
          <w:w w:val="120"/>
          <w:sz w:val="20"/>
        </w:rPr>
        <w:t> </w:t>
      </w:r>
      <w:r>
        <w:rPr>
          <w:w w:val="120"/>
          <w:sz w:val="20"/>
        </w:rPr>
        <w:t>arrangement.</w:t>
      </w:r>
    </w:p>
    <w:p>
      <w:pPr>
        <w:pStyle w:val="BodyText"/>
        <w:spacing w:before="10"/>
        <w:rPr>
          <w:sz w:val="19"/>
        </w:rPr>
      </w:pPr>
    </w:p>
    <w:p>
      <w:pPr>
        <w:pStyle w:val="ListParagraph"/>
        <w:numPr>
          <w:ilvl w:val="1"/>
          <w:numId w:val="66"/>
        </w:numPr>
        <w:tabs>
          <w:tab w:pos="1507" w:val="left" w:leader="none"/>
          <w:tab w:pos="1508" w:val="left" w:leader="none"/>
        </w:tabs>
        <w:spacing w:line="235" w:lineRule="auto" w:before="1" w:after="0"/>
        <w:ind w:left="827" w:right="1957" w:firstLine="0"/>
        <w:jc w:val="left"/>
        <w:rPr>
          <w:sz w:val="20"/>
        </w:rPr>
      </w:pPr>
      <w:r>
        <w:rPr>
          <w:w w:val="120"/>
          <w:sz w:val="20"/>
        </w:rPr>
        <w:t>The</w:t>
      </w:r>
      <w:r>
        <w:rPr>
          <w:spacing w:val="-7"/>
          <w:w w:val="120"/>
          <w:sz w:val="20"/>
        </w:rPr>
        <w:t> </w:t>
      </w:r>
      <w:r>
        <w:rPr>
          <w:w w:val="120"/>
          <w:sz w:val="20"/>
        </w:rPr>
        <w:t>ten</w:t>
      </w:r>
      <w:r>
        <w:rPr>
          <w:spacing w:val="-6"/>
          <w:w w:val="120"/>
          <w:sz w:val="20"/>
        </w:rPr>
        <w:t> </w:t>
      </w:r>
      <w:r>
        <w:rPr>
          <w:i/>
          <w:w w:val="120"/>
          <w:sz w:val="20"/>
        </w:rPr>
        <w:t>Holy</w:t>
      </w:r>
      <w:r>
        <w:rPr>
          <w:i/>
          <w:spacing w:val="-8"/>
          <w:w w:val="120"/>
          <w:sz w:val="20"/>
        </w:rPr>
        <w:t> </w:t>
      </w:r>
      <w:r>
        <w:rPr>
          <w:i/>
          <w:w w:val="120"/>
          <w:sz w:val="20"/>
        </w:rPr>
        <w:t>Habits</w:t>
      </w:r>
      <w:r>
        <w:rPr>
          <w:i/>
          <w:spacing w:val="-6"/>
          <w:w w:val="120"/>
          <w:sz w:val="20"/>
        </w:rPr>
        <w:t> </w:t>
      </w:r>
      <w:r>
        <w:rPr>
          <w:w w:val="120"/>
          <w:sz w:val="20"/>
        </w:rPr>
        <w:t>booklets</w:t>
      </w:r>
      <w:r>
        <w:rPr>
          <w:spacing w:val="-6"/>
          <w:w w:val="120"/>
          <w:sz w:val="20"/>
        </w:rPr>
        <w:t> </w:t>
      </w:r>
      <w:r>
        <w:rPr>
          <w:w w:val="120"/>
          <w:sz w:val="20"/>
        </w:rPr>
        <w:t>are</w:t>
      </w:r>
      <w:r>
        <w:rPr>
          <w:spacing w:val="-7"/>
          <w:w w:val="120"/>
          <w:sz w:val="20"/>
        </w:rPr>
        <w:t> </w:t>
      </w:r>
      <w:r>
        <w:rPr>
          <w:w w:val="120"/>
          <w:sz w:val="20"/>
        </w:rPr>
        <w:t>a</w:t>
      </w:r>
      <w:r>
        <w:rPr>
          <w:spacing w:val="-6"/>
          <w:w w:val="120"/>
          <w:sz w:val="20"/>
        </w:rPr>
        <w:t> </w:t>
      </w:r>
      <w:r>
        <w:rPr>
          <w:w w:val="120"/>
          <w:sz w:val="20"/>
        </w:rPr>
        <w:t>key</w:t>
      </w:r>
      <w:r>
        <w:rPr>
          <w:spacing w:val="-6"/>
          <w:w w:val="120"/>
          <w:sz w:val="20"/>
        </w:rPr>
        <w:t> </w:t>
      </w:r>
      <w:r>
        <w:rPr>
          <w:w w:val="120"/>
          <w:sz w:val="20"/>
        </w:rPr>
        <w:t>text</w:t>
      </w:r>
      <w:r>
        <w:rPr>
          <w:spacing w:val="-6"/>
          <w:w w:val="120"/>
          <w:sz w:val="20"/>
        </w:rPr>
        <w:t> </w:t>
      </w:r>
      <w:r>
        <w:rPr>
          <w:w w:val="120"/>
          <w:sz w:val="20"/>
        </w:rPr>
        <w:t>for</w:t>
      </w:r>
      <w:r>
        <w:rPr>
          <w:spacing w:val="-6"/>
          <w:w w:val="120"/>
          <w:sz w:val="20"/>
        </w:rPr>
        <w:t> </w:t>
      </w:r>
      <w:r>
        <w:rPr>
          <w:w w:val="120"/>
          <w:sz w:val="20"/>
        </w:rPr>
        <w:t>the</w:t>
      </w:r>
      <w:r>
        <w:rPr>
          <w:spacing w:val="-6"/>
          <w:w w:val="120"/>
          <w:sz w:val="20"/>
        </w:rPr>
        <w:t> </w:t>
      </w:r>
      <w:r>
        <w:rPr>
          <w:w w:val="120"/>
          <w:sz w:val="20"/>
        </w:rPr>
        <w:t>denomination’s</w:t>
      </w:r>
      <w:r>
        <w:rPr>
          <w:spacing w:val="-6"/>
          <w:w w:val="120"/>
          <w:sz w:val="20"/>
        </w:rPr>
        <w:t> </w:t>
      </w:r>
      <w:r>
        <w:rPr>
          <w:w w:val="120"/>
          <w:sz w:val="20"/>
        </w:rPr>
        <w:t>Walking</w:t>
      </w:r>
      <w:r>
        <w:rPr>
          <w:spacing w:val="-6"/>
          <w:w w:val="120"/>
          <w:sz w:val="20"/>
        </w:rPr>
        <w:t> </w:t>
      </w:r>
      <w:r>
        <w:rPr>
          <w:w w:val="120"/>
          <w:sz w:val="20"/>
        </w:rPr>
        <w:t>the Way focus and are promoted as</w:t>
      </w:r>
      <w:r>
        <w:rPr>
          <w:spacing w:val="10"/>
          <w:w w:val="120"/>
          <w:sz w:val="20"/>
        </w:rPr>
        <w:t> </w:t>
      </w:r>
      <w:r>
        <w:rPr>
          <w:w w:val="120"/>
          <w:sz w:val="20"/>
        </w:rPr>
        <w:t>such.</w:t>
      </w:r>
    </w:p>
    <w:p>
      <w:pPr>
        <w:pStyle w:val="BodyText"/>
        <w:spacing w:before="9"/>
        <w:rPr>
          <w:sz w:val="19"/>
        </w:rPr>
      </w:pPr>
    </w:p>
    <w:p>
      <w:pPr>
        <w:pStyle w:val="ListParagraph"/>
        <w:numPr>
          <w:ilvl w:val="1"/>
          <w:numId w:val="66"/>
        </w:numPr>
        <w:tabs>
          <w:tab w:pos="1507" w:val="left" w:leader="none"/>
          <w:tab w:pos="1508" w:val="left" w:leader="none"/>
        </w:tabs>
        <w:spacing w:line="235" w:lineRule="auto" w:before="0" w:after="0"/>
        <w:ind w:left="827" w:right="2071" w:firstLine="0"/>
        <w:jc w:val="left"/>
        <w:rPr>
          <w:sz w:val="20"/>
        </w:rPr>
      </w:pPr>
      <w:r>
        <w:rPr>
          <w:w w:val="120"/>
          <w:sz w:val="20"/>
        </w:rPr>
        <w:t>The prayer handbook continues to sell well within the denomination – we believe it has an audience outside the URC and are planning to </w:t>
      </w:r>
      <w:r>
        <w:rPr>
          <w:spacing w:val="2"/>
          <w:w w:val="120"/>
          <w:sz w:val="20"/>
        </w:rPr>
        <w:t>start </w:t>
      </w:r>
      <w:r>
        <w:rPr>
          <w:w w:val="120"/>
          <w:sz w:val="20"/>
        </w:rPr>
        <w:t>marketing it to non-URC audiences with the </w:t>
      </w:r>
      <w:r>
        <w:rPr>
          <w:spacing w:val="-7"/>
          <w:w w:val="120"/>
          <w:sz w:val="20"/>
        </w:rPr>
        <w:t>2019</w:t>
      </w:r>
      <w:r>
        <w:rPr>
          <w:spacing w:val="14"/>
          <w:w w:val="120"/>
          <w:sz w:val="20"/>
        </w:rPr>
        <w:t> </w:t>
      </w:r>
      <w:r>
        <w:rPr>
          <w:w w:val="120"/>
          <w:sz w:val="20"/>
        </w:rPr>
        <w:t>edition.</w:t>
      </w:r>
    </w:p>
    <w:p>
      <w:pPr>
        <w:spacing w:after="0" w:line="235" w:lineRule="auto"/>
        <w:jc w:val="left"/>
        <w:rPr>
          <w:sz w:val="20"/>
        </w:rPr>
        <w:sectPr>
          <w:headerReference w:type="even" r:id="rId271"/>
          <w:footerReference w:type="even" r:id="rId272"/>
          <w:footerReference w:type="default" r:id="rId273"/>
          <w:pgSz w:w="11910" w:h="16840"/>
          <w:pgMar w:header="0" w:footer="647" w:top="0" w:bottom="840" w:left="420" w:right="380"/>
          <w:pgNumType w:start="90"/>
        </w:sectPr>
      </w:pPr>
    </w:p>
    <w:p>
      <w:pPr>
        <w:pStyle w:val="BodyText"/>
      </w:pPr>
      <w:r>
        <w:rPr/>
        <w:drawing>
          <wp:anchor distT="0" distB="0" distL="0" distR="0" allowOverlap="1" layoutInCell="1" locked="0" behindDoc="0" simplePos="0" relativeHeight="251908096">
            <wp:simplePos x="0" y="0"/>
            <wp:positionH relativeFrom="page">
              <wp:posOffset>6974928</wp:posOffset>
            </wp:positionH>
            <wp:positionV relativeFrom="page">
              <wp:posOffset>0</wp:posOffset>
            </wp:positionV>
            <wp:extent cx="585063" cy="10692003"/>
            <wp:effectExtent l="0" t="0" r="0" b="0"/>
            <wp:wrapNone/>
            <wp:docPr id="171" name="image57.png"/>
            <wp:cNvGraphicFramePr>
              <a:graphicFrameLocks noChangeAspect="1"/>
            </wp:cNvGraphicFramePr>
            <a:graphic>
              <a:graphicData uri="http://schemas.openxmlformats.org/drawingml/2006/picture">
                <pic:pic>
                  <pic:nvPicPr>
                    <pic:cNvPr id="17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77pt;mso-position-horizontal-relative:page;mso-position-vertical-relative:paragraph;z-index:251909120" type="#_x0000_t202" filled="false" stroked="false">
            <v:textbox inset="0,0,0,0" style="layout-flow:vertical">
              <w:txbxContent>
                <w:p>
                  <w:pPr>
                    <w:spacing w:before="29"/>
                    <w:ind w:left="20" w:right="0" w:firstLine="0"/>
                    <w:jc w:val="left"/>
                    <w:rPr>
                      <w:sz w:val="39"/>
                    </w:rPr>
                  </w:pPr>
                  <w:r>
                    <w:rPr>
                      <w:color w:val="FFFFFF"/>
                      <w:w w:val="125"/>
                      <w:sz w:val="39"/>
                    </w:rPr>
                    <w:t>Communications</w:t>
                  </w:r>
                </w:p>
              </w:txbxContent>
            </v:textbox>
            <w10:wrap type="none"/>
          </v:shape>
        </w:pict>
      </w:r>
      <w:r>
        <w:rPr>
          <w:color w:val="7EAABF"/>
          <w:w w:val="115"/>
        </w:rPr>
        <w:t>Communications</w:t>
      </w:r>
    </w:p>
    <w:p>
      <w:pPr>
        <w:pStyle w:val="ListParagraph"/>
        <w:numPr>
          <w:ilvl w:val="1"/>
          <w:numId w:val="66"/>
        </w:numPr>
        <w:tabs>
          <w:tab w:pos="2244" w:val="left" w:leader="none"/>
          <w:tab w:pos="2245" w:val="left" w:leader="none"/>
        </w:tabs>
        <w:spacing w:line="242" w:lineRule="exact" w:before="218" w:after="0"/>
        <w:ind w:left="2244" w:right="0" w:hanging="681"/>
        <w:jc w:val="left"/>
        <w:rPr>
          <w:sz w:val="20"/>
        </w:rPr>
      </w:pPr>
      <w:r>
        <w:rPr>
          <w:w w:val="120"/>
          <w:sz w:val="20"/>
        </w:rPr>
        <w:t>Social media campaigns for the online store are planned throughout</w:t>
      </w:r>
      <w:r>
        <w:rPr>
          <w:spacing w:val="39"/>
          <w:w w:val="120"/>
          <w:sz w:val="20"/>
        </w:rPr>
        <w:t> </w:t>
      </w:r>
      <w:r>
        <w:rPr>
          <w:spacing w:val="-5"/>
          <w:w w:val="120"/>
          <w:sz w:val="20"/>
        </w:rPr>
        <w:t>2018.</w:t>
      </w:r>
    </w:p>
    <w:p>
      <w:pPr>
        <w:pStyle w:val="BodyText"/>
        <w:spacing w:line="235" w:lineRule="auto" w:before="1"/>
        <w:ind w:left="1564" w:right="923"/>
      </w:pPr>
      <w:r>
        <w:rPr>
          <w:w w:val="120"/>
        </w:rPr>
        <w:t>We have a growing email list of customers whom we will communicate with regarding new products and promotions and from whom we can gather feedback.</w:t>
      </w:r>
    </w:p>
    <w:p>
      <w:pPr>
        <w:pStyle w:val="BodyText"/>
        <w:spacing w:before="10"/>
        <w:rPr>
          <w:sz w:val="19"/>
        </w:rPr>
      </w:pPr>
    </w:p>
    <w:p>
      <w:pPr>
        <w:pStyle w:val="ListParagraph"/>
        <w:numPr>
          <w:ilvl w:val="1"/>
          <w:numId w:val="66"/>
        </w:numPr>
        <w:tabs>
          <w:tab w:pos="2244" w:val="left" w:leader="none"/>
          <w:tab w:pos="2245" w:val="left" w:leader="none"/>
        </w:tabs>
        <w:spacing w:line="235" w:lineRule="auto" w:before="0" w:after="0"/>
        <w:ind w:left="1564" w:right="1260" w:firstLine="0"/>
        <w:jc w:val="left"/>
        <w:rPr>
          <w:sz w:val="20"/>
        </w:rPr>
      </w:pPr>
      <w:r>
        <w:rPr>
          <w:w w:val="120"/>
          <w:sz w:val="20"/>
        </w:rPr>
        <w:t>The Christian Resources Exhibition proved to be a good opportunity for sales and for raising awareness about the URC. We now have the equipment in place for publications to be made available for sale at Mission Council and other URC</w:t>
      </w:r>
      <w:r>
        <w:rPr>
          <w:spacing w:val="43"/>
          <w:w w:val="120"/>
          <w:sz w:val="20"/>
        </w:rPr>
        <w:t> </w:t>
      </w:r>
      <w:r>
        <w:rPr>
          <w:w w:val="120"/>
          <w:sz w:val="20"/>
        </w:rPr>
        <w:t>events.</w:t>
      </w:r>
    </w:p>
    <w:p>
      <w:pPr>
        <w:pStyle w:val="BodyText"/>
        <w:spacing w:before="10"/>
        <w:rPr>
          <w:sz w:val="19"/>
        </w:rPr>
      </w:pPr>
    </w:p>
    <w:p>
      <w:pPr>
        <w:pStyle w:val="ListParagraph"/>
        <w:numPr>
          <w:ilvl w:val="1"/>
          <w:numId w:val="66"/>
        </w:numPr>
        <w:tabs>
          <w:tab w:pos="2244" w:val="left" w:leader="none"/>
          <w:tab w:pos="2245" w:val="left" w:leader="none"/>
        </w:tabs>
        <w:spacing w:line="235" w:lineRule="auto" w:before="0" w:after="0"/>
        <w:ind w:left="1564" w:right="1075" w:firstLine="0"/>
        <w:jc w:val="left"/>
        <w:rPr>
          <w:sz w:val="20"/>
        </w:rPr>
      </w:pPr>
      <w:r>
        <w:rPr>
          <w:w w:val="120"/>
          <w:sz w:val="20"/>
        </w:rPr>
        <w:t>We have shifted stock control and profit records from the finance department to the publications department. This arrangement has been a great improvement and will provide us with fast and accurate stock and accounting</w:t>
      </w:r>
      <w:r>
        <w:rPr>
          <w:spacing w:val="27"/>
          <w:w w:val="120"/>
          <w:sz w:val="20"/>
        </w:rPr>
        <w:t> </w:t>
      </w:r>
      <w:r>
        <w:rPr>
          <w:w w:val="120"/>
          <w:sz w:val="20"/>
        </w:rPr>
        <w:t>figures.</w:t>
      </w:r>
    </w:p>
    <w:p>
      <w:pPr>
        <w:pStyle w:val="BodyText"/>
        <w:spacing w:before="3"/>
        <w:rPr>
          <w:sz w:val="22"/>
        </w:rPr>
      </w:pPr>
    </w:p>
    <w:p>
      <w:pPr>
        <w:pStyle w:val="Heading4"/>
        <w:numPr>
          <w:ilvl w:val="0"/>
          <w:numId w:val="66"/>
        </w:numPr>
        <w:tabs>
          <w:tab w:pos="2244" w:val="left" w:leader="none"/>
          <w:tab w:pos="2245" w:val="left" w:leader="none"/>
        </w:tabs>
        <w:spacing w:line="240" w:lineRule="auto" w:before="0" w:after="0"/>
        <w:ind w:left="2244" w:right="0" w:hanging="681"/>
        <w:jc w:val="left"/>
      </w:pPr>
      <w:r>
        <w:rPr>
          <w:spacing w:val="4"/>
          <w:w w:val="110"/>
        </w:rPr>
        <w:t>Graphics </w:t>
      </w:r>
      <w:r>
        <w:rPr>
          <w:spacing w:val="3"/>
          <w:w w:val="110"/>
        </w:rPr>
        <w:t>and</w:t>
      </w:r>
      <w:r>
        <w:rPr>
          <w:spacing w:val="21"/>
          <w:w w:val="110"/>
        </w:rPr>
        <w:t> </w:t>
      </w:r>
      <w:r>
        <w:rPr>
          <w:spacing w:val="3"/>
          <w:w w:val="110"/>
        </w:rPr>
        <w:t>print</w:t>
      </w:r>
    </w:p>
    <w:p>
      <w:pPr>
        <w:pStyle w:val="ListParagraph"/>
        <w:numPr>
          <w:ilvl w:val="1"/>
          <w:numId w:val="66"/>
        </w:numPr>
        <w:tabs>
          <w:tab w:pos="2244" w:val="left" w:leader="none"/>
          <w:tab w:pos="2245" w:val="left" w:leader="none"/>
        </w:tabs>
        <w:spacing w:line="235" w:lineRule="auto" w:before="69" w:after="0"/>
        <w:ind w:left="1564" w:right="1297" w:firstLine="0"/>
        <w:jc w:val="left"/>
        <w:rPr>
          <w:sz w:val="20"/>
        </w:rPr>
      </w:pPr>
      <w:r>
        <w:rPr>
          <w:w w:val="120"/>
          <w:sz w:val="20"/>
        </w:rPr>
        <w:t>The graphics office has been busy with many new projects, including the Stepwise and Walking the Way leaflets. We designed the logos for both Walking the Way and Stepwise, which took many weeks of careful, collaborative work, but was worth</w:t>
      </w:r>
      <w:r>
        <w:rPr>
          <w:spacing w:val="1"/>
          <w:w w:val="120"/>
          <w:sz w:val="20"/>
        </w:rPr>
        <w:t> </w:t>
      </w:r>
      <w:r>
        <w:rPr>
          <w:w w:val="120"/>
          <w:sz w:val="20"/>
        </w:rPr>
        <w:t>it!</w:t>
      </w:r>
    </w:p>
    <w:p>
      <w:pPr>
        <w:pStyle w:val="BodyText"/>
        <w:spacing w:before="11"/>
        <w:rPr>
          <w:sz w:val="19"/>
        </w:rPr>
      </w:pPr>
    </w:p>
    <w:p>
      <w:pPr>
        <w:pStyle w:val="ListParagraph"/>
        <w:numPr>
          <w:ilvl w:val="1"/>
          <w:numId w:val="66"/>
        </w:numPr>
        <w:tabs>
          <w:tab w:pos="2244" w:val="left" w:leader="none"/>
          <w:tab w:pos="2245" w:val="left" w:leader="none"/>
        </w:tabs>
        <w:spacing w:line="235" w:lineRule="auto" w:before="0" w:after="0"/>
        <w:ind w:left="1564" w:right="1100" w:firstLine="0"/>
        <w:jc w:val="left"/>
        <w:rPr>
          <w:sz w:val="20"/>
        </w:rPr>
      </w:pPr>
      <w:r>
        <w:rPr>
          <w:w w:val="120"/>
          <w:sz w:val="20"/>
        </w:rPr>
        <w:t>Major</w:t>
      </w:r>
      <w:r>
        <w:rPr>
          <w:spacing w:val="-16"/>
          <w:w w:val="120"/>
          <w:sz w:val="20"/>
        </w:rPr>
        <w:t> </w:t>
      </w:r>
      <w:r>
        <w:rPr>
          <w:w w:val="120"/>
          <w:sz w:val="20"/>
        </w:rPr>
        <w:t>annual</w:t>
      </w:r>
      <w:r>
        <w:rPr>
          <w:spacing w:val="-15"/>
          <w:w w:val="120"/>
          <w:sz w:val="20"/>
        </w:rPr>
        <w:t> </w:t>
      </w:r>
      <w:r>
        <w:rPr>
          <w:w w:val="120"/>
          <w:sz w:val="20"/>
        </w:rPr>
        <w:t>publications,</w:t>
      </w:r>
      <w:r>
        <w:rPr>
          <w:spacing w:val="-15"/>
          <w:w w:val="120"/>
          <w:sz w:val="20"/>
        </w:rPr>
        <w:t> </w:t>
      </w:r>
      <w:r>
        <w:rPr>
          <w:w w:val="120"/>
          <w:sz w:val="20"/>
        </w:rPr>
        <w:t>such</w:t>
      </w:r>
      <w:r>
        <w:rPr>
          <w:spacing w:val="-16"/>
          <w:w w:val="120"/>
          <w:sz w:val="20"/>
        </w:rPr>
        <w:t> </w:t>
      </w:r>
      <w:r>
        <w:rPr>
          <w:w w:val="120"/>
          <w:sz w:val="20"/>
        </w:rPr>
        <w:t>as</w:t>
      </w:r>
      <w:r>
        <w:rPr>
          <w:spacing w:val="-15"/>
          <w:w w:val="120"/>
          <w:sz w:val="20"/>
        </w:rPr>
        <w:t> </w:t>
      </w:r>
      <w:r>
        <w:rPr>
          <w:w w:val="120"/>
          <w:sz w:val="20"/>
        </w:rPr>
        <w:t>the</w:t>
      </w:r>
      <w:r>
        <w:rPr>
          <w:spacing w:val="-15"/>
          <w:w w:val="120"/>
          <w:sz w:val="20"/>
        </w:rPr>
        <w:t> </w:t>
      </w:r>
      <w:r>
        <w:rPr>
          <w:i/>
          <w:w w:val="120"/>
          <w:sz w:val="20"/>
        </w:rPr>
        <w:t>Yearbook</w:t>
      </w:r>
      <w:r>
        <w:rPr>
          <w:i/>
          <w:spacing w:val="-16"/>
          <w:w w:val="120"/>
          <w:sz w:val="20"/>
        </w:rPr>
        <w:t> </w:t>
      </w:r>
      <w:r>
        <w:rPr>
          <w:w w:val="120"/>
          <w:sz w:val="20"/>
        </w:rPr>
        <w:t>and</w:t>
      </w:r>
      <w:r>
        <w:rPr>
          <w:spacing w:val="-15"/>
          <w:w w:val="120"/>
          <w:sz w:val="20"/>
        </w:rPr>
        <w:t> </w:t>
      </w:r>
      <w:r>
        <w:rPr>
          <w:i/>
          <w:w w:val="120"/>
          <w:sz w:val="20"/>
        </w:rPr>
        <w:t>Celebrated</w:t>
      </w:r>
      <w:r>
        <w:rPr>
          <w:i/>
          <w:spacing w:val="-17"/>
          <w:w w:val="120"/>
          <w:sz w:val="20"/>
        </w:rPr>
        <w:t> </w:t>
      </w:r>
      <w:r>
        <w:rPr>
          <w:i/>
          <w:w w:val="120"/>
          <w:sz w:val="20"/>
        </w:rPr>
        <w:t>Lives</w:t>
      </w:r>
      <w:r>
        <w:rPr>
          <w:w w:val="120"/>
          <w:sz w:val="20"/>
        </w:rPr>
        <w:t>,</w:t>
      </w:r>
      <w:r>
        <w:rPr>
          <w:spacing w:val="-16"/>
          <w:w w:val="120"/>
          <w:sz w:val="20"/>
        </w:rPr>
        <w:t> </w:t>
      </w:r>
      <w:r>
        <w:rPr>
          <w:w w:val="120"/>
          <w:sz w:val="20"/>
        </w:rPr>
        <w:t>have</w:t>
      </w:r>
      <w:r>
        <w:rPr>
          <w:spacing w:val="-15"/>
          <w:w w:val="120"/>
          <w:sz w:val="20"/>
        </w:rPr>
        <w:t> </w:t>
      </w:r>
      <w:r>
        <w:rPr>
          <w:w w:val="120"/>
          <w:sz w:val="20"/>
        </w:rPr>
        <w:t>been designed and printed, as has a range of Constance Coltman anniversary merchandise and URC logo mugs, alongside the more routine items including church certificates and training</w:t>
      </w:r>
      <w:r>
        <w:rPr>
          <w:spacing w:val="3"/>
          <w:w w:val="120"/>
          <w:sz w:val="20"/>
        </w:rPr>
        <w:t> </w:t>
      </w:r>
      <w:r>
        <w:rPr>
          <w:w w:val="120"/>
          <w:sz w:val="20"/>
        </w:rPr>
        <w:t>materials.</w:t>
      </w:r>
    </w:p>
    <w:p>
      <w:pPr>
        <w:pStyle w:val="BodyText"/>
        <w:spacing w:before="11"/>
        <w:rPr>
          <w:sz w:val="19"/>
        </w:rPr>
      </w:pPr>
    </w:p>
    <w:p>
      <w:pPr>
        <w:pStyle w:val="ListParagraph"/>
        <w:numPr>
          <w:ilvl w:val="1"/>
          <w:numId w:val="66"/>
        </w:numPr>
        <w:tabs>
          <w:tab w:pos="2244" w:val="left" w:leader="none"/>
          <w:tab w:pos="2245" w:val="left" w:leader="none"/>
        </w:tabs>
        <w:spacing w:line="235" w:lineRule="auto" w:before="0" w:after="0"/>
        <w:ind w:left="1564" w:right="1084" w:firstLine="0"/>
        <w:jc w:val="left"/>
        <w:rPr>
          <w:sz w:val="20"/>
        </w:rPr>
      </w:pPr>
      <w:r>
        <w:rPr>
          <w:w w:val="115"/>
          <w:sz w:val="20"/>
        </w:rPr>
        <w:t>Numerous booklets have been produced and we  are  near  to  completing  a design for an anthology, </w:t>
      </w:r>
      <w:r>
        <w:rPr>
          <w:i/>
          <w:w w:val="115"/>
          <w:sz w:val="20"/>
        </w:rPr>
        <w:t>God is with </w:t>
      </w:r>
      <w:r>
        <w:rPr>
          <w:i/>
          <w:spacing w:val="-2"/>
          <w:w w:val="115"/>
          <w:sz w:val="20"/>
        </w:rPr>
        <w:t>us: </w:t>
      </w:r>
      <w:r>
        <w:rPr>
          <w:i/>
          <w:w w:val="115"/>
          <w:sz w:val="20"/>
        </w:rPr>
        <w:t>fresh responses to the Good News</w:t>
      </w:r>
      <w:r>
        <w:rPr>
          <w:w w:val="115"/>
          <w:sz w:val="20"/>
        </w:rPr>
        <w:t>, which is based on the ‘Chapter and Verse’ column in</w:t>
      </w:r>
      <w:r>
        <w:rPr>
          <w:spacing w:val="40"/>
          <w:w w:val="115"/>
          <w:sz w:val="20"/>
        </w:rPr>
        <w:t> </w:t>
      </w:r>
      <w:r>
        <w:rPr>
          <w:i/>
          <w:w w:val="115"/>
          <w:sz w:val="20"/>
        </w:rPr>
        <w:t>Reform</w:t>
      </w:r>
      <w:r>
        <w:rPr>
          <w:w w:val="115"/>
          <w:sz w:val="20"/>
        </w:rPr>
        <w:t>.</w:t>
      </w:r>
    </w:p>
    <w:p>
      <w:pPr>
        <w:pStyle w:val="BodyText"/>
        <w:spacing w:before="6"/>
        <w:rPr>
          <w:sz w:val="19"/>
        </w:rPr>
      </w:pPr>
    </w:p>
    <w:p>
      <w:pPr>
        <w:pStyle w:val="ListParagraph"/>
        <w:numPr>
          <w:ilvl w:val="1"/>
          <w:numId w:val="66"/>
        </w:numPr>
        <w:tabs>
          <w:tab w:pos="2244" w:val="left" w:leader="none"/>
          <w:tab w:pos="2245" w:val="left" w:leader="none"/>
        </w:tabs>
        <w:spacing w:line="240" w:lineRule="auto" w:before="0" w:after="0"/>
        <w:ind w:left="2244" w:right="0" w:hanging="681"/>
        <w:jc w:val="left"/>
        <w:rPr>
          <w:sz w:val="20"/>
        </w:rPr>
      </w:pPr>
      <w:r>
        <w:rPr>
          <w:w w:val="125"/>
          <w:sz w:val="20"/>
        </w:rPr>
        <w:t>Work on updating </w:t>
      </w:r>
      <w:r>
        <w:rPr>
          <w:i/>
          <w:w w:val="125"/>
          <w:sz w:val="20"/>
        </w:rPr>
        <w:t>The Manual </w:t>
      </w:r>
      <w:r>
        <w:rPr>
          <w:w w:val="125"/>
          <w:sz w:val="20"/>
        </w:rPr>
        <w:t>is</w:t>
      </w:r>
      <w:r>
        <w:rPr>
          <w:spacing w:val="-17"/>
          <w:w w:val="125"/>
          <w:sz w:val="20"/>
        </w:rPr>
        <w:t> </w:t>
      </w:r>
      <w:r>
        <w:rPr>
          <w:w w:val="125"/>
          <w:sz w:val="20"/>
        </w:rPr>
        <w:t>ongoing.</w:t>
      </w:r>
    </w:p>
    <w:p>
      <w:pPr>
        <w:pStyle w:val="BodyText"/>
        <w:spacing w:before="8"/>
        <w:rPr>
          <w:sz w:val="19"/>
        </w:rPr>
      </w:pPr>
    </w:p>
    <w:p>
      <w:pPr>
        <w:pStyle w:val="ListParagraph"/>
        <w:numPr>
          <w:ilvl w:val="1"/>
          <w:numId w:val="66"/>
        </w:numPr>
        <w:tabs>
          <w:tab w:pos="2245" w:val="left" w:leader="none"/>
        </w:tabs>
        <w:spacing w:line="235" w:lineRule="auto" w:before="0" w:after="0"/>
        <w:ind w:left="1564" w:right="1376" w:firstLine="0"/>
        <w:jc w:val="both"/>
        <w:rPr>
          <w:sz w:val="20"/>
        </w:rPr>
      </w:pPr>
      <w:r>
        <w:rPr>
          <w:w w:val="120"/>
          <w:sz w:val="20"/>
        </w:rPr>
        <w:t>Substantial input from the graphics team is crucial to the smooth running of Mission Council and General Assembly. The team also runs the AV/production desk during these meeting of the councils of the</w:t>
      </w:r>
      <w:r>
        <w:rPr>
          <w:spacing w:val="23"/>
          <w:w w:val="120"/>
          <w:sz w:val="20"/>
        </w:rPr>
        <w:t> </w:t>
      </w:r>
      <w:r>
        <w:rPr>
          <w:w w:val="120"/>
          <w:sz w:val="20"/>
        </w:rPr>
        <w:t>Church.</w:t>
      </w:r>
    </w:p>
    <w:p>
      <w:pPr>
        <w:pStyle w:val="BodyText"/>
        <w:spacing w:before="10"/>
        <w:rPr>
          <w:sz w:val="19"/>
        </w:rPr>
      </w:pPr>
    </w:p>
    <w:p>
      <w:pPr>
        <w:pStyle w:val="ListParagraph"/>
        <w:numPr>
          <w:ilvl w:val="1"/>
          <w:numId w:val="66"/>
        </w:numPr>
        <w:tabs>
          <w:tab w:pos="2244" w:val="left" w:leader="none"/>
          <w:tab w:pos="2245" w:val="left" w:leader="none"/>
        </w:tabs>
        <w:spacing w:line="235" w:lineRule="auto" w:before="0" w:after="0"/>
        <w:ind w:left="1564" w:right="1035" w:firstLine="0"/>
        <w:jc w:val="left"/>
        <w:rPr>
          <w:sz w:val="20"/>
        </w:rPr>
      </w:pPr>
      <w:r>
        <w:rPr>
          <w:w w:val="120"/>
          <w:sz w:val="20"/>
        </w:rPr>
        <w:t>The choice of new publications is overseen by the publications board – a subcommittee of the communications committee, which is tasked with finding the most appropriate way of spreading works </w:t>
      </w:r>
      <w:r>
        <w:rPr>
          <w:spacing w:val="-6"/>
          <w:w w:val="120"/>
          <w:sz w:val="20"/>
        </w:rPr>
        <w:t>by, </w:t>
      </w:r>
      <w:r>
        <w:rPr>
          <w:w w:val="120"/>
          <w:sz w:val="20"/>
        </w:rPr>
        <w:t>for and about the denomination. A small number of works which we believe will find a wider readership are published under our own name. Some are redirected to other publishers, and the self-publishing route is increasingly favoured for important but very small-scale,</w:t>
      </w:r>
      <w:r>
        <w:rPr>
          <w:spacing w:val="16"/>
          <w:w w:val="120"/>
          <w:sz w:val="20"/>
        </w:rPr>
        <w:t> </w:t>
      </w:r>
      <w:r>
        <w:rPr>
          <w:w w:val="120"/>
          <w:sz w:val="20"/>
        </w:rPr>
        <w:t>readerships.</w:t>
      </w:r>
    </w:p>
    <w:p>
      <w:pPr>
        <w:spacing w:after="0" w:line="235" w:lineRule="auto"/>
        <w:jc w:val="left"/>
        <w:rPr>
          <w:sz w:val="20"/>
        </w:rPr>
        <w:sectPr>
          <w:headerReference w:type="default" r:id="rId274"/>
          <w:pgSz w:w="11910" w:h="16840"/>
          <w:pgMar w:header="0" w:footer="647" w:top="0" w:bottom="840" w:left="420" w:right="380"/>
        </w:sectPr>
      </w:pPr>
    </w:p>
    <w:p>
      <w:pPr>
        <w:pStyle w:val="BodyText"/>
      </w:pPr>
      <w:r>
        <w:rPr/>
        <w:pict>
          <v:rect style="position:absolute;margin-left:46.777pt;margin-top:.000015pt;width:548.498pt;height:841.89pt;mso-position-horizontal-relative:page;mso-position-vertical-relative:page;z-index:-267373568" filled="true" fillcolor="#d4e9f7" stroked="false">
            <v:fill type="solid"/>
            <w10:wrap type="none"/>
          </v:rect>
        </w:pict>
      </w:r>
      <w:r>
        <w:rPr/>
        <w:drawing>
          <wp:anchor distT="0" distB="0" distL="0" distR="0" allowOverlap="1" layoutInCell="1" locked="0" behindDoc="1" simplePos="0" relativeHeight="235943936">
            <wp:simplePos x="0" y="0"/>
            <wp:positionH relativeFrom="page">
              <wp:posOffset>0</wp:posOffset>
            </wp:positionH>
            <wp:positionV relativeFrom="page">
              <wp:posOffset>0</wp:posOffset>
            </wp:positionV>
            <wp:extent cx="594067" cy="10692003"/>
            <wp:effectExtent l="0" t="0" r="0" b="0"/>
            <wp:wrapNone/>
            <wp:docPr id="173" name="image70.png"/>
            <wp:cNvGraphicFramePr>
              <a:graphicFrameLocks noChangeAspect="1"/>
            </wp:cNvGraphicFramePr>
            <a:graphic>
              <a:graphicData uri="http://schemas.openxmlformats.org/drawingml/2006/picture">
                <pic:pic>
                  <pic:nvPicPr>
                    <pic:cNvPr id="17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827" w:right="3783"/>
        <w:rPr>
          <w:b/>
        </w:rPr>
      </w:pPr>
      <w:r>
        <w:rPr/>
        <w:pict>
          <v:shape style="position:absolute;margin-left:20.519100pt;margin-top:-5.989334pt;width:26pt;height:242.25pt;mso-position-horizontal-relative:page;mso-position-vertical-relative:paragraph;z-index:251912192"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bookmarkStart w:name="_bookmark17" w:id="20"/>
      <w:bookmarkEnd w:id="20"/>
      <w:r>
        <w:rPr>
          <w:b w:val="0"/>
        </w:rPr>
      </w:r>
      <w:r>
        <w:rPr>
          <w:b/>
          <w:color w:val="0090D4"/>
          <w:w w:val="110"/>
        </w:rPr>
        <w:t>Education and learning committee</w:t>
      </w:r>
    </w:p>
    <w:p>
      <w:pPr>
        <w:spacing w:line="616" w:lineRule="exact" w:before="0"/>
        <w:ind w:left="827" w:right="0" w:firstLine="0"/>
        <w:jc w:val="left"/>
        <w:rPr>
          <w:rFonts w:ascii="Stone Sans II ITC Std X Bd"/>
          <w:b/>
          <w:sz w:val="50"/>
        </w:rPr>
      </w:pPr>
      <w:r>
        <w:rPr>
          <w:rFonts w:ascii="Stone Sans II ITC Std X Bd"/>
          <w:b/>
          <w:w w:val="110"/>
          <w:sz w:val="50"/>
        </w:rPr>
        <w:t>General report</w:t>
      </w:r>
    </w:p>
    <w:p>
      <w:pPr>
        <w:spacing w:before="339" w:after="10"/>
        <w:ind w:left="82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42" w:lineRule="exact" w:before="108"/>
              <w:ind w:left="80"/>
              <w:rPr>
                <w:sz w:val="20"/>
              </w:rPr>
            </w:pPr>
            <w:r>
              <w:rPr>
                <w:w w:val="120"/>
                <w:sz w:val="20"/>
              </w:rPr>
              <w:t>Convenor: the Revd Professor Neil Messer</w:t>
            </w:r>
          </w:p>
          <w:p>
            <w:pPr>
              <w:pStyle w:val="TableParagraph"/>
              <w:spacing w:line="242" w:lineRule="exact"/>
              <w:ind w:left="80"/>
              <w:rPr>
                <w:sz w:val="20"/>
              </w:rPr>
            </w:pPr>
            <w:r>
              <w:rPr>
                <w:w w:val="120"/>
                <w:sz w:val="20"/>
              </w:rPr>
              <w:t>Secretary: the Revd Fiona Thomas: </w:t>
            </w:r>
            <w:hyperlink r:id="rId277">
              <w:r>
                <w:rPr>
                  <w:color w:val="006AB3"/>
                  <w:w w:val="120"/>
                  <w:sz w:val="20"/>
                </w:rPr>
                <w:t>fiona.thomas@urc.org.uk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7"/>
              <w:ind w:left="80"/>
              <w:rPr>
                <w:sz w:val="20"/>
              </w:rPr>
            </w:pPr>
            <w:r>
              <w:rPr>
                <w:w w:val="120"/>
                <w:sz w:val="20"/>
              </w:rPr>
              <w:t>Take note.</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Pr>
                <w:sz w:val="20"/>
              </w:rPr>
            </w:pPr>
            <w:r>
              <w:rPr>
                <w:w w:val="120"/>
                <w:sz w:val="20"/>
              </w:rPr>
              <w:t>To inform the General Assembly of the work and actions carried out since July 2016 by the committee.</w:t>
            </w:r>
          </w:p>
        </w:tc>
      </w:tr>
      <w:tr>
        <w:trPr>
          <w:trHeight w:val="112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395"/>
              <w:rPr>
                <w:sz w:val="20"/>
              </w:rPr>
            </w:pPr>
            <w:r>
              <w:rPr>
                <w:w w:val="120"/>
                <w:sz w:val="20"/>
              </w:rPr>
              <w:t>Orientation of the committee within ‘Walking the Way: Living the life of Jesus today’;</w:t>
            </w:r>
          </w:p>
          <w:p>
            <w:pPr>
              <w:pStyle w:val="TableParagraph"/>
              <w:spacing w:line="235" w:lineRule="auto" w:before="2"/>
              <w:ind w:left="80" w:right="395"/>
              <w:rPr>
                <w:sz w:val="20"/>
              </w:rPr>
            </w:pPr>
            <w:r>
              <w:rPr>
                <w:w w:val="120"/>
                <w:sz w:val="20"/>
              </w:rPr>
              <w:t>Work on a successor to Training for Learning and Serving; Activities of the resource centres for learning.</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395"/>
              <w:rPr>
                <w:sz w:val="20"/>
              </w:rPr>
            </w:pPr>
            <w:r>
              <w:rPr>
                <w:w w:val="120"/>
                <w:sz w:val="20"/>
              </w:rPr>
              <w:t>Report to General Assembly 2016 and papers discussed by Mission Council in the intervening period.</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0"/>
                <w:sz w:val="20"/>
              </w:rPr>
              <w:t>Mission Council, and representatives of all the synods.</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The committee has an annual budget, and works within it.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ight="395"/>
              <w:rPr>
                <w:sz w:val="20"/>
              </w:rPr>
            </w:pPr>
            <w:r>
              <w:rPr>
                <w:w w:val="120"/>
                <w:sz w:val="20"/>
              </w:rPr>
              <w:t>Strong ecumenical partnerships are evident throughout the work overseen by the committee.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spacing w:before="0"/>
        <w:ind w:left="827" w:right="0" w:firstLine="0"/>
        <w:jc w:val="left"/>
        <w:rPr>
          <w:sz w:val="23"/>
        </w:rPr>
      </w:pPr>
      <w:r>
        <w:rPr>
          <w:rFonts w:ascii="Stone Sans II ITC Std X Bd" w:hAnsi="Stone Sans II ITC Std X Bd"/>
          <w:b/>
          <w:w w:val="110"/>
          <w:sz w:val="24"/>
        </w:rPr>
        <w:t>92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275"/>
          <w:footerReference w:type="even" r:id="rId276"/>
          <w:pgSz w:w="11910" w:h="16840"/>
          <w:pgMar w:header="0" w:footer="0" w:top="0" w:bottom="0" w:left="420" w:right="380"/>
        </w:sectPr>
      </w:pPr>
    </w:p>
    <w:p>
      <w:pPr>
        <w:pStyle w:val="BodyText"/>
      </w:pPr>
      <w:r>
        <w:rPr/>
        <w:drawing>
          <wp:anchor distT="0" distB="0" distL="0" distR="0" allowOverlap="1" layoutInCell="1" locked="0" behindDoc="0" simplePos="0" relativeHeight="251913216">
            <wp:simplePos x="0" y="0"/>
            <wp:positionH relativeFrom="page">
              <wp:posOffset>6974928</wp:posOffset>
            </wp:positionH>
            <wp:positionV relativeFrom="page">
              <wp:posOffset>0</wp:posOffset>
            </wp:positionV>
            <wp:extent cx="585063" cy="10692003"/>
            <wp:effectExtent l="0" t="0" r="0" b="0"/>
            <wp:wrapNone/>
            <wp:docPr id="175" name="image57.png"/>
            <wp:cNvGraphicFramePr>
              <a:graphicFrameLocks noChangeAspect="1"/>
            </wp:cNvGraphicFramePr>
            <a:graphic>
              <a:graphicData uri="http://schemas.openxmlformats.org/drawingml/2006/picture">
                <pic:pic>
                  <pic:nvPicPr>
                    <pic:cNvPr id="17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before="97"/>
        <w:ind w:left="1261" w:right="565" w:firstLine="0"/>
        <w:jc w:val="center"/>
        <w:rPr>
          <w:rFonts w:ascii="Stone Sans II ITC Std X Bd"/>
          <w:b/>
          <w:sz w:val="50"/>
        </w:rPr>
      </w:pPr>
      <w:r>
        <w:rPr/>
        <w:pict>
          <v:shape style="position:absolute;margin-left:554.141174pt;margin-top:-5.998084pt;width:26pt;height:242.25pt;mso-position-horizontal-relative:page;mso-position-vertical-relative:paragraph;z-index:251915264"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rFonts w:ascii="Stone Sans II ITC Std X Bd"/>
          <w:b/>
          <w:w w:val="110"/>
          <w:sz w:val="50"/>
        </w:rPr>
        <w:t>General report</w:t>
      </w:r>
    </w:p>
    <w:p>
      <w:pPr>
        <w:spacing w:line="261" w:lineRule="auto" w:before="141"/>
        <w:ind w:left="1677" w:right="1244" w:firstLine="0"/>
        <w:jc w:val="left"/>
        <w:rPr>
          <w:sz w:val="18"/>
        </w:rPr>
      </w:pPr>
      <w:r>
        <w:rPr/>
        <w:pict>
          <v:line style="position:absolute;mso-position-horizontal-relative:page;mso-position-vertical-relative:paragraph;z-index:251914240" from="98.212601pt,8.079852pt" to="98.212601pt,210.284852pt" stroked="true" strokeweight="1pt" strokecolor="#0090d4">
            <v:stroke dashstyle="solid"/>
            <w10:wrap type="none"/>
          </v:line>
        </w:pict>
      </w:r>
      <w:r>
        <w:rPr>
          <w:color w:val="707172"/>
          <w:w w:val="120"/>
          <w:sz w:val="18"/>
        </w:rPr>
        <w:t>The education and learning committee maintains strategic oversight of adult learning in     the</w:t>
      </w:r>
      <w:r>
        <w:rPr>
          <w:color w:val="707172"/>
          <w:spacing w:val="11"/>
          <w:w w:val="120"/>
          <w:sz w:val="18"/>
        </w:rPr>
        <w:t> </w:t>
      </w:r>
      <w:r>
        <w:rPr>
          <w:color w:val="707172"/>
          <w:w w:val="120"/>
          <w:sz w:val="18"/>
        </w:rPr>
        <w:t>United</w:t>
      </w:r>
      <w:r>
        <w:rPr>
          <w:color w:val="707172"/>
          <w:spacing w:val="11"/>
          <w:w w:val="120"/>
          <w:sz w:val="18"/>
        </w:rPr>
        <w:t> </w:t>
      </w:r>
      <w:r>
        <w:rPr>
          <w:color w:val="707172"/>
          <w:w w:val="120"/>
          <w:sz w:val="18"/>
        </w:rPr>
        <w:t>Reformed</w:t>
      </w:r>
      <w:r>
        <w:rPr>
          <w:color w:val="707172"/>
          <w:spacing w:val="12"/>
          <w:w w:val="120"/>
          <w:sz w:val="18"/>
        </w:rPr>
        <w:t> </w:t>
      </w:r>
      <w:r>
        <w:rPr>
          <w:color w:val="707172"/>
          <w:w w:val="120"/>
          <w:sz w:val="18"/>
        </w:rPr>
        <w:t>Church</w:t>
      </w:r>
      <w:r>
        <w:rPr>
          <w:color w:val="707172"/>
          <w:spacing w:val="11"/>
          <w:w w:val="120"/>
          <w:sz w:val="18"/>
        </w:rPr>
        <w:t> </w:t>
      </w:r>
      <w:r>
        <w:rPr>
          <w:color w:val="707172"/>
          <w:w w:val="120"/>
          <w:sz w:val="18"/>
        </w:rPr>
        <w:t>by</w:t>
      </w:r>
      <w:r>
        <w:rPr>
          <w:color w:val="707172"/>
          <w:spacing w:val="12"/>
          <w:w w:val="120"/>
          <w:sz w:val="18"/>
        </w:rPr>
        <w:t> </w:t>
      </w:r>
      <w:r>
        <w:rPr>
          <w:color w:val="707172"/>
          <w:w w:val="120"/>
          <w:sz w:val="18"/>
        </w:rPr>
        <w:t>liaison</w:t>
      </w:r>
      <w:r>
        <w:rPr>
          <w:color w:val="707172"/>
          <w:spacing w:val="11"/>
          <w:w w:val="120"/>
          <w:sz w:val="18"/>
        </w:rPr>
        <w:t> </w:t>
      </w:r>
      <w:r>
        <w:rPr>
          <w:color w:val="707172"/>
          <w:w w:val="120"/>
          <w:sz w:val="18"/>
        </w:rPr>
        <w:t>with</w:t>
      </w:r>
      <w:r>
        <w:rPr>
          <w:color w:val="707172"/>
          <w:spacing w:val="11"/>
          <w:w w:val="120"/>
          <w:sz w:val="18"/>
        </w:rPr>
        <w:t> </w:t>
      </w:r>
      <w:r>
        <w:rPr>
          <w:color w:val="707172"/>
          <w:w w:val="120"/>
          <w:sz w:val="18"/>
        </w:rPr>
        <w:t>relevant</w:t>
      </w:r>
      <w:r>
        <w:rPr>
          <w:color w:val="707172"/>
          <w:spacing w:val="12"/>
          <w:w w:val="120"/>
          <w:sz w:val="18"/>
        </w:rPr>
        <w:t> </w:t>
      </w:r>
      <w:r>
        <w:rPr>
          <w:color w:val="707172"/>
          <w:w w:val="120"/>
          <w:sz w:val="18"/>
        </w:rPr>
        <w:t>officers</w:t>
      </w:r>
      <w:r>
        <w:rPr>
          <w:color w:val="707172"/>
          <w:spacing w:val="11"/>
          <w:w w:val="120"/>
          <w:sz w:val="18"/>
        </w:rPr>
        <w:t> </w:t>
      </w:r>
      <w:r>
        <w:rPr>
          <w:color w:val="707172"/>
          <w:w w:val="120"/>
          <w:sz w:val="18"/>
        </w:rPr>
        <w:t>in</w:t>
      </w:r>
      <w:r>
        <w:rPr>
          <w:color w:val="707172"/>
          <w:spacing w:val="12"/>
          <w:w w:val="120"/>
          <w:sz w:val="18"/>
        </w:rPr>
        <w:t> </w:t>
      </w:r>
      <w:r>
        <w:rPr>
          <w:color w:val="707172"/>
          <w:w w:val="120"/>
          <w:sz w:val="18"/>
        </w:rPr>
        <w:t>synods</w:t>
      </w:r>
      <w:r>
        <w:rPr>
          <w:color w:val="707172"/>
          <w:spacing w:val="11"/>
          <w:w w:val="120"/>
          <w:sz w:val="18"/>
        </w:rPr>
        <w:t> </w:t>
      </w:r>
      <w:r>
        <w:rPr>
          <w:color w:val="707172"/>
          <w:w w:val="120"/>
          <w:sz w:val="18"/>
        </w:rPr>
        <w:t>and</w:t>
      </w:r>
      <w:r>
        <w:rPr>
          <w:color w:val="707172"/>
          <w:spacing w:val="11"/>
          <w:w w:val="120"/>
          <w:sz w:val="18"/>
        </w:rPr>
        <w:t> </w:t>
      </w:r>
      <w:r>
        <w:rPr>
          <w:color w:val="707172"/>
          <w:w w:val="120"/>
          <w:sz w:val="18"/>
        </w:rPr>
        <w:t>other</w:t>
      </w:r>
      <w:r>
        <w:rPr>
          <w:color w:val="707172"/>
          <w:spacing w:val="12"/>
          <w:w w:val="120"/>
          <w:sz w:val="18"/>
        </w:rPr>
        <w:t> </w:t>
      </w:r>
      <w:r>
        <w:rPr>
          <w:color w:val="707172"/>
          <w:w w:val="120"/>
          <w:sz w:val="18"/>
        </w:rPr>
        <w:t>Assembly</w:t>
      </w:r>
    </w:p>
    <w:p>
      <w:pPr>
        <w:spacing w:line="261" w:lineRule="auto" w:before="0"/>
        <w:ind w:left="1677" w:right="956" w:firstLine="0"/>
        <w:jc w:val="left"/>
        <w:rPr>
          <w:sz w:val="18"/>
        </w:rPr>
      </w:pPr>
      <w:r>
        <w:rPr>
          <w:color w:val="707172"/>
          <w:w w:val="120"/>
          <w:sz w:val="18"/>
        </w:rPr>
        <w:t>committees; supporting Resource Centres for Learning </w:t>
      </w:r>
      <w:r>
        <w:rPr>
          <w:color w:val="707172"/>
          <w:spacing w:val="-3"/>
          <w:w w:val="120"/>
          <w:sz w:val="18"/>
        </w:rPr>
        <w:t>(RCLs); </w:t>
      </w:r>
      <w:r>
        <w:rPr>
          <w:color w:val="707172"/>
          <w:w w:val="120"/>
          <w:sz w:val="18"/>
        </w:rPr>
        <w:t>providing programmes such as Training for Learning and </w:t>
      </w:r>
      <w:r>
        <w:rPr>
          <w:color w:val="707172"/>
          <w:spacing w:val="2"/>
          <w:w w:val="120"/>
          <w:sz w:val="18"/>
        </w:rPr>
        <w:t>Serving </w:t>
      </w:r>
      <w:r>
        <w:rPr>
          <w:color w:val="707172"/>
          <w:w w:val="120"/>
          <w:sz w:val="18"/>
        </w:rPr>
        <w:t>(TLS) and Stepwise; and maintaining positive relationships with ecumenical </w:t>
      </w:r>
      <w:r>
        <w:rPr>
          <w:color w:val="707172"/>
          <w:spacing w:val="2"/>
          <w:w w:val="120"/>
          <w:sz w:val="18"/>
        </w:rPr>
        <w:t>partners. </w:t>
      </w:r>
      <w:r>
        <w:rPr>
          <w:color w:val="707172"/>
          <w:w w:val="120"/>
          <w:sz w:val="18"/>
        </w:rPr>
        <w:t>The committee </w:t>
      </w:r>
      <w:r>
        <w:rPr>
          <w:color w:val="707172"/>
          <w:spacing w:val="2"/>
          <w:w w:val="120"/>
          <w:sz w:val="18"/>
        </w:rPr>
        <w:t>supports </w:t>
      </w:r>
      <w:r>
        <w:rPr>
          <w:color w:val="707172"/>
          <w:w w:val="120"/>
          <w:sz w:val="18"/>
        </w:rPr>
        <w:t>the initial and ongoing professional development of Ministers of Word and Sacraments, Church Related Community Workers, Assembly-accredited lay preachers, and other lay ministries including</w:t>
      </w:r>
      <w:r>
        <w:rPr>
          <w:color w:val="707172"/>
          <w:spacing w:val="2"/>
          <w:w w:val="120"/>
          <w:sz w:val="18"/>
        </w:rPr>
        <w:t> </w:t>
      </w:r>
      <w:r>
        <w:rPr>
          <w:color w:val="707172"/>
          <w:w w:val="120"/>
          <w:sz w:val="18"/>
        </w:rPr>
        <w:t>eldership.</w:t>
      </w:r>
    </w:p>
    <w:p>
      <w:pPr>
        <w:pStyle w:val="BodyText"/>
        <w:spacing w:before="12"/>
        <w:rPr>
          <w:sz w:val="18"/>
        </w:rPr>
      </w:pPr>
    </w:p>
    <w:p>
      <w:pPr>
        <w:spacing w:line="254" w:lineRule="auto" w:before="0"/>
        <w:ind w:left="1677" w:right="7164" w:firstLine="0"/>
        <w:jc w:val="left"/>
        <w:rPr>
          <w:sz w:val="18"/>
        </w:rPr>
      </w:pPr>
      <w:r>
        <w:rPr>
          <w:rFonts w:ascii="Stone Sans II ITC Std Bk"/>
          <w:b/>
          <w:color w:val="707172"/>
          <w:w w:val="115"/>
          <w:sz w:val="18"/>
        </w:rPr>
        <w:t>Committee members </w:t>
      </w:r>
      <w:r>
        <w:rPr>
          <w:color w:val="707172"/>
          <w:w w:val="120"/>
          <w:sz w:val="18"/>
        </w:rPr>
        <w:t>Convenor: Neil Messer Secretary: Fiona Thomas</w:t>
      </w:r>
    </w:p>
    <w:p>
      <w:pPr>
        <w:spacing w:before="7"/>
        <w:ind w:left="1677" w:right="0" w:firstLine="0"/>
        <w:jc w:val="left"/>
        <w:rPr>
          <w:sz w:val="18"/>
        </w:rPr>
      </w:pPr>
      <w:r>
        <w:rPr>
          <w:color w:val="707172"/>
          <w:w w:val="120"/>
          <w:sz w:val="18"/>
        </w:rPr>
        <w:t>Members: Jack Dyce (until 2017), Ros Lyle, Jennifer Millington, Robert Pettigrew,</w:t>
      </w:r>
    </w:p>
    <w:p>
      <w:pPr>
        <w:spacing w:line="261" w:lineRule="auto" w:before="20"/>
        <w:ind w:left="1677" w:right="1169" w:firstLine="0"/>
        <w:jc w:val="left"/>
        <w:rPr>
          <w:sz w:val="18"/>
        </w:rPr>
      </w:pPr>
      <w:r>
        <w:rPr>
          <w:color w:val="707172"/>
          <w:w w:val="120"/>
          <w:sz w:val="18"/>
        </w:rPr>
        <w:t>David Salsbury </w:t>
      </w:r>
      <w:r>
        <w:rPr>
          <w:color w:val="707172"/>
          <w:spacing w:val="-3"/>
          <w:w w:val="120"/>
          <w:sz w:val="18"/>
        </w:rPr>
        <w:t>(until </w:t>
      </w:r>
      <w:r>
        <w:rPr>
          <w:color w:val="707172"/>
          <w:spacing w:val="-5"/>
          <w:w w:val="120"/>
          <w:sz w:val="18"/>
        </w:rPr>
        <w:t>2016), </w:t>
      </w:r>
      <w:r>
        <w:rPr>
          <w:color w:val="707172"/>
          <w:w w:val="120"/>
          <w:sz w:val="18"/>
        </w:rPr>
        <w:t>Sheila </w:t>
      </w:r>
      <w:r>
        <w:rPr>
          <w:color w:val="707172"/>
          <w:spacing w:val="-3"/>
          <w:w w:val="120"/>
          <w:sz w:val="18"/>
        </w:rPr>
        <w:t>Telfer, </w:t>
      </w:r>
      <w:r>
        <w:rPr>
          <w:color w:val="707172"/>
          <w:spacing w:val="3"/>
          <w:w w:val="120"/>
          <w:sz w:val="18"/>
        </w:rPr>
        <w:t>Mary </w:t>
      </w:r>
      <w:r>
        <w:rPr>
          <w:color w:val="707172"/>
          <w:w w:val="120"/>
          <w:sz w:val="18"/>
        </w:rPr>
        <w:t>Thomas (from </w:t>
      </w:r>
      <w:r>
        <w:rPr>
          <w:color w:val="707172"/>
          <w:spacing w:val="-5"/>
          <w:w w:val="120"/>
          <w:sz w:val="18"/>
        </w:rPr>
        <w:t>2016), </w:t>
      </w:r>
      <w:r>
        <w:rPr>
          <w:color w:val="707172"/>
          <w:w w:val="120"/>
          <w:sz w:val="18"/>
        </w:rPr>
        <w:t>Jill Thornton (from </w:t>
      </w:r>
      <w:r>
        <w:rPr>
          <w:color w:val="707172"/>
          <w:spacing w:val="-5"/>
          <w:w w:val="120"/>
          <w:sz w:val="18"/>
        </w:rPr>
        <w:t>2016), </w:t>
      </w:r>
      <w:r>
        <w:rPr>
          <w:color w:val="707172"/>
          <w:w w:val="120"/>
          <w:sz w:val="18"/>
        </w:rPr>
        <w:t>Rudolph Wontumi (from </w:t>
      </w:r>
      <w:r>
        <w:rPr>
          <w:color w:val="707172"/>
          <w:spacing w:val="-5"/>
          <w:w w:val="120"/>
          <w:sz w:val="18"/>
        </w:rPr>
        <w:t>2016). </w:t>
      </w:r>
      <w:r>
        <w:rPr>
          <w:color w:val="707172"/>
          <w:w w:val="120"/>
          <w:sz w:val="18"/>
        </w:rPr>
        <w:t>The committee also invites the principals of the RCLs, the convenors of its subcommittees, a representative of the Methodist Church, a CRCW, and a </w:t>
      </w:r>
      <w:r>
        <w:rPr>
          <w:color w:val="707172"/>
          <w:spacing w:val="3"/>
          <w:w w:val="120"/>
          <w:sz w:val="18"/>
        </w:rPr>
        <w:t>CYDO </w:t>
      </w:r>
      <w:r>
        <w:rPr>
          <w:color w:val="707172"/>
          <w:w w:val="120"/>
          <w:sz w:val="18"/>
        </w:rPr>
        <w:t>to its meetings. The  General  Secretary  and  Deputy  General  Secretary  (Discipleship) are members ex</w:t>
      </w:r>
      <w:r>
        <w:rPr>
          <w:color w:val="707172"/>
          <w:spacing w:val="5"/>
          <w:w w:val="120"/>
          <w:sz w:val="18"/>
        </w:rPr>
        <w:t> </w:t>
      </w:r>
      <w:r>
        <w:rPr>
          <w:color w:val="707172"/>
          <w:w w:val="120"/>
          <w:sz w:val="18"/>
        </w:rPr>
        <w:t>officio.</w:t>
      </w:r>
    </w:p>
    <w:p>
      <w:pPr>
        <w:pStyle w:val="BodyText"/>
        <w:rPr>
          <w:sz w:val="22"/>
        </w:rPr>
      </w:pPr>
    </w:p>
    <w:p>
      <w:pPr>
        <w:pStyle w:val="BodyText"/>
        <w:spacing w:before="9"/>
        <w:rPr>
          <w:sz w:val="18"/>
        </w:rPr>
      </w:pPr>
    </w:p>
    <w:p>
      <w:pPr>
        <w:spacing w:before="0"/>
        <w:ind w:left="1564" w:right="0" w:firstLine="0"/>
        <w:jc w:val="left"/>
        <w:rPr>
          <w:rFonts w:ascii="Stone Sans II ITC Std Bk"/>
          <w:b/>
          <w:sz w:val="29"/>
        </w:rPr>
      </w:pPr>
      <w:r>
        <w:rPr>
          <w:rFonts w:ascii="Stone Sans II ITC Std Bk"/>
          <w:b/>
          <w:w w:val="110"/>
          <w:sz w:val="29"/>
        </w:rPr>
        <w:t>Walking the way together</w:t>
      </w:r>
    </w:p>
    <w:p>
      <w:pPr>
        <w:pStyle w:val="ListParagraph"/>
        <w:numPr>
          <w:ilvl w:val="0"/>
          <w:numId w:val="68"/>
        </w:numPr>
        <w:tabs>
          <w:tab w:pos="2244" w:val="left" w:leader="none"/>
          <w:tab w:pos="2245" w:val="left" w:leader="none"/>
        </w:tabs>
        <w:spacing w:line="235" w:lineRule="auto" w:before="69" w:after="0"/>
        <w:ind w:left="1564" w:right="1103" w:firstLine="0"/>
        <w:jc w:val="left"/>
        <w:rPr>
          <w:sz w:val="20"/>
        </w:rPr>
      </w:pPr>
      <w:r>
        <w:rPr>
          <w:w w:val="120"/>
          <w:sz w:val="20"/>
        </w:rPr>
        <w:t>Christian disciples learn about God and the world as we follow Jesus. The most significant change that has happened in the work of the education and learning committee since General Assembly </w:t>
      </w:r>
      <w:r>
        <w:rPr>
          <w:spacing w:val="-7"/>
          <w:w w:val="120"/>
          <w:sz w:val="20"/>
        </w:rPr>
        <w:t>2016 </w:t>
      </w:r>
      <w:r>
        <w:rPr>
          <w:w w:val="120"/>
          <w:sz w:val="20"/>
        </w:rPr>
        <w:t>is the re-orientation of the United Reformed Church towards missional discipleship through Walking the Way: Living the life of  Jesus </w:t>
      </w:r>
      <w:r>
        <w:rPr>
          <w:spacing w:val="-3"/>
          <w:w w:val="120"/>
          <w:sz w:val="20"/>
        </w:rPr>
        <w:t>today. </w:t>
      </w:r>
      <w:r>
        <w:rPr>
          <w:w w:val="120"/>
          <w:sz w:val="20"/>
        </w:rPr>
        <w:t>Some of these effects were anticipated two years ago, when we moved </w:t>
      </w:r>
      <w:r>
        <w:rPr>
          <w:spacing w:val="2"/>
          <w:w w:val="120"/>
          <w:sz w:val="20"/>
        </w:rPr>
        <w:t>TLS </w:t>
      </w:r>
      <w:r>
        <w:rPr>
          <w:w w:val="120"/>
          <w:sz w:val="20"/>
        </w:rPr>
        <w:t>into a transitional phase, and started to develop its successor as a consciously intergenerational and interdisciplinary programme. The committee did not</w:t>
      </w:r>
      <w:r>
        <w:rPr>
          <w:spacing w:val="17"/>
          <w:w w:val="120"/>
          <w:sz w:val="20"/>
        </w:rPr>
        <w:t> </w:t>
      </w:r>
      <w:r>
        <w:rPr>
          <w:w w:val="120"/>
          <w:sz w:val="20"/>
        </w:rPr>
        <w:t>anticipate</w:t>
      </w:r>
    </w:p>
    <w:p>
      <w:pPr>
        <w:pStyle w:val="BodyText"/>
        <w:spacing w:line="235" w:lineRule="auto" w:before="5"/>
        <w:ind w:left="1564" w:right="923"/>
      </w:pPr>
      <w:r>
        <w:rPr>
          <w:w w:val="120"/>
        </w:rPr>
        <w:t>the closure of the Windermere Centre and the subsequent emergence of a discipleship development strategy, which has meant that much time at recent Mission Council meetings has been devoted to issues presented by the committee.</w:t>
      </w:r>
    </w:p>
    <w:p>
      <w:pPr>
        <w:pStyle w:val="BodyText"/>
        <w:spacing w:before="10"/>
        <w:rPr>
          <w:sz w:val="19"/>
        </w:rPr>
      </w:pPr>
    </w:p>
    <w:p>
      <w:pPr>
        <w:pStyle w:val="ListParagraph"/>
        <w:numPr>
          <w:ilvl w:val="0"/>
          <w:numId w:val="68"/>
        </w:numPr>
        <w:tabs>
          <w:tab w:pos="2244" w:val="left" w:leader="none"/>
          <w:tab w:pos="2245" w:val="left" w:leader="none"/>
        </w:tabs>
        <w:spacing w:line="235" w:lineRule="auto" w:before="0" w:after="0"/>
        <w:ind w:left="1564" w:right="1009" w:hanging="1"/>
        <w:jc w:val="left"/>
        <w:rPr>
          <w:sz w:val="20"/>
        </w:rPr>
      </w:pPr>
      <w:r>
        <w:rPr>
          <w:w w:val="120"/>
          <w:sz w:val="20"/>
        </w:rPr>
        <w:t>The education and learning committee’s responsibility within Walking the Way is to ensure that there is a successor to </w:t>
      </w:r>
      <w:r>
        <w:rPr>
          <w:spacing w:val="2"/>
          <w:w w:val="120"/>
          <w:sz w:val="20"/>
        </w:rPr>
        <w:t>TLS </w:t>
      </w:r>
      <w:r>
        <w:rPr>
          <w:w w:val="120"/>
          <w:sz w:val="20"/>
        </w:rPr>
        <w:t>as a distinct programme. We are well on the way to achieving that, having established an active task and finish group convened by</w:t>
      </w:r>
      <w:r>
        <w:rPr>
          <w:spacing w:val="7"/>
          <w:w w:val="120"/>
          <w:sz w:val="20"/>
        </w:rPr>
        <w:t> </w:t>
      </w:r>
      <w:r>
        <w:rPr>
          <w:w w:val="120"/>
          <w:sz w:val="20"/>
        </w:rPr>
        <w:t>Professor</w:t>
      </w:r>
      <w:r>
        <w:rPr>
          <w:spacing w:val="7"/>
          <w:w w:val="120"/>
          <w:sz w:val="20"/>
        </w:rPr>
        <w:t> </w:t>
      </w:r>
      <w:r>
        <w:rPr>
          <w:w w:val="120"/>
          <w:sz w:val="20"/>
        </w:rPr>
        <w:t>Graham</w:t>
      </w:r>
      <w:r>
        <w:rPr>
          <w:spacing w:val="7"/>
          <w:w w:val="120"/>
          <w:sz w:val="20"/>
        </w:rPr>
        <w:t> </w:t>
      </w:r>
      <w:r>
        <w:rPr>
          <w:w w:val="120"/>
          <w:sz w:val="20"/>
        </w:rPr>
        <w:t>Handscomb</w:t>
      </w:r>
      <w:r>
        <w:rPr>
          <w:spacing w:val="7"/>
          <w:w w:val="120"/>
          <w:sz w:val="20"/>
        </w:rPr>
        <w:t> </w:t>
      </w:r>
      <w:r>
        <w:rPr>
          <w:w w:val="120"/>
          <w:sz w:val="20"/>
        </w:rPr>
        <w:t>which</w:t>
      </w:r>
      <w:r>
        <w:rPr>
          <w:spacing w:val="7"/>
          <w:w w:val="120"/>
          <w:sz w:val="20"/>
        </w:rPr>
        <w:t> </w:t>
      </w:r>
      <w:r>
        <w:rPr>
          <w:w w:val="120"/>
          <w:sz w:val="20"/>
        </w:rPr>
        <w:t>brings</w:t>
      </w:r>
      <w:r>
        <w:rPr>
          <w:spacing w:val="7"/>
          <w:w w:val="120"/>
          <w:sz w:val="20"/>
        </w:rPr>
        <w:t> </w:t>
      </w:r>
      <w:r>
        <w:rPr>
          <w:w w:val="120"/>
          <w:sz w:val="20"/>
        </w:rPr>
        <w:t>together</w:t>
      </w:r>
      <w:r>
        <w:rPr>
          <w:spacing w:val="7"/>
          <w:w w:val="120"/>
          <w:sz w:val="20"/>
        </w:rPr>
        <w:t> </w:t>
      </w:r>
      <w:r>
        <w:rPr>
          <w:w w:val="120"/>
          <w:sz w:val="20"/>
        </w:rPr>
        <w:t>people</w:t>
      </w:r>
      <w:r>
        <w:rPr>
          <w:spacing w:val="7"/>
          <w:w w:val="120"/>
          <w:sz w:val="20"/>
        </w:rPr>
        <w:t> </w:t>
      </w:r>
      <w:r>
        <w:rPr>
          <w:w w:val="120"/>
          <w:sz w:val="20"/>
        </w:rPr>
        <w:t>from</w:t>
      </w:r>
      <w:r>
        <w:rPr>
          <w:spacing w:val="7"/>
          <w:w w:val="120"/>
          <w:sz w:val="20"/>
        </w:rPr>
        <w:t> </w:t>
      </w:r>
      <w:r>
        <w:rPr>
          <w:w w:val="120"/>
          <w:sz w:val="20"/>
        </w:rPr>
        <w:t>the</w:t>
      </w:r>
      <w:r>
        <w:rPr>
          <w:spacing w:val="7"/>
          <w:w w:val="120"/>
          <w:sz w:val="20"/>
        </w:rPr>
        <w:t> </w:t>
      </w:r>
      <w:r>
        <w:rPr>
          <w:w w:val="120"/>
          <w:sz w:val="20"/>
        </w:rPr>
        <w:t>URC</w:t>
      </w:r>
      <w:r>
        <w:rPr>
          <w:spacing w:val="7"/>
          <w:w w:val="120"/>
          <w:sz w:val="20"/>
        </w:rPr>
        <w:t> </w:t>
      </w:r>
      <w:r>
        <w:rPr>
          <w:w w:val="120"/>
          <w:sz w:val="20"/>
        </w:rPr>
        <w:t>and</w:t>
      </w:r>
    </w:p>
    <w:p>
      <w:pPr>
        <w:pStyle w:val="BodyText"/>
        <w:spacing w:line="235" w:lineRule="auto" w:before="3"/>
        <w:ind w:left="1564" w:right="1169"/>
      </w:pPr>
      <w:r>
        <w:rPr>
          <w:w w:val="120"/>
        </w:rPr>
        <w:t>the ecumenical worlds of mission, children and youth, training and development, community work, and theological education. The programme will be called Stepwise and the first stream will be available from September 2018 with current information available from </w:t>
      </w:r>
      <w:hyperlink r:id="rId281">
        <w:r>
          <w:rPr>
            <w:color w:val="006AB3"/>
            <w:w w:val="120"/>
          </w:rPr>
          <w:t>www.urc.org.uk/stepwise/</w:t>
        </w:r>
        <w:r>
          <w:rPr>
            <w:w w:val="120"/>
          </w:rPr>
          <w:t>. </w:t>
        </w:r>
      </w:hyperlink>
      <w:r>
        <w:rPr>
          <w:w w:val="120"/>
        </w:rPr>
        <w:t>Its effectiveness will depend on active advocacy within congregations as much as close collaboration between Assembly committees, synods, and RCLs.</w:t>
      </w:r>
    </w:p>
    <w:p>
      <w:pPr>
        <w:pStyle w:val="BodyText"/>
      </w:pPr>
    </w:p>
    <w:p>
      <w:pPr>
        <w:pStyle w:val="ListParagraph"/>
        <w:numPr>
          <w:ilvl w:val="0"/>
          <w:numId w:val="68"/>
        </w:numPr>
        <w:tabs>
          <w:tab w:pos="2244" w:val="left" w:leader="none"/>
          <w:tab w:pos="2245" w:val="left" w:leader="none"/>
        </w:tabs>
        <w:spacing w:line="235" w:lineRule="auto" w:before="0" w:after="0"/>
        <w:ind w:left="1564" w:right="987" w:firstLine="0"/>
        <w:jc w:val="left"/>
        <w:rPr>
          <w:sz w:val="20"/>
        </w:rPr>
      </w:pPr>
      <w:r>
        <w:rPr>
          <w:w w:val="120"/>
          <w:sz w:val="20"/>
        </w:rPr>
        <w:t>Much of the work of the committee over the past two years will find its way into Stepwise in one way or</w:t>
      </w:r>
      <w:r>
        <w:rPr>
          <w:spacing w:val="9"/>
          <w:w w:val="120"/>
          <w:sz w:val="20"/>
        </w:rPr>
        <w:t> </w:t>
      </w:r>
      <w:r>
        <w:rPr>
          <w:w w:val="120"/>
          <w:sz w:val="20"/>
        </w:rPr>
        <w:t>another:</w:t>
      </w:r>
    </w:p>
    <w:p>
      <w:pPr>
        <w:pStyle w:val="BodyText"/>
        <w:spacing w:before="9"/>
        <w:rPr>
          <w:sz w:val="19"/>
        </w:rPr>
      </w:pPr>
    </w:p>
    <w:p>
      <w:pPr>
        <w:pStyle w:val="ListParagraph"/>
        <w:numPr>
          <w:ilvl w:val="1"/>
          <w:numId w:val="68"/>
        </w:numPr>
        <w:tabs>
          <w:tab w:pos="2244" w:val="left" w:leader="none"/>
          <w:tab w:pos="2245" w:val="left" w:leader="none"/>
        </w:tabs>
        <w:spacing w:line="235" w:lineRule="auto" w:before="1" w:after="0"/>
        <w:ind w:left="1564" w:right="1088" w:firstLine="0"/>
        <w:jc w:val="left"/>
        <w:rPr>
          <w:sz w:val="20"/>
        </w:rPr>
      </w:pPr>
      <w:r>
        <w:rPr>
          <w:w w:val="125"/>
          <w:sz w:val="20"/>
        </w:rPr>
        <w:t>The</w:t>
      </w:r>
      <w:r>
        <w:rPr>
          <w:spacing w:val="-16"/>
          <w:w w:val="125"/>
          <w:sz w:val="20"/>
        </w:rPr>
        <w:t> </w:t>
      </w:r>
      <w:r>
        <w:rPr>
          <w:w w:val="125"/>
          <w:sz w:val="20"/>
        </w:rPr>
        <w:t>delivery</w:t>
      </w:r>
      <w:r>
        <w:rPr>
          <w:spacing w:val="-16"/>
          <w:w w:val="125"/>
          <w:sz w:val="20"/>
        </w:rPr>
        <w:t> </w:t>
      </w:r>
      <w:r>
        <w:rPr>
          <w:w w:val="125"/>
          <w:sz w:val="20"/>
        </w:rPr>
        <w:t>of</w:t>
      </w:r>
      <w:r>
        <w:rPr>
          <w:spacing w:val="-15"/>
          <w:w w:val="125"/>
          <w:sz w:val="20"/>
        </w:rPr>
        <w:t> </w:t>
      </w:r>
      <w:r>
        <w:rPr>
          <w:w w:val="125"/>
          <w:sz w:val="20"/>
        </w:rPr>
        <w:t>Stepwise</w:t>
      </w:r>
      <w:r>
        <w:rPr>
          <w:spacing w:val="-16"/>
          <w:w w:val="125"/>
          <w:sz w:val="20"/>
        </w:rPr>
        <w:t> </w:t>
      </w:r>
      <w:r>
        <w:rPr>
          <w:w w:val="125"/>
          <w:sz w:val="20"/>
        </w:rPr>
        <w:t>will</w:t>
      </w:r>
      <w:r>
        <w:rPr>
          <w:spacing w:val="-15"/>
          <w:w w:val="125"/>
          <w:sz w:val="20"/>
        </w:rPr>
        <w:t> </w:t>
      </w:r>
      <w:r>
        <w:rPr>
          <w:w w:val="125"/>
          <w:sz w:val="20"/>
        </w:rPr>
        <w:t>be</w:t>
      </w:r>
      <w:r>
        <w:rPr>
          <w:spacing w:val="-16"/>
          <w:w w:val="125"/>
          <w:sz w:val="20"/>
        </w:rPr>
        <w:t> </w:t>
      </w:r>
      <w:r>
        <w:rPr>
          <w:w w:val="125"/>
          <w:sz w:val="20"/>
        </w:rPr>
        <w:t>in</w:t>
      </w:r>
      <w:r>
        <w:rPr>
          <w:spacing w:val="-15"/>
          <w:w w:val="125"/>
          <w:sz w:val="20"/>
        </w:rPr>
        <w:t> </w:t>
      </w:r>
      <w:r>
        <w:rPr>
          <w:w w:val="125"/>
          <w:sz w:val="20"/>
        </w:rPr>
        <w:t>line</w:t>
      </w:r>
      <w:r>
        <w:rPr>
          <w:spacing w:val="-16"/>
          <w:w w:val="125"/>
          <w:sz w:val="20"/>
        </w:rPr>
        <w:t> </w:t>
      </w:r>
      <w:r>
        <w:rPr>
          <w:w w:val="125"/>
          <w:sz w:val="20"/>
        </w:rPr>
        <w:t>with</w:t>
      </w:r>
      <w:r>
        <w:rPr>
          <w:spacing w:val="-15"/>
          <w:w w:val="125"/>
          <w:sz w:val="20"/>
        </w:rPr>
        <w:t> </w:t>
      </w:r>
      <w:r>
        <w:rPr>
          <w:w w:val="125"/>
          <w:sz w:val="20"/>
        </w:rPr>
        <w:t>the</w:t>
      </w:r>
      <w:r>
        <w:rPr>
          <w:spacing w:val="-16"/>
          <w:w w:val="125"/>
          <w:sz w:val="20"/>
        </w:rPr>
        <w:t> </w:t>
      </w:r>
      <w:r>
        <w:rPr>
          <w:spacing w:val="2"/>
          <w:w w:val="125"/>
          <w:sz w:val="20"/>
        </w:rPr>
        <w:t>report</w:t>
      </w:r>
      <w:r>
        <w:rPr>
          <w:spacing w:val="-15"/>
          <w:w w:val="125"/>
          <w:sz w:val="20"/>
        </w:rPr>
        <w:t> </w:t>
      </w:r>
      <w:r>
        <w:rPr>
          <w:w w:val="125"/>
          <w:sz w:val="20"/>
        </w:rPr>
        <w:t>‘Blended</w:t>
      </w:r>
      <w:r>
        <w:rPr>
          <w:spacing w:val="-16"/>
          <w:w w:val="125"/>
          <w:sz w:val="20"/>
        </w:rPr>
        <w:t> </w:t>
      </w:r>
      <w:r>
        <w:rPr>
          <w:w w:val="125"/>
          <w:sz w:val="20"/>
        </w:rPr>
        <w:t>Lives,</w:t>
      </w:r>
      <w:r>
        <w:rPr>
          <w:spacing w:val="-16"/>
          <w:w w:val="125"/>
          <w:sz w:val="20"/>
        </w:rPr>
        <w:t> </w:t>
      </w:r>
      <w:r>
        <w:rPr>
          <w:w w:val="125"/>
          <w:sz w:val="20"/>
        </w:rPr>
        <w:t>Blended Learning’ (</w:t>
      </w:r>
      <w:r>
        <w:rPr>
          <w:color w:val="006AB3"/>
          <w:w w:val="125"/>
          <w:sz w:val="20"/>
        </w:rPr>
        <w:t>bltgreporturc.org.uk</w:t>
      </w:r>
      <w:r>
        <w:rPr>
          <w:w w:val="125"/>
          <w:sz w:val="20"/>
        </w:rPr>
        <w:t>) which put forward a learning framework which combines inherited and contemporary learning</w:t>
      </w:r>
      <w:r>
        <w:rPr>
          <w:spacing w:val="-19"/>
          <w:w w:val="125"/>
          <w:sz w:val="20"/>
        </w:rPr>
        <w:t> </w:t>
      </w:r>
      <w:r>
        <w:rPr>
          <w:w w:val="125"/>
          <w:sz w:val="20"/>
        </w:rPr>
        <w:t>approaches;</w:t>
      </w:r>
    </w:p>
    <w:p>
      <w:pPr>
        <w:pStyle w:val="BodyText"/>
        <w:spacing w:before="10"/>
        <w:rPr>
          <w:sz w:val="19"/>
        </w:rPr>
      </w:pPr>
    </w:p>
    <w:p>
      <w:pPr>
        <w:pStyle w:val="ListParagraph"/>
        <w:numPr>
          <w:ilvl w:val="1"/>
          <w:numId w:val="68"/>
        </w:numPr>
        <w:tabs>
          <w:tab w:pos="2244" w:val="left" w:leader="none"/>
          <w:tab w:pos="2245" w:val="left" w:leader="none"/>
        </w:tabs>
        <w:spacing w:line="235" w:lineRule="auto" w:before="0" w:after="0"/>
        <w:ind w:left="1564" w:right="969" w:firstLine="0"/>
        <w:jc w:val="left"/>
        <w:rPr>
          <w:sz w:val="20"/>
        </w:rPr>
      </w:pPr>
      <w:r>
        <w:rPr>
          <w:w w:val="120"/>
          <w:sz w:val="20"/>
        </w:rPr>
        <w:t>The publication of the book </w:t>
      </w:r>
      <w:r>
        <w:rPr>
          <w:i/>
          <w:w w:val="120"/>
          <w:sz w:val="20"/>
        </w:rPr>
        <w:t>Appreciating Church </w:t>
      </w:r>
      <w:r>
        <w:rPr>
          <w:w w:val="120"/>
          <w:sz w:val="20"/>
        </w:rPr>
        <w:t>with the associated website</w:t>
      </w:r>
      <w:hyperlink r:id="rId282">
        <w:r>
          <w:rPr>
            <w:color w:val="006AB3"/>
            <w:w w:val="120"/>
            <w:sz w:val="20"/>
          </w:rPr>
          <w:t> www.appreciating.church </w:t>
        </w:r>
      </w:hyperlink>
      <w:r>
        <w:rPr>
          <w:w w:val="120"/>
          <w:sz w:val="20"/>
        </w:rPr>
        <w:t>in </w:t>
      </w:r>
      <w:r>
        <w:rPr>
          <w:spacing w:val="2"/>
          <w:w w:val="120"/>
          <w:sz w:val="20"/>
        </w:rPr>
        <w:t>February </w:t>
      </w:r>
      <w:r>
        <w:rPr>
          <w:spacing w:val="-9"/>
          <w:w w:val="120"/>
          <w:sz w:val="20"/>
        </w:rPr>
        <w:t>2017  </w:t>
      </w:r>
      <w:r>
        <w:rPr>
          <w:w w:val="120"/>
          <w:sz w:val="20"/>
        </w:rPr>
        <w:t>represents a major investment of time  from the URC and ecumenical partners in working from the strengths and </w:t>
      </w:r>
      <w:r>
        <w:rPr>
          <w:spacing w:val="2"/>
          <w:w w:val="120"/>
          <w:sz w:val="20"/>
        </w:rPr>
        <w:t>gifts </w:t>
      </w:r>
      <w:r>
        <w:rPr>
          <w:w w:val="120"/>
          <w:sz w:val="20"/>
        </w:rPr>
        <w:t>of church and community organisations rather than starting with a deficit model. The methods described will be drawn upon when developing forms of peer evaluation and journaling for the Stepwise</w:t>
      </w:r>
      <w:r>
        <w:rPr>
          <w:spacing w:val="9"/>
          <w:w w:val="120"/>
          <w:sz w:val="20"/>
        </w:rPr>
        <w:t> </w:t>
      </w:r>
      <w:r>
        <w:rPr>
          <w:w w:val="120"/>
          <w:sz w:val="20"/>
        </w:rPr>
        <w:t>programme;</w:t>
      </w:r>
    </w:p>
    <w:p>
      <w:pPr>
        <w:spacing w:after="0" w:line="235" w:lineRule="auto"/>
        <w:jc w:val="left"/>
        <w:rPr>
          <w:sz w:val="20"/>
        </w:rPr>
        <w:sectPr>
          <w:headerReference w:type="default" r:id="rId278"/>
          <w:footerReference w:type="default" r:id="rId279"/>
          <w:footerReference w:type="even" r:id="rId280"/>
          <w:pgSz w:w="11910" w:h="16840"/>
          <w:pgMar w:header="0" w:footer="647" w:top="0" w:bottom="840" w:left="420" w:right="380"/>
          <w:pgNumType w:start="93"/>
        </w:sectPr>
      </w:pPr>
    </w:p>
    <w:p>
      <w:pPr>
        <w:pStyle w:val="BodyText"/>
      </w:pPr>
      <w:r>
        <w:rPr/>
        <w:drawing>
          <wp:anchor distT="0" distB="0" distL="0" distR="0" allowOverlap="1" layoutInCell="1" locked="0" behindDoc="1" simplePos="0" relativeHeight="235949056">
            <wp:simplePos x="0" y="0"/>
            <wp:positionH relativeFrom="page">
              <wp:posOffset>0</wp:posOffset>
            </wp:positionH>
            <wp:positionV relativeFrom="page">
              <wp:posOffset>0</wp:posOffset>
            </wp:positionV>
            <wp:extent cx="594067" cy="10692003"/>
            <wp:effectExtent l="0" t="0" r="0" b="0"/>
            <wp:wrapNone/>
            <wp:docPr id="177" name="image70.png"/>
            <wp:cNvGraphicFramePr>
              <a:graphicFrameLocks noChangeAspect="1"/>
            </wp:cNvGraphicFramePr>
            <a:graphic>
              <a:graphicData uri="http://schemas.openxmlformats.org/drawingml/2006/picture">
                <pic:pic>
                  <pic:nvPicPr>
                    <pic:cNvPr id="17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17312"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bookmarkStart w:name="_TOC_250007" w:id="21"/>
      <w:bookmarkEnd w:id="21"/>
      <w:r>
        <w:rPr>
          <w:color w:val="7EAABF"/>
          <w:w w:val="120"/>
        </w:rPr>
        <w:t>Education and learning</w:t>
      </w:r>
    </w:p>
    <w:p>
      <w:pPr>
        <w:pStyle w:val="ListParagraph"/>
        <w:numPr>
          <w:ilvl w:val="1"/>
          <w:numId w:val="68"/>
        </w:numPr>
        <w:tabs>
          <w:tab w:pos="1507" w:val="left" w:leader="none"/>
          <w:tab w:pos="1508" w:val="left" w:leader="none"/>
        </w:tabs>
        <w:spacing w:line="235" w:lineRule="auto" w:before="222" w:after="0"/>
        <w:ind w:left="827" w:right="1601" w:firstLine="0"/>
        <w:jc w:val="left"/>
        <w:rPr>
          <w:sz w:val="20"/>
        </w:rPr>
      </w:pPr>
      <w:r>
        <w:rPr>
          <w:w w:val="120"/>
          <w:sz w:val="20"/>
        </w:rPr>
        <w:t>The discipleship development strategy has Stepwise as a significant focus, because the programme is an obvious place where the principles of equity, accessibility, and flexibility will be</w:t>
      </w:r>
      <w:r>
        <w:rPr>
          <w:spacing w:val="9"/>
          <w:w w:val="120"/>
          <w:sz w:val="20"/>
        </w:rPr>
        <w:t> </w:t>
      </w:r>
      <w:r>
        <w:rPr>
          <w:w w:val="120"/>
          <w:sz w:val="20"/>
        </w:rPr>
        <w:t>expressed.</w:t>
      </w:r>
    </w:p>
    <w:p>
      <w:pPr>
        <w:pStyle w:val="BodyText"/>
        <w:spacing w:before="10"/>
        <w:rPr>
          <w:sz w:val="19"/>
        </w:rPr>
      </w:pPr>
    </w:p>
    <w:p>
      <w:pPr>
        <w:pStyle w:val="ListParagraph"/>
        <w:numPr>
          <w:ilvl w:val="0"/>
          <w:numId w:val="68"/>
        </w:numPr>
        <w:tabs>
          <w:tab w:pos="1507" w:val="left" w:leader="none"/>
          <w:tab w:pos="1508" w:val="left" w:leader="none"/>
        </w:tabs>
        <w:spacing w:line="235" w:lineRule="auto" w:before="0" w:after="0"/>
        <w:ind w:left="827" w:right="2098" w:firstLine="0"/>
        <w:jc w:val="both"/>
        <w:rPr>
          <w:sz w:val="20"/>
        </w:rPr>
      </w:pPr>
      <w:r>
        <w:rPr>
          <w:w w:val="120"/>
          <w:sz w:val="20"/>
        </w:rPr>
        <w:t>The scope of the committee’s work is broad, stretching from congregational development through TLS/Stepwise to initial and continuing ministerial education. Within the latter, the major items of work since </w:t>
      </w:r>
      <w:r>
        <w:rPr>
          <w:spacing w:val="-7"/>
          <w:w w:val="120"/>
          <w:sz w:val="20"/>
        </w:rPr>
        <w:t>2016 </w:t>
      </w:r>
      <w:r>
        <w:rPr>
          <w:w w:val="120"/>
          <w:sz w:val="20"/>
        </w:rPr>
        <w:t>have</w:t>
      </w:r>
      <w:r>
        <w:rPr>
          <w:spacing w:val="17"/>
          <w:w w:val="120"/>
          <w:sz w:val="20"/>
        </w:rPr>
        <w:t> </w:t>
      </w:r>
      <w:r>
        <w:rPr>
          <w:w w:val="120"/>
          <w:sz w:val="20"/>
        </w:rPr>
        <w:t>been:</w:t>
      </w:r>
    </w:p>
    <w:p>
      <w:pPr>
        <w:pStyle w:val="BodyText"/>
        <w:spacing w:before="10"/>
        <w:rPr>
          <w:sz w:val="19"/>
        </w:rPr>
      </w:pPr>
    </w:p>
    <w:p>
      <w:pPr>
        <w:pStyle w:val="ListParagraph"/>
        <w:numPr>
          <w:ilvl w:val="1"/>
          <w:numId w:val="68"/>
        </w:numPr>
        <w:tabs>
          <w:tab w:pos="1507" w:val="left" w:leader="none"/>
          <w:tab w:pos="1508" w:val="left" w:leader="none"/>
        </w:tabs>
        <w:spacing w:line="235" w:lineRule="auto" w:before="0" w:after="0"/>
        <w:ind w:left="827" w:right="1687" w:firstLine="0"/>
        <w:jc w:val="left"/>
        <w:rPr>
          <w:sz w:val="20"/>
        </w:rPr>
      </w:pPr>
      <w:r>
        <w:rPr>
          <w:w w:val="120"/>
          <w:sz w:val="20"/>
        </w:rPr>
        <w:t>Working with the ministries team to ensure that there is coherent administration for </w:t>
      </w:r>
      <w:r>
        <w:rPr>
          <w:spacing w:val="-3"/>
          <w:w w:val="120"/>
          <w:sz w:val="20"/>
        </w:rPr>
        <w:t>EM1 </w:t>
      </w:r>
      <w:r>
        <w:rPr>
          <w:w w:val="120"/>
          <w:sz w:val="20"/>
        </w:rPr>
        <w:t>from candidating through to the end of</w:t>
      </w:r>
      <w:r>
        <w:rPr>
          <w:spacing w:val="24"/>
          <w:w w:val="120"/>
          <w:sz w:val="20"/>
        </w:rPr>
        <w:t> </w:t>
      </w:r>
      <w:r>
        <w:rPr>
          <w:spacing w:val="-6"/>
          <w:w w:val="120"/>
          <w:sz w:val="20"/>
        </w:rPr>
        <w:t>EM1;</w:t>
      </w:r>
    </w:p>
    <w:p>
      <w:pPr>
        <w:pStyle w:val="BodyText"/>
        <w:spacing w:before="9"/>
        <w:rPr>
          <w:sz w:val="19"/>
        </w:rPr>
      </w:pPr>
    </w:p>
    <w:p>
      <w:pPr>
        <w:pStyle w:val="ListParagraph"/>
        <w:numPr>
          <w:ilvl w:val="1"/>
          <w:numId w:val="68"/>
        </w:numPr>
        <w:tabs>
          <w:tab w:pos="1565" w:val="left" w:leader="none"/>
        </w:tabs>
        <w:spacing w:line="235" w:lineRule="auto" w:before="0" w:after="0"/>
        <w:ind w:left="827" w:right="1996" w:firstLine="0"/>
        <w:jc w:val="both"/>
        <w:rPr>
          <w:sz w:val="20"/>
        </w:rPr>
      </w:pPr>
      <w:r>
        <w:rPr>
          <w:w w:val="120"/>
          <w:sz w:val="20"/>
        </w:rPr>
        <w:t>Relocating the annual </w:t>
      </w:r>
      <w:r>
        <w:rPr>
          <w:spacing w:val="-3"/>
          <w:w w:val="120"/>
          <w:sz w:val="20"/>
        </w:rPr>
        <w:t>EM1 </w:t>
      </w:r>
      <w:r>
        <w:rPr>
          <w:w w:val="120"/>
          <w:sz w:val="20"/>
        </w:rPr>
        <w:t>summer school from the Windermere Centre to a new venue and</w:t>
      </w:r>
      <w:r>
        <w:rPr>
          <w:spacing w:val="6"/>
          <w:w w:val="120"/>
          <w:sz w:val="20"/>
        </w:rPr>
        <w:t> </w:t>
      </w:r>
      <w:r>
        <w:rPr>
          <w:w w:val="120"/>
          <w:sz w:val="20"/>
        </w:rPr>
        <w:t>arrangements;</w:t>
      </w:r>
    </w:p>
    <w:p>
      <w:pPr>
        <w:pStyle w:val="BodyText"/>
        <w:spacing w:before="10"/>
        <w:rPr>
          <w:sz w:val="19"/>
        </w:rPr>
      </w:pPr>
    </w:p>
    <w:p>
      <w:pPr>
        <w:pStyle w:val="ListParagraph"/>
        <w:numPr>
          <w:ilvl w:val="1"/>
          <w:numId w:val="68"/>
        </w:numPr>
        <w:tabs>
          <w:tab w:pos="1564" w:val="left" w:leader="none"/>
          <w:tab w:pos="1565" w:val="left" w:leader="none"/>
        </w:tabs>
        <w:spacing w:line="235" w:lineRule="auto" w:before="0" w:after="0"/>
        <w:ind w:left="827" w:right="1733" w:firstLine="0"/>
        <w:jc w:val="left"/>
        <w:rPr>
          <w:sz w:val="20"/>
        </w:rPr>
      </w:pPr>
      <w:r>
        <w:rPr>
          <w:w w:val="120"/>
          <w:sz w:val="20"/>
        </w:rPr>
        <w:t>Recognising that work of the EM2/3 subcommittee had come to a natural end with the realisation that consistent, reliable systems and programmes had been tested, accepted and set in place. The part-time Education and Learning Programme Officer who coordinates this work now regularly attends education and learning committee meetings;</w:t>
      </w:r>
    </w:p>
    <w:p>
      <w:pPr>
        <w:pStyle w:val="BodyText"/>
        <w:spacing w:before="11"/>
        <w:rPr>
          <w:sz w:val="19"/>
        </w:rPr>
      </w:pPr>
    </w:p>
    <w:p>
      <w:pPr>
        <w:pStyle w:val="ListParagraph"/>
        <w:numPr>
          <w:ilvl w:val="1"/>
          <w:numId w:val="68"/>
        </w:numPr>
        <w:tabs>
          <w:tab w:pos="1508" w:val="left" w:leader="none"/>
        </w:tabs>
        <w:spacing w:line="235" w:lineRule="auto" w:before="1" w:after="0"/>
        <w:ind w:left="827" w:right="1969" w:firstLine="0"/>
        <w:jc w:val="both"/>
        <w:rPr>
          <w:sz w:val="20"/>
        </w:rPr>
      </w:pPr>
      <w:r>
        <w:rPr>
          <w:w w:val="120"/>
          <w:sz w:val="20"/>
        </w:rPr>
        <w:t>Refreshing and restarting the Church Leadership Programme and consciously making it available to lay leaders as well as to people who are Ministers of Word and Sacraments or Church Related Community</w:t>
      </w:r>
      <w:r>
        <w:rPr>
          <w:spacing w:val="10"/>
          <w:w w:val="120"/>
          <w:sz w:val="20"/>
        </w:rPr>
        <w:t> </w:t>
      </w:r>
      <w:r>
        <w:rPr>
          <w:w w:val="120"/>
          <w:sz w:val="20"/>
        </w:rPr>
        <w:t>Workers;</w:t>
      </w:r>
    </w:p>
    <w:p>
      <w:pPr>
        <w:pStyle w:val="BodyText"/>
        <w:spacing w:before="10"/>
        <w:rPr>
          <w:sz w:val="19"/>
        </w:rPr>
      </w:pPr>
    </w:p>
    <w:p>
      <w:pPr>
        <w:pStyle w:val="ListParagraph"/>
        <w:numPr>
          <w:ilvl w:val="1"/>
          <w:numId w:val="68"/>
        </w:numPr>
        <w:tabs>
          <w:tab w:pos="1507" w:val="left" w:leader="none"/>
          <w:tab w:pos="1508" w:val="left" w:leader="none"/>
        </w:tabs>
        <w:spacing w:line="235" w:lineRule="auto" w:before="0" w:after="0"/>
        <w:ind w:left="827" w:right="1626" w:firstLine="0"/>
        <w:jc w:val="left"/>
        <w:rPr>
          <w:sz w:val="20"/>
        </w:rPr>
      </w:pPr>
      <w:r>
        <w:rPr>
          <w:w w:val="120"/>
          <w:sz w:val="20"/>
        </w:rPr>
        <w:t>Through the synods and RCLs completing initial mandatory Safer Sacred Space </w:t>
      </w:r>
      <w:r>
        <w:rPr>
          <w:spacing w:val="-5"/>
          <w:w w:val="120"/>
          <w:sz w:val="20"/>
        </w:rPr>
        <w:t>(SSS) </w:t>
      </w:r>
      <w:r>
        <w:rPr>
          <w:w w:val="120"/>
          <w:sz w:val="20"/>
        </w:rPr>
        <w:t>training for all ministers, with the cycle of update training now starting. Arising from this the committee commissioned a professional boundary training game from the Clinic for Boundary Studies, an organisation frequently contracted to deliver SSS. The </w:t>
      </w:r>
      <w:r>
        <w:rPr>
          <w:i/>
          <w:w w:val="120"/>
          <w:sz w:val="20"/>
        </w:rPr>
        <w:t>Professionalism Game </w:t>
      </w:r>
      <w:r>
        <w:rPr>
          <w:w w:val="120"/>
          <w:sz w:val="20"/>
        </w:rPr>
        <w:t>covers all aspects of boundary safety, warning or infringement. Each synod and RCL has the game for use in many environments, well beyond the mandatory SSS. There are developments to include formal Safeguarding training within SSS, and many synod officers deliver these two training elements together </w:t>
      </w:r>
      <w:r>
        <w:rPr>
          <w:spacing w:val="-4"/>
          <w:w w:val="120"/>
          <w:sz w:val="20"/>
        </w:rPr>
        <w:t>(one </w:t>
      </w:r>
      <w:r>
        <w:rPr>
          <w:w w:val="120"/>
          <w:sz w:val="20"/>
        </w:rPr>
        <w:t>on attitudes and culture, the other on process and legal</w:t>
      </w:r>
      <w:r>
        <w:rPr>
          <w:spacing w:val="17"/>
          <w:w w:val="120"/>
          <w:sz w:val="20"/>
        </w:rPr>
        <w:t> </w:t>
      </w:r>
      <w:r>
        <w:rPr>
          <w:w w:val="120"/>
          <w:sz w:val="20"/>
        </w:rPr>
        <w:t>frameworks);</w:t>
      </w:r>
    </w:p>
    <w:p>
      <w:pPr>
        <w:pStyle w:val="BodyText"/>
        <w:spacing w:before="2"/>
      </w:pPr>
    </w:p>
    <w:p>
      <w:pPr>
        <w:pStyle w:val="ListParagraph"/>
        <w:numPr>
          <w:ilvl w:val="1"/>
          <w:numId w:val="68"/>
        </w:numPr>
        <w:tabs>
          <w:tab w:pos="1507" w:val="left" w:leader="none"/>
          <w:tab w:pos="1508" w:val="left" w:leader="none"/>
        </w:tabs>
        <w:spacing w:line="235" w:lineRule="auto" w:before="0" w:after="0"/>
        <w:ind w:left="827" w:right="1735" w:firstLine="0"/>
        <w:jc w:val="left"/>
        <w:rPr>
          <w:sz w:val="20"/>
        </w:rPr>
      </w:pPr>
      <w:r>
        <w:rPr>
          <w:w w:val="120"/>
          <w:sz w:val="20"/>
        </w:rPr>
        <w:t>In July </w:t>
      </w:r>
      <w:r>
        <w:rPr>
          <w:spacing w:val="-9"/>
          <w:w w:val="120"/>
          <w:sz w:val="20"/>
        </w:rPr>
        <w:t>2017 </w:t>
      </w:r>
      <w:r>
        <w:rPr>
          <w:w w:val="120"/>
          <w:sz w:val="20"/>
        </w:rPr>
        <w:t>the first research network conference was held, hosted by </w:t>
      </w:r>
      <w:r>
        <w:rPr>
          <w:spacing w:val="2"/>
          <w:w w:val="120"/>
          <w:sz w:val="20"/>
        </w:rPr>
        <w:t>Northern </w:t>
      </w:r>
      <w:r>
        <w:rPr>
          <w:w w:val="120"/>
          <w:sz w:val="20"/>
        </w:rPr>
        <w:t>College at Luther King House and coordinated through a task group of the committee. Work continues to build a database of people from the URC who are undertaking research in theological and allied subjects. The long-held aspiration to develop such a network is being realised due to patient and persistent</w:t>
      </w:r>
      <w:r>
        <w:rPr>
          <w:spacing w:val="21"/>
          <w:w w:val="120"/>
          <w:sz w:val="20"/>
        </w:rPr>
        <w:t> </w:t>
      </w:r>
      <w:r>
        <w:rPr>
          <w:w w:val="120"/>
          <w:sz w:val="20"/>
        </w:rPr>
        <w:t>work.</w:t>
      </w:r>
    </w:p>
    <w:p>
      <w:pPr>
        <w:pStyle w:val="BodyText"/>
        <w:spacing w:before="5"/>
        <w:rPr>
          <w:sz w:val="22"/>
        </w:rPr>
      </w:pPr>
    </w:p>
    <w:p>
      <w:pPr>
        <w:pStyle w:val="Heading4"/>
        <w:ind w:firstLine="0"/>
      </w:pPr>
      <w:r>
        <w:rPr>
          <w:spacing w:val="4"/>
          <w:w w:val="110"/>
        </w:rPr>
        <w:t>The </w:t>
      </w:r>
      <w:r>
        <w:rPr>
          <w:spacing w:val="3"/>
          <w:w w:val="110"/>
        </w:rPr>
        <w:t>closure </w:t>
      </w:r>
      <w:r>
        <w:rPr>
          <w:w w:val="110"/>
        </w:rPr>
        <w:t>of </w:t>
      </w:r>
      <w:r>
        <w:rPr>
          <w:spacing w:val="2"/>
          <w:w w:val="110"/>
        </w:rPr>
        <w:t>the </w:t>
      </w:r>
      <w:r>
        <w:rPr>
          <w:spacing w:val="4"/>
          <w:w w:val="110"/>
        </w:rPr>
        <w:t>Windermere</w:t>
      </w:r>
      <w:r>
        <w:rPr>
          <w:spacing w:val="55"/>
          <w:w w:val="110"/>
        </w:rPr>
        <w:t> </w:t>
      </w:r>
      <w:r>
        <w:rPr>
          <w:spacing w:val="2"/>
          <w:w w:val="110"/>
        </w:rPr>
        <w:t>Centre</w:t>
      </w:r>
    </w:p>
    <w:p>
      <w:pPr>
        <w:pStyle w:val="ListParagraph"/>
        <w:numPr>
          <w:ilvl w:val="0"/>
          <w:numId w:val="68"/>
        </w:numPr>
        <w:tabs>
          <w:tab w:pos="1507" w:val="left" w:leader="none"/>
          <w:tab w:pos="1508" w:val="left" w:leader="none"/>
        </w:tabs>
        <w:spacing w:line="235" w:lineRule="auto" w:before="69" w:after="0"/>
        <w:ind w:left="827" w:right="1839" w:firstLine="0"/>
        <w:jc w:val="left"/>
        <w:rPr>
          <w:sz w:val="20"/>
        </w:rPr>
      </w:pPr>
      <w:r>
        <w:rPr>
          <w:w w:val="120"/>
          <w:sz w:val="20"/>
        </w:rPr>
        <w:t>There is no easy way to describe the hurt which many people felt over the decision to move towards closure of the Windermere Centre, which Mission Council first contemplated in November </w:t>
      </w:r>
      <w:r>
        <w:rPr>
          <w:spacing w:val="-7"/>
          <w:w w:val="120"/>
          <w:sz w:val="20"/>
        </w:rPr>
        <w:t>2016 </w:t>
      </w:r>
      <w:r>
        <w:rPr>
          <w:w w:val="120"/>
          <w:sz w:val="20"/>
        </w:rPr>
        <w:t>and reluctantly agreed in May </w:t>
      </w:r>
      <w:r>
        <w:rPr>
          <w:spacing w:val="-9"/>
          <w:w w:val="120"/>
          <w:sz w:val="20"/>
        </w:rPr>
        <w:t>2017  </w:t>
      </w:r>
      <w:r>
        <w:rPr>
          <w:w w:val="120"/>
          <w:sz w:val="20"/>
        </w:rPr>
        <w:t>after  careful consultation. The debate around this was carried out by Mission Council and a dedicated webpage established by the education and learning committee as a space where ideas, options and opinions could be contributed by individuals and groups with a concern for the Centre. A thanksgiving service for the life and contribution</w:t>
      </w:r>
      <w:r>
        <w:rPr>
          <w:spacing w:val="5"/>
          <w:w w:val="120"/>
          <w:sz w:val="20"/>
        </w:rPr>
        <w:t> </w:t>
      </w:r>
      <w:r>
        <w:rPr>
          <w:w w:val="120"/>
          <w:sz w:val="20"/>
        </w:rPr>
        <w:t>of</w:t>
      </w:r>
    </w:p>
    <w:p>
      <w:pPr>
        <w:pStyle w:val="BodyText"/>
        <w:spacing w:line="235" w:lineRule="auto" w:before="5"/>
        <w:ind w:left="827" w:right="1620"/>
      </w:pPr>
      <w:r>
        <w:rPr>
          <w:w w:val="120"/>
        </w:rPr>
        <w:t>the centre was held at Carver Uniting Church on Saturday 15 July 2017. Mission Council has expressed the desire that the proceeds from the disposal of the centre building will be used to support lay development, and the eventual adoption of the discipleship development strategy will ensure this.</w:t>
      </w:r>
    </w:p>
    <w:p>
      <w:pPr>
        <w:pStyle w:val="BodyText"/>
        <w:spacing w:before="3"/>
        <w:rPr>
          <w:sz w:val="22"/>
        </w:rPr>
      </w:pPr>
    </w:p>
    <w:p>
      <w:pPr>
        <w:pStyle w:val="Heading4"/>
        <w:spacing w:before="1"/>
        <w:ind w:firstLine="0"/>
      </w:pPr>
      <w:r>
        <w:rPr>
          <w:w w:val="110"/>
        </w:rPr>
        <w:t>Taking the best forward from TLS</w:t>
      </w:r>
    </w:p>
    <w:p>
      <w:pPr>
        <w:pStyle w:val="ListParagraph"/>
        <w:numPr>
          <w:ilvl w:val="0"/>
          <w:numId w:val="68"/>
        </w:numPr>
        <w:tabs>
          <w:tab w:pos="1507" w:val="left" w:leader="none"/>
          <w:tab w:pos="1508" w:val="left" w:leader="none"/>
        </w:tabs>
        <w:spacing w:line="235" w:lineRule="auto" w:before="69" w:after="0"/>
        <w:ind w:left="827" w:right="1915" w:firstLine="0"/>
        <w:jc w:val="left"/>
        <w:rPr>
          <w:sz w:val="20"/>
        </w:rPr>
      </w:pPr>
      <w:r>
        <w:rPr>
          <w:w w:val="120"/>
          <w:sz w:val="20"/>
        </w:rPr>
        <w:t>The URC is exploring new ways of developing discipleship informed by the learning that has been gained over the two decades of the life of TLS. Further detail  is given later in this </w:t>
      </w:r>
      <w:r>
        <w:rPr>
          <w:spacing w:val="2"/>
          <w:w w:val="120"/>
          <w:sz w:val="20"/>
        </w:rPr>
        <w:t>report </w:t>
      </w:r>
      <w:r>
        <w:rPr>
          <w:w w:val="120"/>
          <w:sz w:val="20"/>
        </w:rPr>
        <w:t>about the changes in </w:t>
      </w:r>
      <w:r>
        <w:rPr>
          <w:spacing w:val="2"/>
          <w:w w:val="120"/>
          <w:sz w:val="20"/>
        </w:rPr>
        <w:t>TLS </w:t>
      </w:r>
      <w:r>
        <w:rPr>
          <w:w w:val="120"/>
          <w:sz w:val="20"/>
        </w:rPr>
        <w:t>which have taken place in the past two years. The education and learning committee is committed to ensuring</w:t>
      </w:r>
      <w:r>
        <w:rPr>
          <w:spacing w:val="6"/>
          <w:w w:val="120"/>
          <w:sz w:val="20"/>
        </w:rPr>
        <w:t> </w:t>
      </w:r>
      <w:r>
        <w:rPr>
          <w:w w:val="120"/>
          <w:sz w:val="20"/>
        </w:rPr>
        <w:t>that</w:t>
      </w:r>
    </w:p>
    <w:p>
      <w:pPr>
        <w:spacing w:after="0" w:line="235" w:lineRule="auto"/>
        <w:jc w:val="left"/>
        <w:rPr>
          <w:sz w:val="20"/>
        </w:rPr>
        <w:sectPr>
          <w:headerReference w:type="even" r:id="rId283"/>
          <w:pgSz w:w="11910" w:h="16840"/>
          <w:pgMar w:header="0" w:footer="647" w:top="0" w:bottom="840" w:left="420" w:right="380"/>
        </w:sectPr>
      </w:pPr>
    </w:p>
    <w:p>
      <w:pPr>
        <w:pStyle w:val="BodyText"/>
      </w:pPr>
      <w:r>
        <w:rPr/>
        <w:drawing>
          <wp:anchor distT="0" distB="0" distL="0" distR="0" allowOverlap="1" layoutInCell="1" locked="0" behindDoc="0" simplePos="0" relativeHeight="251918336">
            <wp:simplePos x="0" y="0"/>
            <wp:positionH relativeFrom="page">
              <wp:posOffset>6974928</wp:posOffset>
            </wp:positionH>
            <wp:positionV relativeFrom="page">
              <wp:posOffset>0</wp:posOffset>
            </wp:positionV>
            <wp:extent cx="585063" cy="10692003"/>
            <wp:effectExtent l="0" t="0" r="0" b="0"/>
            <wp:wrapNone/>
            <wp:docPr id="179" name="image57.png"/>
            <wp:cNvGraphicFramePr>
              <a:graphicFrameLocks noChangeAspect="1"/>
            </wp:cNvGraphicFramePr>
            <a:graphic>
              <a:graphicData uri="http://schemas.openxmlformats.org/drawingml/2006/picture">
                <pic:pic>
                  <pic:nvPicPr>
                    <pic:cNvPr id="18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left="7334"/>
      </w:pPr>
      <w:r>
        <w:rPr/>
        <w:pict>
          <v:shape style="position:absolute;margin-left:554.141174pt;margin-top:22.693945pt;width:26pt;height:242.25pt;mso-position-horizontal-relative:page;mso-position-vertical-relative:paragraph;z-index:251919360"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BodyText"/>
        <w:spacing w:line="235" w:lineRule="auto" w:before="222"/>
        <w:ind w:left="1564" w:right="908"/>
      </w:pPr>
      <w:r>
        <w:rPr>
          <w:w w:val="120"/>
        </w:rPr>
        <w:t>there continues to be a route through which individuals can prepare for the ministry of Assembly-accredited lay preacher, and which synods can draw on if they so choose for synod recognition for lay preachers. Transitional TLS will fulfil both these functions until Stepwise becomes available in full. A service of thanksgiving for the contribution of TLS called ‘Transforming Faith, Transforming Life’ has been planned for Saturday 23 June in Birmingham with the Revd John Proctor preaching as the General Secretary of the URC.</w:t>
      </w:r>
    </w:p>
    <w:p>
      <w:pPr>
        <w:pStyle w:val="BodyText"/>
        <w:spacing w:before="4"/>
        <w:rPr>
          <w:sz w:val="22"/>
        </w:rPr>
      </w:pPr>
    </w:p>
    <w:p>
      <w:pPr>
        <w:pStyle w:val="Heading4"/>
        <w:ind w:left="1564" w:firstLine="0"/>
      </w:pPr>
      <w:r>
        <w:rPr>
          <w:w w:val="110"/>
        </w:rPr>
        <w:t>Stability and change</w:t>
      </w:r>
    </w:p>
    <w:p>
      <w:pPr>
        <w:pStyle w:val="ListParagraph"/>
        <w:numPr>
          <w:ilvl w:val="0"/>
          <w:numId w:val="68"/>
        </w:numPr>
        <w:tabs>
          <w:tab w:pos="2244" w:val="left" w:leader="none"/>
          <w:tab w:pos="2245" w:val="left" w:leader="none"/>
        </w:tabs>
        <w:spacing w:line="235" w:lineRule="auto" w:before="69" w:after="0"/>
        <w:ind w:left="1564" w:right="937" w:firstLine="0"/>
        <w:jc w:val="left"/>
        <w:rPr>
          <w:sz w:val="20"/>
        </w:rPr>
      </w:pPr>
      <w:r>
        <w:rPr>
          <w:w w:val="120"/>
          <w:sz w:val="20"/>
        </w:rPr>
        <w:t>The shift between posts related to </w:t>
      </w:r>
      <w:r>
        <w:rPr>
          <w:spacing w:val="2"/>
          <w:w w:val="120"/>
          <w:sz w:val="20"/>
        </w:rPr>
        <w:t>TLS </w:t>
      </w:r>
      <w:r>
        <w:rPr>
          <w:w w:val="120"/>
          <w:sz w:val="20"/>
        </w:rPr>
        <w:t>and those related to Stepwise will see the first major staff changes within the education and learning team since </w:t>
      </w:r>
      <w:r>
        <w:rPr>
          <w:spacing w:val="-6"/>
          <w:w w:val="120"/>
          <w:sz w:val="20"/>
        </w:rPr>
        <w:t>2016.  </w:t>
      </w:r>
      <w:r>
        <w:rPr>
          <w:w w:val="120"/>
          <w:sz w:val="20"/>
        </w:rPr>
        <w:t>In </w:t>
      </w:r>
      <w:r>
        <w:rPr>
          <w:spacing w:val="-7"/>
          <w:w w:val="120"/>
          <w:sz w:val="20"/>
        </w:rPr>
        <w:t>2014   </w:t>
      </w:r>
      <w:r>
        <w:rPr>
          <w:w w:val="120"/>
          <w:sz w:val="20"/>
        </w:rPr>
        <w:t>the team consisted of 7 people making up 5 full-time equivalent (FTE) posts. Gradually this has dropped to 4 </w:t>
      </w:r>
      <w:r>
        <w:rPr>
          <w:spacing w:val="2"/>
          <w:w w:val="120"/>
          <w:sz w:val="20"/>
        </w:rPr>
        <w:t>FTE, </w:t>
      </w:r>
      <w:r>
        <w:rPr>
          <w:w w:val="120"/>
          <w:sz w:val="20"/>
        </w:rPr>
        <w:t>and by </w:t>
      </w:r>
      <w:r>
        <w:rPr>
          <w:spacing w:val="-7"/>
          <w:w w:val="120"/>
          <w:sz w:val="20"/>
        </w:rPr>
        <w:t>2019 </w:t>
      </w:r>
      <w:r>
        <w:rPr>
          <w:w w:val="120"/>
          <w:sz w:val="20"/>
        </w:rPr>
        <w:t>will have been reshaped to 5 </w:t>
      </w:r>
      <w:r>
        <w:rPr>
          <w:spacing w:val="3"/>
          <w:w w:val="120"/>
          <w:sz w:val="20"/>
        </w:rPr>
        <w:t>FTE </w:t>
      </w:r>
      <w:r>
        <w:rPr>
          <w:w w:val="120"/>
          <w:sz w:val="20"/>
        </w:rPr>
        <w:t>with Stepwise posts</w:t>
      </w:r>
      <w:r>
        <w:rPr>
          <w:spacing w:val="6"/>
          <w:w w:val="120"/>
          <w:sz w:val="20"/>
        </w:rPr>
        <w:t> </w:t>
      </w:r>
      <w:r>
        <w:rPr>
          <w:w w:val="120"/>
          <w:sz w:val="20"/>
        </w:rPr>
        <w:t>replacing</w:t>
      </w:r>
      <w:r>
        <w:rPr>
          <w:spacing w:val="7"/>
          <w:w w:val="120"/>
          <w:sz w:val="20"/>
        </w:rPr>
        <w:t> </w:t>
      </w:r>
      <w:r>
        <w:rPr>
          <w:spacing w:val="2"/>
          <w:w w:val="120"/>
          <w:sz w:val="20"/>
        </w:rPr>
        <w:t>TLS</w:t>
      </w:r>
      <w:r>
        <w:rPr>
          <w:spacing w:val="6"/>
          <w:w w:val="120"/>
          <w:sz w:val="20"/>
        </w:rPr>
        <w:t> </w:t>
      </w:r>
      <w:r>
        <w:rPr>
          <w:w w:val="120"/>
          <w:sz w:val="20"/>
        </w:rPr>
        <w:t>posts,</w:t>
      </w:r>
      <w:r>
        <w:rPr>
          <w:spacing w:val="7"/>
          <w:w w:val="120"/>
          <w:sz w:val="20"/>
        </w:rPr>
        <w:t> </w:t>
      </w:r>
      <w:r>
        <w:rPr>
          <w:w w:val="120"/>
          <w:sz w:val="20"/>
        </w:rPr>
        <w:t>and</w:t>
      </w:r>
      <w:r>
        <w:rPr>
          <w:spacing w:val="6"/>
          <w:w w:val="120"/>
          <w:sz w:val="20"/>
        </w:rPr>
        <w:t> </w:t>
      </w:r>
      <w:r>
        <w:rPr>
          <w:w w:val="120"/>
          <w:sz w:val="20"/>
        </w:rPr>
        <w:t>the</w:t>
      </w:r>
      <w:r>
        <w:rPr>
          <w:spacing w:val="7"/>
          <w:w w:val="120"/>
          <w:sz w:val="20"/>
        </w:rPr>
        <w:t> </w:t>
      </w:r>
      <w:r>
        <w:rPr>
          <w:w w:val="120"/>
          <w:sz w:val="20"/>
        </w:rPr>
        <w:t>addition</w:t>
      </w:r>
      <w:r>
        <w:rPr>
          <w:spacing w:val="7"/>
          <w:w w:val="120"/>
          <w:sz w:val="20"/>
        </w:rPr>
        <w:t> </w:t>
      </w:r>
      <w:r>
        <w:rPr>
          <w:w w:val="120"/>
          <w:sz w:val="20"/>
        </w:rPr>
        <w:t>of</w:t>
      </w:r>
      <w:r>
        <w:rPr>
          <w:spacing w:val="6"/>
          <w:w w:val="120"/>
          <w:sz w:val="20"/>
        </w:rPr>
        <w:t> </w:t>
      </w:r>
      <w:r>
        <w:rPr>
          <w:w w:val="120"/>
          <w:sz w:val="20"/>
        </w:rPr>
        <w:t>a</w:t>
      </w:r>
      <w:r>
        <w:rPr>
          <w:spacing w:val="7"/>
          <w:w w:val="120"/>
          <w:sz w:val="20"/>
        </w:rPr>
        <w:t> </w:t>
      </w:r>
      <w:r>
        <w:rPr>
          <w:w w:val="120"/>
          <w:sz w:val="20"/>
        </w:rPr>
        <w:t>full-time</w:t>
      </w:r>
      <w:r>
        <w:rPr>
          <w:spacing w:val="6"/>
          <w:w w:val="120"/>
          <w:sz w:val="20"/>
        </w:rPr>
        <w:t> </w:t>
      </w:r>
      <w:r>
        <w:rPr>
          <w:w w:val="120"/>
          <w:sz w:val="20"/>
        </w:rPr>
        <w:t>Instructional</w:t>
      </w:r>
      <w:r>
        <w:rPr>
          <w:spacing w:val="7"/>
          <w:w w:val="120"/>
          <w:sz w:val="20"/>
        </w:rPr>
        <w:t> </w:t>
      </w:r>
      <w:r>
        <w:rPr>
          <w:w w:val="120"/>
          <w:sz w:val="20"/>
        </w:rPr>
        <w:t>Designer.</w:t>
      </w:r>
      <w:r>
        <w:rPr>
          <w:spacing w:val="6"/>
          <w:w w:val="120"/>
          <w:sz w:val="20"/>
        </w:rPr>
        <w:t> </w:t>
      </w:r>
      <w:r>
        <w:rPr>
          <w:w w:val="120"/>
          <w:sz w:val="20"/>
        </w:rPr>
        <w:t>This</w:t>
      </w:r>
    </w:p>
    <w:p>
      <w:pPr>
        <w:pStyle w:val="BodyText"/>
        <w:spacing w:line="235" w:lineRule="auto" w:before="4"/>
        <w:ind w:left="1564" w:right="923"/>
      </w:pPr>
      <w:r>
        <w:rPr>
          <w:w w:val="120"/>
        </w:rPr>
        <w:t>latter post is intended to support online learning in Stepwise and elsewhere in the URC, given that digital literacy has become a given alongside text-based learning.</w:t>
      </w:r>
    </w:p>
    <w:p>
      <w:pPr>
        <w:pStyle w:val="BodyText"/>
        <w:spacing w:before="2"/>
        <w:rPr>
          <w:sz w:val="22"/>
        </w:rPr>
      </w:pPr>
    </w:p>
    <w:p>
      <w:pPr>
        <w:pStyle w:val="Heading4"/>
        <w:ind w:left="1564" w:firstLine="0"/>
      </w:pPr>
      <w:r>
        <w:rPr>
          <w:w w:val="110"/>
        </w:rPr>
        <w:t>What’s to come?</w:t>
      </w:r>
    </w:p>
    <w:p>
      <w:pPr>
        <w:pStyle w:val="ListParagraph"/>
        <w:numPr>
          <w:ilvl w:val="0"/>
          <w:numId w:val="68"/>
        </w:numPr>
        <w:tabs>
          <w:tab w:pos="2244" w:val="left" w:leader="none"/>
          <w:tab w:pos="2245" w:val="left" w:leader="none"/>
        </w:tabs>
        <w:spacing w:line="235" w:lineRule="auto" w:before="69" w:after="0"/>
        <w:ind w:left="1564" w:right="1158" w:firstLine="0"/>
        <w:jc w:val="left"/>
        <w:rPr>
          <w:sz w:val="20"/>
        </w:rPr>
      </w:pPr>
      <w:r>
        <w:rPr>
          <w:w w:val="120"/>
          <w:sz w:val="20"/>
        </w:rPr>
        <w:t>When General Assembly meets in 2020 it can expect to hear </w:t>
      </w:r>
      <w:r>
        <w:rPr>
          <w:spacing w:val="2"/>
          <w:w w:val="120"/>
          <w:sz w:val="20"/>
        </w:rPr>
        <w:t>reports </w:t>
      </w:r>
      <w:r>
        <w:rPr>
          <w:w w:val="120"/>
          <w:sz w:val="20"/>
        </w:rPr>
        <w:t>on the introduction of four out of five of the anticipated Stepwise streams involving people from across the breadth of the URC as facilitators, mentors, content providers and participants. The faith-filled worship stream will be ready for launching in September </w:t>
      </w:r>
      <w:r>
        <w:rPr>
          <w:spacing w:val="-3"/>
          <w:w w:val="120"/>
          <w:sz w:val="20"/>
        </w:rPr>
        <w:t>2020, </w:t>
      </w:r>
      <w:r>
        <w:rPr>
          <w:w w:val="120"/>
          <w:sz w:val="20"/>
        </w:rPr>
        <w:t>and there will be a new progression route for people seeking to become Assembly-accredited lay preacher. The ministries and education and learning committees, in conjunction with RCLs and synods will have done further work on flexible ways of pursuing </w:t>
      </w:r>
      <w:r>
        <w:rPr>
          <w:spacing w:val="-6"/>
          <w:w w:val="120"/>
          <w:sz w:val="20"/>
        </w:rPr>
        <w:t>EM1. </w:t>
      </w:r>
      <w:r>
        <w:rPr>
          <w:w w:val="120"/>
          <w:sz w:val="20"/>
        </w:rPr>
        <w:t>All of this will have been supported and influenced by the adoption of the discipleship development strategy which is due to be discussed again by Mission Council in May</w:t>
      </w:r>
      <w:r>
        <w:rPr>
          <w:spacing w:val="14"/>
          <w:w w:val="120"/>
          <w:sz w:val="20"/>
        </w:rPr>
        <w:t> </w:t>
      </w:r>
      <w:r>
        <w:rPr>
          <w:spacing w:val="-8"/>
          <w:w w:val="120"/>
          <w:sz w:val="20"/>
        </w:rPr>
        <w:t>2019.</w:t>
      </w:r>
    </w:p>
    <w:p>
      <w:pPr>
        <w:pStyle w:val="BodyText"/>
        <w:spacing w:before="8"/>
        <w:rPr>
          <w:sz w:val="22"/>
        </w:rPr>
      </w:pPr>
    </w:p>
    <w:p>
      <w:pPr>
        <w:pStyle w:val="Heading4"/>
        <w:ind w:left="1564" w:firstLine="0"/>
      </w:pPr>
      <w:r>
        <w:rPr>
          <w:w w:val="110"/>
        </w:rPr>
        <w:t>Training </w:t>
      </w:r>
      <w:r>
        <w:rPr>
          <w:spacing w:val="3"/>
          <w:w w:val="110"/>
        </w:rPr>
        <w:t>for </w:t>
      </w:r>
      <w:r>
        <w:rPr>
          <w:spacing w:val="4"/>
          <w:w w:val="110"/>
        </w:rPr>
        <w:t>Learning </w:t>
      </w:r>
      <w:r>
        <w:rPr>
          <w:spacing w:val="3"/>
          <w:w w:val="110"/>
        </w:rPr>
        <w:t>and </w:t>
      </w:r>
      <w:r>
        <w:rPr>
          <w:spacing w:val="5"/>
          <w:w w:val="110"/>
        </w:rPr>
        <w:t>Serving</w:t>
      </w:r>
      <w:r>
        <w:rPr>
          <w:spacing w:val="56"/>
          <w:w w:val="110"/>
        </w:rPr>
        <w:t> </w:t>
      </w:r>
      <w:r>
        <w:rPr>
          <w:spacing w:val="5"/>
          <w:w w:val="110"/>
        </w:rPr>
        <w:t>(TLS)</w:t>
      </w:r>
    </w:p>
    <w:p>
      <w:pPr>
        <w:pStyle w:val="ListParagraph"/>
        <w:numPr>
          <w:ilvl w:val="0"/>
          <w:numId w:val="68"/>
        </w:numPr>
        <w:tabs>
          <w:tab w:pos="2244" w:val="left" w:leader="none"/>
          <w:tab w:pos="2245" w:val="left" w:leader="none"/>
        </w:tabs>
        <w:spacing w:line="235" w:lineRule="auto" w:before="69" w:after="0"/>
        <w:ind w:left="1564" w:right="1274" w:firstLine="0"/>
        <w:jc w:val="left"/>
        <w:rPr>
          <w:sz w:val="20"/>
        </w:rPr>
      </w:pPr>
      <w:r>
        <w:rPr>
          <w:w w:val="120"/>
          <w:sz w:val="20"/>
        </w:rPr>
        <w:t>The period of transition into a new discipleship development programme for the URC has brought both challenges and opportunities to </w:t>
      </w:r>
      <w:r>
        <w:rPr>
          <w:spacing w:val="2"/>
          <w:w w:val="120"/>
          <w:sz w:val="20"/>
        </w:rPr>
        <w:t>TLS </w:t>
      </w:r>
      <w:r>
        <w:rPr>
          <w:w w:val="120"/>
          <w:sz w:val="20"/>
        </w:rPr>
        <w:t>as it winds down its own activities and seeks to pave the way for what is to</w:t>
      </w:r>
      <w:r>
        <w:rPr>
          <w:spacing w:val="17"/>
          <w:w w:val="120"/>
          <w:sz w:val="20"/>
        </w:rPr>
        <w:t> </w:t>
      </w:r>
      <w:r>
        <w:rPr>
          <w:w w:val="120"/>
          <w:sz w:val="20"/>
        </w:rPr>
        <w:t>come.</w:t>
      </w:r>
    </w:p>
    <w:p>
      <w:pPr>
        <w:pStyle w:val="BodyText"/>
        <w:spacing w:before="10"/>
        <w:rPr>
          <w:sz w:val="19"/>
        </w:rPr>
      </w:pPr>
    </w:p>
    <w:p>
      <w:pPr>
        <w:pStyle w:val="ListParagraph"/>
        <w:numPr>
          <w:ilvl w:val="0"/>
          <w:numId w:val="68"/>
        </w:numPr>
        <w:tabs>
          <w:tab w:pos="2244" w:val="left" w:leader="none"/>
          <w:tab w:pos="2245" w:val="left" w:leader="none"/>
        </w:tabs>
        <w:spacing w:line="235" w:lineRule="auto" w:before="0" w:after="0"/>
        <w:ind w:left="1564" w:right="871" w:firstLine="0"/>
        <w:jc w:val="left"/>
        <w:rPr>
          <w:sz w:val="20"/>
        </w:rPr>
      </w:pPr>
      <w:r>
        <w:rPr>
          <w:spacing w:val="2"/>
          <w:w w:val="120"/>
          <w:sz w:val="20"/>
        </w:rPr>
        <w:t>Of </w:t>
      </w:r>
      <w:r>
        <w:rPr>
          <w:w w:val="120"/>
          <w:sz w:val="20"/>
        </w:rPr>
        <w:t>the challenges, the greatest has been to sustain a sense of coherence and vitality to what remains of TLS. In </w:t>
      </w:r>
      <w:r>
        <w:rPr>
          <w:spacing w:val="-9"/>
          <w:w w:val="120"/>
          <w:sz w:val="20"/>
        </w:rPr>
        <w:t>2017  </w:t>
      </w:r>
      <w:r>
        <w:rPr>
          <w:w w:val="120"/>
          <w:sz w:val="20"/>
        </w:rPr>
        <w:t>we said goodbye to the foundation course  which, from the beginning, was the core element in </w:t>
      </w:r>
      <w:r>
        <w:rPr>
          <w:spacing w:val="2"/>
          <w:w w:val="120"/>
          <w:sz w:val="20"/>
        </w:rPr>
        <w:t>TLS </w:t>
      </w:r>
      <w:r>
        <w:rPr>
          <w:w w:val="120"/>
          <w:sz w:val="20"/>
        </w:rPr>
        <w:t>studies and in later years has served as a vital feeder for new course members onto one-year courses. The final cohort of foundation students completed their work during the summer of last </w:t>
      </w:r>
      <w:r>
        <w:rPr>
          <w:spacing w:val="-4"/>
          <w:w w:val="120"/>
          <w:sz w:val="20"/>
        </w:rPr>
        <w:t>year. </w:t>
      </w:r>
      <w:r>
        <w:rPr>
          <w:w w:val="120"/>
          <w:sz w:val="20"/>
        </w:rPr>
        <w:t>With such a significant feature disappearing, it has been important to demonstrate to those still engaged with TLS, especially continuing students, that what remains operates with the same efficiency, sustains the same high standards and is of the same value as in times past. </w:t>
      </w:r>
      <w:r>
        <w:rPr>
          <w:spacing w:val="3"/>
          <w:w w:val="120"/>
          <w:sz w:val="20"/>
        </w:rPr>
        <w:t>As </w:t>
      </w:r>
      <w:r>
        <w:rPr>
          <w:w w:val="120"/>
          <w:sz w:val="20"/>
        </w:rPr>
        <w:t>losing </w:t>
      </w:r>
      <w:r>
        <w:rPr>
          <w:spacing w:val="2"/>
          <w:w w:val="120"/>
          <w:sz w:val="20"/>
        </w:rPr>
        <w:t>TLS </w:t>
      </w:r>
      <w:r>
        <w:rPr>
          <w:w w:val="120"/>
          <w:sz w:val="20"/>
        </w:rPr>
        <w:t>has been a bereavement experience for some people, even</w:t>
      </w:r>
      <w:r>
        <w:rPr>
          <w:spacing w:val="43"/>
          <w:w w:val="120"/>
          <w:sz w:val="20"/>
        </w:rPr>
        <w:t> </w:t>
      </w:r>
      <w:r>
        <w:rPr>
          <w:w w:val="120"/>
          <w:sz w:val="20"/>
        </w:rPr>
        <w:t>with</w:t>
      </w:r>
    </w:p>
    <w:p>
      <w:pPr>
        <w:pStyle w:val="BodyText"/>
        <w:spacing w:line="235" w:lineRule="auto" w:before="7"/>
        <w:ind w:left="1564" w:right="923"/>
      </w:pPr>
      <w:r>
        <w:rPr>
          <w:w w:val="120"/>
        </w:rPr>
        <w:t>the prospect of some elements continuing in the new programmes, this has not always been easy.</w:t>
      </w:r>
    </w:p>
    <w:p>
      <w:pPr>
        <w:pStyle w:val="BodyText"/>
        <w:spacing w:before="9"/>
        <w:rPr>
          <w:sz w:val="19"/>
        </w:rPr>
      </w:pPr>
    </w:p>
    <w:p>
      <w:pPr>
        <w:pStyle w:val="ListParagraph"/>
        <w:numPr>
          <w:ilvl w:val="0"/>
          <w:numId w:val="68"/>
        </w:numPr>
        <w:tabs>
          <w:tab w:pos="2244" w:val="left" w:leader="none"/>
          <w:tab w:pos="2245" w:val="left" w:leader="none"/>
        </w:tabs>
        <w:spacing w:line="235" w:lineRule="auto" w:before="0" w:after="0"/>
        <w:ind w:left="1564" w:right="1023" w:firstLine="0"/>
        <w:jc w:val="left"/>
        <w:rPr>
          <w:sz w:val="20"/>
        </w:rPr>
      </w:pPr>
      <w:r>
        <w:rPr>
          <w:w w:val="120"/>
          <w:sz w:val="20"/>
        </w:rPr>
        <w:t>With the gradual winding down, a proportion of the organisational tasks have either disappeared altogether or reduced considerably in size. This has meant changes in responsibilities for some of the </w:t>
      </w:r>
      <w:r>
        <w:rPr>
          <w:spacing w:val="2"/>
          <w:w w:val="120"/>
          <w:sz w:val="20"/>
        </w:rPr>
        <w:t>TLS </w:t>
      </w:r>
      <w:r>
        <w:rPr>
          <w:w w:val="120"/>
          <w:sz w:val="20"/>
        </w:rPr>
        <w:t>staff, particularly for the </w:t>
      </w:r>
      <w:r>
        <w:rPr>
          <w:spacing w:val="2"/>
          <w:w w:val="120"/>
          <w:sz w:val="20"/>
        </w:rPr>
        <w:t>TLS </w:t>
      </w:r>
      <w:r>
        <w:rPr>
          <w:w w:val="120"/>
          <w:sz w:val="20"/>
        </w:rPr>
        <w:t>Coordinator, who traditionally had responsibility not just for the overall oversight of the programme but also for the specific task of managing the foundation course. The Coordinator’s role now encompasses the general administration of </w:t>
      </w:r>
      <w:r>
        <w:rPr>
          <w:spacing w:val="2"/>
          <w:w w:val="120"/>
          <w:sz w:val="20"/>
        </w:rPr>
        <w:t>TLS </w:t>
      </w:r>
      <w:r>
        <w:rPr>
          <w:w w:val="120"/>
          <w:sz w:val="20"/>
        </w:rPr>
        <w:t>and responsibility for managing </w:t>
      </w:r>
      <w:r>
        <w:rPr>
          <w:spacing w:val="2"/>
          <w:w w:val="120"/>
          <w:sz w:val="20"/>
        </w:rPr>
        <w:t>TLS </w:t>
      </w:r>
      <w:r>
        <w:rPr>
          <w:w w:val="120"/>
          <w:sz w:val="20"/>
        </w:rPr>
        <w:t>Lite (Local Introductory Training Experiences) which has taken on an additional function designed to cover the transitional</w:t>
      </w:r>
      <w:r>
        <w:rPr>
          <w:spacing w:val="15"/>
          <w:w w:val="120"/>
          <w:sz w:val="20"/>
        </w:rPr>
        <w:t> </w:t>
      </w:r>
      <w:r>
        <w:rPr>
          <w:w w:val="120"/>
          <w:sz w:val="20"/>
        </w:rPr>
        <w:t>period.</w:t>
      </w:r>
    </w:p>
    <w:p>
      <w:pPr>
        <w:pStyle w:val="BodyText"/>
        <w:spacing w:before="2"/>
      </w:pPr>
    </w:p>
    <w:p>
      <w:pPr>
        <w:pStyle w:val="ListParagraph"/>
        <w:numPr>
          <w:ilvl w:val="0"/>
          <w:numId w:val="68"/>
        </w:numPr>
        <w:tabs>
          <w:tab w:pos="2244" w:val="left" w:leader="none"/>
          <w:tab w:pos="2245" w:val="left" w:leader="none"/>
        </w:tabs>
        <w:spacing w:line="235" w:lineRule="auto" w:before="0" w:after="0"/>
        <w:ind w:left="1564" w:right="1178" w:firstLine="0"/>
        <w:jc w:val="left"/>
        <w:rPr>
          <w:sz w:val="20"/>
        </w:rPr>
      </w:pPr>
      <w:r>
        <w:rPr>
          <w:w w:val="120"/>
          <w:sz w:val="20"/>
        </w:rPr>
        <w:t>Known as Lite+Plus, this new form of Lite allows people to embark upon a process of study which may potentially lead to accredited lay ministry, currently as  an Assembly-accredited lay preacher. </w:t>
      </w:r>
      <w:r>
        <w:rPr>
          <w:spacing w:val="3"/>
          <w:w w:val="120"/>
          <w:sz w:val="20"/>
        </w:rPr>
        <w:t>As </w:t>
      </w:r>
      <w:r>
        <w:rPr>
          <w:w w:val="120"/>
          <w:sz w:val="20"/>
        </w:rPr>
        <w:t>before, the process is intended to take</w:t>
      </w:r>
      <w:r>
        <w:rPr>
          <w:spacing w:val="-13"/>
          <w:w w:val="120"/>
          <w:sz w:val="20"/>
        </w:rPr>
        <w:t> </w:t>
      </w:r>
      <w:r>
        <w:rPr>
          <w:w w:val="120"/>
          <w:sz w:val="20"/>
        </w:rPr>
        <w:t>three</w:t>
      </w:r>
    </w:p>
    <w:p>
      <w:pPr>
        <w:spacing w:after="0" w:line="235" w:lineRule="auto"/>
        <w:jc w:val="left"/>
        <w:rPr>
          <w:sz w:val="20"/>
        </w:rPr>
        <w:sectPr>
          <w:headerReference w:type="default" r:id="rId284"/>
          <w:footerReference w:type="default" r:id="rId285"/>
          <w:footerReference w:type="even" r:id="rId286"/>
          <w:pgSz w:w="11910" w:h="16840"/>
          <w:pgMar w:header="0" w:footer="647" w:top="0" w:bottom="840" w:left="420" w:right="380"/>
          <w:pgNumType w:start="95"/>
        </w:sectPr>
      </w:pPr>
    </w:p>
    <w:p>
      <w:pPr>
        <w:pStyle w:val="BodyText"/>
      </w:pPr>
      <w:r>
        <w:rPr/>
        <w:drawing>
          <wp:anchor distT="0" distB="0" distL="0" distR="0" allowOverlap="1" layoutInCell="1" locked="0" behindDoc="1" simplePos="0" relativeHeight="235953152">
            <wp:simplePos x="0" y="0"/>
            <wp:positionH relativeFrom="page">
              <wp:posOffset>0</wp:posOffset>
            </wp:positionH>
            <wp:positionV relativeFrom="page">
              <wp:posOffset>0</wp:posOffset>
            </wp:positionV>
            <wp:extent cx="594067" cy="10692003"/>
            <wp:effectExtent l="0" t="0" r="0" b="0"/>
            <wp:wrapNone/>
            <wp:docPr id="181" name="image70.png"/>
            <wp:cNvGraphicFramePr>
              <a:graphicFrameLocks noChangeAspect="1"/>
            </wp:cNvGraphicFramePr>
            <a:graphic>
              <a:graphicData uri="http://schemas.openxmlformats.org/drawingml/2006/picture">
                <pic:pic>
                  <pic:nvPicPr>
                    <pic:cNvPr id="18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21408"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w:t>
      </w:r>
      <w:r>
        <w:rPr>
          <w:color w:val="7EAABF"/>
          <w:spacing w:val="-14"/>
          <w:w w:val="120"/>
        </w:rPr>
        <w:t> </w:t>
      </w:r>
      <w:r>
        <w:rPr>
          <w:color w:val="7EAABF"/>
          <w:w w:val="120"/>
        </w:rPr>
        <w:t>learning</w:t>
      </w:r>
    </w:p>
    <w:p>
      <w:pPr>
        <w:pStyle w:val="BodyText"/>
        <w:spacing w:line="235" w:lineRule="auto" w:before="222"/>
        <w:ind w:left="827" w:right="1672"/>
      </w:pPr>
      <w:r>
        <w:rPr>
          <w:w w:val="120"/>
        </w:rPr>
        <w:t>years,</w:t>
      </w:r>
      <w:r>
        <w:rPr>
          <w:spacing w:val="-5"/>
          <w:w w:val="120"/>
        </w:rPr>
        <w:t> </w:t>
      </w:r>
      <w:r>
        <w:rPr>
          <w:w w:val="120"/>
        </w:rPr>
        <w:t>with</w:t>
      </w:r>
      <w:r>
        <w:rPr>
          <w:spacing w:val="-4"/>
          <w:w w:val="120"/>
        </w:rPr>
        <w:t> </w:t>
      </w:r>
      <w:r>
        <w:rPr>
          <w:w w:val="120"/>
        </w:rPr>
        <w:t>the</w:t>
      </w:r>
      <w:r>
        <w:rPr>
          <w:spacing w:val="-5"/>
          <w:w w:val="120"/>
        </w:rPr>
        <w:t> </w:t>
      </w:r>
      <w:r>
        <w:rPr>
          <w:w w:val="120"/>
        </w:rPr>
        <w:t>first</w:t>
      </w:r>
      <w:r>
        <w:rPr>
          <w:spacing w:val="-4"/>
          <w:w w:val="120"/>
        </w:rPr>
        <w:t> </w:t>
      </w:r>
      <w:r>
        <w:rPr>
          <w:spacing w:val="-3"/>
          <w:w w:val="120"/>
        </w:rPr>
        <w:t>year</w:t>
      </w:r>
      <w:r>
        <w:rPr>
          <w:spacing w:val="-5"/>
          <w:w w:val="120"/>
        </w:rPr>
        <w:t> </w:t>
      </w:r>
      <w:r>
        <w:rPr>
          <w:spacing w:val="-3"/>
          <w:w w:val="120"/>
        </w:rPr>
        <w:t>consisting</w:t>
      </w:r>
      <w:r>
        <w:rPr>
          <w:spacing w:val="-4"/>
          <w:w w:val="120"/>
        </w:rPr>
        <w:t> </w:t>
      </w:r>
      <w:r>
        <w:rPr>
          <w:w w:val="120"/>
        </w:rPr>
        <w:t>of</w:t>
      </w:r>
      <w:r>
        <w:rPr>
          <w:spacing w:val="-5"/>
          <w:w w:val="120"/>
        </w:rPr>
        <w:t> </w:t>
      </w:r>
      <w:r>
        <w:rPr>
          <w:w w:val="120"/>
        </w:rPr>
        <w:t>the</w:t>
      </w:r>
      <w:r>
        <w:rPr>
          <w:spacing w:val="-4"/>
          <w:w w:val="120"/>
        </w:rPr>
        <w:t> </w:t>
      </w:r>
      <w:r>
        <w:rPr>
          <w:spacing w:val="-3"/>
          <w:w w:val="120"/>
        </w:rPr>
        <w:t>completion</w:t>
      </w:r>
      <w:r>
        <w:rPr>
          <w:spacing w:val="-5"/>
          <w:w w:val="120"/>
        </w:rPr>
        <w:t> </w:t>
      </w:r>
      <w:r>
        <w:rPr>
          <w:w w:val="120"/>
        </w:rPr>
        <w:t>of</w:t>
      </w:r>
      <w:r>
        <w:rPr>
          <w:spacing w:val="-4"/>
          <w:w w:val="120"/>
        </w:rPr>
        <w:t> </w:t>
      </w:r>
      <w:r>
        <w:rPr>
          <w:w w:val="120"/>
        </w:rPr>
        <w:t>four</w:t>
      </w:r>
      <w:r>
        <w:rPr>
          <w:spacing w:val="-5"/>
          <w:w w:val="120"/>
        </w:rPr>
        <w:t> </w:t>
      </w:r>
      <w:r>
        <w:rPr>
          <w:spacing w:val="-3"/>
          <w:w w:val="120"/>
        </w:rPr>
        <w:t>core</w:t>
      </w:r>
      <w:r>
        <w:rPr>
          <w:spacing w:val="-4"/>
          <w:w w:val="120"/>
        </w:rPr>
        <w:t> </w:t>
      </w:r>
      <w:r>
        <w:rPr>
          <w:spacing w:val="-3"/>
          <w:w w:val="120"/>
        </w:rPr>
        <w:t>Lite</w:t>
      </w:r>
      <w:r>
        <w:rPr>
          <w:spacing w:val="-5"/>
          <w:w w:val="120"/>
        </w:rPr>
        <w:t> </w:t>
      </w:r>
      <w:r>
        <w:rPr>
          <w:spacing w:val="-3"/>
          <w:w w:val="120"/>
        </w:rPr>
        <w:t>courses;</w:t>
      </w:r>
      <w:r>
        <w:rPr>
          <w:spacing w:val="-4"/>
          <w:w w:val="120"/>
        </w:rPr>
        <w:t> </w:t>
      </w:r>
      <w:r>
        <w:rPr>
          <w:w w:val="120"/>
        </w:rPr>
        <w:t>the</w:t>
      </w:r>
      <w:r>
        <w:rPr>
          <w:spacing w:val="-5"/>
          <w:w w:val="120"/>
        </w:rPr>
        <w:t> </w:t>
      </w:r>
      <w:r>
        <w:rPr>
          <w:spacing w:val="-3"/>
          <w:w w:val="120"/>
        </w:rPr>
        <w:t>second year involving </w:t>
      </w:r>
      <w:r>
        <w:rPr>
          <w:w w:val="120"/>
        </w:rPr>
        <w:t>a TLS one-year </w:t>
      </w:r>
      <w:r>
        <w:rPr>
          <w:spacing w:val="-3"/>
          <w:w w:val="120"/>
        </w:rPr>
        <w:t>course </w:t>
      </w:r>
      <w:r>
        <w:rPr>
          <w:spacing w:val="-4"/>
          <w:w w:val="120"/>
        </w:rPr>
        <w:t>(for </w:t>
      </w:r>
      <w:r>
        <w:rPr>
          <w:spacing w:val="-2"/>
          <w:w w:val="120"/>
        </w:rPr>
        <w:t>lay </w:t>
      </w:r>
      <w:r>
        <w:rPr>
          <w:spacing w:val="-3"/>
          <w:w w:val="120"/>
        </w:rPr>
        <w:t>preaching, this </w:t>
      </w:r>
      <w:r>
        <w:rPr>
          <w:w w:val="120"/>
        </w:rPr>
        <w:t>is </w:t>
      </w:r>
      <w:r>
        <w:rPr>
          <w:spacing w:val="-3"/>
          <w:w w:val="120"/>
        </w:rPr>
        <w:t>Gateways into Worship </w:t>
      </w:r>
      <w:r>
        <w:rPr>
          <w:spacing w:val="-6"/>
          <w:w w:val="120"/>
        </w:rPr>
        <w:t>(GiW)) </w:t>
      </w:r>
      <w:r>
        <w:rPr>
          <w:w w:val="120"/>
        </w:rPr>
        <w:t>and the third </w:t>
      </w:r>
      <w:r>
        <w:rPr>
          <w:spacing w:val="-3"/>
          <w:w w:val="120"/>
        </w:rPr>
        <w:t>year </w:t>
      </w:r>
      <w:r>
        <w:rPr>
          <w:w w:val="120"/>
        </w:rPr>
        <w:t>entailing a period of Mentored Reflective Practice </w:t>
      </w:r>
      <w:r>
        <w:rPr>
          <w:spacing w:val="-4"/>
          <w:w w:val="120"/>
        </w:rPr>
        <w:t>(MRP). </w:t>
      </w:r>
      <w:r>
        <w:rPr>
          <w:w w:val="120"/>
        </w:rPr>
        <w:t>So  </w:t>
      </w:r>
      <w:r>
        <w:rPr>
          <w:spacing w:val="-5"/>
          <w:w w:val="120"/>
        </w:rPr>
        <w:t>far, </w:t>
      </w:r>
      <w:r>
        <w:rPr>
          <w:w w:val="120"/>
        </w:rPr>
        <w:t>the take up of this new approach has been limited (twelve course members had registered by March </w:t>
      </w:r>
      <w:r>
        <w:rPr>
          <w:spacing w:val="-7"/>
          <w:w w:val="120"/>
        </w:rPr>
        <w:t>2018) </w:t>
      </w:r>
      <w:r>
        <w:rPr>
          <w:w w:val="120"/>
        </w:rPr>
        <w:t>but this may be explained by the </w:t>
      </w:r>
      <w:r>
        <w:rPr>
          <w:spacing w:val="2"/>
          <w:w w:val="120"/>
        </w:rPr>
        <w:t>fact </w:t>
      </w:r>
      <w:r>
        <w:rPr>
          <w:w w:val="120"/>
        </w:rPr>
        <w:t>that some interested parties are biding their time until the new programmes are up and running. For others, </w:t>
      </w:r>
      <w:r>
        <w:rPr>
          <w:spacing w:val="-3"/>
          <w:w w:val="120"/>
        </w:rPr>
        <w:t>however, </w:t>
      </w:r>
      <w:r>
        <w:rPr>
          <w:w w:val="120"/>
        </w:rPr>
        <w:t>Lite+Plus is a welcome and effective means to begin their study and training immediately in a local</w:t>
      </w:r>
      <w:r>
        <w:rPr>
          <w:spacing w:val="8"/>
          <w:w w:val="120"/>
        </w:rPr>
        <w:t> </w:t>
      </w:r>
      <w:r>
        <w:rPr>
          <w:w w:val="120"/>
        </w:rPr>
        <w:t>setting.</w:t>
      </w:r>
    </w:p>
    <w:p>
      <w:pPr>
        <w:pStyle w:val="BodyText"/>
        <w:spacing w:before="1"/>
      </w:pPr>
    </w:p>
    <w:p>
      <w:pPr>
        <w:pStyle w:val="ListParagraph"/>
        <w:numPr>
          <w:ilvl w:val="0"/>
          <w:numId w:val="68"/>
        </w:numPr>
        <w:tabs>
          <w:tab w:pos="1507" w:val="left" w:leader="none"/>
          <w:tab w:pos="1508" w:val="left" w:leader="none"/>
        </w:tabs>
        <w:spacing w:line="235" w:lineRule="auto" w:before="0" w:after="0"/>
        <w:ind w:left="827" w:right="1968" w:firstLine="0"/>
        <w:jc w:val="left"/>
        <w:rPr>
          <w:sz w:val="20"/>
        </w:rPr>
      </w:pPr>
      <w:r>
        <w:rPr>
          <w:spacing w:val="-3"/>
          <w:w w:val="120"/>
          <w:sz w:val="20"/>
        </w:rPr>
        <w:t>Lite+Plus </w:t>
      </w:r>
      <w:r>
        <w:rPr>
          <w:w w:val="120"/>
          <w:sz w:val="20"/>
        </w:rPr>
        <w:t>has also presented a </w:t>
      </w:r>
      <w:r>
        <w:rPr>
          <w:spacing w:val="-3"/>
          <w:w w:val="120"/>
          <w:sz w:val="20"/>
        </w:rPr>
        <w:t>chance to develop </w:t>
      </w:r>
      <w:r>
        <w:rPr>
          <w:w w:val="120"/>
          <w:sz w:val="20"/>
        </w:rPr>
        <w:t>and trial new methodologies in</w:t>
      </w:r>
      <w:r>
        <w:rPr>
          <w:spacing w:val="-9"/>
          <w:w w:val="120"/>
          <w:sz w:val="20"/>
        </w:rPr>
        <w:t> </w:t>
      </w:r>
      <w:r>
        <w:rPr>
          <w:w w:val="120"/>
          <w:sz w:val="20"/>
        </w:rPr>
        <w:t>assessment</w:t>
      </w:r>
      <w:r>
        <w:rPr>
          <w:spacing w:val="-8"/>
          <w:w w:val="120"/>
          <w:sz w:val="20"/>
        </w:rPr>
        <w:t> </w:t>
      </w:r>
      <w:r>
        <w:rPr>
          <w:w w:val="120"/>
          <w:sz w:val="20"/>
        </w:rPr>
        <w:t>and</w:t>
      </w:r>
      <w:r>
        <w:rPr>
          <w:spacing w:val="-8"/>
          <w:w w:val="120"/>
          <w:sz w:val="20"/>
        </w:rPr>
        <w:t> </w:t>
      </w:r>
      <w:r>
        <w:rPr>
          <w:w w:val="120"/>
          <w:sz w:val="20"/>
        </w:rPr>
        <w:t>learning</w:t>
      </w:r>
      <w:r>
        <w:rPr>
          <w:spacing w:val="-8"/>
          <w:w w:val="120"/>
          <w:sz w:val="20"/>
        </w:rPr>
        <w:t> </w:t>
      </w:r>
      <w:r>
        <w:rPr>
          <w:w w:val="120"/>
          <w:sz w:val="20"/>
        </w:rPr>
        <w:t>which</w:t>
      </w:r>
      <w:r>
        <w:rPr>
          <w:spacing w:val="-9"/>
          <w:w w:val="120"/>
          <w:sz w:val="20"/>
        </w:rPr>
        <w:t> </w:t>
      </w:r>
      <w:r>
        <w:rPr>
          <w:w w:val="120"/>
          <w:sz w:val="20"/>
        </w:rPr>
        <w:t>hopefully</w:t>
      </w:r>
      <w:r>
        <w:rPr>
          <w:spacing w:val="-8"/>
          <w:w w:val="120"/>
          <w:sz w:val="20"/>
        </w:rPr>
        <w:t> </w:t>
      </w:r>
      <w:r>
        <w:rPr>
          <w:w w:val="120"/>
          <w:sz w:val="20"/>
        </w:rPr>
        <w:t>will</w:t>
      </w:r>
      <w:r>
        <w:rPr>
          <w:spacing w:val="-8"/>
          <w:w w:val="120"/>
          <w:sz w:val="20"/>
        </w:rPr>
        <w:t> </w:t>
      </w:r>
      <w:r>
        <w:rPr>
          <w:spacing w:val="-3"/>
          <w:w w:val="120"/>
          <w:sz w:val="20"/>
        </w:rPr>
        <w:t>prove</w:t>
      </w:r>
      <w:r>
        <w:rPr>
          <w:spacing w:val="-8"/>
          <w:w w:val="120"/>
          <w:sz w:val="20"/>
        </w:rPr>
        <w:t> </w:t>
      </w:r>
      <w:r>
        <w:rPr>
          <w:w w:val="120"/>
          <w:sz w:val="20"/>
        </w:rPr>
        <w:t>helpful</w:t>
      </w:r>
      <w:r>
        <w:rPr>
          <w:spacing w:val="-8"/>
          <w:w w:val="120"/>
          <w:sz w:val="20"/>
        </w:rPr>
        <w:t> </w:t>
      </w:r>
      <w:r>
        <w:rPr>
          <w:w w:val="120"/>
          <w:sz w:val="20"/>
        </w:rPr>
        <w:t>for</w:t>
      </w:r>
      <w:r>
        <w:rPr>
          <w:spacing w:val="-9"/>
          <w:w w:val="120"/>
          <w:sz w:val="20"/>
        </w:rPr>
        <w:t> </w:t>
      </w:r>
      <w:r>
        <w:rPr>
          <w:w w:val="120"/>
          <w:sz w:val="20"/>
        </w:rPr>
        <w:t>future</w:t>
      </w:r>
      <w:r>
        <w:rPr>
          <w:spacing w:val="-8"/>
          <w:w w:val="120"/>
          <w:sz w:val="20"/>
        </w:rPr>
        <w:t> </w:t>
      </w:r>
      <w:r>
        <w:rPr>
          <w:w w:val="120"/>
          <w:sz w:val="20"/>
        </w:rPr>
        <w:t>programmes. </w:t>
      </w:r>
      <w:r>
        <w:rPr>
          <w:spacing w:val="-8"/>
          <w:w w:val="120"/>
          <w:sz w:val="20"/>
        </w:rPr>
        <w:t>To </w:t>
      </w:r>
      <w:r>
        <w:rPr>
          <w:w w:val="120"/>
          <w:sz w:val="20"/>
        </w:rPr>
        <w:t>bring </w:t>
      </w:r>
      <w:r>
        <w:rPr>
          <w:spacing w:val="-3"/>
          <w:w w:val="120"/>
          <w:sz w:val="20"/>
        </w:rPr>
        <w:t>Lite+Plus </w:t>
      </w:r>
      <w:r>
        <w:rPr>
          <w:w w:val="120"/>
          <w:sz w:val="20"/>
        </w:rPr>
        <w:t>up </w:t>
      </w:r>
      <w:r>
        <w:rPr>
          <w:spacing w:val="-3"/>
          <w:w w:val="120"/>
          <w:sz w:val="20"/>
        </w:rPr>
        <w:t>to </w:t>
      </w:r>
      <w:r>
        <w:rPr>
          <w:w w:val="120"/>
          <w:sz w:val="20"/>
        </w:rPr>
        <w:t>the educational standard appropriate </w:t>
      </w:r>
      <w:r>
        <w:rPr>
          <w:spacing w:val="-3"/>
          <w:w w:val="120"/>
          <w:sz w:val="20"/>
        </w:rPr>
        <w:t>to </w:t>
      </w:r>
      <w:r>
        <w:rPr>
          <w:w w:val="120"/>
          <w:sz w:val="20"/>
        </w:rPr>
        <w:t>its new function, it was necessary </w:t>
      </w:r>
      <w:r>
        <w:rPr>
          <w:spacing w:val="-3"/>
          <w:w w:val="120"/>
          <w:sz w:val="20"/>
        </w:rPr>
        <w:t>to </w:t>
      </w:r>
      <w:r>
        <w:rPr>
          <w:w w:val="120"/>
          <w:sz w:val="20"/>
        </w:rPr>
        <w:t>supplement the existing </w:t>
      </w:r>
      <w:r>
        <w:rPr>
          <w:spacing w:val="-3"/>
          <w:w w:val="120"/>
          <w:sz w:val="20"/>
        </w:rPr>
        <w:t>Lite materials </w:t>
      </w:r>
      <w:r>
        <w:rPr>
          <w:w w:val="120"/>
          <w:sz w:val="20"/>
        </w:rPr>
        <w:t>with </w:t>
      </w:r>
      <w:r>
        <w:rPr>
          <w:spacing w:val="-3"/>
          <w:w w:val="120"/>
          <w:sz w:val="20"/>
        </w:rPr>
        <w:t>slightly </w:t>
      </w:r>
      <w:r>
        <w:rPr>
          <w:w w:val="120"/>
          <w:sz w:val="20"/>
        </w:rPr>
        <w:t>more demanding assignment tasks. This provided an opportunity for widening </w:t>
      </w:r>
      <w:r>
        <w:rPr>
          <w:spacing w:val="-3"/>
          <w:w w:val="120"/>
          <w:sz w:val="20"/>
        </w:rPr>
        <w:t>ways </w:t>
      </w:r>
      <w:r>
        <w:rPr>
          <w:w w:val="120"/>
          <w:sz w:val="20"/>
        </w:rPr>
        <w:t>in which students </w:t>
      </w:r>
      <w:r>
        <w:rPr>
          <w:spacing w:val="-3"/>
          <w:w w:val="120"/>
          <w:sz w:val="20"/>
        </w:rPr>
        <w:t>could</w:t>
      </w:r>
      <w:r>
        <w:rPr>
          <w:spacing w:val="-7"/>
          <w:w w:val="120"/>
          <w:sz w:val="20"/>
        </w:rPr>
        <w:t> </w:t>
      </w:r>
      <w:r>
        <w:rPr>
          <w:w w:val="120"/>
          <w:sz w:val="20"/>
        </w:rPr>
        <w:t>respond</w:t>
      </w:r>
      <w:r>
        <w:rPr>
          <w:spacing w:val="-6"/>
          <w:w w:val="120"/>
          <w:sz w:val="20"/>
        </w:rPr>
        <w:t> </w:t>
      </w:r>
      <w:r>
        <w:rPr>
          <w:spacing w:val="-3"/>
          <w:w w:val="120"/>
          <w:sz w:val="20"/>
        </w:rPr>
        <w:t>to</w:t>
      </w:r>
      <w:r>
        <w:rPr>
          <w:spacing w:val="-6"/>
          <w:w w:val="120"/>
          <w:sz w:val="20"/>
        </w:rPr>
        <w:t> </w:t>
      </w:r>
      <w:r>
        <w:rPr>
          <w:w w:val="120"/>
          <w:sz w:val="20"/>
        </w:rPr>
        <w:t>questions.</w:t>
      </w:r>
      <w:r>
        <w:rPr>
          <w:spacing w:val="-6"/>
          <w:w w:val="120"/>
          <w:sz w:val="20"/>
        </w:rPr>
        <w:t> </w:t>
      </w:r>
      <w:r>
        <w:rPr>
          <w:spacing w:val="-3"/>
          <w:w w:val="120"/>
          <w:sz w:val="20"/>
        </w:rPr>
        <w:t>Instead</w:t>
      </w:r>
      <w:r>
        <w:rPr>
          <w:spacing w:val="-7"/>
          <w:w w:val="120"/>
          <w:sz w:val="20"/>
        </w:rPr>
        <w:t> </w:t>
      </w:r>
      <w:r>
        <w:rPr>
          <w:w w:val="120"/>
          <w:sz w:val="20"/>
        </w:rPr>
        <w:t>of</w:t>
      </w:r>
      <w:r>
        <w:rPr>
          <w:spacing w:val="-6"/>
          <w:w w:val="120"/>
          <w:sz w:val="20"/>
        </w:rPr>
        <w:t> </w:t>
      </w:r>
      <w:r>
        <w:rPr>
          <w:w w:val="120"/>
          <w:sz w:val="20"/>
        </w:rPr>
        <w:t>just</w:t>
      </w:r>
      <w:r>
        <w:rPr>
          <w:spacing w:val="-6"/>
          <w:w w:val="120"/>
          <w:sz w:val="20"/>
        </w:rPr>
        <w:t> </w:t>
      </w:r>
      <w:r>
        <w:rPr>
          <w:w w:val="120"/>
          <w:sz w:val="20"/>
        </w:rPr>
        <w:t>the</w:t>
      </w:r>
      <w:r>
        <w:rPr>
          <w:spacing w:val="-6"/>
          <w:w w:val="120"/>
          <w:sz w:val="20"/>
        </w:rPr>
        <w:t> </w:t>
      </w:r>
      <w:r>
        <w:rPr>
          <w:spacing w:val="-3"/>
          <w:w w:val="120"/>
          <w:sz w:val="20"/>
        </w:rPr>
        <w:t>usual</w:t>
      </w:r>
      <w:r>
        <w:rPr>
          <w:spacing w:val="-7"/>
          <w:w w:val="120"/>
          <w:sz w:val="20"/>
        </w:rPr>
        <w:t> </w:t>
      </w:r>
      <w:r>
        <w:rPr>
          <w:w w:val="120"/>
          <w:sz w:val="20"/>
        </w:rPr>
        <w:t>essay</w:t>
      </w:r>
      <w:r>
        <w:rPr>
          <w:spacing w:val="-6"/>
          <w:w w:val="120"/>
          <w:sz w:val="20"/>
        </w:rPr>
        <w:t> </w:t>
      </w:r>
      <w:r>
        <w:rPr>
          <w:w w:val="120"/>
          <w:sz w:val="20"/>
        </w:rPr>
        <w:t>format,</w:t>
      </w:r>
      <w:r>
        <w:rPr>
          <w:spacing w:val="-6"/>
          <w:w w:val="120"/>
          <w:sz w:val="20"/>
        </w:rPr>
        <w:t> </w:t>
      </w:r>
      <w:r>
        <w:rPr>
          <w:spacing w:val="-3"/>
          <w:w w:val="120"/>
          <w:sz w:val="20"/>
        </w:rPr>
        <w:t>options</w:t>
      </w:r>
      <w:r>
        <w:rPr>
          <w:spacing w:val="-6"/>
          <w:w w:val="120"/>
          <w:sz w:val="20"/>
        </w:rPr>
        <w:t> </w:t>
      </w:r>
      <w:r>
        <w:rPr>
          <w:spacing w:val="-3"/>
          <w:w w:val="120"/>
          <w:sz w:val="20"/>
        </w:rPr>
        <w:t>have</w:t>
      </w:r>
      <w:r>
        <w:rPr>
          <w:spacing w:val="-7"/>
          <w:w w:val="120"/>
          <w:sz w:val="20"/>
        </w:rPr>
        <w:t> </w:t>
      </w:r>
      <w:r>
        <w:rPr>
          <w:w w:val="120"/>
          <w:sz w:val="20"/>
        </w:rPr>
        <w:t>been</w:t>
      </w:r>
    </w:p>
    <w:p>
      <w:pPr>
        <w:pStyle w:val="BodyText"/>
        <w:spacing w:line="235" w:lineRule="auto" w:before="4"/>
        <w:ind w:left="827" w:right="1737"/>
      </w:pPr>
      <w:r>
        <w:rPr>
          <w:w w:val="120"/>
        </w:rPr>
        <w:t>made </w:t>
      </w:r>
      <w:r>
        <w:rPr>
          <w:spacing w:val="-3"/>
          <w:w w:val="120"/>
        </w:rPr>
        <w:t>available within </w:t>
      </w:r>
      <w:r>
        <w:rPr>
          <w:w w:val="120"/>
        </w:rPr>
        <w:t>the tasks for assignments </w:t>
      </w:r>
      <w:r>
        <w:rPr>
          <w:spacing w:val="-3"/>
          <w:w w:val="120"/>
        </w:rPr>
        <w:t>to </w:t>
      </w:r>
      <w:r>
        <w:rPr>
          <w:w w:val="120"/>
        </w:rPr>
        <w:t>be </w:t>
      </w:r>
      <w:r>
        <w:rPr>
          <w:spacing w:val="-3"/>
          <w:w w:val="120"/>
        </w:rPr>
        <w:t>completed using alternative </w:t>
      </w:r>
      <w:r>
        <w:rPr>
          <w:w w:val="120"/>
        </w:rPr>
        <w:t>media </w:t>
      </w:r>
      <w:r>
        <w:rPr>
          <w:spacing w:val="-3"/>
          <w:w w:val="120"/>
        </w:rPr>
        <w:t>such </w:t>
      </w:r>
      <w:r>
        <w:rPr>
          <w:w w:val="120"/>
        </w:rPr>
        <w:t>as audio-visual or </w:t>
      </w:r>
      <w:r>
        <w:rPr>
          <w:spacing w:val="-3"/>
          <w:w w:val="120"/>
        </w:rPr>
        <w:t>creative </w:t>
      </w:r>
      <w:r>
        <w:rPr>
          <w:w w:val="120"/>
        </w:rPr>
        <w:t>arts. It is </w:t>
      </w:r>
      <w:r>
        <w:rPr>
          <w:spacing w:val="-3"/>
          <w:w w:val="120"/>
        </w:rPr>
        <w:t>interesting </w:t>
      </w:r>
      <w:r>
        <w:rPr>
          <w:w w:val="120"/>
        </w:rPr>
        <w:t>that no student has </w:t>
      </w:r>
      <w:r>
        <w:rPr>
          <w:spacing w:val="-3"/>
          <w:w w:val="120"/>
        </w:rPr>
        <w:t>yet chosen to complete </w:t>
      </w:r>
      <w:r>
        <w:rPr>
          <w:w w:val="120"/>
        </w:rPr>
        <w:t>an assignment </w:t>
      </w:r>
      <w:r>
        <w:rPr>
          <w:spacing w:val="-3"/>
          <w:w w:val="120"/>
        </w:rPr>
        <w:t>using </w:t>
      </w:r>
      <w:r>
        <w:rPr>
          <w:w w:val="120"/>
        </w:rPr>
        <w:t>one of these </w:t>
      </w:r>
      <w:r>
        <w:rPr>
          <w:spacing w:val="-3"/>
          <w:w w:val="120"/>
        </w:rPr>
        <w:t>options, </w:t>
      </w:r>
      <w:r>
        <w:rPr>
          <w:w w:val="120"/>
        </w:rPr>
        <w:t>but it </w:t>
      </w:r>
      <w:r>
        <w:rPr>
          <w:spacing w:val="-3"/>
          <w:w w:val="120"/>
        </w:rPr>
        <w:t>may </w:t>
      </w:r>
      <w:r>
        <w:rPr>
          <w:w w:val="120"/>
        </w:rPr>
        <w:t>be too early </w:t>
      </w:r>
      <w:r>
        <w:rPr>
          <w:spacing w:val="-3"/>
          <w:w w:val="120"/>
        </w:rPr>
        <w:t>to </w:t>
      </w:r>
      <w:r>
        <w:rPr>
          <w:w w:val="120"/>
        </w:rPr>
        <w:t>draw </w:t>
      </w:r>
      <w:r>
        <w:rPr>
          <w:spacing w:val="-3"/>
          <w:w w:val="120"/>
        </w:rPr>
        <w:t>any </w:t>
      </w:r>
      <w:r>
        <w:rPr>
          <w:w w:val="120"/>
        </w:rPr>
        <w:t>general </w:t>
      </w:r>
      <w:r>
        <w:rPr>
          <w:spacing w:val="-3"/>
          <w:w w:val="120"/>
        </w:rPr>
        <w:t>conclusions </w:t>
      </w:r>
      <w:r>
        <w:rPr>
          <w:w w:val="120"/>
        </w:rPr>
        <w:t>from </w:t>
      </w:r>
      <w:r>
        <w:rPr>
          <w:spacing w:val="-3"/>
          <w:w w:val="120"/>
        </w:rPr>
        <w:t>this. </w:t>
      </w:r>
      <w:r>
        <w:rPr>
          <w:w w:val="120"/>
        </w:rPr>
        <w:t>The </w:t>
      </w:r>
      <w:r>
        <w:rPr>
          <w:spacing w:val="-3"/>
          <w:w w:val="120"/>
        </w:rPr>
        <w:t>year </w:t>
      </w:r>
      <w:r>
        <w:rPr>
          <w:w w:val="120"/>
        </w:rPr>
        <w:t>of MRP </w:t>
      </w:r>
      <w:r>
        <w:rPr>
          <w:spacing w:val="-3"/>
          <w:w w:val="120"/>
        </w:rPr>
        <w:t>to </w:t>
      </w:r>
      <w:r>
        <w:rPr>
          <w:w w:val="120"/>
        </w:rPr>
        <w:t>all intents and purposes </w:t>
      </w:r>
      <w:r>
        <w:rPr>
          <w:spacing w:val="-3"/>
          <w:w w:val="120"/>
        </w:rPr>
        <w:t>introduces </w:t>
      </w:r>
      <w:r>
        <w:rPr>
          <w:w w:val="120"/>
        </w:rPr>
        <w:t>the </w:t>
      </w:r>
      <w:r>
        <w:rPr>
          <w:spacing w:val="-3"/>
          <w:w w:val="120"/>
        </w:rPr>
        <w:t>technique </w:t>
      </w:r>
      <w:r>
        <w:rPr>
          <w:w w:val="120"/>
        </w:rPr>
        <w:t>of </w:t>
      </w:r>
      <w:r>
        <w:rPr>
          <w:spacing w:val="-3"/>
          <w:w w:val="120"/>
        </w:rPr>
        <w:t>apprenticeship into </w:t>
      </w:r>
      <w:r>
        <w:rPr>
          <w:w w:val="120"/>
        </w:rPr>
        <w:t>the learning experience. TLS has </w:t>
      </w:r>
      <w:r>
        <w:rPr>
          <w:spacing w:val="-3"/>
          <w:w w:val="120"/>
        </w:rPr>
        <w:t>always </w:t>
      </w:r>
      <w:r>
        <w:rPr>
          <w:w w:val="120"/>
        </w:rPr>
        <w:t>required practical application alongside theoretical learning, but MRP takes </w:t>
      </w:r>
      <w:r>
        <w:rPr>
          <w:spacing w:val="-3"/>
          <w:w w:val="120"/>
        </w:rPr>
        <w:t>this </w:t>
      </w:r>
      <w:r>
        <w:rPr>
          <w:w w:val="120"/>
        </w:rPr>
        <w:t>a step further in facilitating a </w:t>
      </w:r>
      <w:r>
        <w:rPr>
          <w:spacing w:val="-3"/>
          <w:w w:val="120"/>
        </w:rPr>
        <w:t>year-long </w:t>
      </w:r>
      <w:r>
        <w:rPr>
          <w:w w:val="120"/>
        </w:rPr>
        <w:t>partnership with an experienced </w:t>
      </w:r>
      <w:r>
        <w:rPr>
          <w:spacing w:val="-3"/>
          <w:w w:val="120"/>
        </w:rPr>
        <w:t>practitioner. </w:t>
      </w:r>
      <w:r>
        <w:rPr>
          <w:w w:val="120"/>
        </w:rPr>
        <w:t>No student has </w:t>
      </w:r>
      <w:r>
        <w:rPr>
          <w:spacing w:val="-3"/>
          <w:w w:val="120"/>
        </w:rPr>
        <w:t>yet </w:t>
      </w:r>
      <w:r>
        <w:rPr>
          <w:w w:val="120"/>
        </w:rPr>
        <w:t>reached </w:t>
      </w:r>
      <w:r>
        <w:rPr>
          <w:spacing w:val="-3"/>
          <w:w w:val="120"/>
        </w:rPr>
        <w:t>this </w:t>
      </w:r>
      <w:r>
        <w:rPr>
          <w:w w:val="120"/>
        </w:rPr>
        <w:t>stage in the process but the systems and paperwork </w:t>
      </w:r>
      <w:r>
        <w:rPr>
          <w:spacing w:val="-3"/>
          <w:w w:val="120"/>
        </w:rPr>
        <w:t>to </w:t>
      </w:r>
      <w:r>
        <w:rPr>
          <w:w w:val="120"/>
        </w:rPr>
        <w:t>enable it are being prepared, and the </w:t>
      </w:r>
      <w:r>
        <w:rPr>
          <w:spacing w:val="-3"/>
          <w:w w:val="120"/>
        </w:rPr>
        <w:t>outcomes </w:t>
      </w:r>
      <w:r>
        <w:rPr>
          <w:w w:val="120"/>
        </w:rPr>
        <w:t>are looked forward </w:t>
      </w:r>
      <w:r>
        <w:rPr>
          <w:spacing w:val="-3"/>
          <w:w w:val="120"/>
        </w:rPr>
        <w:t>to </w:t>
      </w:r>
      <w:r>
        <w:rPr>
          <w:w w:val="120"/>
        </w:rPr>
        <w:t>with </w:t>
      </w:r>
      <w:r>
        <w:rPr>
          <w:spacing w:val="-3"/>
          <w:w w:val="120"/>
        </w:rPr>
        <w:t>interest </w:t>
      </w:r>
      <w:r>
        <w:rPr>
          <w:w w:val="120"/>
        </w:rPr>
        <w:t>and</w:t>
      </w:r>
      <w:r>
        <w:rPr>
          <w:spacing w:val="-23"/>
          <w:w w:val="120"/>
        </w:rPr>
        <w:t> </w:t>
      </w:r>
      <w:r>
        <w:rPr>
          <w:spacing w:val="-3"/>
          <w:w w:val="120"/>
        </w:rPr>
        <w:t>anticipation.</w:t>
      </w:r>
    </w:p>
    <w:p>
      <w:pPr>
        <w:pStyle w:val="BodyText"/>
        <w:spacing w:before="3"/>
      </w:pPr>
    </w:p>
    <w:p>
      <w:pPr>
        <w:pStyle w:val="ListParagraph"/>
        <w:numPr>
          <w:ilvl w:val="0"/>
          <w:numId w:val="68"/>
        </w:numPr>
        <w:tabs>
          <w:tab w:pos="1507" w:val="left" w:leader="none"/>
          <w:tab w:pos="1508" w:val="left" w:leader="none"/>
        </w:tabs>
        <w:spacing w:line="235" w:lineRule="auto" w:before="0" w:after="0"/>
        <w:ind w:left="827" w:right="1625" w:firstLine="0"/>
        <w:jc w:val="left"/>
        <w:rPr>
          <w:sz w:val="20"/>
        </w:rPr>
      </w:pPr>
      <w:r>
        <w:rPr>
          <w:w w:val="120"/>
          <w:sz w:val="20"/>
        </w:rPr>
        <w:t>Meanwhile the traditional elements of </w:t>
      </w:r>
      <w:r>
        <w:rPr>
          <w:spacing w:val="2"/>
          <w:w w:val="120"/>
          <w:sz w:val="20"/>
        </w:rPr>
        <w:t>TLS </w:t>
      </w:r>
      <w:r>
        <w:rPr>
          <w:w w:val="120"/>
          <w:sz w:val="20"/>
        </w:rPr>
        <w:t>press on doing what they do best, enabling and equipping folk in the URC </w:t>
      </w:r>
      <w:r>
        <w:rPr>
          <w:spacing w:val="-5"/>
          <w:w w:val="120"/>
          <w:sz w:val="20"/>
        </w:rPr>
        <w:t>(and </w:t>
      </w:r>
      <w:r>
        <w:rPr>
          <w:w w:val="120"/>
          <w:sz w:val="20"/>
        </w:rPr>
        <w:t>occasionally outside the denomination) to follow Jesus and to be faithful and effective in all areas of their discipleship. </w:t>
      </w:r>
      <w:r>
        <w:rPr>
          <w:spacing w:val="-7"/>
          <w:w w:val="120"/>
          <w:sz w:val="20"/>
        </w:rPr>
        <w:t>To </w:t>
      </w:r>
      <w:r>
        <w:rPr>
          <w:w w:val="120"/>
          <w:sz w:val="20"/>
        </w:rPr>
        <w:t>this end, a very pleasing aspect of the past year was the largest enrolment for some time on GiW. Eighteen students will complete their studies on GiW around the time of Assembly, successfully we hope, and most will become Assembly accredited lay preachers. We rejoice in</w:t>
      </w:r>
      <w:r>
        <w:rPr>
          <w:spacing w:val="3"/>
          <w:w w:val="120"/>
          <w:sz w:val="20"/>
        </w:rPr>
        <w:t> </w:t>
      </w:r>
      <w:r>
        <w:rPr>
          <w:w w:val="120"/>
          <w:sz w:val="20"/>
        </w:rPr>
        <w:t>this.</w:t>
      </w:r>
    </w:p>
    <w:p>
      <w:pPr>
        <w:pStyle w:val="BodyText"/>
      </w:pPr>
    </w:p>
    <w:p>
      <w:pPr>
        <w:pStyle w:val="ListParagraph"/>
        <w:numPr>
          <w:ilvl w:val="0"/>
          <w:numId w:val="68"/>
        </w:numPr>
        <w:tabs>
          <w:tab w:pos="1507" w:val="left" w:leader="none"/>
          <w:tab w:pos="1508" w:val="left" w:leader="none"/>
        </w:tabs>
        <w:spacing w:line="235" w:lineRule="auto" w:before="1" w:after="0"/>
        <w:ind w:left="827" w:right="1610" w:firstLine="0"/>
        <w:jc w:val="left"/>
        <w:rPr>
          <w:sz w:val="20"/>
        </w:rPr>
      </w:pPr>
      <w:r>
        <w:rPr>
          <w:spacing w:val="3"/>
          <w:w w:val="120"/>
          <w:sz w:val="20"/>
        </w:rPr>
        <w:t>As </w:t>
      </w:r>
      <w:r>
        <w:rPr>
          <w:w w:val="120"/>
          <w:sz w:val="20"/>
        </w:rPr>
        <w:t>we rejoice, we also give thanks to those who’ve made all the achievements of </w:t>
      </w:r>
      <w:r>
        <w:rPr>
          <w:spacing w:val="2"/>
          <w:w w:val="120"/>
          <w:sz w:val="20"/>
        </w:rPr>
        <w:t>TLS </w:t>
      </w:r>
      <w:r>
        <w:rPr>
          <w:w w:val="120"/>
          <w:sz w:val="20"/>
        </w:rPr>
        <w:t>students possible. Stanley Jackson, John Burgess and Penny Flynn, as the remaining current </w:t>
      </w:r>
      <w:r>
        <w:rPr>
          <w:spacing w:val="2"/>
          <w:w w:val="120"/>
          <w:sz w:val="20"/>
        </w:rPr>
        <w:t>TLS </w:t>
      </w:r>
      <w:r>
        <w:rPr>
          <w:w w:val="120"/>
          <w:sz w:val="20"/>
        </w:rPr>
        <w:t>staff, deserve the </w:t>
      </w:r>
      <w:r>
        <w:rPr>
          <w:spacing w:val="-3"/>
          <w:w w:val="120"/>
          <w:sz w:val="20"/>
        </w:rPr>
        <w:t>Church’s </w:t>
      </w:r>
      <w:r>
        <w:rPr>
          <w:w w:val="120"/>
          <w:sz w:val="20"/>
        </w:rPr>
        <w:t>special thanks for keeping the ship steady during a time of turbulence. Beyond this, all that </w:t>
      </w:r>
      <w:r>
        <w:rPr>
          <w:spacing w:val="2"/>
          <w:w w:val="120"/>
          <w:sz w:val="20"/>
        </w:rPr>
        <w:t>TLS </w:t>
      </w:r>
      <w:r>
        <w:rPr>
          <w:w w:val="120"/>
          <w:sz w:val="20"/>
        </w:rPr>
        <w:t>has achieved has only ever been possible because of the enormous contribution of the mass of volunteers who have served</w:t>
      </w:r>
      <w:r>
        <w:rPr>
          <w:spacing w:val="15"/>
          <w:w w:val="120"/>
          <w:sz w:val="20"/>
        </w:rPr>
        <w:t> </w:t>
      </w:r>
      <w:r>
        <w:rPr>
          <w:w w:val="120"/>
          <w:sz w:val="20"/>
        </w:rPr>
        <w:t>it</w:t>
      </w:r>
    </w:p>
    <w:p>
      <w:pPr>
        <w:pStyle w:val="BodyText"/>
        <w:spacing w:line="235" w:lineRule="auto" w:before="3"/>
        <w:ind w:left="827" w:right="1617"/>
      </w:pPr>
      <w:r>
        <w:rPr>
          <w:w w:val="120"/>
        </w:rPr>
        <w:t>in various ways. The passing into </w:t>
      </w:r>
      <w:r>
        <w:rPr>
          <w:spacing w:val="2"/>
          <w:w w:val="120"/>
        </w:rPr>
        <w:t>glory </w:t>
      </w:r>
      <w:r>
        <w:rPr>
          <w:w w:val="120"/>
        </w:rPr>
        <w:t>during the year of two of </w:t>
      </w:r>
      <w:r>
        <w:rPr>
          <w:spacing w:val="-3"/>
          <w:w w:val="120"/>
        </w:rPr>
        <w:t>TLS’s </w:t>
      </w:r>
      <w:r>
        <w:rPr>
          <w:w w:val="120"/>
        </w:rPr>
        <w:t>great stalwarts, </w:t>
      </w:r>
      <w:r>
        <w:rPr>
          <w:spacing w:val="-5"/>
          <w:w w:val="120"/>
        </w:rPr>
        <w:t>Tom </w:t>
      </w:r>
      <w:r>
        <w:rPr>
          <w:w w:val="120"/>
        </w:rPr>
        <w:t>Stevenson </w:t>
      </w:r>
      <w:r>
        <w:rPr>
          <w:spacing w:val="-3"/>
          <w:w w:val="120"/>
        </w:rPr>
        <w:t>(who </w:t>
      </w:r>
      <w:r>
        <w:rPr>
          <w:w w:val="120"/>
        </w:rPr>
        <w:t>served as regional organiser and pastoral care course manager)  and David Bunney (TLS’s longest serving marker) has been a reminder of how much the success of </w:t>
      </w:r>
      <w:r>
        <w:rPr>
          <w:spacing w:val="2"/>
          <w:w w:val="120"/>
        </w:rPr>
        <w:t>TLS </w:t>
      </w:r>
      <w:r>
        <w:rPr>
          <w:w w:val="120"/>
        </w:rPr>
        <w:t>has depended upon people like them, who gave so freely and willingly    of their time, energy and skills. It seems appropriate then, to end this </w:t>
      </w:r>
      <w:r>
        <w:rPr>
          <w:spacing w:val="2"/>
          <w:w w:val="120"/>
        </w:rPr>
        <w:t>TLS report </w:t>
      </w:r>
      <w:r>
        <w:rPr>
          <w:w w:val="120"/>
        </w:rPr>
        <w:t>in paying tribute to them and all like them who made </w:t>
      </w:r>
      <w:r>
        <w:rPr>
          <w:spacing w:val="2"/>
          <w:w w:val="120"/>
        </w:rPr>
        <w:t>TLS </w:t>
      </w:r>
      <w:r>
        <w:rPr>
          <w:w w:val="120"/>
        </w:rPr>
        <w:t>such a wonderful instrument for the spreading the kingdom of God on</w:t>
      </w:r>
      <w:r>
        <w:rPr>
          <w:spacing w:val="20"/>
          <w:w w:val="120"/>
        </w:rPr>
        <w:t> </w:t>
      </w:r>
      <w:r>
        <w:rPr>
          <w:w w:val="120"/>
        </w:rPr>
        <w:t>earth.</w:t>
      </w:r>
    </w:p>
    <w:p>
      <w:pPr>
        <w:pStyle w:val="BodyText"/>
        <w:spacing w:before="7"/>
        <w:rPr>
          <w:sz w:val="22"/>
        </w:rPr>
      </w:pPr>
    </w:p>
    <w:p>
      <w:pPr>
        <w:pStyle w:val="Heading4"/>
        <w:ind w:firstLine="0"/>
      </w:pPr>
      <w:r>
        <w:rPr>
          <w:w w:val="110"/>
        </w:rPr>
        <w:t>The Scottish College</w:t>
      </w:r>
    </w:p>
    <w:p>
      <w:pPr>
        <w:pStyle w:val="ListParagraph"/>
        <w:numPr>
          <w:ilvl w:val="0"/>
          <w:numId w:val="68"/>
        </w:numPr>
        <w:tabs>
          <w:tab w:pos="1507" w:val="left" w:leader="none"/>
          <w:tab w:pos="1508" w:val="left" w:leader="none"/>
        </w:tabs>
        <w:spacing w:line="235" w:lineRule="auto" w:before="69" w:after="0"/>
        <w:ind w:left="827" w:right="1621" w:firstLine="0"/>
        <w:jc w:val="left"/>
        <w:rPr>
          <w:sz w:val="20"/>
        </w:rPr>
      </w:pPr>
      <w:r>
        <w:rPr>
          <w:w w:val="120"/>
          <w:sz w:val="20"/>
        </w:rPr>
        <w:t>The Scottish United Reformed and Congregational College exists for the service  of the Church, and to provide a space, place and community where followers of Jesus may walk together in an intentional </w:t>
      </w:r>
      <w:r>
        <w:rPr>
          <w:spacing w:val="-4"/>
          <w:w w:val="120"/>
          <w:sz w:val="20"/>
        </w:rPr>
        <w:t>way, </w:t>
      </w:r>
      <w:r>
        <w:rPr>
          <w:w w:val="120"/>
          <w:sz w:val="20"/>
        </w:rPr>
        <w:t>focussed on growth, discipleship and learning. We are dedicated to supporting one another as we develop in knowledge, in spirit and  in practical skills. This is the purpose of all college activities whether directed as</w:t>
      </w:r>
      <w:r>
        <w:rPr>
          <w:spacing w:val="47"/>
          <w:w w:val="120"/>
          <w:sz w:val="20"/>
        </w:rPr>
        <w:t> </w:t>
      </w:r>
      <w:r>
        <w:rPr>
          <w:spacing w:val="2"/>
          <w:w w:val="120"/>
          <w:sz w:val="20"/>
        </w:rPr>
        <w:t>part</w:t>
      </w:r>
    </w:p>
    <w:p>
      <w:pPr>
        <w:pStyle w:val="BodyText"/>
        <w:spacing w:line="235" w:lineRule="auto" w:before="3"/>
        <w:ind w:left="827" w:right="1528"/>
      </w:pPr>
      <w:r>
        <w:rPr>
          <w:w w:val="120"/>
        </w:rPr>
        <w:t>of Education for Ministry of Word and Sacrament in our EM1 programme, or in those activities offered for the nurture of the wider church.</w:t>
      </w:r>
    </w:p>
    <w:p>
      <w:pPr>
        <w:pStyle w:val="BodyText"/>
        <w:spacing w:before="10"/>
        <w:rPr>
          <w:sz w:val="19"/>
        </w:rPr>
      </w:pPr>
    </w:p>
    <w:p>
      <w:pPr>
        <w:pStyle w:val="ListParagraph"/>
        <w:numPr>
          <w:ilvl w:val="0"/>
          <w:numId w:val="68"/>
        </w:numPr>
        <w:tabs>
          <w:tab w:pos="1507" w:val="left" w:leader="none"/>
          <w:tab w:pos="1508" w:val="left" w:leader="none"/>
        </w:tabs>
        <w:spacing w:line="235" w:lineRule="auto" w:before="0" w:after="0"/>
        <w:ind w:left="827" w:right="1712" w:firstLine="0"/>
        <w:jc w:val="left"/>
        <w:rPr>
          <w:sz w:val="20"/>
        </w:rPr>
      </w:pPr>
      <w:r>
        <w:rPr>
          <w:w w:val="120"/>
          <w:sz w:val="20"/>
        </w:rPr>
        <w:t>The college has seen changes in personnel since the last General Assembly,   with the adaptations and challenges that are involved. Inevitably this has occasioned readjustments, particularly following the long and distinguished service of the Revd Dr Jack Dyce as</w:t>
      </w:r>
      <w:r>
        <w:rPr>
          <w:spacing w:val="5"/>
          <w:w w:val="120"/>
          <w:sz w:val="20"/>
        </w:rPr>
        <w:t> </w:t>
      </w:r>
      <w:r>
        <w:rPr>
          <w:w w:val="120"/>
          <w:sz w:val="20"/>
        </w:rPr>
        <w:t>Principal.</w:t>
      </w:r>
    </w:p>
    <w:p>
      <w:pPr>
        <w:spacing w:after="0" w:line="235" w:lineRule="auto"/>
        <w:jc w:val="left"/>
        <w:rPr>
          <w:sz w:val="20"/>
        </w:rPr>
        <w:sectPr>
          <w:headerReference w:type="even" r:id="rId287"/>
          <w:pgSz w:w="11910" w:h="16840"/>
          <w:pgMar w:header="0" w:footer="647" w:top="0" w:bottom="840" w:left="420" w:right="380"/>
        </w:sectPr>
      </w:pPr>
    </w:p>
    <w:p>
      <w:pPr>
        <w:pStyle w:val="BodyText"/>
      </w:pPr>
      <w:r>
        <w:rPr/>
        <w:drawing>
          <wp:anchor distT="0" distB="0" distL="0" distR="0" allowOverlap="1" layoutInCell="1" locked="0" behindDoc="0" simplePos="0" relativeHeight="251922432">
            <wp:simplePos x="0" y="0"/>
            <wp:positionH relativeFrom="page">
              <wp:posOffset>6974928</wp:posOffset>
            </wp:positionH>
            <wp:positionV relativeFrom="page">
              <wp:posOffset>0</wp:posOffset>
            </wp:positionV>
            <wp:extent cx="585063" cy="10692003"/>
            <wp:effectExtent l="0" t="0" r="0" b="0"/>
            <wp:wrapNone/>
            <wp:docPr id="183" name="image57.png"/>
            <wp:cNvGraphicFramePr>
              <a:graphicFrameLocks noChangeAspect="1"/>
            </wp:cNvGraphicFramePr>
            <a:graphic>
              <a:graphicData uri="http://schemas.openxmlformats.org/drawingml/2006/picture">
                <pic:pic>
                  <pic:nvPicPr>
                    <pic:cNvPr id="18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left="7334"/>
      </w:pPr>
      <w:r>
        <w:rPr/>
        <w:pict>
          <v:shape style="position:absolute;margin-left:554.141174pt;margin-top:22.693945pt;width:26pt;height:242.25pt;mso-position-horizontal-relative:page;mso-position-vertical-relative:paragraph;z-index:251923456"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ListParagraph"/>
        <w:numPr>
          <w:ilvl w:val="0"/>
          <w:numId w:val="68"/>
        </w:numPr>
        <w:tabs>
          <w:tab w:pos="2244" w:val="left" w:leader="none"/>
          <w:tab w:pos="2245" w:val="left" w:leader="none"/>
        </w:tabs>
        <w:spacing w:line="235" w:lineRule="auto" w:before="222" w:after="0"/>
        <w:ind w:left="1564" w:right="864" w:firstLine="0"/>
        <w:jc w:val="left"/>
        <w:rPr>
          <w:sz w:val="20"/>
        </w:rPr>
      </w:pPr>
      <w:r>
        <w:rPr>
          <w:w w:val="120"/>
          <w:sz w:val="20"/>
        </w:rPr>
        <w:t>In succession to Jack, the college was delighted at the end of last year to appoint as its Principal the Revd Dr John McNeil Scott. John was ordained in </w:t>
      </w:r>
      <w:r>
        <w:rPr>
          <w:spacing w:val="-6"/>
          <w:w w:val="120"/>
          <w:sz w:val="20"/>
        </w:rPr>
        <w:t>1993 </w:t>
      </w:r>
      <w:r>
        <w:rPr>
          <w:w w:val="120"/>
          <w:sz w:val="20"/>
        </w:rPr>
        <w:t>and has been   a minister of the URC since </w:t>
      </w:r>
      <w:r>
        <w:rPr>
          <w:spacing w:val="-10"/>
          <w:w w:val="120"/>
          <w:sz w:val="20"/>
        </w:rPr>
        <w:t>1997. </w:t>
      </w:r>
      <w:r>
        <w:rPr>
          <w:w w:val="120"/>
          <w:sz w:val="20"/>
        </w:rPr>
        <w:t>A former tutor with the Open University, John was involved in educational work with prison inmates during ‘the Troubles’ in </w:t>
      </w:r>
      <w:r>
        <w:rPr>
          <w:spacing w:val="2"/>
          <w:w w:val="120"/>
          <w:sz w:val="20"/>
        </w:rPr>
        <w:t>Northern </w:t>
      </w:r>
      <w:r>
        <w:rPr>
          <w:w w:val="120"/>
          <w:sz w:val="20"/>
        </w:rPr>
        <w:t>Ireland. He returns to the URC following a few years serving a congregation in Belfast. Besides congregational experience, John brings to his new  role  understanding  of service in non-congregational contexts, as well as a deep commitment to intercultural ministry. He worked as the </w:t>
      </w:r>
      <w:r>
        <w:rPr>
          <w:spacing w:val="-3"/>
          <w:w w:val="120"/>
          <w:sz w:val="20"/>
        </w:rPr>
        <w:t>URC’s </w:t>
      </w:r>
      <w:r>
        <w:rPr>
          <w:w w:val="120"/>
          <w:sz w:val="20"/>
        </w:rPr>
        <w:t>Senior Chaplain to Higher Education in London. He   was Chaplain to the London School of Economics, associated with the school’s </w:t>
      </w:r>
      <w:r>
        <w:rPr>
          <w:spacing w:val="-3"/>
          <w:w w:val="120"/>
          <w:sz w:val="20"/>
        </w:rPr>
        <w:t>Taiwan </w:t>
      </w:r>
      <w:r>
        <w:rPr>
          <w:w w:val="120"/>
          <w:sz w:val="20"/>
        </w:rPr>
        <w:t>Research Programme and was one of the initiators of the Taiwanese Christian Fellowship in</w:t>
      </w:r>
      <w:r>
        <w:rPr>
          <w:spacing w:val="2"/>
          <w:w w:val="120"/>
          <w:sz w:val="20"/>
        </w:rPr>
        <w:t> </w:t>
      </w:r>
      <w:r>
        <w:rPr>
          <w:w w:val="120"/>
          <w:sz w:val="20"/>
        </w:rPr>
        <w:t>London.</w:t>
      </w:r>
    </w:p>
    <w:p>
      <w:pPr>
        <w:pStyle w:val="BodyText"/>
        <w:spacing w:before="3"/>
      </w:pPr>
    </w:p>
    <w:p>
      <w:pPr>
        <w:pStyle w:val="ListParagraph"/>
        <w:numPr>
          <w:ilvl w:val="0"/>
          <w:numId w:val="68"/>
        </w:numPr>
        <w:tabs>
          <w:tab w:pos="2244" w:val="left" w:leader="none"/>
          <w:tab w:pos="2245" w:val="left" w:leader="none"/>
        </w:tabs>
        <w:spacing w:line="235" w:lineRule="auto" w:before="0" w:after="0"/>
        <w:ind w:left="1564" w:right="1058" w:firstLine="0"/>
        <w:jc w:val="left"/>
        <w:rPr>
          <w:sz w:val="20"/>
        </w:rPr>
      </w:pPr>
      <w:r>
        <w:rPr>
          <w:w w:val="120"/>
          <w:sz w:val="20"/>
        </w:rPr>
        <w:t>Jack continues to share the walk of college life; on retirement he was appointed Emeritus Research Professor of Nordic Theology, allowing him to continue</w:t>
      </w:r>
      <w:r>
        <w:rPr>
          <w:spacing w:val="27"/>
          <w:w w:val="120"/>
          <w:sz w:val="20"/>
        </w:rPr>
        <w:t> </w:t>
      </w:r>
      <w:r>
        <w:rPr>
          <w:w w:val="120"/>
          <w:sz w:val="20"/>
        </w:rPr>
        <w:t>with</w:t>
      </w:r>
    </w:p>
    <w:p>
      <w:pPr>
        <w:pStyle w:val="BodyText"/>
        <w:spacing w:line="235" w:lineRule="auto" w:before="2"/>
        <w:ind w:left="1564" w:right="942"/>
      </w:pPr>
      <w:r>
        <w:rPr>
          <w:w w:val="120"/>
        </w:rPr>
        <w:t>and develop his academic work in Nordic regional studies and their contribution to theology and inter-disciplinary dialogue. This involves him in speaking at conferences, and in writing articles for journals and book chapters. The college is fortunate to benefit from Jack’s ongoing contribution to its life, both in terms of the friendship, expertise  and energy he continues to bring, as well as through the profile provided in new  quarters through his academic</w:t>
      </w:r>
      <w:r>
        <w:rPr>
          <w:spacing w:val="8"/>
          <w:w w:val="120"/>
        </w:rPr>
        <w:t> </w:t>
      </w:r>
      <w:r>
        <w:rPr>
          <w:w w:val="120"/>
        </w:rPr>
        <w:t>research.</w:t>
      </w:r>
    </w:p>
    <w:p>
      <w:pPr>
        <w:pStyle w:val="BodyText"/>
      </w:pPr>
    </w:p>
    <w:p>
      <w:pPr>
        <w:pStyle w:val="ListParagraph"/>
        <w:numPr>
          <w:ilvl w:val="0"/>
          <w:numId w:val="68"/>
        </w:numPr>
        <w:tabs>
          <w:tab w:pos="2244" w:val="left" w:leader="none"/>
          <w:tab w:pos="2245" w:val="left" w:leader="none"/>
        </w:tabs>
        <w:spacing w:line="235" w:lineRule="auto" w:before="0" w:after="0"/>
        <w:ind w:left="1564" w:right="920" w:firstLine="0"/>
        <w:jc w:val="left"/>
        <w:rPr>
          <w:sz w:val="20"/>
        </w:rPr>
      </w:pPr>
      <w:r>
        <w:rPr>
          <w:w w:val="120"/>
          <w:sz w:val="20"/>
        </w:rPr>
        <w:t>Knowing that it </w:t>
      </w:r>
      <w:r>
        <w:rPr>
          <w:spacing w:val="-3"/>
          <w:w w:val="120"/>
          <w:sz w:val="20"/>
        </w:rPr>
        <w:t>cannot </w:t>
      </w:r>
      <w:r>
        <w:rPr>
          <w:w w:val="120"/>
          <w:sz w:val="20"/>
        </w:rPr>
        <w:t>give its best service </w:t>
      </w:r>
      <w:r>
        <w:rPr>
          <w:spacing w:val="-3"/>
          <w:w w:val="120"/>
          <w:sz w:val="20"/>
        </w:rPr>
        <w:t>to </w:t>
      </w:r>
      <w:r>
        <w:rPr>
          <w:w w:val="120"/>
          <w:sz w:val="20"/>
        </w:rPr>
        <w:t>the </w:t>
      </w:r>
      <w:r>
        <w:rPr>
          <w:spacing w:val="-3"/>
          <w:w w:val="120"/>
          <w:sz w:val="20"/>
        </w:rPr>
        <w:t>church </w:t>
      </w:r>
      <w:r>
        <w:rPr>
          <w:w w:val="120"/>
          <w:sz w:val="20"/>
        </w:rPr>
        <w:t>without the </w:t>
      </w:r>
      <w:r>
        <w:rPr>
          <w:spacing w:val="-3"/>
          <w:w w:val="120"/>
          <w:sz w:val="20"/>
        </w:rPr>
        <w:t>involvement </w:t>
      </w:r>
      <w:r>
        <w:rPr>
          <w:w w:val="120"/>
          <w:sz w:val="20"/>
        </w:rPr>
        <w:t>and support of a wider </w:t>
      </w:r>
      <w:r>
        <w:rPr>
          <w:spacing w:val="-4"/>
          <w:w w:val="120"/>
          <w:sz w:val="20"/>
        </w:rPr>
        <w:t>community, </w:t>
      </w:r>
      <w:r>
        <w:rPr>
          <w:w w:val="120"/>
          <w:sz w:val="20"/>
        </w:rPr>
        <w:t>the </w:t>
      </w:r>
      <w:r>
        <w:rPr>
          <w:spacing w:val="-3"/>
          <w:w w:val="120"/>
          <w:sz w:val="20"/>
        </w:rPr>
        <w:t>college </w:t>
      </w:r>
      <w:r>
        <w:rPr>
          <w:w w:val="120"/>
          <w:sz w:val="20"/>
        </w:rPr>
        <w:t>has sought </w:t>
      </w:r>
      <w:r>
        <w:rPr>
          <w:spacing w:val="-3"/>
          <w:w w:val="120"/>
          <w:sz w:val="20"/>
        </w:rPr>
        <w:t>to </w:t>
      </w:r>
      <w:r>
        <w:rPr>
          <w:w w:val="120"/>
          <w:sz w:val="20"/>
        </w:rPr>
        <w:t>renew and deepen its partnership with the National </w:t>
      </w:r>
      <w:r>
        <w:rPr>
          <w:spacing w:val="-3"/>
          <w:w w:val="120"/>
          <w:sz w:val="20"/>
        </w:rPr>
        <w:t>Synod </w:t>
      </w:r>
      <w:r>
        <w:rPr>
          <w:w w:val="120"/>
          <w:sz w:val="20"/>
        </w:rPr>
        <w:t>of </w:t>
      </w:r>
      <w:r>
        <w:rPr>
          <w:spacing w:val="-3"/>
          <w:w w:val="120"/>
          <w:sz w:val="20"/>
        </w:rPr>
        <w:t>Scotland, </w:t>
      </w:r>
      <w:r>
        <w:rPr>
          <w:w w:val="120"/>
          <w:sz w:val="20"/>
        </w:rPr>
        <w:t>and the wider URC. The</w:t>
      </w:r>
      <w:r>
        <w:rPr>
          <w:spacing w:val="-2"/>
          <w:w w:val="120"/>
          <w:sz w:val="20"/>
        </w:rPr>
        <w:t> </w:t>
      </w:r>
      <w:r>
        <w:rPr>
          <w:spacing w:val="-3"/>
          <w:w w:val="120"/>
          <w:sz w:val="20"/>
        </w:rPr>
        <w:t>college</w:t>
      </w:r>
    </w:p>
    <w:p>
      <w:pPr>
        <w:pStyle w:val="BodyText"/>
        <w:spacing w:line="235" w:lineRule="auto" w:before="2"/>
        <w:ind w:left="1564" w:right="783"/>
      </w:pPr>
      <w:r>
        <w:rPr>
          <w:w w:val="120"/>
        </w:rPr>
        <w:t>was </w:t>
      </w:r>
      <w:r>
        <w:rPr>
          <w:spacing w:val="-3"/>
          <w:w w:val="120"/>
        </w:rPr>
        <w:t>delighted </w:t>
      </w:r>
      <w:r>
        <w:rPr>
          <w:w w:val="120"/>
        </w:rPr>
        <w:t>when </w:t>
      </w:r>
      <w:r>
        <w:rPr>
          <w:spacing w:val="-3"/>
          <w:w w:val="120"/>
        </w:rPr>
        <w:t>recent discussions </w:t>
      </w:r>
      <w:r>
        <w:rPr>
          <w:w w:val="120"/>
        </w:rPr>
        <w:t>with the </w:t>
      </w:r>
      <w:r>
        <w:rPr>
          <w:spacing w:val="-3"/>
          <w:w w:val="120"/>
        </w:rPr>
        <w:t>Synod </w:t>
      </w:r>
      <w:r>
        <w:rPr>
          <w:w w:val="120"/>
        </w:rPr>
        <w:t>of </w:t>
      </w:r>
      <w:r>
        <w:rPr>
          <w:spacing w:val="-3"/>
          <w:w w:val="120"/>
        </w:rPr>
        <w:t>Scotland resulted </w:t>
      </w:r>
      <w:r>
        <w:rPr>
          <w:w w:val="120"/>
        </w:rPr>
        <w:t>in the </w:t>
      </w:r>
      <w:r>
        <w:rPr>
          <w:spacing w:val="-3"/>
          <w:w w:val="120"/>
        </w:rPr>
        <w:t>continuation </w:t>
      </w:r>
      <w:r>
        <w:rPr>
          <w:w w:val="120"/>
        </w:rPr>
        <w:t>of previous arrangements whereby the Principal acts also as </w:t>
      </w:r>
      <w:r>
        <w:rPr>
          <w:spacing w:val="-4"/>
          <w:w w:val="120"/>
        </w:rPr>
        <w:t>Training </w:t>
      </w:r>
      <w:r>
        <w:rPr>
          <w:w w:val="120"/>
        </w:rPr>
        <w:t>Officer for the synod. </w:t>
      </w:r>
      <w:r>
        <w:rPr>
          <w:spacing w:val="-3"/>
          <w:w w:val="120"/>
        </w:rPr>
        <w:t>We </w:t>
      </w:r>
      <w:r>
        <w:rPr>
          <w:w w:val="120"/>
        </w:rPr>
        <w:t>hope that </w:t>
      </w:r>
      <w:r>
        <w:rPr>
          <w:spacing w:val="-3"/>
          <w:w w:val="120"/>
        </w:rPr>
        <w:t>this </w:t>
      </w:r>
      <w:r>
        <w:rPr>
          <w:w w:val="120"/>
        </w:rPr>
        <w:t>will </w:t>
      </w:r>
      <w:r>
        <w:rPr>
          <w:spacing w:val="-3"/>
          <w:w w:val="120"/>
        </w:rPr>
        <w:t>allow </w:t>
      </w:r>
      <w:r>
        <w:rPr>
          <w:w w:val="120"/>
        </w:rPr>
        <w:t>for a helpful </w:t>
      </w:r>
      <w:r>
        <w:rPr>
          <w:spacing w:val="-3"/>
          <w:w w:val="120"/>
        </w:rPr>
        <w:t>continuation </w:t>
      </w:r>
      <w:r>
        <w:rPr>
          <w:w w:val="120"/>
        </w:rPr>
        <w:t>of our </w:t>
      </w:r>
      <w:r>
        <w:rPr>
          <w:spacing w:val="-3"/>
          <w:w w:val="120"/>
        </w:rPr>
        <w:t>collaboration </w:t>
      </w:r>
      <w:r>
        <w:rPr>
          <w:w w:val="120"/>
        </w:rPr>
        <w:t>and </w:t>
      </w:r>
      <w:r>
        <w:rPr>
          <w:spacing w:val="-3"/>
          <w:w w:val="120"/>
        </w:rPr>
        <w:t>integrated </w:t>
      </w:r>
      <w:r>
        <w:rPr>
          <w:w w:val="120"/>
        </w:rPr>
        <w:t>learning while </w:t>
      </w:r>
      <w:r>
        <w:rPr>
          <w:spacing w:val="-3"/>
          <w:w w:val="120"/>
        </w:rPr>
        <w:t>allowing </w:t>
      </w:r>
      <w:r>
        <w:rPr>
          <w:w w:val="120"/>
        </w:rPr>
        <w:t>for fresh direction in role and </w:t>
      </w:r>
      <w:r>
        <w:rPr>
          <w:spacing w:val="-3"/>
          <w:w w:val="120"/>
        </w:rPr>
        <w:t>responsibilities.</w:t>
      </w:r>
    </w:p>
    <w:p>
      <w:pPr>
        <w:pStyle w:val="BodyText"/>
        <w:spacing w:before="11"/>
        <w:rPr>
          <w:sz w:val="19"/>
        </w:rPr>
      </w:pPr>
    </w:p>
    <w:p>
      <w:pPr>
        <w:pStyle w:val="ListParagraph"/>
        <w:numPr>
          <w:ilvl w:val="0"/>
          <w:numId w:val="68"/>
        </w:numPr>
        <w:tabs>
          <w:tab w:pos="2244" w:val="left" w:leader="none"/>
          <w:tab w:pos="2245" w:val="left" w:leader="none"/>
        </w:tabs>
        <w:spacing w:line="235" w:lineRule="auto" w:before="0" w:after="0"/>
        <w:ind w:left="1564" w:right="1176" w:firstLine="0"/>
        <w:jc w:val="left"/>
        <w:rPr>
          <w:sz w:val="20"/>
        </w:rPr>
      </w:pPr>
      <w:r>
        <w:rPr>
          <w:w w:val="120"/>
          <w:sz w:val="20"/>
        </w:rPr>
        <w:t>The Revd Lindsey Sanderson continues as a college </w:t>
      </w:r>
      <w:r>
        <w:rPr>
          <w:spacing w:val="-3"/>
          <w:w w:val="120"/>
          <w:sz w:val="20"/>
        </w:rPr>
        <w:t>tutor, </w:t>
      </w:r>
      <w:r>
        <w:rPr>
          <w:w w:val="120"/>
          <w:sz w:val="20"/>
        </w:rPr>
        <w:t>bringing to that role local ministry involvement, significant ecumenical and world church</w:t>
      </w:r>
      <w:r>
        <w:rPr>
          <w:spacing w:val="54"/>
          <w:w w:val="120"/>
          <w:sz w:val="20"/>
        </w:rPr>
        <w:t> </w:t>
      </w:r>
      <w:r>
        <w:rPr>
          <w:w w:val="120"/>
          <w:sz w:val="20"/>
        </w:rPr>
        <w:t>experience,</w:t>
      </w:r>
    </w:p>
    <w:p>
      <w:pPr>
        <w:pStyle w:val="BodyText"/>
        <w:spacing w:line="235" w:lineRule="auto" w:before="1"/>
        <w:ind w:left="1564" w:right="1169"/>
      </w:pPr>
      <w:r>
        <w:rPr>
          <w:w w:val="120"/>
        </w:rPr>
        <w:t>and gifts that range from third sector leadership to the writing of hymns and liturgy. The Revd Trevor Jamison acted as a college tutor alongside his role as environmental chaplain to Eco-congregation Scotland. Trevor recently left to take up ministry in Northern Synod and we thank him for his service and wish him well as he returns to local ministry.</w:t>
      </w:r>
    </w:p>
    <w:p>
      <w:pPr>
        <w:pStyle w:val="BodyText"/>
      </w:pPr>
    </w:p>
    <w:p>
      <w:pPr>
        <w:pStyle w:val="ListParagraph"/>
        <w:numPr>
          <w:ilvl w:val="0"/>
          <w:numId w:val="68"/>
        </w:numPr>
        <w:tabs>
          <w:tab w:pos="2244" w:val="left" w:leader="none"/>
          <w:tab w:pos="2245" w:val="left" w:leader="none"/>
        </w:tabs>
        <w:spacing w:line="235" w:lineRule="auto" w:before="0" w:after="0"/>
        <w:ind w:left="1564" w:right="1027" w:firstLine="0"/>
        <w:jc w:val="left"/>
        <w:rPr>
          <w:sz w:val="20"/>
        </w:rPr>
      </w:pPr>
      <w:r>
        <w:rPr>
          <w:w w:val="120"/>
          <w:sz w:val="20"/>
        </w:rPr>
        <w:t>The Revd Jan </w:t>
      </w:r>
      <w:r>
        <w:rPr>
          <w:spacing w:val="-3"/>
          <w:w w:val="120"/>
          <w:sz w:val="20"/>
        </w:rPr>
        <w:t>Adamson’s </w:t>
      </w:r>
      <w:r>
        <w:rPr>
          <w:w w:val="120"/>
          <w:sz w:val="20"/>
        </w:rPr>
        <w:t>retirement from being Field Officer for Local Mission and Development and the transition of the Revd Stewart Cutler to be minister of Word and Sacraments means that they no longer have their former roles as associate tutors. We express our great appreciation for the creativity and commitment they brought to the life of the college, both in initial ministerial education and in wider learning and development</w:t>
      </w:r>
      <w:r>
        <w:rPr>
          <w:spacing w:val="2"/>
          <w:w w:val="120"/>
          <w:sz w:val="20"/>
        </w:rPr>
        <w:t> </w:t>
      </w:r>
      <w:r>
        <w:rPr>
          <w:w w:val="120"/>
          <w:sz w:val="20"/>
        </w:rPr>
        <w:t>work.</w:t>
      </w:r>
    </w:p>
    <w:p>
      <w:pPr>
        <w:pStyle w:val="BodyText"/>
      </w:pPr>
    </w:p>
    <w:p>
      <w:pPr>
        <w:pStyle w:val="ListParagraph"/>
        <w:numPr>
          <w:ilvl w:val="0"/>
          <w:numId w:val="68"/>
        </w:numPr>
        <w:tabs>
          <w:tab w:pos="2244" w:val="left" w:leader="none"/>
          <w:tab w:pos="2245" w:val="left" w:leader="none"/>
        </w:tabs>
        <w:spacing w:line="235" w:lineRule="auto" w:before="0" w:after="0"/>
        <w:ind w:left="1564" w:right="923" w:firstLine="0"/>
        <w:jc w:val="left"/>
        <w:rPr>
          <w:sz w:val="20"/>
        </w:rPr>
      </w:pPr>
      <w:r>
        <w:rPr>
          <w:w w:val="120"/>
          <w:sz w:val="20"/>
        </w:rPr>
        <w:t>What remains constant is our commitment to a model of learning community that brings into dialogue and sharing of experience folk from across the life of the Church – members, elders, ministers, students. Not least we seek to make this true in that </w:t>
      </w:r>
      <w:r>
        <w:rPr>
          <w:spacing w:val="2"/>
          <w:w w:val="120"/>
          <w:sz w:val="20"/>
        </w:rPr>
        <w:t>part </w:t>
      </w:r>
      <w:r>
        <w:rPr>
          <w:w w:val="120"/>
          <w:sz w:val="20"/>
        </w:rPr>
        <w:t>of learning that we call training, aware always that different callings within the life of the Church must be, and ought to be, exercised</w:t>
      </w:r>
      <w:r>
        <w:rPr>
          <w:spacing w:val="33"/>
          <w:w w:val="120"/>
          <w:sz w:val="20"/>
        </w:rPr>
        <w:t> </w:t>
      </w:r>
      <w:r>
        <w:rPr>
          <w:w w:val="120"/>
          <w:sz w:val="20"/>
        </w:rPr>
        <w:t>collaboratively.</w:t>
      </w:r>
    </w:p>
    <w:p>
      <w:pPr>
        <w:pStyle w:val="BodyText"/>
        <w:spacing w:before="11"/>
        <w:rPr>
          <w:sz w:val="19"/>
        </w:rPr>
      </w:pPr>
    </w:p>
    <w:p>
      <w:pPr>
        <w:pStyle w:val="ListParagraph"/>
        <w:numPr>
          <w:ilvl w:val="0"/>
          <w:numId w:val="68"/>
        </w:numPr>
        <w:tabs>
          <w:tab w:pos="2244" w:val="left" w:leader="none"/>
          <w:tab w:pos="2245" w:val="left" w:leader="none"/>
        </w:tabs>
        <w:spacing w:line="235" w:lineRule="auto" w:before="1" w:after="0"/>
        <w:ind w:left="1564" w:right="971" w:firstLine="0"/>
        <w:jc w:val="left"/>
        <w:rPr>
          <w:sz w:val="20"/>
        </w:rPr>
      </w:pPr>
      <w:r>
        <w:rPr>
          <w:w w:val="120"/>
          <w:sz w:val="20"/>
        </w:rPr>
        <w:t>Our existing partnerships remain strong and effective, particularly with the Scottish Episcopal Institute, and with Glasgow University. We are conscious of the need to complement existing relationships with new networks of mutual fellowship and endeavour, seeking out those others – locally and further afield – with whom we can walk our ways together in mutual support and</w:t>
      </w:r>
      <w:r>
        <w:rPr>
          <w:spacing w:val="16"/>
          <w:w w:val="120"/>
          <w:sz w:val="20"/>
        </w:rPr>
        <w:t> </w:t>
      </w:r>
      <w:r>
        <w:rPr>
          <w:w w:val="120"/>
          <w:sz w:val="20"/>
        </w:rPr>
        <w:t>follower-ship.</w:t>
      </w:r>
    </w:p>
    <w:p>
      <w:pPr>
        <w:pStyle w:val="BodyText"/>
        <w:spacing w:before="11"/>
        <w:rPr>
          <w:sz w:val="19"/>
        </w:rPr>
      </w:pPr>
    </w:p>
    <w:p>
      <w:pPr>
        <w:pStyle w:val="ListParagraph"/>
        <w:numPr>
          <w:ilvl w:val="0"/>
          <w:numId w:val="68"/>
        </w:numPr>
        <w:tabs>
          <w:tab w:pos="2244" w:val="left" w:leader="none"/>
          <w:tab w:pos="2245" w:val="left" w:leader="none"/>
        </w:tabs>
        <w:spacing w:line="235" w:lineRule="auto" w:before="0" w:after="0"/>
        <w:ind w:left="1564" w:right="1024" w:firstLine="0"/>
        <w:jc w:val="left"/>
        <w:rPr>
          <w:sz w:val="20"/>
        </w:rPr>
      </w:pPr>
      <w:r>
        <w:rPr>
          <w:w w:val="120"/>
          <w:sz w:val="20"/>
        </w:rPr>
        <w:t>The college continues to benefit from an appreciative inquiry process begun in </w:t>
      </w:r>
      <w:r>
        <w:rPr>
          <w:spacing w:val="-6"/>
          <w:w w:val="120"/>
          <w:sz w:val="20"/>
        </w:rPr>
        <w:t>2016, </w:t>
      </w:r>
      <w:r>
        <w:rPr>
          <w:w w:val="120"/>
          <w:sz w:val="20"/>
        </w:rPr>
        <w:t>and to reflect on how the strengths and values identified can be nurtured, and the challenges identified met. We began a strategic planning process this June, aiming to set out our priorities and plans for the next phase of college</w:t>
      </w:r>
      <w:r>
        <w:rPr>
          <w:spacing w:val="24"/>
          <w:w w:val="120"/>
          <w:sz w:val="20"/>
        </w:rPr>
        <w:t> </w:t>
      </w:r>
      <w:r>
        <w:rPr>
          <w:w w:val="120"/>
          <w:sz w:val="20"/>
        </w:rPr>
        <w:t>life.</w:t>
      </w:r>
    </w:p>
    <w:p>
      <w:pPr>
        <w:spacing w:after="0" w:line="235" w:lineRule="auto"/>
        <w:jc w:val="left"/>
        <w:rPr>
          <w:sz w:val="20"/>
        </w:rPr>
        <w:sectPr>
          <w:headerReference w:type="default" r:id="rId288"/>
          <w:footerReference w:type="default" r:id="rId289"/>
          <w:footerReference w:type="even" r:id="rId290"/>
          <w:pgSz w:w="11910" w:h="16840"/>
          <w:pgMar w:header="0" w:footer="647" w:top="0" w:bottom="840" w:left="420" w:right="380"/>
          <w:pgNumType w:start="97"/>
        </w:sectPr>
      </w:pPr>
    </w:p>
    <w:p>
      <w:pPr>
        <w:pStyle w:val="BodyText"/>
      </w:pPr>
      <w:r>
        <w:rPr/>
        <w:drawing>
          <wp:anchor distT="0" distB="0" distL="0" distR="0" allowOverlap="1" layoutInCell="1" locked="0" behindDoc="1" simplePos="0" relativeHeight="235957248">
            <wp:simplePos x="0" y="0"/>
            <wp:positionH relativeFrom="page">
              <wp:posOffset>0</wp:posOffset>
            </wp:positionH>
            <wp:positionV relativeFrom="page">
              <wp:posOffset>0</wp:posOffset>
            </wp:positionV>
            <wp:extent cx="594067" cy="10692003"/>
            <wp:effectExtent l="0" t="0" r="0" b="0"/>
            <wp:wrapNone/>
            <wp:docPr id="185" name="image70.png"/>
            <wp:cNvGraphicFramePr>
              <a:graphicFrameLocks noChangeAspect="1"/>
            </wp:cNvGraphicFramePr>
            <a:graphic>
              <a:graphicData uri="http://schemas.openxmlformats.org/drawingml/2006/picture">
                <pic:pic>
                  <pic:nvPicPr>
                    <pic:cNvPr id="18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25504"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ListParagraph"/>
        <w:numPr>
          <w:ilvl w:val="0"/>
          <w:numId w:val="68"/>
        </w:numPr>
        <w:tabs>
          <w:tab w:pos="1507" w:val="left" w:leader="none"/>
          <w:tab w:pos="1508" w:val="left" w:leader="none"/>
        </w:tabs>
        <w:spacing w:line="235" w:lineRule="auto" w:before="222" w:after="0"/>
        <w:ind w:left="827" w:right="1940" w:firstLine="0"/>
        <w:jc w:val="left"/>
        <w:rPr>
          <w:sz w:val="20"/>
        </w:rPr>
      </w:pPr>
      <w:r>
        <w:rPr>
          <w:w w:val="120"/>
          <w:sz w:val="20"/>
        </w:rPr>
        <w:t>Our dedication to fostering Christian imagination, and to walking the way of Kingdom dreams in company with – and for – the church is rooted in the example of God in Christ, whom we might even say pictures for us a ‘learning God who calls a learning</w:t>
      </w:r>
      <w:r>
        <w:rPr>
          <w:spacing w:val="2"/>
          <w:w w:val="120"/>
          <w:sz w:val="20"/>
        </w:rPr>
        <w:t> </w:t>
      </w:r>
      <w:r>
        <w:rPr>
          <w:spacing w:val="-3"/>
          <w:w w:val="120"/>
          <w:sz w:val="20"/>
        </w:rPr>
        <w:t>people’.</w:t>
      </w:r>
    </w:p>
    <w:p>
      <w:pPr>
        <w:pStyle w:val="BodyText"/>
        <w:spacing w:before="10"/>
        <w:rPr>
          <w:sz w:val="19"/>
        </w:rPr>
      </w:pPr>
    </w:p>
    <w:p>
      <w:pPr>
        <w:spacing w:line="235" w:lineRule="auto" w:before="0"/>
        <w:ind w:left="1507" w:right="1735" w:firstLine="0"/>
        <w:jc w:val="left"/>
        <w:rPr>
          <w:i/>
          <w:sz w:val="20"/>
        </w:rPr>
      </w:pPr>
      <w:r>
        <w:rPr>
          <w:i/>
          <w:w w:val="115"/>
          <w:sz w:val="20"/>
        </w:rPr>
        <w:t>There</w:t>
      </w:r>
      <w:r>
        <w:rPr>
          <w:i/>
          <w:spacing w:val="-11"/>
          <w:w w:val="115"/>
          <w:sz w:val="20"/>
        </w:rPr>
        <w:t> </w:t>
      </w:r>
      <w:r>
        <w:rPr>
          <w:i/>
          <w:w w:val="115"/>
          <w:sz w:val="20"/>
        </w:rPr>
        <w:t>is</w:t>
      </w:r>
      <w:r>
        <w:rPr>
          <w:i/>
          <w:spacing w:val="-10"/>
          <w:w w:val="115"/>
          <w:sz w:val="20"/>
        </w:rPr>
        <w:t> </w:t>
      </w:r>
      <w:r>
        <w:rPr>
          <w:i/>
          <w:w w:val="115"/>
          <w:sz w:val="20"/>
        </w:rPr>
        <w:t>a</w:t>
      </w:r>
      <w:r>
        <w:rPr>
          <w:i/>
          <w:spacing w:val="-11"/>
          <w:w w:val="115"/>
          <w:sz w:val="20"/>
        </w:rPr>
        <w:t> </w:t>
      </w:r>
      <w:r>
        <w:rPr>
          <w:i/>
          <w:w w:val="115"/>
          <w:sz w:val="20"/>
        </w:rPr>
        <w:t>sense</w:t>
      </w:r>
      <w:r>
        <w:rPr>
          <w:i/>
          <w:spacing w:val="-10"/>
          <w:w w:val="115"/>
          <w:sz w:val="20"/>
        </w:rPr>
        <w:t> </w:t>
      </w:r>
      <w:r>
        <w:rPr>
          <w:i/>
          <w:w w:val="115"/>
          <w:sz w:val="20"/>
        </w:rPr>
        <w:t>in</w:t>
      </w:r>
      <w:r>
        <w:rPr>
          <w:i/>
          <w:spacing w:val="-10"/>
          <w:w w:val="115"/>
          <w:sz w:val="20"/>
        </w:rPr>
        <w:t> </w:t>
      </w:r>
      <w:r>
        <w:rPr>
          <w:i/>
          <w:w w:val="115"/>
          <w:sz w:val="20"/>
        </w:rPr>
        <w:t>which</w:t>
      </w:r>
      <w:r>
        <w:rPr>
          <w:i/>
          <w:spacing w:val="-11"/>
          <w:w w:val="115"/>
          <w:sz w:val="20"/>
        </w:rPr>
        <w:t> </w:t>
      </w:r>
      <w:r>
        <w:rPr>
          <w:i/>
          <w:w w:val="115"/>
          <w:sz w:val="20"/>
        </w:rPr>
        <w:t>we</w:t>
      </w:r>
      <w:r>
        <w:rPr>
          <w:i/>
          <w:spacing w:val="-10"/>
          <w:w w:val="115"/>
          <w:sz w:val="20"/>
        </w:rPr>
        <w:t> </w:t>
      </w:r>
      <w:r>
        <w:rPr>
          <w:i/>
          <w:w w:val="115"/>
          <w:sz w:val="20"/>
        </w:rPr>
        <w:t>may</w:t>
      </w:r>
      <w:r>
        <w:rPr>
          <w:i/>
          <w:spacing w:val="-10"/>
          <w:w w:val="115"/>
          <w:sz w:val="20"/>
        </w:rPr>
        <w:t> </w:t>
      </w:r>
      <w:r>
        <w:rPr>
          <w:i/>
          <w:w w:val="115"/>
          <w:sz w:val="20"/>
        </w:rPr>
        <w:t>think</w:t>
      </w:r>
      <w:r>
        <w:rPr>
          <w:i/>
          <w:spacing w:val="-11"/>
          <w:w w:val="115"/>
          <w:sz w:val="20"/>
        </w:rPr>
        <w:t> </w:t>
      </w:r>
      <w:r>
        <w:rPr>
          <w:i/>
          <w:w w:val="115"/>
          <w:sz w:val="20"/>
        </w:rPr>
        <w:t>that</w:t>
      </w:r>
      <w:r>
        <w:rPr>
          <w:i/>
          <w:spacing w:val="-10"/>
          <w:w w:val="115"/>
          <w:sz w:val="20"/>
        </w:rPr>
        <w:t> </w:t>
      </w:r>
      <w:r>
        <w:rPr>
          <w:i/>
          <w:w w:val="115"/>
          <w:sz w:val="20"/>
        </w:rPr>
        <w:t>God</w:t>
      </w:r>
      <w:r>
        <w:rPr>
          <w:i/>
          <w:spacing w:val="-10"/>
          <w:w w:val="115"/>
          <w:sz w:val="20"/>
        </w:rPr>
        <w:t> </w:t>
      </w:r>
      <w:r>
        <w:rPr>
          <w:i/>
          <w:w w:val="115"/>
          <w:sz w:val="20"/>
        </w:rPr>
        <w:t>learns</w:t>
      </w:r>
      <w:r>
        <w:rPr>
          <w:i/>
          <w:spacing w:val="-11"/>
          <w:w w:val="115"/>
          <w:sz w:val="20"/>
        </w:rPr>
        <w:t> </w:t>
      </w:r>
      <w:r>
        <w:rPr>
          <w:i/>
          <w:w w:val="115"/>
          <w:sz w:val="20"/>
        </w:rPr>
        <w:t>not</w:t>
      </w:r>
      <w:r>
        <w:rPr>
          <w:i/>
          <w:spacing w:val="-10"/>
          <w:w w:val="115"/>
          <w:sz w:val="20"/>
        </w:rPr>
        <w:t> </w:t>
      </w:r>
      <w:r>
        <w:rPr>
          <w:i/>
          <w:w w:val="115"/>
          <w:sz w:val="20"/>
        </w:rPr>
        <w:t>less</w:t>
      </w:r>
      <w:r>
        <w:rPr>
          <w:i/>
          <w:spacing w:val="-10"/>
          <w:w w:val="115"/>
          <w:sz w:val="20"/>
        </w:rPr>
        <w:t> </w:t>
      </w:r>
      <w:r>
        <w:rPr>
          <w:i/>
          <w:w w:val="115"/>
          <w:sz w:val="20"/>
        </w:rPr>
        <w:t>than</w:t>
      </w:r>
      <w:r>
        <w:rPr>
          <w:i/>
          <w:spacing w:val="-11"/>
          <w:w w:val="115"/>
          <w:sz w:val="20"/>
        </w:rPr>
        <w:t> </w:t>
      </w:r>
      <w:r>
        <w:rPr>
          <w:i/>
          <w:w w:val="115"/>
          <w:sz w:val="20"/>
        </w:rPr>
        <w:t>we</w:t>
      </w:r>
      <w:r>
        <w:rPr>
          <w:i/>
          <w:spacing w:val="-10"/>
          <w:w w:val="115"/>
          <w:sz w:val="20"/>
        </w:rPr>
        <w:t> </w:t>
      </w:r>
      <w:r>
        <w:rPr>
          <w:i/>
          <w:w w:val="115"/>
          <w:sz w:val="20"/>
        </w:rPr>
        <w:t>do,</w:t>
      </w:r>
      <w:r>
        <w:rPr>
          <w:i/>
          <w:spacing w:val="-10"/>
          <w:w w:val="115"/>
          <w:sz w:val="20"/>
        </w:rPr>
        <w:t> </w:t>
      </w:r>
      <w:r>
        <w:rPr>
          <w:i/>
          <w:w w:val="115"/>
          <w:sz w:val="20"/>
        </w:rPr>
        <w:t>but</w:t>
      </w:r>
      <w:r>
        <w:rPr>
          <w:i/>
          <w:spacing w:val="-11"/>
          <w:w w:val="115"/>
          <w:sz w:val="20"/>
        </w:rPr>
        <w:t> </w:t>
      </w:r>
      <w:r>
        <w:rPr>
          <w:i/>
          <w:w w:val="115"/>
          <w:sz w:val="20"/>
        </w:rPr>
        <w:t>more, </w:t>
      </w:r>
      <w:r>
        <w:rPr>
          <w:i/>
          <w:w w:val="115"/>
          <w:sz w:val="20"/>
        </w:rPr>
        <w:t>since [God] is always completely open to all the freshness of this new world … Our knowledge,</w:t>
      </w:r>
      <w:r>
        <w:rPr>
          <w:i/>
          <w:spacing w:val="-11"/>
          <w:w w:val="115"/>
          <w:sz w:val="20"/>
        </w:rPr>
        <w:t> </w:t>
      </w:r>
      <w:r>
        <w:rPr>
          <w:i/>
          <w:w w:val="115"/>
          <w:sz w:val="20"/>
        </w:rPr>
        <w:t>unlike</w:t>
      </w:r>
      <w:r>
        <w:rPr>
          <w:i/>
          <w:spacing w:val="-10"/>
          <w:w w:val="115"/>
          <w:sz w:val="20"/>
        </w:rPr>
        <w:t> </w:t>
      </w:r>
      <w:r>
        <w:rPr>
          <w:i/>
          <w:w w:val="115"/>
          <w:sz w:val="20"/>
        </w:rPr>
        <w:t>that</w:t>
      </w:r>
      <w:r>
        <w:rPr>
          <w:i/>
          <w:spacing w:val="-10"/>
          <w:w w:val="115"/>
          <w:sz w:val="20"/>
        </w:rPr>
        <w:t> </w:t>
      </w:r>
      <w:r>
        <w:rPr>
          <w:i/>
          <w:w w:val="115"/>
          <w:sz w:val="20"/>
        </w:rPr>
        <w:t>of</w:t>
      </w:r>
      <w:r>
        <w:rPr>
          <w:i/>
          <w:spacing w:val="-11"/>
          <w:w w:val="115"/>
          <w:sz w:val="20"/>
        </w:rPr>
        <w:t> </w:t>
      </w:r>
      <w:r>
        <w:rPr>
          <w:i/>
          <w:w w:val="115"/>
          <w:sz w:val="20"/>
        </w:rPr>
        <w:t>God,</w:t>
      </w:r>
      <w:r>
        <w:rPr>
          <w:i/>
          <w:spacing w:val="-10"/>
          <w:w w:val="115"/>
          <w:sz w:val="20"/>
        </w:rPr>
        <w:t> </w:t>
      </w:r>
      <w:r>
        <w:rPr>
          <w:i/>
          <w:w w:val="115"/>
          <w:sz w:val="20"/>
        </w:rPr>
        <w:t>is</w:t>
      </w:r>
      <w:r>
        <w:rPr>
          <w:i/>
          <w:spacing w:val="-10"/>
          <w:w w:val="115"/>
          <w:sz w:val="20"/>
        </w:rPr>
        <w:t> </w:t>
      </w:r>
      <w:r>
        <w:rPr>
          <w:i/>
          <w:w w:val="115"/>
          <w:sz w:val="20"/>
        </w:rPr>
        <w:t>in</w:t>
      </w:r>
      <w:r>
        <w:rPr>
          <w:i/>
          <w:spacing w:val="-11"/>
          <w:w w:val="115"/>
          <w:sz w:val="20"/>
        </w:rPr>
        <w:t> </w:t>
      </w:r>
      <w:r>
        <w:rPr>
          <w:i/>
          <w:w w:val="115"/>
          <w:sz w:val="20"/>
        </w:rPr>
        <w:t>part,</w:t>
      </w:r>
      <w:r>
        <w:rPr>
          <w:i/>
          <w:spacing w:val="-10"/>
          <w:w w:val="115"/>
          <w:sz w:val="20"/>
        </w:rPr>
        <w:t> </w:t>
      </w:r>
      <w:r>
        <w:rPr>
          <w:i/>
          <w:w w:val="115"/>
          <w:sz w:val="20"/>
        </w:rPr>
        <w:t>and</w:t>
      </w:r>
      <w:r>
        <w:rPr>
          <w:i/>
          <w:spacing w:val="-10"/>
          <w:w w:val="115"/>
          <w:sz w:val="20"/>
        </w:rPr>
        <w:t> </w:t>
      </w:r>
      <w:r>
        <w:rPr>
          <w:i/>
          <w:w w:val="115"/>
          <w:sz w:val="20"/>
        </w:rPr>
        <w:t>some</w:t>
      </w:r>
      <w:r>
        <w:rPr>
          <w:i/>
          <w:spacing w:val="-11"/>
          <w:w w:val="115"/>
          <w:sz w:val="20"/>
        </w:rPr>
        <w:t> </w:t>
      </w:r>
      <w:r>
        <w:rPr>
          <w:i/>
          <w:w w:val="115"/>
          <w:sz w:val="20"/>
        </w:rPr>
        <w:t>day</w:t>
      </w:r>
      <w:r>
        <w:rPr>
          <w:i/>
          <w:spacing w:val="-10"/>
          <w:w w:val="115"/>
          <w:sz w:val="20"/>
        </w:rPr>
        <w:t> </w:t>
      </w:r>
      <w:r>
        <w:rPr>
          <w:i/>
          <w:w w:val="115"/>
          <w:sz w:val="20"/>
        </w:rPr>
        <w:t>we</w:t>
      </w:r>
      <w:r>
        <w:rPr>
          <w:i/>
          <w:spacing w:val="-10"/>
          <w:w w:val="115"/>
          <w:sz w:val="20"/>
        </w:rPr>
        <w:t> </w:t>
      </w:r>
      <w:r>
        <w:rPr>
          <w:i/>
          <w:w w:val="115"/>
          <w:sz w:val="20"/>
        </w:rPr>
        <w:t>shall</w:t>
      </w:r>
      <w:r>
        <w:rPr>
          <w:i/>
          <w:spacing w:val="-11"/>
          <w:w w:val="115"/>
          <w:sz w:val="20"/>
        </w:rPr>
        <w:t> </w:t>
      </w:r>
      <w:r>
        <w:rPr>
          <w:i/>
          <w:w w:val="115"/>
          <w:sz w:val="20"/>
        </w:rPr>
        <w:t>know</w:t>
      </w:r>
      <w:r>
        <w:rPr>
          <w:i/>
          <w:spacing w:val="-10"/>
          <w:w w:val="115"/>
          <w:sz w:val="20"/>
        </w:rPr>
        <w:t> </w:t>
      </w:r>
      <w:r>
        <w:rPr>
          <w:i/>
          <w:w w:val="115"/>
          <w:sz w:val="20"/>
        </w:rPr>
        <w:t>as</w:t>
      </w:r>
      <w:r>
        <w:rPr>
          <w:i/>
          <w:spacing w:val="-10"/>
          <w:w w:val="115"/>
          <w:sz w:val="20"/>
        </w:rPr>
        <w:t> </w:t>
      </w:r>
      <w:r>
        <w:rPr>
          <w:i/>
          <w:w w:val="115"/>
          <w:sz w:val="20"/>
        </w:rPr>
        <w:t>perfectly</w:t>
      </w:r>
      <w:r>
        <w:rPr>
          <w:i/>
          <w:spacing w:val="-10"/>
          <w:w w:val="115"/>
          <w:sz w:val="20"/>
        </w:rPr>
        <w:t> </w:t>
      </w:r>
      <w:r>
        <w:rPr>
          <w:i/>
          <w:w w:val="115"/>
          <w:sz w:val="20"/>
        </w:rPr>
        <w:t>as we are known. But even then, faith, hope and love will endure, and so therefore will learning, both human and</w:t>
      </w:r>
      <w:r>
        <w:rPr>
          <w:i/>
          <w:spacing w:val="4"/>
          <w:w w:val="115"/>
          <w:sz w:val="20"/>
        </w:rPr>
        <w:t> </w:t>
      </w:r>
      <w:r>
        <w:rPr>
          <w:i/>
          <w:w w:val="115"/>
          <w:sz w:val="20"/>
        </w:rPr>
        <w:t>divine.</w:t>
      </w:r>
    </w:p>
    <w:p>
      <w:pPr>
        <w:pStyle w:val="BodyText"/>
        <w:rPr>
          <w:i/>
        </w:rPr>
      </w:pPr>
    </w:p>
    <w:p>
      <w:pPr>
        <w:spacing w:line="235" w:lineRule="auto" w:before="0"/>
        <w:ind w:left="1507" w:right="1620" w:firstLine="0"/>
        <w:jc w:val="left"/>
        <w:rPr>
          <w:i/>
          <w:sz w:val="20"/>
        </w:rPr>
      </w:pPr>
      <w:r>
        <w:rPr>
          <w:i/>
          <w:w w:val="110"/>
          <w:sz w:val="20"/>
        </w:rPr>
        <w:t>The God who hopes for this world is also the God who learns. </w:t>
      </w:r>
      <w:r>
        <w:rPr>
          <w:i/>
          <w:spacing w:val="-3"/>
          <w:w w:val="110"/>
          <w:sz w:val="20"/>
        </w:rPr>
        <w:t>God’s </w:t>
      </w:r>
      <w:r>
        <w:rPr>
          <w:i/>
          <w:w w:val="110"/>
          <w:sz w:val="20"/>
        </w:rPr>
        <w:t>perfection and </w:t>
      </w:r>
      <w:r>
        <w:rPr>
          <w:i/>
          <w:spacing w:val="-3"/>
          <w:w w:val="110"/>
          <w:sz w:val="20"/>
        </w:rPr>
        <w:t>God’s </w:t>
      </w:r>
      <w:r>
        <w:rPr>
          <w:i/>
          <w:w w:val="110"/>
          <w:sz w:val="20"/>
        </w:rPr>
        <w:t>unity as the Hopeful One, the learner and the </w:t>
      </w:r>
      <w:r>
        <w:rPr>
          <w:i/>
          <w:spacing w:val="-4"/>
          <w:w w:val="110"/>
          <w:sz w:val="20"/>
        </w:rPr>
        <w:t>lover, </w:t>
      </w:r>
      <w:r>
        <w:rPr>
          <w:i/>
          <w:w w:val="110"/>
          <w:sz w:val="20"/>
        </w:rPr>
        <w:t>is part of </w:t>
      </w:r>
      <w:r>
        <w:rPr>
          <w:i/>
          <w:spacing w:val="-3"/>
          <w:w w:val="110"/>
          <w:sz w:val="20"/>
        </w:rPr>
        <w:t>God’s </w:t>
      </w:r>
      <w:r>
        <w:rPr>
          <w:i/>
          <w:w w:val="110"/>
          <w:sz w:val="20"/>
        </w:rPr>
        <w:t>faithfulness towards the</w:t>
      </w:r>
      <w:r>
        <w:rPr>
          <w:i/>
          <w:spacing w:val="3"/>
          <w:w w:val="110"/>
          <w:sz w:val="20"/>
        </w:rPr>
        <w:t> </w:t>
      </w:r>
      <w:r>
        <w:rPr>
          <w:i/>
          <w:w w:val="110"/>
          <w:sz w:val="20"/>
        </w:rPr>
        <w:t>world.</w:t>
      </w:r>
    </w:p>
    <w:p>
      <w:pPr>
        <w:spacing w:before="18"/>
        <w:ind w:left="3415" w:right="0" w:firstLine="0"/>
        <w:jc w:val="left"/>
        <w:rPr>
          <w:sz w:val="18"/>
        </w:rPr>
      </w:pPr>
      <w:r>
        <w:rPr>
          <w:w w:val="115"/>
          <w:sz w:val="18"/>
        </w:rPr>
        <w:t>John M Hull, </w:t>
      </w:r>
      <w:r>
        <w:rPr>
          <w:i/>
          <w:w w:val="115"/>
          <w:sz w:val="18"/>
        </w:rPr>
        <w:t>What Prevents Christian Adults from Learning? </w:t>
      </w:r>
      <w:r>
        <w:rPr>
          <w:w w:val="115"/>
          <w:sz w:val="18"/>
        </w:rPr>
        <w:t>(SCM, 2011)</w:t>
      </w:r>
    </w:p>
    <w:p>
      <w:pPr>
        <w:pStyle w:val="BodyText"/>
        <w:spacing w:before="12"/>
        <w:rPr>
          <w:sz w:val="18"/>
        </w:rPr>
      </w:pPr>
    </w:p>
    <w:p>
      <w:pPr>
        <w:pStyle w:val="ListParagraph"/>
        <w:numPr>
          <w:ilvl w:val="0"/>
          <w:numId w:val="68"/>
        </w:numPr>
        <w:tabs>
          <w:tab w:pos="1507" w:val="left" w:leader="none"/>
          <w:tab w:pos="1508" w:val="left" w:leader="none"/>
        </w:tabs>
        <w:spacing w:line="235" w:lineRule="auto" w:before="0" w:after="0"/>
        <w:ind w:left="827" w:right="1602" w:firstLine="0"/>
        <w:jc w:val="left"/>
        <w:rPr>
          <w:sz w:val="20"/>
        </w:rPr>
      </w:pPr>
      <w:r>
        <w:rPr>
          <w:w w:val="120"/>
          <w:sz w:val="20"/>
        </w:rPr>
        <w:t>Inspired by this faithful, learning God we offer our service and our imagination to the church and to the</w:t>
      </w:r>
      <w:r>
        <w:rPr>
          <w:spacing w:val="11"/>
          <w:w w:val="120"/>
          <w:sz w:val="20"/>
        </w:rPr>
        <w:t> </w:t>
      </w:r>
      <w:r>
        <w:rPr>
          <w:w w:val="120"/>
          <w:sz w:val="20"/>
        </w:rPr>
        <w:t>world.</w:t>
      </w:r>
    </w:p>
    <w:p>
      <w:pPr>
        <w:pStyle w:val="BodyText"/>
        <w:spacing w:before="1"/>
        <w:rPr>
          <w:sz w:val="22"/>
        </w:rPr>
      </w:pPr>
    </w:p>
    <w:p>
      <w:pPr>
        <w:pStyle w:val="Heading4"/>
        <w:spacing w:before="1"/>
        <w:ind w:firstLine="0"/>
      </w:pPr>
      <w:r>
        <w:rPr>
          <w:spacing w:val="3"/>
          <w:w w:val="110"/>
        </w:rPr>
        <w:t>Westminster </w:t>
      </w:r>
      <w:r>
        <w:rPr>
          <w:spacing w:val="2"/>
          <w:w w:val="110"/>
        </w:rPr>
        <w:t>Walking the </w:t>
      </w:r>
      <w:r>
        <w:rPr>
          <w:w w:val="110"/>
        </w:rPr>
        <w:t>Way: </w:t>
      </w:r>
      <w:r>
        <w:rPr>
          <w:spacing w:val="3"/>
          <w:w w:val="110"/>
        </w:rPr>
        <w:t>Purpose, </w:t>
      </w:r>
      <w:r>
        <w:rPr>
          <w:spacing w:val="4"/>
          <w:w w:val="110"/>
        </w:rPr>
        <w:t>people,</w:t>
      </w:r>
      <w:r>
        <w:rPr>
          <w:spacing w:val="74"/>
          <w:w w:val="110"/>
        </w:rPr>
        <w:t> </w:t>
      </w:r>
      <w:r>
        <w:rPr>
          <w:spacing w:val="3"/>
          <w:w w:val="110"/>
        </w:rPr>
        <w:t>places</w:t>
      </w:r>
    </w:p>
    <w:p>
      <w:pPr>
        <w:pStyle w:val="Heading6"/>
        <w:spacing w:before="58"/>
      </w:pPr>
      <w:r>
        <w:rPr>
          <w:w w:val="110"/>
        </w:rPr>
        <w:t>Purpose</w:t>
      </w:r>
    </w:p>
    <w:p>
      <w:pPr>
        <w:pStyle w:val="ListParagraph"/>
        <w:numPr>
          <w:ilvl w:val="0"/>
          <w:numId w:val="68"/>
        </w:numPr>
        <w:tabs>
          <w:tab w:pos="1507" w:val="left" w:leader="none"/>
          <w:tab w:pos="1508" w:val="left" w:leader="none"/>
        </w:tabs>
        <w:spacing w:line="235" w:lineRule="auto" w:before="83" w:after="0"/>
        <w:ind w:left="827" w:right="1819" w:firstLine="0"/>
        <w:jc w:val="left"/>
        <w:rPr>
          <w:sz w:val="20"/>
        </w:rPr>
      </w:pPr>
      <w:r>
        <w:rPr>
          <w:w w:val="120"/>
          <w:sz w:val="20"/>
        </w:rPr>
        <w:t>With the </w:t>
      </w:r>
      <w:r>
        <w:rPr>
          <w:spacing w:val="-3"/>
          <w:w w:val="120"/>
          <w:sz w:val="20"/>
        </w:rPr>
        <w:t>URC’s </w:t>
      </w:r>
      <w:r>
        <w:rPr>
          <w:w w:val="120"/>
          <w:sz w:val="20"/>
        </w:rPr>
        <w:t>other RCLs, Westminster College exists to foster discipleship across the whole denomination. Our purpose is to take that wide horizon of discovery and fill in its details with resources, events and invitations to encourage and inspire. We develop our events and courses in constant conversation with as many people as possible across our churches and synods, tailoring programmes to</w:t>
      </w:r>
      <w:r>
        <w:rPr>
          <w:spacing w:val="46"/>
          <w:w w:val="120"/>
          <w:sz w:val="20"/>
        </w:rPr>
        <w:t> </w:t>
      </w:r>
      <w:r>
        <w:rPr>
          <w:w w:val="120"/>
          <w:sz w:val="20"/>
        </w:rPr>
        <w:t>requirements.</w:t>
      </w:r>
    </w:p>
    <w:p>
      <w:pPr>
        <w:pStyle w:val="BodyText"/>
        <w:spacing w:before="11"/>
        <w:rPr>
          <w:sz w:val="19"/>
        </w:rPr>
      </w:pPr>
    </w:p>
    <w:p>
      <w:pPr>
        <w:pStyle w:val="ListParagraph"/>
        <w:numPr>
          <w:ilvl w:val="0"/>
          <w:numId w:val="68"/>
        </w:numPr>
        <w:tabs>
          <w:tab w:pos="1507" w:val="left" w:leader="none"/>
          <w:tab w:pos="1508" w:val="left" w:leader="none"/>
        </w:tabs>
        <w:spacing w:line="235" w:lineRule="auto" w:before="0" w:after="0"/>
        <w:ind w:left="827" w:right="1544" w:firstLine="0"/>
        <w:jc w:val="left"/>
        <w:rPr>
          <w:sz w:val="20"/>
        </w:rPr>
      </w:pPr>
      <w:r>
        <w:rPr>
          <w:w w:val="120"/>
          <w:sz w:val="20"/>
        </w:rPr>
        <w:t>Prayer, welcome and hospitality remain fundamentals of Westminster’s life. Whether it is those who come together for our regular times of devotion as the day begins, at lunchtime or in worship for a conference, Westminster’s life is rooted in being a praying community. We see </w:t>
      </w:r>
      <w:r>
        <w:rPr>
          <w:spacing w:val="2"/>
          <w:w w:val="120"/>
          <w:sz w:val="20"/>
        </w:rPr>
        <w:t>part </w:t>
      </w:r>
      <w:r>
        <w:rPr>
          <w:w w:val="120"/>
          <w:sz w:val="20"/>
        </w:rPr>
        <w:t>of the privilege of our purpose being to hold the URC in prayer just as we know we are being prayed</w:t>
      </w:r>
      <w:r>
        <w:rPr>
          <w:spacing w:val="20"/>
          <w:w w:val="120"/>
          <w:sz w:val="20"/>
        </w:rPr>
        <w:t> </w:t>
      </w:r>
      <w:r>
        <w:rPr>
          <w:spacing w:val="-3"/>
          <w:w w:val="120"/>
          <w:sz w:val="20"/>
        </w:rPr>
        <w:t>for.</w:t>
      </w:r>
    </w:p>
    <w:p>
      <w:pPr>
        <w:pStyle w:val="BodyText"/>
      </w:pPr>
    </w:p>
    <w:p>
      <w:pPr>
        <w:pStyle w:val="ListParagraph"/>
        <w:numPr>
          <w:ilvl w:val="0"/>
          <w:numId w:val="68"/>
        </w:numPr>
        <w:tabs>
          <w:tab w:pos="1507" w:val="left" w:leader="none"/>
          <w:tab w:pos="1508" w:val="left" w:leader="none"/>
        </w:tabs>
        <w:spacing w:line="235" w:lineRule="auto" w:before="0" w:after="0"/>
        <w:ind w:left="827" w:right="1686" w:firstLine="0"/>
        <w:jc w:val="left"/>
        <w:rPr>
          <w:sz w:val="20"/>
        </w:rPr>
      </w:pPr>
      <w:r>
        <w:rPr>
          <w:w w:val="120"/>
          <w:sz w:val="20"/>
        </w:rPr>
        <w:t>Whilst initial ministerial formation remains a core function its shape is evolving to better suit the increasingly diverse needs of students. We continue to offer</w:t>
      </w:r>
      <w:r>
        <w:rPr>
          <w:spacing w:val="2"/>
          <w:w w:val="120"/>
          <w:sz w:val="20"/>
        </w:rPr>
        <w:t> </w:t>
      </w:r>
      <w:r>
        <w:rPr>
          <w:w w:val="120"/>
          <w:sz w:val="20"/>
        </w:rPr>
        <w:t>academic</w:t>
      </w:r>
    </w:p>
    <w:p>
      <w:pPr>
        <w:pStyle w:val="BodyText"/>
        <w:spacing w:line="235" w:lineRule="auto" w:before="1"/>
        <w:ind w:left="827" w:right="1653"/>
      </w:pPr>
      <w:r>
        <w:rPr>
          <w:w w:val="120"/>
        </w:rPr>
        <w:t>programmes through three partner universities (Cambridge, Anglia Ruskin and Durham) enabling us to shape diverse academic options. Most of these programmes are shared within the Cambridge Theological Federation, one of the broadest and most diverse ecumenical and inter-faith families for the study of faith and practice in the world. A significant development since the previous General Assembly is that, alongside term- based delivery, we are now using block teaching weeks. These have begun in the </w:t>
      </w:r>
      <w:r>
        <w:rPr>
          <w:spacing w:val="-9"/>
          <w:w w:val="120"/>
        </w:rPr>
        <w:t>2017-  </w:t>
      </w:r>
      <w:r>
        <w:rPr>
          <w:spacing w:val="-7"/>
          <w:w w:val="120"/>
        </w:rPr>
        <w:t>18 </w:t>
      </w:r>
      <w:r>
        <w:rPr>
          <w:w w:val="120"/>
        </w:rPr>
        <w:t>academic year for ministerial students on the Living Ministry Programme, our nine- month church placement. We have replaced the weekly college programme with four block weeks across the </w:t>
      </w:r>
      <w:r>
        <w:rPr>
          <w:spacing w:val="-4"/>
          <w:w w:val="120"/>
        </w:rPr>
        <w:t>year. </w:t>
      </w:r>
      <w:r>
        <w:rPr>
          <w:w w:val="120"/>
        </w:rPr>
        <w:t>We cover the same material but with reduced</w:t>
      </w:r>
      <w:r>
        <w:rPr>
          <w:spacing w:val="20"/>
          <w:w w:val="120"/>
        </w:rPr>
        <w:t> </w:t>
      </w:r>
      <w:r>
        <w:rPr>
          <w:w w:val="120"/>
        </w:rPr>
        <w:t>disruption</w:t>
      </w:r>
    </w:p>
    <w:p>
      <w:pPr>
        <w:pStyle w:val="BodyText"/>
        <w:spacing w:line="235" w:lineRule="auto" w:before="7"/>
        <w:ind w:left="827" w:right="1672"/>
      </w:pPr>
      <w:r>
        <w:rPr>
          <w:w w:val="120"/>
        </w:rPr>
        <w:t>to the intense placement experience, reduced travel costs and greater opportunity for in-depth discussion with each week taking on something of a retreat atmosphere. From the </w:t>
      </w:r>
      <w:r>
        <w:rPr>
          <w:spacing w:val="-7"/>
          <w:w w:val="120"/>
        </w:rPr>
        <w:t>2018-19  </w:t>
      </w:r>
      <w:r>
        <w:rPr>
          <w:w w:val="120"/>
        </w:rPr>
        <w:t>year we will deliver Durham undergraduate modules in block weeks so  that students can remain where they live, have a variety of placements at or near their homes,</w:t>
      </w:r>
      <w:r>
        <w:rPr>
          <w:spacing w:val="-3"/>
          <w:w w:val="120"/>
        </w:rPr>
        <w:t> </w:t>
      </w:r>
      <w:r>
        <w:rPr>
          <w:w w:val="120"/>
        </w:rPr>
        <w:t>and</w:t>
      </w:r>
      <w:r>
        <w:rPr>
          <w:spacing w:val="-3"/>
          <w:w w:val="120"/>
        </w:rPr>
        <w:t> </w:t>
      </w:r>
      <w:r>
        <w:rPr>
          <w:w w:val="120"/>
        </w:rPr>
        <w:t>come</w:t>
      </w:r>
      <w:r>
        <w:rPr>
          <w:spacing w:val="-3"/>
          <w:w w:val="120"/>
        </w:rPr>
        <w:t> </w:t>
      </w:r>
      <w:r>
        <w:rPr>
          <w:w w:val="120"/>
        </w:rPr>
        <w:t>to</w:t>
      </w:r>
      <w:r>
        <w:rPr>
          <w:spacing w:val="-3"/>
          <w:w w:val="120"/>
        </w:rPr>
        <w:t> </w:t>
      </w:r>
      <w:r>
        <w:rPr>
          <w:w w:val="120"/>
        </w:rPr>
        <w:t>Westminster</w:t>
      </w:r>
      <w:r>
        <w:rPr>
          <w:spacing w:val="-3"/>
          <w:w w:val="120"/>
        </w:rPr>
        <w:t> </w:t>
      </w:r>
      <w:r>
        <w:rPr>
          <w:w w:val="120"/>
        </w:rPr>
        <w:t>for</w:t>
      </w:r>
      <w:r>
        <w:rPr>
          <w:spacing w:val="-3"/>
          <w:w w:val="120"/>
        </w:rPr>
        <w:t> </w:t>
      </w:r>
      <w:r>
        <w:rPr>
          <w:w w:val="120"/>
        </w:rPr>
        <w:t>three</w:t>
      </w:r>
      <w:r>
        <w:rPr>
          <w:spacing w:val="-3"/>
          <w:w w:val="120"/>
        </w:rPr>
        <w:t> </w:t>
      </w:r>
      <w:r>
        <w:rPr>
          <w:w w:val="120"/>
        </w:rPr>
        <w:t>to</w:t>
      </w:r>
      <w:r>
        <w:rPr>
          <w:spacing w:val="-2"/>
          <w:w w:val="120"/>
        </w:rPr>
        <w:t> </w:t>
      </w:r>
      <w:r>
        <w:rPr>
          <w:w w:val="120"/>
        </w:rPr>
        <w:t>six</w:t>
      </w:r>
      <w:r>
        <w:rPr>
          <w:spacing w:val="-3"/>
          <w:w w:val="120"/>
        </w:rPr>
        <w:t> </w:t>
      </w:r>
      <w:r>
        <w:rPr>
          <w:w w:val="120"/>
        </w:rPr>
        <w:t>weeks</w:t>
      </w:r>
      <w:r>
        <w:rPr>
          <w:spacing w:val="-3"/>
          <w:w w:val="120"/>
        </w:rPr>
        <w:t> </w:t>
      </w:r>
      <w:r>
        <w:rPr>
          <w:w w:val="120"/>
        </w:rPr>
        <w:t>of</w:t>
      </w:r>
      <w:r>
        <w:rPr>
          <w:spacing w:val="-3"/>
          <w:w w:val="120"/>
        </w:rPr>
        <w:t> </w:t>
      </w:r>
      <w:r>
        <w:rPr>
          <w:w w:val="120"/>
        </w:rPr>
        <w:t>intensive</w:t>
      </w:r>
      <w:r>
        <w:rPr>
          <w:spacing w:val="-3"/>
          <w:w w:val="120"/>
        </w:rPr>
        <w:t> </w:t>
      </w:r>
      <w:r>
        <w:rPr>
          <w:w w:val="120"/>
        </w:rPr>
        <w:t>teaching</w:t>
      </w:r>
      <w:r>
        <w:rPr>
          <w:spacing w:val="-3"/>
          <w:w w:val="120"/>
        </w:rPr>
        <w:t> </w:t>
      </w:r>
      <w:r>
        <w:rPr>
          <w:w w:val="120"/>
        </w:rPr>
        <w:t>across</w:t>
      </w:r>
      <w:r>
        <w:rPr>
          <w:spacing w:val="-3"/>
          <w:w w:val="120"/>
        </w:rPr>
        <w:t> </w:t>
      </w:r>
      <w:r>
        <w:rPr>
          <w:w w:val="120"/>
        </w:rPr>
        <w:t>the</w:t>
      </w:r>
    </w:p>
    <w:p>
      <w:pPr>
        <w:pStyle w:val="BodyText"/>
        <w:spacing w:line="235" w:lineRule="auto" w:before="3"/>
        <w:ind w:left="827" w:right="1528"/>
      </w:pPr>
      <w:r>
        <w:rPr>
          <w:spacing w:val="-4"/>
          <w:w w:val="120"/>
        </w:rPr>
        <w:t>year. </w:t>
      </w:r>
      <w:r>
        <w:rPr>
          <w:w w:val="120"/>
        </w:rPr>
        <w:t>We see this evolution greatly increasing opportunity for people from local churches to join such a week’s teaching, enjoying all Westminster offers with in-depth study without having to formally enrol on an academic</w:t>
      </w:r>
      <w:r>
        <w:rPr>
          <w:spacing w:val="18"/>
          <w:w w:val="120"/>
        </w:rPr>
        <w:t> </w:t>
      </w:r>
      <w:r>
        <w:rPr>
          <w:w w:val="120"/>
        </w:rPr>
        <w:t>course.</w:t>
      </w:r>
    </w:p>
    <w:p>
      <w:pPr>
        <w:pStyle w:val="BodyText"/>
        <w:spacing w:before="10"/>
        <w:rPr>
          <w:sz w:val="19"/>
        </w:rPr>
      </w:pPr>
    </w:p>
    <w:p>
      <w:pPr>
        <w:pStyle w:val="ListParagraph"/>
        <w:numPr>
          <w:ilvl w:val="0"/>
          <w:numId w:val="68"/>
        </w:numPr>
        <w:tabs>
          <w:tab w:pos="1507" w:val="left" w:leader="none"/>
          <w:tab w:pos="1508" w:val="left" w:leader="none"/>
        </w:tabs>
        <w:spacing w:line="235" w:lineRule="auto" w:before="0" w:after="0"/>
        <w:ind w:left="827" w:right="1576" w:firstLine="0"/>
        <w:jc w:val="left"/>
        <w:rPr>
          <w:sz w:val="20"/>
        </w:rPr>
      </w:pPr>
      <w:r>
        <w:rPr>
          <w:w w:val="120"/>
          <w:sz w:val="20"/>
        </w:rPr>
        <w:t>We continue to create annual opportunities for elders, lay preachers and worship leaders, reshaping these to take account of such ministries increasingly being offered with fewer Ministers of Word and Sacraments alongside. ‘In the company </w:t>
      </w:r>
      <w:r>
        <w:rPr>
          <w:spacing w:val="-5"/>
          <w:w w:val="120"/>
          <w:sz w:val="20"/>
        </w:rPr>
        <w:t>of…’ </w:t>
      </w:r>
      <w:r>
        <w:rPr>
          <w:w w:val="120"/>
          <w:sz w:val="20"/>
        </w:rPr>
        <w:t>is our highly flexible invitation for anyone, ordained or not. </w:t>
      </w:r>
      <w:r>
        <w:rPr>
          <w:spacing w:val="-4"/>
          <w:w w:val="120"/>
          <w:sz w:val="20"/>
        </w:rPr>
        <w:t>You </w:t>
      </w:r>
      <w:r>
        <w:rPr>
          <w:w w:val="120"/>
          <w:sz w:val="20"/>
        </w:rPr>
        <w:t>can choose when to come and how long to stay. We offer a member of staff as a conversation partner, pointing you towards resources and encouraging your own</w:t>
      </w:r>
      <w:r>
        <w:rPr>
          <w:spacing w:val="15"/>
          <w:w w:val="120"/>
          <w:sz w:val="20"/>
        </w:rPr>
        <w:t> </w:t>
      </w:r>
      <w:r>
        <w:rPr>
          <w:w w:val="120"/>
          <w:sz w:val="20"/>
        </w:rPr>
        <w:t>discovery.</w:t>
      </w:r>
    </w:p>
    <w:p>
      <w:pPr>
        <w:spacing w:after="0" w:line="235" w:lineRule="auto"/>
        <w:jc w:val="left"/>
        <w:rPr>
          <w:sz w:val="20"/>
        </w:rPr>
        <w:sectPr>
          <w:headerReference w:type="even" r:id="rId291"/>
          <w:pgSz w:w="11910" w:h="16840"/>
          <w:pgMar w:header="0" w:footer="647" w:top="0" w:bottom="840" w:left="420" w:right="380"/>
        </w:sectPr>
      </w:pPr>
    </w:p>
    <w:p>
      <w:pPr>
        <w:pStyle w:val="BodyText"/>
      </w:pPr>
      <w:r>
        <w:rPr/>
        <w:drawing>
          <wp:anchor distT="0" distB="0" distL="0" distR="0" allowOverlap="1" layoutInCell="1" locked="0" behindDoc="0" simplePos="0" relativeHeight="251926528">
            <wp:simplePos x="0" y="0"/>
            <wp:positionH relativeFrom="page">
              <wp:posOffset>6974928</wp:posOffset>
            </wp:positionH>
            <wp:positionV relativeFrom="page">
              <wp:posOffset>0</wp:posOffset>
            </wp:positionV>
            <wp:extent cx="585063" cy="10692003"/>
            <wp:effectExtent l="0" t="0" r="0" b="0"/>
            <wp:wrapNone/>
            <wp:docPr id="187" name="image57.png"/>
            <wp:cNvGraphicFramePr>
              <a:graphicFrameLocks noChangeAspect="1"/>
            </wp:cNvGraphicFramePr>
            <a:graphic>
              <a:graphicData uri="http://schemas.openxmlformats.org/drawingml/2006/picture">
                <pic:pic>
                  <pic:nvPicPr>
                    <pic:cNvPr id="18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7334" w:right="0" w:firstLine="0"/>
        <w:jc w:val="left"/>
        <w:rPr>
          <w:sz w:val="26"/>
        </w:rPr>
      </w:pPr>
      <w:r>
        <w:rPr/>
        <w:pict>
          <v:shape style="position:absolute;margin-left:554.141174pt;margin-top:22.693945pt;width:26pt;height:242.25pt;mso-position-horizontal-relative:page;mso-position-vertical-relative:paragraph;z-index:251927552"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sz w:val="26"/>
        </w:rPr>
        <w:t>Education and learning</w:t>
      </w:r>
    </w:p>
    <w:p>
      <w:pPr>
        <w:pStyle w:val="ListParagraph"/>
        <w:numPr>
          <w:ilvl w:val="0"/>
          <w:numId w:val="68"/>
        </w:numPr>
        <w:tabs>
          <w:tab w:pos="2244" w:val="left" w:leader="none"/>
          <w:tab w:pos="2245" w:val="left" w:leader="none"/>
        </w:tabs>
        <w:spacing w:line="235" w:lineRule="auto" w:before="222" w:after="0"/>
        <w:ind w:left="1564" w:right="910" w:firstLine="0"/>
        <w:jc w:val="left"/>
        <w:rPr>
          <w:sz w:val="20"/>
        </w:rPr>
      </w:pPr>
      <w:r>
        <w:rPr>
          <w:w w:val="120"/>
          <w:sz w:val="20"/>
        </w:rPr>
        <w:t>In response to requests arising from intentional conversations we will be offering training in transitional ministry for two of our synods and going on the road as a team  of teachers to spend time in South Western Synod, offering something of Westminster to</w:t>
      </w:r>
      <w:r>
        <w:rPr>
          <w:spacing w:val="4"/>
          <w:w w:val="120"/>
          <w:sz w:val="20"/>
        </w:rPr>
        <w:t> </w:t>
      </w:r>
      <w:r>
        <w:rPr>
          <w:w w:val="120"/>
          <w:sz w:val="20"/>
        </w:rPr>
        <w:t>those</w:t>
      </w:r>
      <w:r>
        <w:rPr>
          <w:spacing w:val="4"/>
          <w:w w:val="120"/>
          <w:sz w:val="20"/>
        </w:rPr>
        <w:t> </w:t>
      </w:r>
      <w:r>
        <w:rPr>
          <w:w w:val="120"/>
          <w:sz w:val="20"/>
        </w:rPr>
        <w:t>who</w:t>
      </w:r>
      <w:r>
        <w:rPr>
          <w:spacing w:val="5"/>
          <w:w w:val="120"/>
          <w:sz w:val="20"/>
        </w:rPr>
        <w:t> </w:t>
      </w:r>
      <w:r>
        <w:rPr>
          <w:w w:val="120"/>
          <w:sz w:val="20"/>
        </w:rPr>
        <w:t>might</w:t>
      </w:r>
      <w:r>
        <w:rPr>
          <w:spacing w:val="4"/>
          <w:w w:val="120"/>
          <w:sz w:val="20"/>
        </w:rPr>
        <w:t> </w:t>
      </w:r>
      <w:r>
        <w:rPr>
          <w:w w:val="120"/>
          <w:sz w:val="20"/>
        </w:rPr>
        <w:t>not</w:t>
      </w:r>
      <w:r>
        <w:rPr>
          <w:spacing w:val="5"/>
          <w:w w:val="120"/>
          <w:sz w:val="20"/>
        </w:rPr>
        <w:t> </w:t>
      </w:r>
      <w:r>
        <w:rPr>
          <w:w w:val="120"/>
          <w:sz w:val="20"/>
        </w:rPr>
        <w:t>find</w:t>
      </w:r>
      <w:r>
        <w:rPr>
          <w:spacing w:val="4"/>
          <w:w w:val="120"/>
          <w:sz w:val="20"/>
        </w:rPr>
        <w:t> </w:t>
      </w:r>
      <w:r>
        <w:rPr>
          <w:w w:val="120"/>
          <w:sz w:val="20"/>
        </w:rPr>
        <w:t>it</w:t>
      </w:r>
      <w:r>
        <w:rPr>
          <w:spacing w:val="5"/>
          <w:w w:val="120"/>
          <w:sz w:val="20"/>
        </w:rPr>
        <w:t> </w:t>
      </w:r>
      <w:r>
        <w:rPr>
          <w:w w:val="120"/>
          <w:sz w:val="20"/>
        </w:rPr>
        <w:t>easy</w:t>
      </w:r>
      <w:r>
        <w:rPr>
          <w:spacing w:val="4"/>
          <w:w w:val="120"/>
          <w:sz w:val="20"/>
        </w:rPr>
        <w:t> </w:t>
      </w:r>
      <w:r>
        <w:rPr>
          <w:w w:val="120"/>
          <w:sz w:val="20"/>
        </w:rPr>
        <w:t>to</w:t>
      </w:r>
      <w:r>
        <w:rPr>
          <w:spacing w:val="5"/>
          <w:w w:val="120"/>
          <w:sz w:val="20"/>
        </w:rPr>
        <w:t> </w:t>
      </w:r>
      <w:r>
        <w:rPr>
          <w:w w:val="120"/>
          <w:sz w:val="20"/>
        </w:rPr>
        <w:t>travel</w:t>
      </w:r>
      <w:r>
        <w:rPr>
          <w:spacing w:val="4"/>
          <w:w w:val="120"/>
          <w:sz w:val="20"/>
        </w:rPr>
        <w:t> </w:t>
      </w:r>
      <w:r>
        <w:rPr>
          <w:w w:val="120"/>
          <w:sz w:val="20"/>
        </w:rPr>
        <w:t>to</w:t>
      </w:r>
      <w:r>
        <w:rPr>
          <w:spacing w:val="5"/>
          <w:w w:val="120"/>
          <w:sz w:val="20"/>
        </w:rPr>
        <w:t> </w:t>
      </w:r>
      <w:r>
        <w:rPr>
          <w:w w:val="120"/>
          <w:sz w:val="20"/>
        </w:rPr>
        <w:t>Cambridge.</w:t>
      </w:r>
      <w:r>
        <w:rPr>
          <w:spacing w:val="4"/>
          <w:w w:val="120"/>
          <w:sz w:val="20"/>
        </w:rPr>
        <w:t> </w:t>
      </w:r>
      <w:r>
        <w:rPr>
          <w:w w:val="120"/>
          <w:sz w:val="20"/>
        </w:rPr>
        <w:t>We</w:t>
      </w:r>
      <w:r>
        <w:rPr>
          <w:spacing w:val="4"/>
          <w:w w:val="120"/>
          <w:sz w:val="20"/>
        </w:rPr>
        <w:t> </w:t>
      </w:r>
      <w:r>
        <w:rPr>
          <w:w w:val="120"/>
          <w:sz w:val="20"/>
        </w:rPr>
        <w:t>are</w:t>
      </w:r>
      <w:r>
        <w:rPr>
          <w:spacing w:val="5"/>
          <w:w w:val="120"/>
          <w:sz w:val="20"/>
        </w:rPr>
        <w:t> </w:t>
      </w:r>
      <w:r>
        <w:rPr>
          <w:w w:val="120"/>
          <w:sz w:val="20"/>
        </w:rPr>
        <w:t>developing</w:t>
      </w:r>
      <w:r>
        <w:rPr>
          <w:spacing w:val="4"/>
          <w:w w:val="120"/>
          <w:sz w:val="20"/>
        </w:rPr>
        <w:t> </w:t>
      </w:r>
      <w:r>
        <w:rPr>
          <w:w w:val="120"/>
          <w:sz w:val="20"/>
        </w:rPr>
        <w:t>our</w:t>
      </w:r>
    </w:p>
    <w:p>
      <w:pPr>
        <w:pStyle w:val="BodyText"/>
        <w:spacing w:line="235" w:lineRule="auto" w:before="2"/>
        <w:ind w:left="1564" w:right="1316"/>
      </w:pPr>
      <w:r>
        <w:rPr>
          <w:w w:val="120"/>
        </w:rPr>
        <w:t>web-based learning resources and will soon be making available the first of a series of videos, created by our Old Testament tutor, Dr Alison Gray, exploring how artists have pictured the Bible. As has always been the case our teachers regularly respond to invitations to lead events and provide input to local congregations and synods whenever possible.</w:t>
      </w:r>
    </w:p>
    <w:p>
      <w:pPr>
        <w:pStyle w:val="BodyText"/>
        <w:spacing w:before="2"/>
        <w:rPr>
          <w:sz w:val="19"/>
        </w:rPr>
      </w:pPr>
    </w:p>
    <w:p>
      <w:pPr>
        <w:pStyle w:val="Heading6"/>
        <w:ind w:left="1564"/>
      </w:pPr>
      <w:r>
        <w:rPr>
          <w:w w:val="110"/>
        </w:rPr>
        <w:t>People</w:t>
      </w:r>
    </w:p>
    <w:p>
      <w:pPr>
        <w:pStyle w:val="ListParagraph"/>
        <w:numPr>
          <w:ilvl w:val="0"/>
          <w:numId w:val="68"/>
        </w:numPr>
        <w:tabs>
          <w:tab w:pos="2244" w:val="left" w:leader="none"/>
          <w:tab w:pos="2245" w:val="left" w:leader="none"/>
        </w:tabs>
        <w:spacing w:line="235" w:lineRule="auto" w:before="82" w:after="0"/>
        <w:ind w:left="1564" w:right="864" w:firstLine="0"/>
        <w:jc w:val="left"/>
        <w:rPr>
          <w:sz w:val="20"/>
        </w:rPr>
      </w:pPr>
      <w:r>
        <w:rPr>
          <w:w w:val="120"/>
          <w:sz w:val="20"/>
        </w:rPr>
        <w:t>In the summer of </w:t>
      </w:r>
      <w:r>
        <w:rPr>
          <w:spacing w:val="-7"/>
          <w:w w:val="120"/>
          <w:sz w:val="20"/>
        </w:rPr>
        <w:t>2016 </w:t>
      </w:r>
      <w:r>
        <w:rPr>
          <w:w w:val="120"/>
          <w:sz w:val="20"/>
        </w:rPr>
        <w:t>Alison joined us and it has been wonderful to see her </w:t>
      </w:r>
      <w:r>
        <w:rPr>
          <w:spacing w:val="2"/>
          <w:w w:val="120"/>
          <w:sz w:val="20"/>
        </w:rPr>
        <w:t>gifts </w:t>
      </w:r>
      <w:r>
        <w:rPr>
          <w:w w:val="120"/>
          <w:sz w:val="20"/>
        </w:rPr>
        <w:t>flourishing at Westminster. The summer of </w:t>
      </w:r>
      <w:r>
        <w:rPr>
          <w:spacing w:val="-9"/>
          <w:w w:val="120"/>
          <w:sz w:val="20"/>
        </w:rPr>
        <w:t>2017 </w:t>
      </w:r>
      <w:r>
        <w:rPr>
          <w:w w:val="120"/>
          <w:sz w:val="20"/>
        </w:rPr>
        <w:t>saw us welcoming two new colleagues. The Revd Dr </w:t>
      </w:r>
      <w:r>
        <w:rPr>
          <w:spacing w:val="2"/>
          <w:w w:val="120"/>
          <w:sz w:val="20"/>
        </w:rPr>
        <w:t>Robert </w:t>
      </w:r>
      <w:r>
        <w:rPr>
          <w:w w:val="120"/>
          <w:sz w:val="20"/>
        </w:rPr>
        <w:t>Pope came as </w:t>
      </w:r>
      <w:r>
        <w:rPr>
          <w:spacing w:val="-4"/>
          <w:w w:val="120"/>
          <w:sz w:val="20"/>
        </w:rPr>
        <w:t>Tutor </w:t>
      </w:r>
      <w:r>
        <w:rPr>
          <w:w w:val="120"/>
          <w:sz w:val="20"/>
        </w:rPr>
        <w:t>in Church History and Doctrine to replace the Revd Dr John Bradbury as he returned to pastoral ministry. We were very </w:t>
      </w:r>
      <w:r>
        <w:rPr>
          <w:spacing w:val="2"/>
          <w:w w:val="120"/>
          <w:sz w:val="20"/>
        </w:rPr>
        <w:t>sorry </w:t>
      </w:r>
      <w:r>
        <w:rPr>
          <w:w w:val="120"/>
          <w:sz w:val="20"/>
        </w:rPr>
        <w:t>to see John go but delighted to welcome </w:t>
      </w:r>
      <w:r>
        <w:rPr>
          <w:spacing w:val="2"/>
          <w:w w:val="120"/>
          <w:sz w:val="20"/>
        </w:rPr>
        <w:t>Robert </w:t>
      </w:r>
      <w:r>
        <w:rPr>
          <w:w w:val="120"/>
          <w:sz w:val="20"/>
        </w:rPr>
        <w:t>with his rich</w:t>
      </w:r>
      <w:r>
        <w:rPr>
          <w:spacing w:val="33"/>
          <w:w w:val="120"/>
          <w:sz w:val="20"/>
        </w:rPr>
        <w:t> </w:t>
      </w:r>
      <w:r>
        <w:rPr>
          <w:w w:val="120"/>
          <w:sz w:val="20"/>
        </w:rPr>
        <w:t>experience.</w:t>
      </w:r>
    </w:p>
    <w:p>
      <w:pPr>
        <w:pStyle w:val="BodyText"/>
      </w:pPr>
    </w:p>
    <w:p>
      <w:pPr>
        <w:pStyle w:val="ListParagraph"/>
        <w:numPr>
          <w:ilvl w:val="0"/>
          <w:numId w:val="68"/>
        </w:numPr>
        <w:tabs>
          <w:tab w:pos="2244" w:val="left" w:leader="none"/>
          <w:tab w:pos="2245" w:val="left" w:leader="none"/>
        </w:tabs>
        <w:spacing w:line="235" w:lineRule="auto" w:before="0" w:after="0"/>
        <w:ind w:left="1564" w:right="1015" w:firstLine="0"/>
        <w:jc w:val="left"/>
        <w:rPr>
          <w:sz w:val="20"/>
        </w:rPr>
      </w:pPr>
      <w:r>
        <w:rPr>
          <w:w w:val="120"/>
          <w:sz w:val="20"/>
        </w:rPr>
        <w:t>In an exciting </w:t>
      </w:r>
      <w:r>
        <w:rPr>
          <w:spacing w:val="-3"/>
          <w:w w:val="120"/>
          <w:sz w:val="20"/>
        </w:rPr>
        <w:t>innovation </w:t>
      </w:r>
      <w:r>
        <w:rPr>
          <w:w w:val="120"/>
          <w:sz w:val="20"/>
        </w:rPr>
        <w:t>we </w:t>
      </w:r>
      <w:r>
        <w:rPr>
          <w:spacing w:val="-3"/>
          <w:w w:val="120"/>
          <w:sz w:val="20"/>
        </w:rPr>
        <w:t>have created </w:t>
      </w:r>
      <w:r>
        <w:rPr>
          <w:w w:val="120"/>
          <w:sz w:val="20"/>
        </w:rPr>
        <w:t>the full-time post of Director of </w:t>
      </w:r>
      <w:r>
        <w:rPr>
          <w:spacing w:val="-3"/>
          <w:w w:val="120"/>
          <w:sz w:val="20"/>
        </w:rPr>
        <w:t>Church Resource</w:t>
      </w:r>
      <w:r>
        <w:rPr>
          <w:spacing w:val="-8"/>
          <w:w w:val="120"/>
          <w:sz w:val="20"/>
        </w:rPr>
        <w:t> </w:t>
      </w:r>
      <w:r>
        <w:rPr>
          <w:w w:val="120"/>
          <w:sz w:val="20"/>
        </w:rPr>
        <w:t>Development.</w:t>
      </w:r>
      <w:r>
        <w:rPr>
          <w:spacing w:val="-8"/>
          <w:w w:val="120"/>
          <w:sz w:val="20"/>
        </w:rPr>
        <w:t> </w:t>
      </w:r>
      <w:r>
        <w:rPr>
          <w:w w:val="120"/>
          <w:sz w:val="20"/>
        </w:rPr>
        <w:t>This</w:t>
      </w:r>
      <w:r>
        <w:rPr>
          <w:spacing w:val="-7"/>
          <w:w w:val="120"/>
          <w:sz w:val="20"/>
        </w:rPr>
        <w:t> </w:t>
      </w:r>
      <w:r>
        <w:rPr>
          <w:w w:val="120"/>
          <w:sz w:val="20"/>
        </w:rPr>
        <w:t>is</w:t>
      </w:r>
      <w:r>
        <w:rPr>
          <w:spacing w:val="-8"/>
          <w:w w:val="120"/>
          <w:sz w:val="20"/>
        </w:rPr>
        <w:t> </w:t>
      </w:r>
      <w:r>
        <w:rPr>
          <w:w w:val="120"/>
          <w:sz w:val="20"/>
        </w:rPr>
        <w:t>funded</w:t>
      </w:r>
      <w:r>
        <w:rPr>
          <w:spacing w:val="-7"/>
          <w:w w:val="120"/>
          <w:sz w:val="20"/>
        </w:rPr>
        <w:t> </w:t>
      </w:r>
      <w:r>
        <w:rPr>
          <w:w w:val="120"/>
          <w:sz w:val="20"/>
        </w:rPr>
        <w:t>entirely</w:t>
      </w:r>
      <w:r>
        <w:rPr>
          <w:spacing w:val="-8"/>
          <w:w w:val="120"/>
          <w:sz w:val="20"/>
        </w:rPr>
        <w:t> </w:t>
      </w:r>
      <w:r>
        <w:rPr>
          <w:w w:val="120"/>
          <w:sz w:val="20"/>
        </w:rPr>
        <w:t>from</w:t>
      </w:r>
      <w:r>
        <w:rPr>
          <w:spacing w:val="-7"/>
          <w:w w:val="120"/>
          <w:sz w:val="20"/>
        </w:rPr>
        <w:t> </w:t>
      </w:r>
      <w:r>
        <w:rPr>
          <w:spacing w:val="-3"/>
          <w:w w:val="120"/>
          <w:sz w:val="20"/>
        </w:rPr>
        <w:t>within</w:t>
      </w:r>
      <w:r>
        <w:rPr>
          <w:spacing w:val="-8"/>
          <w:w w:val="120"/>
          <w:sz w:val="20"/>
        </w:rPr>
        <w:t> </w:t>
      </w:r>
      <w:r>
        <w:rPr>
          <w:spacing w:val="-3"/>
          <w:w w:val="120"/>
          <w:sz w:val="20"/>
        </w:rPr>
        <w:t>Westminster’s</w:t>
      </w:r>
      <w:r>
        <w:rPr>
          <w:spacing w:val="-7"/>
          <w:w w:val="120"/>
          <w:sz w:val="20"/>
        </w:rPr>
        <w:t> </w:t>
      </w:r>
      <w:r>
        <w:rPr>
          <w:spacing w:val="-2"/>
          <w:w w:val="120"/>
          <w:sz w:val="20"/>
        </w:rPr>
        <w:t>own</w:t>
      </w:r>
      <w:r>
        <w:rPr>
          <w:spacing w:val="-8"/>
          <w:w w:val="120"/>
          <w:sz w:val="20"/>
        </w:rPr>
        <w:t> </w:t>
      </w:r>
      <w:r>
        <w:rPr>
          <w:spacing w:val="-3"/>
          <w:w w:val="120"/>
          <w:sz w:val="20"/>
        </w:rPr>
        <w:t>resources </w:t>
      </w:r>
      <w:r>
        <w:rPr>
          <w:w w:val="120"/>
          <w:sz w:val="20"/>
        </w:rPr>
        <w:t>and, </w:t>
      </w:r>
      <w:r>
        <w:rPr>
          <w:spacing w:val="-3"/>
          <w:w w:val="120"/>
          <w:sz w:val="20"/>
        </w:rPr>
        <w:t>unlike </w:t>
      </w:r>
      <w:r>
        <w:rPr>
          <w:w w:val="120"/>
          <w:sz w:val="20"/>
        </w:rPr>
        <w:t>our other five </w:t>
      </w:r>
      <w:r>
        <w:rPr>
          <w:spacing w:val="-3"/>
          <w:w w:val="120"/>
          <w:sz w:val="20"/>
        </w:rPr>
        <w:t>teaching positions, </w:t>
      </w:r>
      <w:r>
        <w:rPr>
          <w:w w:val="120"/>
          <w:sz w:val="20"/>
        </w:rPr>
        <w:t>is </w:t>
      </w:r>
      <w:r>
        <w:rPr>
          <w:spacing w:val="-2"/>
          <w:w w:val="120"/>
          <w:sz w:val="20"/>
        </w:rPr>
        <w:t>not </w:t>
      </w:r>
      <w:r>
        <w:rPr>
          <w:w w:val="120"/>
          <w:sz w:val="20"/>
        </w:rPr>
        <w:t>a General Assembly appointment. </w:t>
      </w:r>
      <w:r>
        <w:rPr>
          <w:spacing w:val="-3"/>
          <w:w w:val="120"/>
          <w:sz w:val="20"/>
        </w:rPr>
        <w:t>We </w:t>
      </w:r>
      <w:r>
        <w:rPr>
          <w:w w:val="120"/>
          <w:sz w:val="20"/>
        </w:rPr>
        <w:t>shaped it </w:t>
      </w:r>
      <w:r>
        <w:rPr>
          <w:spacing w:val="-3"/>
          <w:w w:val="120"/>
          <w:sz w:val="20"/>
        </w:rPr>
        <w:t>to ensure </w:t>
      </w:r>
      <w:r>
        <w:rPr>
          <w:w w:val="120"/>
          <w:sz w:val="20"/>
        </w:rPr>
        <w:t>we can </w:t>
      </w:r>
      <w:r>
        <w:rPr>
          <w:spacing w:val="-3"/>
          <w:w w:val="120"/>
          <w:sz w:val="20"/>
        </w:rPr>
        <w:t>listen well to </w:t>
      </w:r>
      <w:r>
        <w:rPr>
          <w:w w:val="120"/>
          <w:sz w:val="20"/>
        </w:rPr>
        <w:t>the URC and </w:t>
      </w:r>
      <w:r>
        <w:rPr>
          <w:spacing w:val="-3"/>
          <w:w w:val="120"/>
          <w:sz w:val="20"/>
        </w:rPr>
        <w:t>develop </w:t>
      </w:r>
      <w:r>
        <w:rPr>
          <w:w w:val="120"/>
          <w:sz w:val="20"/>
        </w:rPr>
        <w:t>all we offer more appropriately and </w:t>
      </w:r>
      <w:r>
        <w:rPr>
          <w:spacing w:val="-4"/>
          <w:w w:val="120"/>
          <w:sz w:val="20"/>
        </w:rPr>
        <w:t>creatively. </w:t>
      </w:r>
      <w:r>
        <w:rPr>
          <w:w w:val="120"/>
          <w:sz w:val="20"/>
        </w:rPr>
        <w:t>It is wonderful </w:t>
      </w:r>
      <w:r>
        <w:rPr>
          <w:spacing w:val="-3"/>
          <w:w w:val="120"/>
          <w:sz w:val="20"/>
        </w:rPr>
        <w:t>to have </w:t>
      </w:r>
      <w:r>
        <w:rPr>
          <w:w w:val="120"/>
          <w:sz w:val="20"/>
        </w:rPr>
        <w:t>the </w:t>
      </w:r>
      <w:r>
        <w:rPr>
          <w:spacing w:val="-3"/>
          <w:w w:val="120"/>
          <w:sz w:val="20"/>
        </w:rPr>
        <w:t>Revd Peter </w:t>
      </w:r>
      <w:r>
        <w:rPr>
          <w:w w:val="120"/>
          <w:sz w:val="20"/>
        </w:rPr>
        <w:t>Ball taking up the challenge and bringing </w:t>
      </w:r>
      <w:r>
        <w:rPr>
          <w:spacing w:val="-3"/>
          <w:w w:val="120"/>
          <w:sz w:val="20"/>
        </w:rPr>
        <w:t>his </w:t>
      </w:r>
      <w:r>
        <w:rPr>
          <w:w w:val="120"/>
          <w:sz w:val="20"/>
        </w:rPr>
        <w:t>experience in local ministry and as a synod training officer and </w:t>
      </w:r>
      <w:r>
        <w:rPr>
          <w:spacing w:val="-3"/>
          <w:w w:val="120"/>
          <w:sz w:val="20"/>
        </w:rPr>
        <w:t>mission </w:t>
      </w:r>
      <w:r>
        <w:rPr>
          <w:spacing w:val="-4"/>
          <w:w w:val="120"/>
          <w:sz w:val="20"/>
        </w:rPr>
        <w:t>enabler. </w:t>
      </w:r>
      <w:r>
        <w:rPr>
          <w:spacing w:val="-3"/>
          <w:w w:val="120"/>
          <w:sz w:val="20"/>
        </w:rPr>
        <w:t>Peter </w:t>
      </w:r>
      <w:r>
        <w:rPr>
          <w:w w:val="120"/>
          <w:sz w:val="20"/>
        </w:rPr>
        <w:t>helps us </w:t>
      </w:r>
      <w:r>
        <w:rPr>
          <w:spacing w:val="-3"/>
          <w:w w:val="120"/>
          <w:sz w:val="20"/>
        </w:rPr>
        <w:t>to </w:t>
      </w:r>
      <w:r>
        <w:rPr>
          <w:w w:val="120"/>
          <w:sz w:val="20"/>
        </w:rPr>
        <w:t>remain deeply </w:t>
      </w:r>
      <w:r>
        <w:rPr>
          <w:spacing w:val="-3"/>
          <w:w w:val="120"/>
          <w:sz w:val="20"/>
        </w:rPr>
        <w:t>involved </w:t>
      </w:r>
      <w:r>
        <w:rPr>
          <w:w w:val="120"/>
          <w:sz w:val="20"/>
        </w:rPr>
        <w:t>in </w:t>
      </w:r>
      <w:r>
        <w:rPr>
          <w:spacing w:val="-3"/>
          <w:w w:val="120"/>
          <w:sz w:val="20"/>
        </w:rPr>
        <w:t>Walking </w:t>
      </w:r>
      <w:r>
        <w:rPr>
          <w:w w:val="120"/>
          <w:sz w:val="20"/>
        </w:rPr>
        <w:t>the </w:t>
      </w:r>
      <w:r>
        <w:rPr>
          <w:spacing w:val="-4"/>
          <w:w w:val="120"/>
          <w:sz w:val="20"/>
        </w:rPr>
        <w:t>Way </w:t>
      </w:r>
      <w:r>
        <w:rPr>
          <w:w w:val="120"/>
          <w:sz w:val="20"/>
        </w:rPr>
        <w:t>and the </w:t>
      </w:r>
      <w:r>
        <w:rPr>
          <w:spacing w:val="-2"/>
          <w:w w:val="120"/>
          <w:sz w:val="20"/>
        </w:rPr>
        <w:t>emergence </w:t>
      </w:r>
      <w:r>
        <w:rPr>
          <w:w w:val="120"/>
          <w:sz w:val="20"/>
        </w:rPr>
        <w:t>of the new </w:t>
      </w:r>
      <w:r>
        <w:rPr>
          <w:spacing w:val="-3"/>
          <w:w w:val="120"/>
          <w:sz w:val="20"/>
        </w:rPr>
        <w:t>Stepwise </w:t>
      </w:r>
      <w:r>
        <w:rPr>
          <w:w w:val="120"/>
          <w:sz w:val="20"/>
        </w:rPr>
        <w:t>programme. </w:t>
      </w:r>
      <w:r>
        <w:rPr>
          <w:spacing w:val="-4"/>
          <w:w w:val="120"/>
          <w:sz w:val="20"/>
        </w:rPr>
        <w:t>Peter’s </w:t>
      </w:r>
      <w:r>
        <w:rPr>
          <w:w w:val="120"/>
          <w:sz w:val="20"/>
        </w:rPr>
        <w:t>appointment has enabled the </w:t>
      </w:r>
      <w:r>
        <w:rPr>
          <w:spacing w:val="-3"/>
          <w:w w:val="120"/>
          <w:sz w:val="20"/>
        </w:rPr>
        <w:t>Revd</w:t>
      </w:r>
      <w:r>
        <w:rPr>
          <w:spacing w:val="-14"/>
          <w:w w:val="120"/>
          <w:sz w:val="20"/>
        </w:rPr>
        <w:t> </w:t>
      </w:r>
      <w:r>
        <w:rPr>
          <w:w w:val="120"/>
          <w:sz w:val="20"/>
        </w:rPr>
        <w:t>Samantha</w:t>
      </w:r>
      <w:r>
        <w:rPr>
          <w:spacing w:val="-14"/>
          <w:w w:val="120"/>
          <w:sz w:val="20"/>
        </w:rPr>
        <w:t> </w:t>
      </w:r>
      <w:r>
        <w:rPr>
          <w:w w:val="120"/>
          <w:sz w:val="20"/>
        </w:rPr>
        <w:t>White</w:t>
      </w:r>
      <w:r>
        <w:rPr>
          <w:spacing w:val="-14"/>
          <w:w w:val="120"/>
          <w:sz w:val="20"/>
        </w:rPr>
        <w:t> </w:t>
      </w:r>
      <w:r>
        <w:rPr>
          <w:spacing w:val="-3"/>
          <w:w w:val="120"/>
          <w:sz w:val="20"/>
        </w:rPr>
        <w:t>to</w:t>
      </w:r>
      <w:r>
        <w:rPr>
          <w:spacing w:val="-13"/>
          <w:w w:val="120"/>
          <w:sz w:val="20"/>
        </w:rPr>
        <w:t> </w:t>
      </w:r>
      <w:r>
        <w:rPr>
          <w:w w:val="120"/>
          <w:sz w:val="20"/>
        </w:rPr>
        <w:t>refocus</w:t>
      </w:r>
      <w:r>
        <w:rPr>
          <w:spacing w:val="-14"/>
          <w:w w:val="120"/>
          <w:sz w:val="20"/>
        </w:rPr>
        <w:t> </w:t>
      </w:r>
      <w:r>
        <w:rPr>
          <w:w w:val="120"/>
          <w:sz w:val="20"/>
        </w:rPr>
        <w:t>her</w:t>
      </w:r>
      <w:r>
        <w:rPr>
          <w:spacing w:val="-14"/>
          <w:w w:val="120"/>
          <w:sz w:val="20"/>
        </w:rPr>
        <w:t> </w:t>
      </w:r>
      <w:r>
        <w:rPr>
          <w:w w:val="120"/>
          <w:sz w:val="20"/>
        </w:rPr>
        <w:t>work</w:t>
      </w:r>
      <w:r>
        <w:rPr>
          <w:spacing w:val="-14"/>
          <w:w w:val="120"/>
          <w:sz w:val="20"/>
        </w:rPr>
        <w:t> </w:t>
      </w:r>
      <w:r>
        <w:rPr>
          <w:w w:val="120"/>
          <w:sz w:val="20"/>
        </w:rPr>
        <w:t>as</w:t>
      </w:r>
      <w:r>
        <w:rPr>
          <w:spacing w:val="-13"/>
          <w:w w:val="120"/>
          <w:sz w:val="20"/>
        </w:rPr>
        <w:t> </w:t>
      </w:r>
      <w:r>
        <w:rPr>
          <w:w w:val="120"/>
          <w:sz w:val="20"/>
        </w:rPr>
        <w:t>our</w:t>
      </w:r>
      <w:r>
        <w:rPr>
          <w:spacing w:val="-14"/>
          <w:w w:val="120"/>
          <w:sz w:val="20"/>
        </w:rPr>
        <w:t> </w:t>
      </w:r>
      <w:r>
        <w:rPr>
          <w:w w:val="120"/>
          <w:sz w:val="20"/>
        </w:rPr>
        <w:t>full-time</w:t>
      </w:r>
      <w:r>
        <w:rPr>
          <w:spacing w:val="-14"/>
          <w:w w:val="120"/>
          <w:sz w:val="20"/>
        </w:rPr>
        <w:t> </w:t>
      </w:r>
      <w:r>
        <w:rPr>
          <w:w w:val="120"/>
          <w:sz w:val="20"/>
        </w:rPr>
        <w:t>Director</w:t>
      </w:r>
      <w:r>
        <w:rPr>
          <w:spacing w:val="-14"/>
          <w:w w:val="120"/>
          <w:sz w:val="20"/>
        </w:rPr>
        <w:t> </w:t>
      </w:r>
      <w:r>
        <w:rPr>
          <w:w w:val="120"/>
          <w:sz w:val="20"/>
        </w:rPr>
        <w:t>of</w:t>
      </w:r>
      <w:r>
        <w:rPr>
          <w:spacing w:val="-13"/>
          <w:w w:val="120"/>
          <w:sz w:val="20"/>
        </w:rPr>
        <w:t> </w:t>
      </w:r>
      <w:r>
        <w:rPr>
          <w:w w:val="120"/>
          <w:sz w:val="20"/>
        </w:rPr>
        <w:t>Pastoral</w:t>
      </w:r>
      <w:r>
        <w:rPr>
          <w:spacing w:val="-14"/>
          <w:w w:val="120"/>
          <w:sz w:val="20"/>
        </w:rPr>
        <w:t> </w:t>
      </w:r>
      <w:r>
        <w:rPr>
          <w:spacing w:val="-3"/>
          <w:w w:val="120"/>
          <w:sz w:val="20"/>
        </w:rPr>
        <w:t>Studies,</w:t>
      </w:r>
      <w:r>
        <w:rPr>
          <w:spacing w:val="-14"/>
          <w:w w:val="120"/>
          <w:sz w:val="20"/>
        </w:rPr>
        <w:t> </w:t>
      </w:r>
      <w:r>
        <w:rPr>
          <w:w w:val="120"/>
          <w:sz w:val="20"/>
        </w:rPr>
        <w:t>as </w:t>
      </w:r>
      <w:r>
        <w:rPr>
          <w:spacing w:val="-3"/>
          <w:w w:val="120"/>
          <w:sz w:val="20"/>
        </w:rPr>
        <w:t>context-based </w:t>
      </w:r>
      <w:r>
        <w:rPr>
          <w:w w:val="120"/>
          <w:sz w:val="20"/>
        </w:rPr>
        <w:t>learning and pastoral </w:t>
      </w:r>
      <w:r>
        <w:rPr>
          <w:spacing w:val="-3"/>
          <w:w w:val="120"/>
          <w:sz w:val="20"/>
        </w:rPr>
        <w:t>resources </w:t>
      </w:r>
      <w:r>
        <w:rPr>
          <w:w w:val="120"/>
          <w:sz w:val="20"/>
        </w:rPr>
        <w:t>become a growing</w:t>
      </w:r>
      <w:r>
        <w:rPr>
          <w:spacing w:val="-6"/>
          <w:w w:val="120"/>
          <w:sz w:val="20"/>
        </w:rPr>
        <w:t> </w:t>
      </w:r>
      <w:r>
        <w:rPr>
          <w:spacing w:val="-3"/>
          <w:w w:val="120"/>
          <w:sz w:val="20"/>
        </w:rPr>
        <w:t>focus.</w:t>
      </w:r>
    </w:p>
    <w:p>
      <w:pPr>
        <w:pStyle w:val="BodyText"/>
        <w:spacing w:before="3"/>
      </w:pPr>
    </w:p>
    <w:p>
      <w:pPr>
        <w:pStyle w:val="ListParagraph"/>
        <w:numPr>
          <w:ilvl w:val="0"/>
          <w:numId w:val="68"/>
        </w:numPr>
        <w:tabs>
          <w:tab w:pos="2244" w:val="left" w:leader="none"/>
          <w:tab w:pos="2245" w:val="left" w:leader="none"/>
        </w:tabs>
        <w:spacing w:line="235" w:lineRule="auto" w:before="0" w:after="0"/>
        <w:ind w:left="1564" w:right="963" w:firstLine="0"/>
        <w:jc w:val="left"/>
        <w:rPr>
          <w:sz w:val="20"/>
        </w:rPr>
      </w:pPr>
      <w:r>
        <w:rPr>
          <w:spacing w:val="-3"/>
          <w:w w:val="120"/>
          <w:sz w:val="20"/>
        </w:rPr>
        <w:t>Sadly, </w:t>
      </w:r>
      <w:r>
        <w:rPr>
          <w:w w:val="120"/>
          <w:sz w:val="20"/>
        </w:rPr>
        <w:t>we will be saying farewell to Revd Dr Yak-hwee </w:t>
      </w:r>
      <w:r>
        <w:rPr>
          <w:spacing w:val="-5"/>
          <w:w w:val="120"/>
          <w:sz w:val="20"/>
        </w:rPr>
        <w:t>Tan </w:t>
      </w:r>
      <w:r>
        <w:rPr>
          <w:w w:val="120"/>
          <w:sz w:val="20"/>
        </w:rPr>
        <w:t>as our New Testament </w:t>
      </w:r>
      <w:r>
        <w:rPr>
          <w:spacing w:val="-4"/>
          <w:w w:val="120"/>
          <w:sz w:val="20"/>
        </w:rPr>
        <w:t>Tutor </w:t>
      </w:r>
      <w:r>
        <w:rPr>
          <w:w w:val="120"/>
          <w:sz w:val="20"/>
        </w:rPr>
        <w:t>in the summer of </w:t>
      </w:r>
      <w:r>
        <w:rPr>
          <w:spacing w:val="-6"/>
          <w:w w:val="120"/>
          <w:sz w:val="20"/>
        </w:rPr>
        <w:t>2018 </w:t>
      </w:r>
      <w:r>
        <w:rPr>
          <w:w w:val="120"/>
          <w:sz w:val="20"/>
        </w:rPr>
        <w:t>as she returns to</w:t>
      </w:r>
      <w:r>
        <w:rPr>
          <w:spacing w:val="30"/>
          <w:w w:val="120"/>
          <w:sz w:val="20"/>
        </w:rPr>
        <w:t> </w:t>
      </w:r>
      <w:r>
        <w:rPr>
          <w:w w:val="120"/>
          <w:sz w:val="20"/>
        </w:rPr>
        <w:t>Singapore.</w:t>
      </w:r>
    </w:p>
    <w:p>
      <w:pPr>
        <w:pStyle w:val="BodyText"/>
        <w:spacing w:before="9"/>
        <w:rPr>
          <w:sz w:val="19"/>
        </w:rPr>
      </w:pPr>
    </w:p>
    <w:p>
      <w:pPr>
        <w:pStyle w:val="ListParagraph"/>
        <w:numPr>
          <w:ilvl w:val="0"/>
          <w:numId w:val="68"/>
        </w:numPr>
        <w:tabs>
          <w:tab w:pos="2244" w:val="left" w:leader="none"/>
          <w:tab w:pos="2245" w:val="left" w:leader="none"/>
        </w:tabs>
        <w:spacing w:line="235" w:lineRule="auto" w:before="0" w:after="0"/>
        <w:ind w:left="1564" w:right="1251" w:firstLine="0"/>
        <w:jc w:val="left"/>
        <w:rPr>
          <w:sz w:val="20"/>
        </w:rPr>
      </w:pPr>
      <w:r>
        <w:rPr>
          <w:w w:val="120"/>
          <w:sz w:val="20"/>
        </w:rPr>
        <w:t>Westminster’s teaching team is sustained and supported by over </w:t>
      </w:r>
      <w:r>
        <w:rPr>
          <w:spacing w:val="3"/>
          <w:w w:val="120"/>
          <w:sz w:val="20"/>
        </w:rPr>
        <w:t>forty </w:t>
      </w:r>
      <w:r>
        <w:rPr>
          <w:w w:val="120"/>
          <w:sz w:val="20"/>
        </w:rPr>
        <w:t>other members of college staff and a host of volunteers on our committees who, together, ensure the college runs smoothly and well. We owe them all a huge</w:t>
      </w:r>
      <w:r>
        <w:rPr>
          <w:spacing w:val="40"/>
          <w:w w:val="120"/>
          <w:sz w:val="20"/>
        </w:rPr>
        <w:t> </w:t>
      </w:r>
      <w:r>
        <w:rPr>
          <w:w w:val="120"/>
          <w:sz w:val="20"/>
        </w:rPr>
        <w:t>debt.</w:t>
      </w:r>
    </w:p>
    <w:p>
      <w:pPr>
        <w:pStyle w:val="BodyText"/>
        <w:rPr>
          <w:sz w:val="19"/>
        </w:rPr>
      </w:pPr>
    </w:p>
    <w:p>
      <w:pPr>
        <w:pStyle w:val="Heading6"/>
        <w:spacing w:before="1"/>
        <w:ind w:left="1564"/>
      </w:pPr>
      <w:r>
        <w:rPr>
          <w:w w:val="110"/>
        </w:rPr>
        <w:t>Places</w:t>
      </w:r>
    </w:p>
    <w:p>
      <w:pPr>
        <w:pStyle w:val="ListParagraph"/>
        <w:numPr>
          <w:ilvl w:val="0"/>
          <w:numId w:val="68"/>
        </w:numPr>
        <w:tabs>
          <w:tab w:pos="2244" w:val="left" w:leader="none"/>
          <w:tab w:pos="2245" w:val="left" w:leader="none"/>
        </w:tabs>
        <w:spacing w:line="235" w:lineRule="auto" w:before="82" w:after="0"/>
        <w:ind w:left="1564" w:right="1034" w:firstLine="0"/>
        <w:jc w:val="left"/>
        <w:rPr>
          <w:sz w:val="20"/>
        </w:rPr>
      </w:pPr>
      <w:r>
        <w:rPr>
          <w:w w:val="120"/>
          <w:sz w:val="20"/>
        </w:rPr>
        <w:t>The Woolf Institute building is complete, providing a superb addition to the Westminster campus. It is home not only to the Woolf staff, focussing on dialogue between Jews, Christians and Muslims, but also to the Faraday Institute for Science and Religion. With both of these welcome partners Westminster will be developing</w:t>
      </w:r>
      <w:r>
        <w:rPr>
          <w:spacing w:val="8"/>
          <w:w w:val="120"/>
          <w:sz w:val="20"/>
        </w:rPr>
        <w:t> </w:t>
      </w:r>
      <w:r>
        <w:rPr>
          <w:w w:val="120"/>
          <w:sz w:val="20"/>
        </w:rPr>
        <w:t>an</w:t>
      </w:r>
    </w:p>
    <w:p>
      <w:pPr>
        <w:pStyle w:val="BodyText"/>
        <w:spacing w:line="235" w:lineRule="auto" w:before="3"/>
        <w:ind w:left="1564" w:right="956"/>
      </w:pPr>
      <w:r>
        <w:rPr>
          <w:w w:val="120"/>
        </w:rPr>
        <w:t>increasingly diverse range of events and courses, many online, to help churches engage even more with some of the big issues such as the place of faith in society and the  threat of climate</w:t>
      </w:r>
      <w:r>
        <w:rPr>
          <w:spacing w:val="5"/>
          <w:w w:val="120"/>
        </w:rPr>
        <w:t> </w:t>
      </w:r>
      <w:r>
        <w:rPr>
          <w:w w:val="120"/>
        </w:rPr>
        <w:t>change.</w:t>
      </w:r>
    </w:p>
    <w:p>
      <w:pPr>
        <w:pStyle w:val="BodyText"/>
        <w:spacing w:before="10"/>
        <w:rPr>
          <w:sz w:val="19"/>
        </w:rPr>
      </w:pPr>
    </w:p>
    <w:p>
      <w:pPr>
        <w:pStyle w:val="ListParagraph"/>
        <w:numPr>
          <w:ilvl w:val="0"/>
          <w:numId w:val="68"/>
        </w:numPr>
        <w:tabs>
          <w:tab w:pos="2244" w:val="left" w:leader="none"/>
          <w:tab w:pos="2245" w:val="left" w:leader="none"/>
        </w:tabs>
        <w:spacing w:line="235" w:lineRule="auto" w:before="0" w:after="0"/>
        <w:ind w:left="1564" w:right="1023" w:firstLine="0"/>
        <w:jc w:val="left"/>
        <w:rPr>
          <w:sz w:val="20"/>
        </w:rPr>
      </w:pPr>
      <w:r>
        <w:rPr>
          <w:w w:val="120"/>
          <w:sz w:val="20"/>
        </w:rPr>
        <w:t>We have also been able to complete a purpose-built </w:t>
      </w:r>
      <w:r>
        <w:rPr>
          <w:spacing w:val="3"/>
          <w:w w:val="120"/>
          <w:sz w:val="20"/>
        </w:rPr>
        <w:t>art </w:t>
      </w:r>
      <w:r>
        <w:rPr>
          <w:w w:val="120"/>
          <w:sz w:val="20"/>
        </w:rPr>
        <w:t>studio. This is available for students, staff and visitors who want to find artistic expression for their creativity and learning. Our MA module exploring </w:t>
      </w:r>
      <w:r>
        <w:rPr>
          <w:spacing w:val="3"/>
          <w:w w:val="120"/>
          <w:sz w:val="20"/>
        </w:rPr>
        <w:t>art </w:t>
      </w:r>
      <w:r>
        <w:rPr>
          <w:w w:val="120"/>
          <w:sz w:val="20"/>
        </w:rPr>
        <w:t>and theology has used the space, and we are designing programmes that ensure it can be home to new offerings of imagination and a deep encounter with</w:t>
      </w:r>
      <w:r>
        <w:rPr>
          <w:spacing w:val="12"/>
          <w:w w:val="120"/>
          <w:sz w:val="20"/>
        </w:rPr>
        <w:t> </w:t>
      </w:r>
      <w:r>
        <w:rPr>
          <w:w w:val="120"/>
          <w:sz w:val="20"/>
        </w:rPr>
        <w:t>God.</w:t>
      </w:r>
    </w:p>
    <w:p>
      <w:pPr>
        <w:pStyle w:val="BodyText"/>
        <w:spacing w:before="12"/>
        <w:rPr>
          <w:sz w:val="19"/>
        </w:rPr>
      </w:pPr>
    </w:p>
    <w:p>
      <w:pPr>
        <w:pStyle w:val="ListParagraph"/>
        <w:numPr>
          <w:ilvl w:val="0"/>
          <w:numId w:val="68"/>
        </w:numPr>
        <w:tabs>
          <w:tab w:pos="2244" w:val="left" w:leader="none"/>
          <w:tab w:pos="2245" w:val="left" w:leader="none"/>
        </w:tabs>
        <w:spacing w:line="235" w:lineRule="auto" w:before="0" w:after="0"/>
        <w:ind w:left="1564" w:right="1014" w:firstLine="0"/>
        <w:jc w:val="left"/>
        <w:rPr>
          <w:sz w:val="20"/>
        </w:rPr>
      </w:pPr>
      <w:r>
        <w:rPr>
          <w:w w:val="120"/>
          <w:sz w:val="20"/>
        </w:rPr>
        <w:t>In</w:t>
      </w:r>
      <w:r>
        <w:rPr>
          <w:spacing w:val="-3"/>
          <w:w w:val="120"/>
          <w:sz w:val="20"/>
        </w:rPr>
        <w:t> </w:t>
      </w:r>
      <w:r>
        <w:rPr>
          <w:w w:val="120"/>
          <w:sz w:val="20"/>
        </w:rPr>
        <w:t>all</w:t>
      </w:r>
      <w:r>
        <w:rPr>
          <w:spacing w:val="-3"/>
          <w:w w:val="120"/>
          <w:sz w:val="20"/>
        </w:rPr>
        <w:t> </w:t>
      </w:r>
      <w:r>
        <w:rPr>
          <w:w w:val="120"/>
          <w:sz w:val="20"/>
        </w:rPr>
        <w:t>of</w:t>
      </w:r>
      <w:r>
        <w:rPr>
          <w:spacing w:val="-3"/>
          <w:w w:val="120"/>
          <w:sz w:val="20"/>
        </w:rPr>
        <w:t> </w:t>
      </w:r>
      <w:r>
        <w:rPr>
          <w:w w:val="120"/>
          <w:sz w:val="20"/>
        </w:rPr>
        <w:t>this,</w:t>
      </w:r>
      <w:r>
        <w:rPr>
          <w:spacing w:val="-3"/>
          <w:w w:val="120"/>
          <w:sz w:val="20"/>
        </w:rPr>
        <w:t> </w:t>
      </w:r>
      <w:r>
        <w:rPr>
          <w:w w:val="120"/>
          <w:sz w:val="20"/>
        </w:rPr>
        <w:t>Westminster</w:t>
      </w:r>
      <w:r>
        <w:rPr>
          <w:spacing w:val="-2"/>
          <w:w w:val="120"/>
          <w:sz w:val="20"/>
        </w:rPr>
        <w:t> </w:t>
      </w:r>
      <w:r>
        <w:rPr>
          <w:w w:val="120"/>
          <w:sz w:val="20"/>
        </w:rPr>
        <w:t>continues</w:t>
      </w:r>
      <w:r>
        <w:rPr>
          <w:spacing w:val="-3"/>
          <w:w w:val="120"/>
          <w:sz w:val="20"/>
        </w:rPr>
        <w:t> </w:t>
      </w:r>
      <w:r>
        <w:rPr>
          <w:w w:val="120"/>
          <w:sz w:val="20"/>
        </w:rPr>
        <w:t>to</w:t>
      </w:r>
      <w:r>
        <w:rPr>
          <w:spacing w:val="-3"/>
          <w:w w:val="120"/>
          <w:sz w:val="20"/>
        </w:rPr>
        <w:t> </w:t>
      </w:r>
      <w:r>
        <w:rPr>
          <w:w w:val="120"/>
          <w:sz w:val="20"/>
        </w:rPr>
        <w:t>offer</w:t>
      </w:r>
      <w:r>
        <w:rPr>
          <w:spacing w:val="-3"/>
          <w:w w:val="120"/>
          <w:sz w:val="20"/>
        </w:rPr>
        <w:t> </w:t>
      </w:r>
      <w:r>
        <w:rPr>
          <w:w w:val="120"/>
          <w:sz w:val="20"/>
        </w:rPr>
        <w:t>all</w:t>
      </w:r>
      <w:r>
        <w:rPr>
          <w:spacing w:val="-2"/>
          <w:w w:val="120"/>
          <w:sz w:val="20"/>
        </w:rPr>
        <w:t> </w:t>
      </w:r>
      <w:r>
        <w:rPr>
          <w:w w:val="120"/>
          <w:sz w:val="20"/>
        </w:rPr>
        <w:t>that</w:t>
      </w:r>
      <w:r>
        <w:rPr>
          <w:spacing w:val="-3"/>
          <w:w w:val="120"/>
          <w:sz w:val="20"/>
        </w:rPr>
        <w:t> </w:t>
      </w:r>
      <w:r>
        <w:rPr>
          <w:w w:val="120"/>
          <w:sz w:val="20"/>
        </w:rPr>
        <w:t>it</w:t>
      </w:r>
      <w:r>
        <w:rPr>
          <w:spacing w:val="-3"/>
          <w:w w:val="120"/>
          <w:sz w:val="20"/>
        </w:rPr>
        <w:t> </w:t>
      </w:r>
      <w:r>
        <w:rPr>
          <w:w w:val="120"/>
          <w:sz w:val="20"/>
        </w:rPr>
        <w:t>is</w:t>
      </w:r>
      <w:r>
        <w:rPr>
          <w:spacing w:val="-3"/>
          <w:w w:val="120"/>
          <w:sz w:val="20"/>
        </w:rPr>
        <w:t> </w:t>
      </w:r>
      <w:r>
        <w:rPr>
          <w:w w:val="120"/>
          <w:sz w:val="20"/>
        </w:rPr>
        <w:t>and</w:t>
      </w:r>
      <w:r>
        <w:rPr>
          <w:spacing w:val="-3"/>
          <w:w w:val="120"/>
          <w:sz w:val="20"/>
        </w:rPr>
        <w:t> </w:t>
      </w:r>
      <w:r>
        <w:rPr>
          <w:w w:val="120"/>
          <w:sz w:val="20"/>
        </w:rPr>
        <w:t>hopes</w:t>
      </w:r>
      <w:r>
        <w:rPr>
          <w:spacing w:val="-2"/>
          <w:w w:val="120"/>
          <w:sz w:val="20"/>
        </w:rPr>
        <w:t> </w:t>
      </w:r>
      <w:r>
        <w:rPr>
          <w:w w:val="120"/>
          <w:sz w:val="20"/>
        </w:rPr>
        <w:t>to</w:t>
      </w:r>
      <w:r>
        <w:rPr>
          <w:spacing w:val="-3"/>
          <w:w w:val="120"/>
          <w:sz w:val="20"/>
        </w:rPr>
        <w:t> </w:t>
      </w:r>
      <w:r>
        <w:rPr>
          <w:w w:val="120"/>
          <w:sz w:val="20"/>
        </w:rPr>
        <w:t>become</w:t>
      </w:r>
      <w:r>
        <w:rPr>
          <w:spacing w:val="-3"/>
          <w:w w:val="120"/>
          <w:sz w:val="20"/>
        </w:rPr>
        <w:t> </w:t>
      </w:r>
      <w:r>
        <w:rPr>
          <w:w w:val="120"/>
          <w:sz w:val="20"/>
        </w:rPr>
        <w:t>to serve the whole</w:t>
      </w:r>
      <w:r>
        <w:rPr>
          <w:spacing w:val="6"/>
          <w:w w:val="120"/>
          <w:sz w:val="20"/>
        </w:rPr>
        <w:t> </w:t>
      </w:r>
      <w:r>
        <w:rPr>
          <w:w w:val="120"/>
          <w:sz w:val="20"/>
        </w:rPr>
        <w:t>URC.</w:t>
      </w:r>
    </w:p>
    <w:p>
      <w:pPr>
        <w:spacing w:after="0" w:line="235" w:lineRule="auto"/>
        <w:jc w:val="left"/>
        <w:rPr>
          <w:sz w:val="20"/>
        </w:rPr>
        <w:sectPr>
          <w:headerReference w:type="default" r:id="rId292"/>
          <w:footerReference w:type="default" r:id="rId293"/>
          <w:footerReference w:type="even" r:id="rId294"/>
          <w:pgSz w:w="11910" w:h="16840"/>
          <w:pgMar w:header="0" w:footer="647" w:top="0" w:bottom="840" w:left="420" w:right="380"/>
          <w:pgNumType w:start="99"/>
        </w:sectPr>
      </w:pPr>
    </w:p>
    <w:p>
      <w:pPr>
        <w:pStyle w:val="BodyText"/>
      </w:pPr>
      <w:r>
        <w:rPr/>
        <w:drawing>
          <wp:anchor distT="0" distB="0" distL="0" distR="0" allowOverlap="1" layoutInCell="1" locked="0" behindDoc="1" simplePos="0" relativeHeight="235961344">
            <wp:simplePos x="0" y="0"/>
            <wp:positionH relativeFrom="page">
              <wp:posOffset>0</wp:posOffset>
            </wp:positionH>
            <wp:positionV relativeFrom="page">
              <wp:posOffset>0</wp:posOffset>
            </wp:positionV>
            <wp:extent cx="594067" cy="10692003"/>
            <wp:effectExtent l="0" t="0" r="0" b="0"/>
            <wp:wrapNone/>
            <wp:docPr id="189" name="image70.png"/>
            <wp:cNvGraphicFramePr>
              <a:graphicFrameLocks noChangeAspect="1"/>
            </wp:cNvGraphicFramePr>
            <a:graphic>
              <a:graphicData uri="http://schemas.openxmlformats.org/drawingml/2006/picture">
                <pic:pic>
                  <pic:nvPicPr>
                    <pic:cNvPr id="19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29600"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spacing w:before="215"/>
        <w:ind w:left="827" w:right="0" w:firstLine="0"/>
        <w:jc w:val="left"/>
        <w:rPr>
          <w:rFonts w:ascii="Stone Sans II ITC Std Bk"/>
          <w:b/>
          <w:sz w:val="29"/>
        </w:rPr>
      </w:pPr>
      <w:r>
        <w:rPr>
          <w:rFonts w:ascii="Stone Sans II ITC Std Bk"/>
          <w:b/>
          <w:w w:val="110"/>
          <w:sz w:val="29"/>
        </w:rPr>
        <w:t>Northern College</w:t>
      </w:r>
    </w:p>
    <w:p>
      <w:pPr>
        <w:pStyle w:val="Heading6"/>
        <w:spacing w:before="59"/>
      </w:pPr>
      <w:r>
        <w:rPr>
          <w:w w:val="110"/>
        </w:rPr>
        <w:t>Who are we … in Manchester?</w:t>
      </w:r>
    </w:p>
    <w:p>
      <w:pPr>
        <w:pStyle w:val="ListParagraph"/>
        <w:numPr>
          <w:ilvl w:val="0"/>
          <w:numId w:val="68"/>
        </w:numPr>
        <w:tabs>
          <w:tab w:pos="1508" w:val="left" w:leader="none"/>
        </w:tabs>
        <w:spacing w:line="235" w:lineRule="auto" w:before="82" w:after="0"/>
        <w:ind w:left="827" w:right="1729" w:firstLine="0"/>
        <w:jc w:val="both"/>
        <w:rPr>
          <w:sz w:val="20"/>
        </w:rPr>
      </w:pPr>
      <w:r>
        <w:rPr>
          <w:spacing w:val="2"/>
          <w:w w:val="120"/>
          <w:sz w:val="20"/>
        </w:rPr>
        <w:t>Northern </w:t>
      </w:r>
      <w:r>
        <w:rPr>
          <w:w w:val="120"/>
          <w:sz w:val="20"/>
        </w:rPr>
        <w:t>College is serving the whole of the URC, as well as contributing to the life of the Congregational Federation and the British Province of the Moravian Church. We are a community</w:t>
      </w:r>
      <w:r>
        <w:rPr>
          <w:spacing w:val="7"/>
          <w:w w:val="120"/>
          <w:sz w:val="20"/>
        </w:rPr>
        <w:t> </w:t>
      </w:r>
      <w:r>
        <w:rPr>
          <w:w w:val="120"/>
          <w:sz w:val="20"/>
        </w:rPr>
        <w:t>of:</w:t>
      </w:r>
    </w:p>
    <w:p>
      <w:pPr>
        <w:pStyle w:val="ListParagraph"/>
        <w:numPr>
          <w:ilvl w:val="0"/>
          <w:numId w:val="65"/>
        </w:numPr>
        <w:tabs>
          <w:tab w:pos="1507" w:val="left" w:leader="none"/>
          <w:tab w:pos="1508" w:val="left" w:leader="none"/>
        </w:tabs>
        <w:spacing w:line="235" w:lineRule="auto" w:before="0" w:after="0"/>
        <w:ind w:left="1507" w:right="1660" w:hanging="681"/>
        <w:jc w:val="left"/>
        <w:rPr>
          <w:sz w:val="20"/>
        </w:rPr>
      </w:pPr>
      <w:r>
        <w:rPr>
          <w:w w:val="120"/>
          <w:sz w:val="20"/>
        </w:rPr>
        <w:t>Twenty-six students </w:t>
      </w:r>
      <w:r>
        <w:rPr>
          <w:spacing w:val="-8"/>
          <w:w w:val="120"/>
          <w:sz w:val="20"/>
        </w:rPr>
        <w:t>(24 </w:t>
      </w:r>
      <w:r>
        <w:rPr>
          <w:w w:val="120"/>
          <w:sz w:val="20"/>
        </w:rPr>
        <w:t>of them URC) in training for various ministries – ministry of Word and Sacraments (MWS) in stipendiary and non-stipendiary service and ministry of</w:t>
      </w:r>
      <w:r>
        <w:rPr>
          <w:spacing w:val="4"/>
          <w:w w:val="120"/>
          <w:sz w:val="20"/>
        </w:rPr>
        <w:t> </w:t>
      </w:r>
      <w:r>
        <w:rPr>
          <w:w w:val="120"/>
          <w:sz w:val="20"/>
        </w:rPr>
        <w:t>CRCW;</w:t>
      </w:r>
    </w:p>
    <w:p>
      <w:pPr>
        <w:pStyle w:val="ListParagraph"/>
        <w:numPr>
          <w:ilvl w:val="0"/>
          <w:numId w:val="65"/>
        </w:numPr>
        <w:tabs>
          <w:tab w:pos="1507" w:val="left" w:leader="none"/>
          <w:tab w:pos="1508" w:val="left" w:leader="none"/>
        </w:tabs>
        <w:spacing w:line="235" w:lineRule="auto" w:before="0" w:after="0"/>
        <w:ind w:left="1507" w:right="1853" w:hanging="681"/>
        <w:jc w:val="left"/>
        <w:rPr>
          <w:sz w:val="20"/>
        </w:rPr>
      </w:pPr>
      <w:r>
        <w:rPr>
          <w:w w:val="120"/>
          <w:sz w:val="20"/>
        </w:rPr>
        <w:t>One post-graduate Mona Powell ‘Fellow’ who is working towards a PhD in Old Testament</w:t>
      </w:r>
      <w:r>
        <w:rPr>
          <w:spacing w:val="1"/>
          <w:w w:val="120"/>
          <w:sz w:val="20"/>
        </w:rPr>
        <w:t> </w:t>
      </w:r>
      <w:r>
        <w:rPr>
          <w:w w:val="120"/>
          <w:sz w:val="20"/>
        </w:rPr>
        <w:t>studies;</w:t>
      </w:r>
    </w:p>
    <w:p>
      <w:pPr>
        <w:pStyle w:val="ListParagraph"/>
        <w:numPr>
          <w:ilvl w:val="0"/>
          <w:numId w:val="65"/>
        </w:numPr>
        <w:tabs>
          <w:tab w:pos="1507" w:val="left" w:leader="none"/>
          <w:tab w:pos="1508" w:val="left" w:leader="none"/>
        </w:tabs>
        <w:spacing w:line="235" w:lineRule="auto" w:before="0" w:after="0"/>
        <w:ind w:left="1507" w:right="1625" w:hanging="681"/>
        <w:jc w:val="left"/>
        <w:rPr>
          <w:sz w:val="20"/>
        </w:rPr>
      </w:pPr>
      <w:r>
        <w:rPr>
          <w:w w:val="120"/>
          <w:sz w:val="20"/>
        </w:rPr>
        <w:t>Four full-time academic members of staff: Revd Dr Graham Adams (Mission Studies in the context of global Christianity and religious diversity and dialogue); Revd Dr Noel </w:t>
      </w:r>
      <w:r>
        <w:rPr>
          <w:spacing w:val="2"/>
          <w:w w:val="120"/>
          <w:sz w:val="20"/>
        </w:rPr>
        <w:t>Irwin </w:t>
      </w:r>
      <w:r>
        <w:rPr>
          <w:w w:val="120"/>
          <w:sz w:val="20"/>
        </w:rPr>
        <w:t>(Public Theology and CRCW </w:t>
      </w:r>
      <w:r>
        <w:rPr>
          <w:spacing w:val="-5"/>
          <w:w w:val="120"/>
          <w:sz w:val="20"/>
        </w:rPr>
        <w:t>Tutor); </w:t>
      </w:r>
      <w:r>
        <w:rPr>
          <w:w w:val="120"/>
          <w:sz w:val="20"/>
        </w:rPr>
        <w:t>Revd Dr Rosalind Selby (Principal,</w:t>
      </w:r>
      <w:r>
        <w:rPr>
          <w:spacing w:val="9"/>
          <w:w w:val="120"/>
          <w:sz w:val="20"/>
        </w:rPr>
        <w:t> </w:t>
      </w:r>
      <w:r>
        <w:rPr>
          <w:w w:val="120"/>
          <w:sz w:val="20"/>
        </w:rPr>
        <w:t>Biblical</w:t>
      </w:r>
      <w:r>
        <w:rPr>
          <w:spacing w:val="10"/>
          <w:w w:val="120"/>
          <w:sz w:val="20"/>
        </w:rPr>
        <w:t> </w:t>
      </w:r>
      <w:r>
        <w:rPr>
          <w:spacing w:val="-3"/>
          <w:w w:val="120"/>
          <w:sz w:val="20"/>
        </w:rPr>
        <w:t>Studies);</w:t>
      </w:r>
      <w:r>
        <w:rPr>
          <w:spacing w:val="10"/>
          <w:w w:val="120"/>
          <w:sz w:val="20"/>
        </w:rPr>
        <w:t> </w:t>
      </w:r>
      <w:r>
        <w:rPr>
          <w:w w:val="120"/>
          <w:sz w:val="20"/>
        </w:rPr>
        <w:t>Revd</w:t>
      </w:r>
      <w:r>
        <w:rPr>
          <w:spacing w:val="10"/>
          <w:w w:val="120"/>
          <w:sz w:val="20"/>
        </w:rPr>
        <w:t> </w:t>
      </w:r>
      <w:r>
        <w:rPr>
          <w:w w:val="120"/>
          <w:sz w:val="20"/>
        </w:rPr>
        <w:t>Dr</w:t>
      </w:r>
      <w:r>
        <w:rPr>
          <w:spacing w:val="10"/>
          <w:w w:val="120"/>
          <w:sz w:val="20"/>
        </w:rPr>
        <w:t> </w:t>
      </w:r>
      <w:r>
        <w:rPr>
          <w:w w:val="120"/>
          <w:sz w:val="20"/>
        </w:rPr>
        <w:t>Kathy</w:t>
      </w:r>
      <w:r>
        <w:rPr>
          <w:spacing w:val="9"/>
          <w:w w:val="120"/>
          <w:sz w:val="20"/>
        </w:rPr>
        <w:t> </w:t>
      </w:r>
      <w:r>
        <w:rPr>
          <w:w w:val="120"/>
          <w:sz w:val="20"/>
        </w:rPr>
        <w:t>White</w:t>
      </w:r>
      <w:r>
        <w:rPr>
          <w:spacing w:val="10"/>
          <w:w w:val="120"/>
          <w:sz w:val="20"/>
        </w:rPr>
        <w:t> </w:t>
      </w:r>
      <w:r>
        <w:rPr>
          <w:w w:val="120"/>
          <w:sz w:val="20"/>
        </w:rPr>
        <w:t>(Hebrew</w:t>
      </w:r>
      <w:r>
        <w:rPr>
          <w:spacing w:val="10"/>
          <w:w w:val="120"/>
          <w:sz w:val="20"/>
        </w:rPr>
        <w:t> </w:t>
      </w:r>
      <w:r>
        <w:rPr>
          <w:w w:val="120"/>
          <w:sz w:val="20"/>
        </w:rPr>
        <w:t>Bible</w:t>
      </w:r>
      <w:r>
        <w:rPr>
          <w:spacing w:val="10"/>
          <w:w w:val="120"/>
          <w:sz w:val="20"/>
        </w:rPr>
        <w:t> </w:t>
      </w:r>
      <w:r>
        <w:rPr>
          <w:w w:val="120"/>
          <w:sz w:val="20"/>
        </w:rPr>
        <w:t>and</w:t>
      </w:r>
      <w:r>
        <w:rPr>
          <w:spacing w:val="10"/>
          <w:w w:val="120"/>
          <w:sz w:val="20"/>
        </w:rPr>
        <w:t> </w:t>
      </w:r>
      <w:r>
        <w:rPr>
          <w:w w:val="120"/>
          <w:sz w:val="20"/>
        </w:rPr>
        <w:t>language);</w:t>
      </w:r>
    </w:p>
    <w:p>
      <w:pPr>
        <w:pStyle w:val="ListParagraph"/>
        <w:numPr>
          <w:ilvl w:val="0"/>
          <w:numId w:val="65"/>
        </w:numPr>
        <w:tabs>
          <w:tab w:pos="1507" w:val="left" w:leader="none"/>
          <w:tab w:pos="1508" w:val="left" w:leader="none"/>
        </w:tabs>
        <w:spacing w:line="235" w:lineRule="auto" w:before="0" w:after="0"/>
        <w:ind w:left="1507" w:right="1778" w:hanging="681"/>
        <w:jc w:val="left"/>
        <w:rPr>
          <w:sz w:val="20"/>
        </w:rPr>
      </w:pPr>
      <w:r>
        <w:rPr>
          <w:w w:val="120"/>
          <w:sz w:val="20"/>
        </w:rPr>
        <w:t>One half-time Support and Development </w:t>
      </w:r>
      <w:r>
        <w:rPr>
          <w:spacing w:val="-3"/>
          <w:w w:val="120"/>
          <w:sz w:val="20"/>
        </w:rPr>
        <w:t>Tutor: </w:t>
      </w:r>
      <w:r>
        <w:rPr>
          <w:w w:val="120"/>
          <w:sz w:val="20"/>
        </w:rPr>
        <w:t>Revd Dr Tim Mountain </w:t>
      </w:r>
      <w:r>
        <w:rPr>
          <w:spacing w:val="-3"/>
          <w:w w:val="120"/>
          <w:sz w:val="20"/>
        </w:rPr>
        <w:t>(who </w:t>
      </w:r>
      <w:r>
        <w:rPr>
          <w:w w:val="120"/>
          <w:sz w:val="20"/>
        </w:rPr>
        <w:t>also works with </w:t>
      </w:r>
      <w:r>
        <w:rPr>
          <w:spacing w:val="2"/>
          <w:w w:val="120"/>
          <w:sz w:val="20"/>
        </w:rPr>
        <w:t>North </w:t>
      </w:r>
      <w:r>
        <w:rPr>
          <w:w w:val="120"/>
          <w:sz w:val="20"/>
        </w:rPr>
        <w:t>Western Synod). Tim is helping develop our work for the wider church and offering more capacity for student support, particularly our weekend part-time</w:t>
      </w:r>
      <w:r>
        <w:rPr>
          <w:spacing w:val="3"/>
          <w:w w:val="120"/>
          <w:sz w:val="20"/>
        </w:rPr>
        <w:t> </w:t>
      </w:r>
      <w:r>
        <w:rPr>
          <w:w w:val="120"/>
          <w:sz w:val="20"/>
        </w:rPr>
        <w:t>students);</w:t>
      </w:r>
    </w:p>
    <w:p>
      <w:pPr>
        <w:pStyle w:val="ListParagraph"/>
        <w:numPr>
          <w:ilvl w:val="0"/>
          <w:numId w:val="65"/>
        </w:numPr>
        <w:tabs>
          <w:tab w:pos="1507" w:val="left" w:leader="none"/>
          <w:tab w:pos="1508" w:val="left" w:leader="none"/>
        </w:tabs>
        <w:spacing w:line="243" w:lineRule="exact" w:before="0" w:after="0"/>
        <w:ind w:left="1507" w:right="0" w:hanging="681"/>
        <w:jc w:val="left"/>
        <w:rPr>
          <w:sz w:val="20"/>
        </w:rPr>
      </w:pPr>
      <w:r>
        <w:rPr>
          <w:w w:val="120"/>
          <w:sz w:val="20"/>
        </w:rPr>
        <w:t>1 College Administrator: Mrs Christine</w:t>
      </w:r>
      <w:r>
        <w:rPr>
          <w:spacing w:val="15"/>
          <w:w w:val="120"/>
          <w:sz w:val="20"/>
        </w:rPr>
        <w:t> </w:t>
      </w:r>
      <w:r>
        <w:rPr>
          <w:w w:val="120"/>
          <w:sz w:val="20"/>
        </w:rPr>
        <w:t>Thornborough.</w:t>
      </w:r>
    </w:p>
    <w:p>
      <w:pPr>
        <w:pStyle w:val="ListParagraph"/>
        <w:numPr>
          <w:ilvl w:val="0"/>
          <w:numId w:val="68"/>
        </w:numPr>
        <w:tabs>
          <w:tab w:pos="1507" w:val="left" w:leader="none"/>
          <w:tab w:pos="1508" w:val="left" w:leader="none"/>
        </w:tabs>
        <w:spacing w:line="235" w:lineRule="auto" w:before="206" w:after="0"/>
        <w:ind w:left="827" w:right="1726" w:firstLine="0"/>
        <w:jc w:val="left"/>
        <w:rPr>
          <w:sz w:val="20"/>
        </w:rPr>
      </w:pPr>
      <w:r>
        <w:rPr>
          <w:w w:val="120"/>
          <w:sz w:val="20"/>
        </w:rPr>
        <w:t>This is a wonderful place to walk an ecumenical and international way with Baptists, Unitarians and other students and colleagues who bring their experiences from varied countries of origin and diverse denominations in the </w:t>
      </w:r>
      <w:r>
        <w:rPr>
          <w:spacing w:val="2"/>
          <w:w w:val="120"/>
          <w:sz w:val="20"/>
        </w:rPr>
        <w:t>UK. </w:t>
      </w:r>
      <w:r>
        <w:rPr>
          <w:w w:val="120"/>
          <w:sz w:val="20"/>
        </w:rPr>
        <w:t>We are a learning and worshipping community sharing an atmosphere of friendship and</w:t>
      </w:r>
      <w:r>
        <w:rPr>
          <w:spacing w:val="4"/>
          <w:w w:val="120"/>
          <w:sz w:val="20"/>
        </w:rPr>
        <w:t> </w:t>
      </w:r>
      <w:r>
        <w:rPr>
          <w:w w:val="120"/>
          <w:sz w:val="20"/>
        </w:rPr>
        <w:t>collegiality.</w:t>
      </w:r>
    </w:p>
    <w:p>
      <w:pPr>
        <w:pStyle w:val="BodyText"/>
        <w:spacing w:before="1"/>
        <w:rPr>
          <w:sz w:val="19"/>
        </w:rPr>
      </w:pPr>
    </w:p>
    <w:p>
      <w:pPr>
        <w:pStyle w:val="Heading6"/>
      </w:pPr>
      <w:r>
        <w:rPr>
          <w:w w:val="110"/>
        </w:rPr>
        <w:t>What does walking this way of formation look like?</w:t>
      </w:r>
    </w:p>
    <w:p>
      <w:pPr>
        <w:pStyle w:val="ListParagraph"/>
        <w:numPr>
          <w:ilvl w:val="0"/>
          <w:numId w:val="68"/>
        </w:numPr>
        <w:tabs>
          <w:tab w:pos="1507" w:val="left" w:leader="none"/>
          <w:tab w:pos="1508" w:val="left" w:leader="none"/>
        </w:tabs>
        <w:spacing w:line="235" w:lineRule="auto" w:before="83" w:after="0"/>
        <w:ind w:left="827" w:right="1768" w:firstLine="0"/>
        <w:jc w:val="left"/>
        <w:rPr>
          <w:sz w:val="20"/>
        </w:rPr>
      </w:pPr>
      <w:r>
        <w:rPr>
          <w:w w:val="120"/>
          <w:sz w:val="20"/>
        </w:rPr>
        <w:t>Full-time students are just that – giving their full time to their studies and placements – but without moving to Manchester. Rather, they remain rooted in their own communities and stay here for two days a week during term time. They belong in community here and in placement yet can still retain church/minister/synod support near home. They undertake academic qualifications and practical learning alongside substantial contextual placements from the beginning of their studies, clocking up between</w:t>
      </w:r>
      <w:r>
        <w:rPr>
          <w:spacing w:val="5"/>
          <w:w w:val="120"/>
          <w:sz w:val="20"/>
        </w:rPr>
        <w:t> </w:t>
      </w:r>
      <w:r>
        <w:rPr>
          <w:spacing w:val="-5"/>
          <w:w w:val="120"/>
          <w:sz w:val="20"/>
        </w:rPr>
        <w:t>190</w:t>
      </w:r>
      <w:r>
        <w:rPr>
          <w:spacing w:val="6"/>
          <w:w w:val="120"/>
          <w:sz w:val="20"/>
        </w:rPr>
        <w:t> </w:t>
      </w:r>
      <w:r>
        <w:rPr>
          <w:w w:val="120"/>
          <w:sz w:val="20"/>
        </w:rPr>
        <w:t>and</w:t>
      </w:r>
      <w:r>
        <w:rPr>
          <w:spacing w:val="6"/>
          <w:w w:val="120"/>
          <w:sz w:val="20"/>
        </w:rPr>
        <w:t> </w:t>
      </w:r>
      <w:r>
        <w:rPr>
          <w:w w:val="120"/>
          <w:sz w:val="20"/>
        </w:rPr>
        <w:t>280</w:t>
      </w:r>
      <w:r>
        <w:rPr>
          <w:spacing w:val="6"/>
          <w:w w:val="120"/>
          <w:sz w:val="20"/>
        </w:rPr>
        <w:t> </w:t>
      </w:r>
      <w:r>
        <w:rPr>
          <w:w w:val="120"/>
          <w:sz w:val="20"/>
        </w:rPr>
        <w:t>hours</w:t>
      </w:r>
      <w:r>
        <w:rPr>
          <w:spacing w:val="6"/>
          <w:w w:val="120"/>
          <w:sz w:val="20"/>
        </w:rPr>
        <w:t> </w:t>
      </w:r>
      <w:r>
        <w:rPr>
          <w:w w:val="120"/>
          <w:sz w:val="20"/>
        </w:rPr>
        <w:t>in</w:t>
      </w:r>
      <w:r>
        <w:rPr>
          <w:spacing w:val="6"/>
          <w:w w:val="120"/>
          <w:sz w:val="20"/>
        </w:rPr>
        <w:t> </w:t>
      </w:r>
      <w:r>
        <w:rPr>
          <w:w w:val="120"/>
          <w:sz w:val="20"/>
        </w:rPr>
        <w:t>placement</w:t>
      </w:r>
      <w:r>
        <w:rPr>
          <w:spacing w:val="6"/>
          <w:w w:val="120"/>
          <w:sz w:val="20"/>
        </w:rPr>
        <w:t> </w:t>
      </w:r>
      <w:r>
        <w:rPr>
          <w:w w:val="120"/>
          <w:sz w:val="20"/>
        </w:rPr>
        <w:t>each</w:t>
      </w:r>
      <w:r>
        <w:rPr>
          <w:spacing w:val="6"/>
          <w:w w:val="120"/>
          <w:sz w:val="20"/>
        </w:rPr>
        <w:t> </w:t>
      </w:r>
      <w:r>
        <w:rPr>
          <w:w w:val="120"/>
          <w:sz w:val="20"/>
        </w:rPr>
        <w:t>year</w:t>
      </w:r>
      <w:r>
        <w:rPr>
          <w:spacing w:val="6"/>
          <w:w w:val="120"/>
          <w:sz w:val="20"/>
        </w:rPr>
        <w:t> </w:t>
      </w:r>
      <w:r>
        <w:rPr>
          <w:w w:val="120"/>
          <w:sz w:val="20"/>
        </w:rPr>
        <w:t>(depending</w:t>
      </w:r>
      <w:r>
        <w:rPr>
          <w:spacing w:val="6"/>
          <w:w w:val="120"/>
          <w:sz w:val="20"/>
        </w:rPr>
        <w:t> </w:t>
      </w:r>
      <w:r>
        <w:rPr>
          <w:w w:val="120"/>
          <w:sz w:val="20"/>
        </w:rPr>
        <w:t>upon</w:t>
      </w:r>
      <w:r>
        <w:rPr>
          <w:spacing w:val="5"/>
          <w:w w:val="120"/>
          <w:sz w:val="20"/>
        </w:rPr>
        <w:t> </w:t>
      </w:r>
      <w:r>
        <w:rPr>
          <w:w w:val="120"/>
          <w:sz w:val="20"/>
        </w:rPr>
        <w:t>their</w:t>
      </w:r>
      <w:r>
        <w:rPr>
          <w:spacing w:val="6"/>
          <w:w w:val="120"/>
          <w:sz w:val="20"/>
        </w:rPr>
        <w:t> </w:t>
      </w:r>
      <w:r>
        <w:rPr>
          <w:w w:val="120"/>
          <w:sz w:val="20"/>
        </w:rPr>
        <w:t>year</w:t>
      </w:r>
    </w:p>
    <w:p>
      <w:pPr>
        <w:pStyle w:val="BodyText"/>
        <w:spacing w:line="235" w:lineRule="auto" w:before="5"/>
        <w:ind w:left="827" w:right="1814"/>
      </w:pPr>
      <w:r>
        <w:rPr>
          <w:w w:val="120"/>
        </w:rPr>
        <w:t>of </w:t>
      </w:r>
      <w:r>
        <w:rPr>
          <w:spacing w:val="-3"/>
          <w:w w:val="120"/>
        </w:rPr>
        <w:t>study). </w:t>
      </w:r>
      <w:r>
        <w:rPr>
          <w:w w:val="120"/>
        </w:rPr>
        <w:t>There is a creative flow between the academic and placement elements; students are becoming reflective practitioners from the beginning. We are the only college accredited to train CRCWs, and ministry of Word and Sacrament students have the opportunity to take some of these modules. This means our students leave college with real understanding of each other’s ministries; ministry of Word and Sacrament students all feel that their mission-in-the-community skills have been richly enhanced. We have a part-time weekend programme </w:t>
      </w:r>
      <w:r>
        <w:rPr>
          <w:spacing w:val="-5"/>
          <w:w w:val="120"/>
        </w:rPr>
        <w:t>(six </w:t>
      </w:r>
      <w:r>
        <w:rPr>
          <w:w w:val="120"/>
        </w:rPr>
        <w:t>weekends a </w:t>
      </w:r>
      <w:r>
        <w:rPr>
          <w:spacing w:val="-3"/>
          <w:w w:val="120"/>
        </w:rPr>
        <w:t>year) </w:t>
      </w:r>
      <w:r>
        <w:rPr>
          <w:w w:val="120"/>
        </w:rPr>
        <w:t>with placements alongside, enabling people to remain in employment while studying. The opportunity to move between the midweek and weekend courses offers flexibility which is important to particular students and their</w:t>
      </w:r>
      <w:r>
        <w:rPr>
          <w:spacing w:val="11"/>
          <w:w w:val="120"/>
        </w:rPr>
        <w:t> </w:t>
      </w:r>
      <w:r>
        <w:rPr>
          <w:w w:val="120"/>
        </w:rPr>
        <w:t>families.</w:t>
      </w:r>
    </w:p>
    <w:p>
      <w:pPr>
        <w:pStyle w:val="BodyText"/>
        <w:spacing w:before="3"/>
      </w:pPr>
    </w:p>
    <w:p>
      <w:pPr>
        <w:pStyle w:val="ListParagraph"/>
        <w:numPr>
          <w:ilvl w:val="0"/>
          <w:numId w:val="68"/>
        </w:numPr>
        <w:tabs>
          <w:tab w:pos="1507" w:val="left" w:leader="none"/>
          <w:tab w:pos="1508" w:val="left" w:leader="none"/>
        </w:tabs>
        <w:spacing w:line="235" w:lineRule="auto" w:before="0" w:after="0"/>
        <w:ind w:left="827" w:right="1602" w:firstLine="0"/>
        <w:jc w:val="left"/>
        <w:rPr>
          <w:sz w:val="20"/>
        </w:rPr>
      </w:pPr>
      <w:r>
        <w:rPr>
          <w:w w:val="120"/>
          <w:sz w:val="20"/>
        </w:rPr>
        <w:t>Placements are in a great variety of settings: yes, local churches, but also cathedrals, chaplaincies (airport, hospital, prison, retail and armed forces for example) and local charities </w:t>
      </w:r>
      <w:r>
        <w:rPr>
          <w:spacing w:val="-4"/>
          <w:w w:val="120"/>
          <w:sz w:val="20"/>
        </w:rPr>
        <w:t>(such </w:t>
      </w:r>
      <w:r>
        <w:rPr>
          <w:w w:val="120"/>
          <w:sz w:val="20"/>
        </w:rPr>
        <w:t>as sheltered housing or foodbank projects). Full-time students fulfil a summer pastorate, and all students have the opportunity for a ‘Belonging to the World Church’ placement. Over the last two years, students have visited: Cuba, Canada, India, Germany and </w:t>
      </w:r>
      <w:r>
        <w:rPr>
          <w:spacing w:val="-3"/>
          <w:w w:val="120"/>
          <w:sz w:val="20"/>
        </w:rPr>
        <w:t>Taiwan </w:t>
      </w:r>
      <w:r>
        <w:rPr>
          <w:w w:val="120"/>
          <w:sz w:val="20"/>
        </w:rPr>
        <w:t>as well as the Calais migrant</w:t>
      </w:r>
      <w:r>
        <w:rPr>
          <w:spacing w:val="27"/>
          <w:w w:val="120"/>
          <w:sz w:val="20"/>
        </w:rPr>
        <w:t> </w:t>
      </w:r>
      <w:r>
        <w:rPr>
          <w:w w:val="120"/>
          <w:sz w:val="20"/>
        </w:rPr>
        <w:t>camp.</w:t>
      </w:r>
    </w:p>
    <w:p>
      <w:pPr>
        <w:pStyle w:val="BodyText"/>
      </w:pPr>
    </w:p>
    <w:p>
      <w:pPr>
        <w:pStyle w:val="ListParagraph"/>
        <w:numPr>
          <w:ilvl w:val="0"/>
          <w:numId w:val="68"/>
        </w:numPr>
        <w:tabs>
          <w:tab w:pos="1507" w:val="left" w:leader="none"/>
          <w:tab w:pos="1508" w:val="left" w:leader="none"/>
        </w:tabs>
        <w:spacing w:line="235" w:lineRule="auto" w:before="0" w:after="0"/>
        <w:ind w:left="827" w:right="2003" w:firstLine="0"/>
        <w:jc w:val="left"/>
        <w:rPr>
          <w:sz w:val="20"/>
        </w:rPr>
      </w:pPr>
      <w:r>
        <w:rPr>
          <w:spacing w:val="2"/>
          <w:w w:val="120"/>
          <w:sz w:val="20"/>
        </w:rPr>
        <w:t>The staff feel </w:t>
      </w:r>
      <w:r>
        <w:rPr>
          <w:w w:val="120"/>
          <w:sz w:val="20"/>
        </w:rPr>
        <w:t>immensely </w:t>
      </w:r>
      <w:r>
        <w:rPr>
          <w:spacing w:val="2"/>
          <w:w w:val="120"/>
          <w:sz w:val="20"/>
        </w:rPr>
        <w:t>privileged </w:t>
      </w:r>
      <w:r>
        <w:rPr>
          <w:w w:val="120"/>
          <w:sz w:val="20"/>
        </w:rPr>
        <w:t>to walk with the </w:t>
      </w:r>
      <w:r>
        <w:rPr>
          <w:spacing w:val="2"/>
          <w:w w:val="120"/>
          <w:sz w:val="20"/>
        </w:rPr>
        <w:t>students </w:t>
      </w:r>
      <w:r>
        <w:rPr>
          <w:w w:val="120"/>
          <w:sz w:val="20"/>
        </w:rPr>
        <w:t>on this </w:t>
      </w:r>
      <w:r>
        <w:rPr>
          <w:spacing w:val="3"/>
          <w:w w:val="120"/>
          <w:sz w:val="20"/>
        </w:rPr>
        <w:t>part </w:t>
      </w:r>
      <w:r>
        <w:rPr>
          <w:w w:val="120"/>
          <w:sz w:val="20"/>
        </w:rPr>
        <w:t>of their </w:t>
      </w:r>
      <w:r>
        <w:rPr>
          <w:spacing w:val="2"/>
          <w:w w:val="120"/>
          <w:sz w:val="20"/>
        </w:rPr>
        <w:t>journeys </w:t>
      </w:r>
      <w:r>
        <w:rPr>
          <w:w w:val="120"/>
          <w:sz w:val="20"/>
        </w:rPr>
        <w:t>of discipleship, seeing them develop skills and insights that will be </w:t>
      </w:r>
      <w:r>
        <w:rPr>
          <w:spacing w:val="2"/>
          <w:w w:val="120"/>
          <w:sz w:val="20"/>
        </w:rPr>
        <w:t>offered</w:t>
      </w:r>
      <w:r>
        <w:rPr>
          <w:spacing w:val="9"/>
          <w:w w:val="120"/>
          <w:sz w:val="20"/>
        </w:rPr>
        <w:t> </w:t>
      </w:r>
      <w:r>
        <w:rPr>
          <w:w w:val="120"/>
          <w:sz w:val="20"/>
        </w:rPr>
        <w:t>into</w:t>
      </w:r>
      <w:r>
        <w:rPr>
          <w:spacing w:val="10"/>
          <w:w w:val="120"/>
          <w:sz w:val="20"/>
        </w:rPr>
        <w:t> </w:t>
      </w:r>
      <w:r>
        <w:rPr>
          <w:w w:val="120"/>
          <w:sz w:val="20"/>
        </w:rPr>
        <w:t>the</w:t>
      </w:r>
      <w:r>
        <w:rPr>
          <w:spacing w:val="10"/>
          <w:w w:val="120"/>
          <w:sz w:val="20"/>
        </w:rPr>
        <w:t> </w:t>
      </w:r>
      <w:r>
        <w:rPr>
          <w:w w:val="120"/>
          <w:sz w:val="20"/>
        </w:rPr>
        <w:t>wider</w:t>
      </w:r>
      <w:r>
        <w:rPr>
          <w:spacing w:val="9"/>
          <w:w w:val="120"/>
          <w:sz w:val="20"/>
        </w:rPr>
        <w:t> </w:t>
      </w:r>
      <w:r>
        <w:rPr>
          <w:w w:val="120"/>
          <w:sz w:val="20"/>
        </w:rPr>
        <w:t>church</w:t>
      </w:r>
      <w:r>
        <w:rPr>
          <w:spacing w:val="10"/>
          <w:w w:val="120"/>
          <w:sz w:val="20"/>
        </w:rPr>
        <w:t> </w:t>
      </w:r>
      <w:r>
        <w:rPr>
          <w:w w:val="120"/>
          <w:sz w:val="20"/>
        </w:rPr>
        <w:t>and</w:t>
      </w:r>
      <w:r>
        <w:rPr>
          <w:spacing w:val="10"/>
          <w:w w:val="120"/>
          <w:sz w:val="20"/>
        </w:rPr>
        <w:t> </w:t>
      </w:r>
      <w:r>
        <w:rPr>
          <w:w w:val="120"/>
          <w:sz w:val="20"/>
        </w:rPr>
        <w:t>communities</w:t>
      </w:r>
      <w:r>
        <w:rPr>
          <w:spacing w:val="9"/>
          <w:w w:val="120"/>
          <w:sz w:val="20"/>
        </w:rPr>
        <w:t> </w:t>
      </w:r>
      <w:r>
        <w:rPr>
          <w:w w:val="120"/>
          <w:sz w:val="20"/>
        </w:rPr>
        <w:t>as</w:t>
      </w:r>
      <w:r>
        <w:rPr>
          <w:spacing w:val="10"/>
          <w:w w:val="120"/>
          <w:sz w:val="20"/>
        </w:rPr>
        <w:t> </w:t>
      </w:r>
      <w:r>
        <w:rPr>
          <w:w w:val="120"/>
          <w:sz w:val="20"/>
        </w:rPr>
        <w:t>they,</w:t>
      </w:r>
      <w:r>
        <w:rPr>
          <w:spacing w:val="10"/>
          <w:w w:val="120"/>
          <w:sz w:val="20"/>
        </w:rPr>
        <w:t> </w:t>
      </w:r>
      <w:r>
        <w:rPr>
          <w:w w:val="120"/>
          <w:sz w:val="20"/>
        </w:rPr>
        <w:t>in</w:t>
      </w:r>
      <w:r>
        <w:rPr>
          <w:spacing w:val="10"/>
          <w:w w:val="120"/>
          <w:sz w:val="20"/>
        </w:rPr>
        <w:t> </w:t>
      </w:r>
      <w:r>
        <w:rPr>
          <w:w w:val="120"/>
          <w:sz w:val="20"/>
        </w:rPr>
        <w:t>their</w:t>
      </w:r>
      <w:r>
        <w:rPr>
          <w:spacing w:val="9"/>
          <w:w w:val="120"/>
          <w:sz w:val="20"/>
        </w:rPr>
        <w:t> </w:t>
      </w:r>
      <w:r>
        <w:rPr>
          <w:w w:val="120"/>
          <w:sz w:val="20"/>
        </w:rPr>
        <w:t>turn,</w:t>
      </w:r>
      <w:r>
        <w:rPr>
          <w:spacing w:val="10"/>
          <w:w w:val="120"/>
          <w:sz w:val="20"/>
        </w:rPr>
        <w:t> </w:t>
      </w:r>
      <w:r>
        <w:rPr>
          <w:w w:val="120"/>
          <w:sz w:val="20"/>
        </w:rPr>
        <w:t>play</w:t>
      </w:r>
      <w:r>
        <w:rPr>
          <w:spacing w:val="10"/>
          <w:w w:val="120"/>
          <w:sz w:val="20"/>
        </w:rPr>
        <w:t> </w:t>
      </w:r>
      <w:r>
        <w:rPr>
          <w:w w:val="120"/>
          <w:sz w:val="20"/>
        </w:rPr>
        <w:t>a</w:t>
      </w:r>
      <w:r>
        <w:rPr>
          <w:spacing w:val="9"/>
          <w:w w:val="120"/>
          <w:sz w:val="20"/>
        </w:rPr>
        <w:t> </w:t>
      </w:r>
      <w:r>
        <w:rPr>
          <w:spacing w:val="3"/>
          <w:w w:val="120"/>
          <w:sz w:val="20"/>
        </w:rPr>
        <w:t>part</w:t>
      </w:r>
    </w:p>
    <w:p>
      <w:pPr>
        <w:pStyle w:val="BodyText"/>
        <w:spacing w:line="235" w:lineRule="auto" w:before="2"/>
        <w:ind w:left="827" w:right="1620"/>
      </w:pPr>
      <w:r>
        <w:rPr>
          <w:w w:val="120"/>
        </w:rPr>
        <w:t>in encouraging the whole people of God. We believe we are equipping the future equippers, not least by ensuring that their contextual experiences reflect the reality of the church and world today.</w:t>
      </w:r>
    </w:p>
    <w:p>
      <w:pPr>
        <w:spacing w:after="0" w:line="235" w:lineRule="auto"/>
        <w:sectPr>
          <w:headerReference w:type="even" r:id="rId295"/>
          <w:pgSz w:w="11910" w:h="16840"/>
          <w:pgMar w:header="0" w:footer="647" w:top="0" w:bottom="840" w:left="420" w:right="380"/>
        </w:sectPr>
      </w:pPr>
    </w:p>
    <w:p>
      <w:pPr>
        <w:pStyle w:val="BodyText"/>
      </w:pPr>
      <w:r>
        <w:rPr/>
        <w:drawing>
          <wp:anchor distT="0" distB="0" distL="0" distR="0" allowOverlap="1" layoutInCell="1" locked="0" behindDoc="0" simplePos="0" relativeHeight="251930624">
            <wp:simplePos x="0" y="0"/>
            <wp:positionH relativeFrom="page">
              <wp:posOffset>6974928</wp:posOffset>
            </wp:positionH>
            <wp:positionV relativeFrom="page">
              <wp:posOffset>0</wp:posOffset>
            </wp:positionV>
            <wp:extent cx="585063" cy="10692003"/>
            <wp:effectExtent l="0" t="0" r="0" b="0"/>
            <wp:wrapNone/>
            <wp:docPr id="191" name="image57.png"/>
            <wp:cNvGraphicFramePr>
              <a:graphicFrameLocks noChangeAspect="1"/>
            </wp:cNvGraphicFramePr>
            <a:graphic>
              <a:graphicData uri="http://schemas.openxmlformats.org/drawingml/2006/picture">
                <pic:pic>
                  <pic:nvPicPr>
                    <pic:cNvPr id="19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left="7334"/>
      </w:pPr>
      <w:r>
        <w:rPr/>
        <w:pict>
          <v:shape style="position:absolute;margin-left:554.141174pt;margin-top:22.693945pt;width:26pt;height:242.25pt;mso-position-horizontal-relative:page;mso-position-vertical-relative:paragraph;z-index:251931648"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Heading6"/>
        <w:spacing w:before="215"/>
        <w:ind w:left="1564"/>
      </w:pPr>
      <w:r>
        <w:rPr>
          <w:w w:val="110"/>
        </w:rPr>
        <w:t>How do we walk the way with others?</w:t>
      </w:r>
    </w:p>
    <w:p>
      <w:pPr>
        <w:pStyle w:val="ListParagraph"/>
        <w:numPr>
          <w:ilvl w:val="0"/>
          <w:numId w:val="68"/>
        </w:numPr>
        <w:tabs>
          <w:tab w:pos="2244" w:val="left" w:leader="none"/>
          <w:tab w:pos="2245" w:val="left" w:leader="none"/>
        </w:tabs>
        <w:spacing w:line="235" w:lineRule="auto" w:before="83" w:after="0"/>
        <w:ind w:left="1564" w:right="1453" w:firstLine="0"/>
        <w:jc w:val="left"/>
        <w:rPr>
          <w:sz w:val="20"/>
        </w:rPr>
      </w:pPr>
      <w:r>
        <w:rPr>
          <w:w w:val="120"/>
          <w:sz w:val="20"/>
        </w:rPr>
        <w:t>Supporting the students’ journeys is just </w:t>
      </w:r>
      <w:r>
        <w:rPr>
          <w:spacing w:val="2"/>
          <w:w w:val="120"/>
          <w:sz w:val="20"/>
        </w:rPr>
        <w:t>part </w:t>
      </w:r>
      <w:r>
        <w:rPr>
          <w:w w:val="120"/>
          <w:sz w:val="20"/>
        </w:rPr>
        <w:t>of the picture. We have many ‘friends’ who feel a </w:t>
      </w:r>
      <w:r>
        <w:rPr>
          <w:spacing w:val="2"/>
          <w:w w:val="120"/>
          <w:sz w:val="20"/>
        </w:rPr>
        <w:t>part </w:t>
      </w:r>
      <w:r>
        <w:rPr>
          <w:w w:val="120"/>
          <w:sz w:val="20"/>
        </w:rPr>
        <w:t>of </w:t>
      </w:r>
      <w:r>
        <w:rPr>
          <w:spacing w:val="2"/>
          <w:w w:val="120"/>
          <w:sz w:val="20"/>
        </w:rPr>
        <w:t>Northern </w:t>
      </w:r>
      <w:r>
        <w:rPr>
          <w:w w:val="120"/>
          <w:sz w:val="20"/>
        </w:rPr>
        <w:t>College</w:t>
      </w:r>
      <w:r>
        <w:rPr>
          <w:spacing w:val="14"/>
          <w:w w:val="120"/>
          <w:sz w:val="20"/>
        </w:rPr>
        <w:t> </w:t>
      </w:r>
      <w:r>
        <w:rPr>
          <w:w w:val="120"/>
          <w:sz w:val="20"/>
        </w:rPr>
        <w:t>too:</w:t>
      </w:r>
    </w:p>
    <w:p>
      <w:pPr>
        <w:pStyle w:val="BodyText"/>
        <w:spacing w:before="5"/>
        <w:rPr>
          <w:sz w:val="19"/>
        </w:rPr>
      </w:pPr>
    </w:p>
    <w:p>
      <w:pPr>
        <w:pStyle w:val="ListParagraph"/>
        <w:numPr>
          <w:ilvl w:val="1"/>
          <w:numId w:val="68"/>
        </w:numPr>
        <w:tabs>
          <w:tab w:pos="2244" w:val="left" w:leader="none"/>
          <w:tab w:pos="2245" w:val="left" w:leader="none"/>
        </w:tabs>
        <w:spacing w:line="242" w:lineRule="exact" w:before="1" w:after="0"/>
        <w:ind w:left="2244" w:right="0" w:hanging="681"/>
        <w:jc w:val="left"/>
        <w:rPr>
          <w:sz w:val="20"/>
        </w:rPr>
      </w:pPr>
      <w:r>
        <w:rPr>
          <w:w w:val="120"/>
          <w:sz w:val="20"/>
        </w:rPr>
        <w:t>Local churches, in various synods, who ask us to preach, or offer support</w:t>
      </w:r>
      <w:r>
        <w:rPr>
          <w:spacing w:val="33"/>
          <w:w w:val="120"/>
          <w:sz w:val="20"/>
        </w:rPr>
        <w:t> </w:t>
      </w:r>
      <w:r>
        <w:rPr>
          <w:w w:val="120"/>
          <w:sz w:val="20"/>
        </w:rPr>
        <w:t>in</w:t>
      </w:r>
    </w:p>
    <w:p>
      <w:pPr>
        <w:pStyle w:val="BodyText"/>
        <w:spacing w:line="235" w:lineRule="auto" w:before="1"/>
        <w:ind w:left="1564" w:right="923"/>
      </w:pPr>
      <w:r>
        <w:rPr>
          <w:w w:val="120"/>
        </w:rPr>
        <w:t>other ways – or whose members come to teaching, lay preaching events, open lectures, quiet days, or church Saturdays;</w:t>
      </w:r>
    </w:p>
    <w:p>
      <w:pPr>
        <w:pStyle w:val="BodyText"/>
        <w:spacing w:before="10"/>
        <w:rPr>
          <w:sz w:val="19"/>
        </w:rPr>
      </w:pPr>
    </w:p>
    <w:p>
      <w:pPr>
        <w:pStyle w:val="ListParagraph"/>
        <w:numPr>
          <w:ilvl w:val="1"/>
          <w:numId w:val="68"/>
        </w:numPr>
        <w:tabs>
          <w:tab w:pos="2244" w:val="left" w:leader="none"/>
          <w:tab w:pos="2245" w:val="left" w:leader="none"/>
        </w:tabs>
        <w:spacing w:line="235" w:lineRule="auto" w:before="0" w:after="0"/>
        <w:ind w:left="1564" w:right="1129" w:firstLine="0"/>
        <w:jc w:val="left"/>
        <w:rPr>
          <w:sz w:val="20"/>
        </w:rPr>
      </w:pPr>
      <w:r>
        <w:rPr>
          <w:w w:val="120"/>
          <w:sz w:val="20"/>
        </w:rPr>
        <w:t>We want more friends like this! We are developing this aspect of our work in many ways, working closely with synods and our colleagues at other RCLs, to ensure that we can share resources and people. </w:t>
      </w:r>
      <w:r>
        <w:rPr>
          <w:spacing w:val="2"/>
          <w:w w:val="120"/>
          <w:sz w:val="20"/>
        </w:rPr>
        <w:t>Northern </w:t>
      </w:r>
      <w:r>
        <w:rPr>
          <w:w w:val="120"/>
          <w:sz w:val="20"/>
        </w:rPr>
        <w:t>College is a resource for the whole URC – and beyond, as we work also with Congregational Federation,</w:t>
      </w:r>
      <w:r>
        <w:rPr>
          <w:spacing w:val="10"/>
          <w:w w:val="120"/>
          <w:sz w:val="20"/>
        </w:rPr>
        <w:t> </w:t>
      </w:r>
      <w:r>
        <w:rPr>
          <w:w w:val="120"/>
          <w:sz w:val="20"/>
        </w:rPr>
        <w:t>Methodist</w:t>
      </w:r>
    </w:p>
    <w:p>
      <w:pPr>
        <w:pStyle w:val="BodyText"/>
        <w:spacing w:line="235" w:lineRule="auto" w:before="3"/>
        <w:ind w:left="1564" w:right="923"/>
      </w:pPr>
      <w:r>
        <w:rPr>
          <w:w w:val="120"/>
        </w:rPr>
        <w:t>and Moravian colleagues. Of particular importance are the fresh ways we can serve churches as they are engaging with ‘Walking the Way’ and the URC as it develops Stepwise;</w:t>
      </w:r>
    </w:p>
    <w:p>
      <w:pPr>
        <w:pStyle w:val="BodyText"/>
        <w:spacing w:before="10"/>
        <w:rPr>
          <w:sz w:val="19"/>
        </w:rPr>
      </w:pPr>
    </w:p>
    <w:p>
      <w:pPr>
        <w:pStyle w:val="ListParagraph"/>
        <w:numPr>
          <w:ilvl w:val="1"/>
          <w:numId w:val="68"/>
        </w:numPr>
        <w:tabs>
          <w:tab w:pos="2244" w:val="left" w:leader="none"/>
          <w:tab w:pos="2245" w:val="left" w:leader="none"/>
        </w:tabs>
        <w:spacing w:line="235" w:lineRule="auto" w:before="0" w:after="0"/>
        <w:ind w:left="1564" w:right="964" w:firstLine="0"/>
        <w:jc w:val="left"/>
        <w:rPr>
          <w:sz w:val="20"/>
        </w:rPr>
      </w:pPr>
      <w:r>
        <w:rPr>
          <w:w w:val="120"/>
          <w:sz w:val="20"/>
        </w:rPr>
        <w:t>the synods and committees and other working places of various denominations, as we respond to requests of many kinds (from leading the Bible studies at this General Assembly to supporting Ministers’ Summer Schools, from giving papers at conferences to participating in preparing materials for local churches, as well as supporting lay preachers, elders and others in developing their</w:t>
      </w:r>
      <w:r>
        <w:rPr>
          <w:spacing w:val="16"/>
          <w:w w:val="120"/>
          <w:sz w:val="20"/>
        </w:rPr>
        <w:t> </w:t>
      </w:r>
      <w:r>
        <w:rPr>
          <w:w w:val="120"/>
          <w:sz w:val="20"/>
        </w:rPr>
        <w:t>ministries);</w:t>
      </w:r>
    </w:p>
    <w:p>
      <w:pPr>
        <w:pStyle w:val="BodyText"/>
        <w:spacing w:before="11"/>
        <w:rPr>
          <w:sz w:val="19"/>
        </w:rPr>
      </w:pPr>
    </w:p>
    <w:p>
      <w:pPr>
        <w:pStyle w:val="ListParagraph"/>
        <w:numPr>
          <w:ilvl w:val="1"/>
          <w:numId w:val="68"/>
        </w:numPr>
        <w:tabs>
          <w:tab w:pos="2244" w:val="left" w:leader="none"/>
          <w:tab w:pos="2245" w:val="left" w:leader="none"/>
        </w:tabs>
        <w:spacing w:line="235" w:lineRule="auto" w:before="0" w:after="0"/>
        <w:ind w:left="1564" w:right="903" w:firstLine="0"/>
        <w:jc w:val="left"/>
        <w:rPr>
          <w:sz w:val="20"/>
        </w:rPr>
      </w:pPr>
      <w:r>
        <w:rPr>
          <w:w w:val="120"/>
          <w:sz w:val="20"/>
        </w:rPr>
        <w:t>the student-placement churches, cathedrals, chaplaincies, projects and charities. We are grateful to them as they welcome and support the students in their learning experiences. Developing these relationships helps encourage local churches to see us   as a resource for them</w:t>
      </w:r>
      <w:r>
        <w:rPr>
          <w:spacing w:val="7"/>
          <w:w w:val="120"/>
          <w:sz w:val="20"/>
        </w:rPr>
        <w:t> </w:t>
      </w:r>
      <w:r>
        <w:rPr>
          <w:w w:val="120"/>
          <w:sz w:val="20"/>
        </w:rPr>
        <w:t>too.</w:t>
      </w:r>
    </w:p>
    <w:p>
      <w:pPr>
        <w:pStyle w:val="BodyText"/>
        <w:spacing w:before="4"/>
        <w:rPr>
          <w:sz w:val="22"/>
        </w:rPr>
      </w:pPr>
    </w:p>
    <w:p>
      <w:pPr>
        <w:pStyle w:val="Heading4"/>
        <w:ind w:left="1564" w:firstLine="0"/>
      </w:pPr>
      <w:r>
        <w:rPr>
          <w:spacing w:val="3"/>
          <w:w w:val="110"/>
        </w:rPr>
        <w:t>What </w:t>
      </w:r>
      <w:r>
        <w:rPr>
          <w:spacing w:val="2"/>
          <w:w w:val="110"/>
        </w:rPr>
        <w:t>can </w:t>
      </w:r>
      <w:r>
        <w:rPr>
          <w:w w:val="110"/>
        </w:rPr>
        <w:t>we </w:t>
      </w:r>
      <w:r>
        <w:rPr>
          <w:spacing w:val="4"/>
          <w:w w:val="110"/>
        </w:rPr>
        <w:t>offer </w:t>
      </w:r>
      <w:r>
        <w:rPr>
          <w:w w:val="110"/>
        </w:rPr>
        <w:t>to </w:t>
      </w:r>
      <w:r>
        <w:rPr>
          <w:spacing w:val="2"/>
          <w:w w:val="110"/>
        </w:rPr>
        <w:t>the</w:t>
      </w:r>
      <w:r>
        <w:rPr>
          <w:spacing w:val="67"/>
          <w:w w:val="110"/>
        </w:rPr>
        <w:t> </w:t>
      </w:r>
      <w:r>
        <w:rPr>
          <w:w w:val="110"/>
        </w:rPr>
        <w:t>church?</w:t>
      </w:r>
    </w:p>
    <w:p>
      <w:pPr>
        <w:pStyle w:val="ListParagraph"/>
        <w:numPr>
          <w:ilvl w:val="0"/>
          <w:numId w:val="68"/>
        </w:numPr>
        <w:tabs>
          <w:tab w:pos="2244" w:val="left" w:leader="none"/>
          <w:tab w:pos="2245" w:val="left" w:leader="none"/>
        </w:tabs>
        <w:spacing w:line="235" w:lineRule="auto" w:before="69" w:after="0"/>
        <w:ind w:left="1564" w:right="1014" w:firstLine="0"/>
        <w:jc w:val="left"/>
        <w:rPr>
          <w:sz w:val="20"/>
        </w:rPr>
      </w:pPr>
      <w:r>
        <w:rPr>
          <w:spacing w:val="2"/>
          <w:w w:val="120"/>
          <w:sz w:val="20"/>
        </w:rPr>
        <w:t>Of </w:t>
      </w:r>
      <w:r>
        <w:rPr>
          <w:w w:val="120"/>
          <w:sz w:val="20"/>
        </w:rPr>
        <w:t>course, it is right that we are all being encouraged as individuals and churches to explore our </w:t>
      </w:r>
      <w:r>
        <w:rPr>
          <w:spacing w:val="2"/>
          <w:w w:val="120"/>
          <w:sz w:val="20"/>
        </w:rPr>
        <w:t>gifts </w:t>
      </w:r>
      <w:r>
        <w:rPr>
          <w:w w:val="120"/>
          <w:sz w:val="20"/>
        </w:rPr>
        <w:t>and to seek further equipping for different and future ministries. In that context, </w:t>
      </w:r>
      <w:r>
        <w:rPr>
          <w:spacing w:val="2"/>
          <w:w w:val="120"/>
          <w:sz w:val="20"/>
        </w:rPr>
        <w:t>Northern </w:t>
      </w:r>
      <w:r>
        <w:rPr>
          <w:w w:val="120"/>
          <w:sz w:val="20"/>
        </w:rPr>
        <w:t>College continues to be open to new possibilities. </w:t>
      </w:r>
      <w:r>
        <w:rPr>
          <w:spacing w:val="3"/>
          <w:w w:val="120"/>
          <w:sz w:val="20"/>
        </w:rPr>
        <w:t>As </w:t>
      </w:r>
      <w:r>
        <w:rPr>
          <w:w w:val="120"/>
          <w:sz w:val="20"/>
        </w:rPr>
        <w:t>well as the friends we are already working with (mentioned </w:t>
      </w:r>
      <w:r>
        <w:rPr>
          <w:spacing w:val="-4"/>
          <w:w w:val="120"/>
          <w:sz w:val="20"/>
        </w:rPr>
        <w:t>above), </w:t>
      </w:r>
      <w:r>
        <w:rPr>
          <w:w w:val="120"/>
          <w:sz w:val="20"/>
        </w:rPr>
        <w:t>we are looking to develop our relationships with synods and the wider church, playing our </w:t>
      </w:r>
      <w:r>
        <w:rPr>
          <w:spacing w:val="2"/>
          <w:w w:val="120"/>
          <w:sz w:val="20"/>
        </w:rPr>
        <w:t>part </w:t>
      </w:r>
      <w:r>
        <w:rPr>
          <w:w w:val="120"/>
          <w:sz w:val="20"/>
        </w:rPr>
        <w:t>in Walking the Way and Stepwise. We hope to be employing more staff time soon that will further increase our</w:t>
      </w:r>
      <w:r>
        <w:rPr>
          <w:spacing w:val="7"/>
          <w:w w:val="120"/>
          <w:sz w:val="20"/>
        </w:rPr>
        <w:t> </w:t>
      </w:r>
      <w:r>
        <w:rPr>
          <w:w w:val="120"/>
          <w:sz w:val="20"/>
        </w:rPr>
        <w:t>capacity.</w:t>
      </w:r>
    </w:p>
    <w:p>
      <w:pPr>
        <w:pStyle w:val="BodyText"/>
        <w:spacing w:before="1"/>
      </w:pPr>
    </w:p>
    <w:p>
      <w:pPr>
        <w:pStyle w:val="ListParagraph"/>
        <w:numPr>
          <w:ilvl w:val="0"/>
          <w:numId w:val="68"/>
        </w:numPr>
        <w:tabs>
          <w:tab w:pos="2244" w:val="left" w:leader="none"/>
          <w:tab w:pos="2245" w:val="left" w:leader="none"/>
        </w:tabs>
        <w:spacing w:line="235" w:lineRule="auto" w:before="0" w:after="0"/>
        <w:ind w:left="1564" w:right="1157" w:firstLine="0"/>
        <w:jc w:val="left"/>
        <w:rPr>
          <w:sz w:val="20"/>
        </w:rPr>
      </w:pPr>
      <w:r>
        <w:rPr>
          <w:w w:val="120"/>
          <w:sz w:val="20"/>
        </w:rPr>
        <w:t>It is essential that children, young people, adults, church members, elders, worship leaders, and all who are responding to God’s call upon their lives should not only be encouraged to do this, but should be equipped for the challenges we face together – and as a resource for the whole church, we seek to be proactive for such a time as</w:t>
      </w:r>
      <w:r>
        <w:rPr>
          <w:spacing w:val="3"/>
          <w:w w:val="120"/>
          <w:sz w:val="20"/>
        </w:rPr>
        <w:t> </w:t>
      </w:r>
      <w:r>
        <w:rPr>
          <w:w w:val="120"/>
          <w:sz w:val="20"/>
        </w:rPr>
        <w:t>this.</w:t>
      </w:r>
    </w:p>
    <w:p>
      <w:pPr>
        <w:spacing w:after="0" w:line="235" w:lineRule="auto"/>
        <w:jc w:val="left"/>
        <w:rPr>
          <w:sz w:val="20"/>
        </w:rPr>
        <w:sectPr>
          <w:headerReference w:type="default" r:id="rId296"/>
          <w:footerReference w:type="default" r:id="rId297"/>
          <w:footerReference w:type="even" r:id="rId298"/>
          <w:pgSz w:w="11910" w:h="16840"/>
          <w:pgMar w:header="0" w:footer="647" w:top="0" w:bottom="840" w:left="420" w:right="380"/>
          <w:pgNumType w:start="101"/>
        </w:sectPr>
      </w:pPr>
    </w:p>
    <w:p>
      <w:pPr>
        <w:pStyle w:val="BodyText"/>
      </w:pPr>
      <w:r>
        <w:rPr/>
        <w:drawing>
          <wp:anchor distT="0" distB="0" distL="0" distR="0" allowOverlap="1" layoutInCell="1" locked="0" behindDoc="1" simplePos="0" relativeHeight="235965440">
            <wp:simplePos x="0" y="0"/>
            <wp:positionH relativeFrom="page">
              <wp:posOffset>0</wp:posOffset>
            </wp:positionH>
            <wp:positionV relativeFrom="page">
              <wp:posOffset>0</wp:posOffset>
            </wp:positionV>
            <wp:extent cx="594067" cy="10692003"/>
            <wp:effectExtent l="0" t="0" r="0" b="0"/>
            <wp:wrapNone/>
            <wp:docPr id="193" name="image70.png"/>
            <wp:cNvGraphicFramePr>
              <a:graphicFrameLocks noChangeAspect="1"/>
            </wp:cNvGraphicFramePr>
            <a:graphic>
              <a:graphicData uri="http://schemas.openxmlformats.org/drawingml/2006/picture">
                <pic:pic>
                  <pic:nvPicPr>
                    <pic:cNvPr id="19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33696"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BodyText"/>
        <w:spacing w:before="8"/>
        <w:rPr>
          <w:sz w:val="24"/>
        </w:rPr>
      </w:pPr>
    </w:p>
    <w:p>
      <w:pPr>
        <w:spacing w:line="213" w:lineRule="auto" w:before="1"/>
        <w:ind w:left="827" w:right="4328" w:firstLine="0"/>
        <w:jc w:val="left"/>
        <w:rPr>
          <w:rFonts w:ascii="Stone Sans II ITC Std X Bd"/>
          <w:b/>
          <w:sz w:val="50"/>
        </w:rPr>
      </w:pPr>
      <w:r>
        <w:rPr>
          <w:rFonts w:ascii="Stone Sans II ITC Std X Bd"/>
          <w:b/>
          <w:w w:val="110"/>
          <w:sz w:val="50"/>
        </w:rPr>
        <w:t>Students in Training: A statistical summary</w:t>
      </w:r>
    </w:p>
    <w:p>
      <w:pPr>
        <w:pStyle w:val="Heading8"/>
        <w:spacing w:before="125"/>
        <w:ind w:left="827" w:firstLine="0"/>
      </w:pPr>
      <w:r>
        <w:rPr>
          <w:w w:val="110"/>
        </w:rPr>
        <w:t>Key to abbreviations:</w:t>
      </w:r>
    </w:p>
    <w:p>
      <w:pPr>
        <w:pStyle w:val="BodyText"/>
        <w:tabs>
          <w:tab w:pos="1734" w:val="left" w:leader="none"/>
        </w:tabs>
        <w:spacing w:line="235" w:lineRule="auto"/>
        <w:ind w:left="827" w:right="3999"/>
      </w:pPr>
      <w:r>
        <w:rPr>
          <w:w w:val="125"/>
        </w:rPr>
        <w:t>SURCC</w:t>
        <w:tab/>
        <w:t>Scottish</w:t>
      </w:r>
      <w:r>
        <w:rPr>
          <w:spacing w:val="-21"/>
          <w:w w:val="125"/>
        </w:rPr>
        <w:t> </w:t>
      </w:r>
      <w:r>
        <w:rPr>
          <w:w w:val="125"/>
        </w:rPr>
        <w:t>United</w:t>
      </w:r>
      <w:r>
        <w:rPr>
          <w:spacing w:val="-21"/>
          <w:w w:val="125"/>
        </w:rPr>
        <w:t> </w:t>
      </w:r>
      <w:r>
        <w:rPr>
          <w:w w:val="125"/>
        </w:rPr>
        <w:t>Reformed</w:t>
      </w:r>
      <w:r>
        <w:rPr>
          <w:spacing w:val="-20"/>
          <w:w w:val="125"/>
        </w:rPr>
        <w:t> </w:t>
      </w:r>
      <w:r>
        <w:rPr>
          <w:w w:val="125"/>
        </w:rPr>
        <w:t>and</w:t>
      </w:r>
      <w:r>
        <w:rPr>
          <w:spacing w:val="-21"/>
          <w:w w:val="125"/>
        </w:rPr>
        <w:t> </w:t>
      </w:r>
      <w:r>
        <w:rPr>
          <w:w w:val="125"/>
        </w:rPr>
        <w:t>Congregational</w:t>
      </w:r>
      <w:r>
        <w:rPr>
          <w:spacing w:val="-20"/>
          <w:w w:val="125"/>
        </w:rPr>
        <w:t> </w:t>
      </w:r>
      <w:r>
        <w:rPr>
          <w:w w:val="125"/>
        </w:rPr>
        <w:t>College RCL</w:t>
        <w:tab/>
        <w:t>Resource Centre for</w:t>
      </w:r>
      <w:r>
        <w:rPr>
          <w:spacing w:val="-8"/>
          <w:w w:val="125"/>
        </w:rPr>
        <w:t> </w:t>
      </w:r>
      <w:r>
        <w:rPr>
          <w:w w:val="125"/>
        </w:rPr>
        <w:t>Learning</w:t>
      </w:r>
    </w:p>
    <w:p>
      <w:pPr>
        <w:pStyle w:val="BodyText"/>
        <w:tabs>
          <w:tab w:pos="1734" w:val="left" w:leader="none"/>
        </w:tabs>
        <w:spacing w:line="235" w:lineRule="auto"/>
        <w:ind w:left="827" w:right="5860"/>
      </w:pPr>
      <w:r>
        <w:rPr>
          <w:w w:val="120"/>
        </w:rPr>
        <w:t>MWS</w:t>
        <w:tab/>
        <w:t>Ministry of Word and Sacraments CRCW</w:t>
        <w:tab/>
        <w:t>Church Related Community</w:t>
      </w:r>
      <w:r>
        <w:rPr>
          <w:spacing w:val="24"/>
          <w:w w:val="120"/>
        </w:rPr>
        <w:t> </w:t>
      </w:r>
      <w:r>
        <w:rPr>
          <w:w w:val="120"/>
        </w:rPr>
        <w:t>Worker</w:t>
      </w:r>
    </w:p>
    <w:p>
      <w:pPr>
        <w:pStyle w:val="BodyText"/>
      </w:pPr>
    </w:p>
    <w:p>
      <w:pPr>
        <w:pStyle w:val="BodyText"/>
        <w:spacing w:before="4"/>
        <w:rPr>
          <w:sz w:val="21"/>
        </w:rPr>
      </w:pPr>
    </w:p>
    <w:tbl>
      <w:tblPr>
        <w:tblW w:w="0" w:type="auto"/>
        <w:jc w:val="left"/>
        <w:tblInd w:w="842" w:type="dxa"/>
        <w:tblBorders>
          <w:top w:val="single" w:sz="6" w:space="0" w:color="0090D4"/>
          <w:left w:val="single" w:sz="6" w:space="0" w:color="0090D4"/>
          <w:bottom w:val="single" w:sz="6" w:space="0" w:color="0090D4"/>
          <w:right w:val="single" w:sz="6" w:space="0" w:color="0090D4"/>
          <w:insideH w:val="single" w:sz="6" w:space="0" w:color="0090D4"/>
          <w:insideV w:val="single" w:sz="6" w:space="0" w:color="0090D4"/>
        </w:tblBorders>
        <w:tblLayout w:type="fixed"/>
        <w:tblCellMar>
          <w:top w:w="0" w:type="dxa"/>
          <w:left w:w="0" w:type="dxa"/>
          <w:bottom w:w="0" w:type="dxa"/>
          <w:right w:w="0" w:type="dxa"/>
        </w:tblCellMar>
        <w:tblLook w:val="01E0"/>
      </w:tblPr>
      <w:tblGrid>
        <w:gridCol w:w="3224"/>
        <w:gridCol w:w="932"/>
        <w:gridCol w:w="935"/>
        <w:gridCol w:w="850"/>
        <w:gridCol w:w="888"/>
        <w:gridCol w:w="888"/>
        <w:gridCol w:w="843"/>
      </w:tblGrid>
      <w:tr>
        <w:trPr>
          <w:trHeight w:val="630" w:hRule="atLeast"/>
        </w:trPr>
        <w:tc>
          <w:tcPr>
            <w:tcW w:w="3224" w:type="dxa"/>
            <w:vMerge w:val="restart"/>
            <w:tcBorders>
              <w:top w:val="nil"/>
              <w:left w:val="nil"/>
              <w:right w:val="nil"/>
            </w:tcBorders>
          </w:tcPr>
          <w:p>
            <w:pPr>
              <w:pStyle w:val="TableParagraph"/>
              <w:rPr>
                <w:rFonts w:ascii="Times New Roman"/>
                <w:sz w:val="24"/>
              </w:rPr>
            </w:pPr>
          </w:p>
        </w:tc>
        <w:tc>
          <w:tcPr>
            <w:tcW w:w="1867" w:type="dxa"/>
            <w:gridSpan w:val="2"/>
            <w:tcBorders>
              <w:top w:val="nil"/>
              <w:left w:val="nil"/>
              <w:bottom w:val="nil"/>
              <w:right w:val="single" w:sz="6" w:space="0" w:color="FFFFFF"/>
            </w:tcBorders>
            <w:shd w:val="clear" w:color="auto" w:fill="0090D4"/>
          </w:tcPr>
          <w:p>
            <w:pPr>
              <w:pStyle w:val="TableParagraph"/>
              <w:spacing w:line="240" w:lineRule="exact" w:before="119"/>
              <w:ind w:left="493" w:right="300" w:hanging="158"/>
              <w:rPr>
                <w:rFonts w:ascii="Stone Sans II ITC Std Bk"/>
                <w:b/>
                <w:sz w:val="20"/>
              </w:rPr>
            </w:pPr>
            <w:r>
              <w:rPr>
                <w:rFonts w:ascii="Stone Sans II ITC Std Bk"/>
                <w:b/>
                <w:color w:val="FFFFFF"/>
                <w:w w:val="110"/>
                <w:sz w:val="20"/>
              </w:rPr>
              <w:t>Students in Training</w:t>
            </w:r>
          </w:p>
        </w:tc>
        <w:tc>
          <w:tcPr>
            <w:tcW w:w="3469" w:type="dxa"/>
            <w:gridSpan w:val="4"/>
            <w:tcBorders>
              <w:top w:val="nil"/>
              <w:left w:val="single" w:sz="6" w:space="0" w:color="FFFFFF"/>
              <w:bottom w:val="nil"/>
              <w:right w:val="nil"/>
            </w:tcBorders>
            <w:shd w:val="clear" w:color="auto" w:fill="0090D4"/>
          </w:tcPr>
          <w:p>
            <w:pPr>
              <w:pStyle w:val="TableParagraph"/>
              <w:spacing w:line="240" w:lineRule="exact" w:before="119"/>
              <w:ind w:left="1097" w:right="533" w:hanging="548"/>
              <w:rPr>
                <w:rFonts w:ascii="Stone Sans II ITC Std Bk"/>
                <w:b/>
                <w:sz w:val="20"/>
              </w:rPr>
            </w:pPr>
            <w:r>
              <w:rPr>
                <w:rFonts w:ascii="Stone Sans II ITC Std Bk"/>
                <w:b/>
                <w:color w:val="FFFFFF"/>
                <w:w w:val="110"/>
                <w:sz w:val="20"/>
              </w:rPr>
              <w:t>Anticipated entry into URC Service</w:t>
            </w:r>
          </w:p>
        </w:tc>
      </w:tr>
      <w:tr>
        <w:trPr>
          <w:trHeight w:val="600" w:hRule="atLeast"/>
        </w:trPr>
        <w:tc>
          <w:tcPr>
            <w:tcW w:w="3224" w:type="dxa"/>
            <w:vMerge/>
            <w:tcBorders>
              <w:top w:val="nil"/>
              <w:left w:val="nil"/>
              <w:right w:val="nil"/>
            </w:tcBorders>
          </w:tcPr>
          <w:p>
            <w:pPr>
              <w:rPr>
                <w:sz w:val="2"/>
                <w:szCs w:val="2"/>
              </w:rPr>
            </w:pPr>
          </w:p>
        </w:tc>
        <w:tc>
          <w:tcPr>
            <w:tcW w:w="932" w:type="dxa"/>
            <w:tcBorders>
              <w:top w:val="nil"/>
            </w:tcBorders>
          </w:tcPr>
          <w:p>
            <w:pPr>
              <w:pStyle w:val="TableParagraph"/>
              <w:spacing w:line="240" w:lineRule="exact" w:before="96"/>
              <w:ind w:left="195" w:firstLine="60"/>
              <w:rPr>
                <w:rFonts w:ascii="Stone Sans II ITC Std Bk"/>
                <w:b/>
                <w:sz w:val="20"/>
              </w:rPr>
            </w:pPr>
            <w:r>
              <w:rPr>
                <w:rFonts w:ascii="Stone Sans II ITC Std Bk"/>
                <w:b/>
                <w:w w:val="110"/>
                <w:sz w:val="20"/>
              </w:rPr>
              <w:t>Mar 2016</w:t>
            </w:r>
          </w:p>
        </w:tc>
        <w:tc>
          <w:tcPr>
            <w:tcW w:w="935" w:type="dxa"/>
            <w:tcBorders>
              <w:top w:val="nil"/>
            </w:tcBorders>
          </w:tcPr>
          <w:p>
            <w:pPr>
              <w:pStyle w:val="TableParagraph"/>
              <w:spacing w:line="240" w:lineRule="exact" w:before="96"/>
              <w:ind w:left="196" w:firstLine="60"/>
              <w:rPr>
                <w:rFonts w:ascii="Stone Sans II ITC Std Bk"/>
                <w:b/>
                <w:sz w:val="20"/>
              </w:rPr>
            </w:pPr>
            <w:r>
              <w:rPr>
                <w:rFonts w:ascii="Stone Sans II ITC Std Bk"/>
                <w:b/>
                <w:w w:val="110"/>
                <w:sz w:val="20"/>
              </w:rPr>
              <w:t>Mar 2018</w:t>
            </w:r>
          </w:p>
        </w:tc>
        <w:tc>
          <w:tcPr>
            <w:tcW w:w="850" w:type="dxa"/>
            <w:tcBorders>
              <w:top w:val="nil"/>
            </w:tcBorders>
          </w:tcPr>
          <w:p>
            <w:pPr>
              <w:pStyle w:val="TableParagraph"/>
              <w:spacing w:before="85"/>
              <w:ind w:left="154"/>
              <w:rPr>
                <w:rFonts w:ascii="Stone Sans II ITC Std Bk"/>
                <w:b/>
                <w:sz w:val="20"/>
              </w:rPr>
            </w:pPr>
            <w:r>
              <w:rPr>
                <w:rFonts w:ascii="Stone Sans II ITC Std Bk"/>
                <w:b/>
                <w:w w:val="110"/>
                <w:sz w:val="20"/>
              </w:rPr>
              <w:t>2018</w:t>
            </w:r>
          </w:p>
        </w:tc>
        <w:tc>
          <w:tcPr>
            <w:tcW w:w="888" w:type="dxa"/>
            <w:tcBorders>
              <w:top w:val="nil"/>
            </w:tcBorders>
          </w:tcPr>
          <w:p>
            <w:pPr>
              <w:pStyle w:val="TableParagraph"/>
              <w:spacing w:before="85"/>
              <w:ind w:left="174"/>
              <w:rPr>
                <w:rFonts w:ascii="Stone Sans II ITC Std Bk"/>
                <w:b/>
                <w:sz w:val="20"/>
              </w:rPr>
            </w:pPr>
            <w:r>
              <w:rPr>
                <w:rFonts w:ascii="Stone Sans II ITC Std Bk"/>
                <w:b/>
                <w:w w:val="110"/>
                <w:sz w:val="20"/>
              </w:rPr>
              <w:t>2019</w:t>
            </w:r>
          </w:p>
        </w:tc>
        <w:tc>
          <w:tcPr>
            <w:tcW w:w="888" w:type="dxa"/>
            <w:tcBorders>
              <w:top w:val="nil"/>
            </w:tcBorders>
          </w:tcPr>
          <w:p>
            <w:pPr>
              <w:pStyle w:val="TableParagraph"/>
              <w:spacing w:before="85"/>
              <w:ind w:left="144" w:right="126"/>
              <w:jc w:val="center"/>
              <w:rPr>
                <w:rFonts w:ascii="Stone Sans II ITC Std Bk"/>
                <w:b/>
                <w:sz w:val="20"/>
              </w:rPr>
            </w:pPr>
            <w:r>
              <w:rPr>
                <w:rFonts w:ascii="Stone Sans II ITC Std Bk"/>
                <w:b/>
                <w:w w:val="110"/>
                <w:sz w:val="20"/>
              </w:rPr>
              <w:t>2020</w:t>
            </w:r>
          </w:p>
        </w:tc>
        <w:tc>
          <w:tcPr>
            <w:tcW w:w="843" w:type="dxa"/>
            <w:tcBorders>
              <w:top w:val="nil"/>
            </w:tcBorders>
          </w:tcPr>
          <w:p>
            <w:pPr>
              <w:pStyle w:val="TableParagraph"/>
              <w:spacing w:before="85"/>
              <w:ind w:left="117" w:right="108"/>
              <w:jc w:val="center"/>
              <w:rPr>
                <w:rFonts w:ascii="Stone Sans II ITC Std Bk"/>
                <w:b/>
                <w:sz w:val="20"/>
              </w:rPr>
            </w:pPr>
            <w:r>
              <w:rPr>
                <w:rFonts w:ascii="Stone Sans II ITC Std Bk"/>
                <w:b/>
                <w:w w:val="110"/>
                <w:sz w:val="20"/>
              </w:rPr>
              <w:t>2021</w:t>
            </w:r>
          </w:p>
        </w:tc>
      </w:tr>
      <w:tr>
        <w:trPr>
          <w:trHeight w:val="439" w:hRule="atLeast"/>
        </w:trPr>
        <w:tc>
          <w:tcPr>
            <w:tcW w:w="3224" w:type="dxa"/>
            <w:shd w:val="clear" w:color="auto" w:fill="D4E9F7"/>
          </w:tcPr>
          <w:p>
            <w:pPr>
              <w:pStyle w:val="TableParagraph"/>
              <w:spacing w:before="93"/>
              <w:ind w:left="113"/>
              <w:rPr>
                <w:rFonts w:ascii="Stone Sans II ITC Std Bk"/>
                <w:b/>
                <w:sz w:val="20"/>
              </w:rPr>
            </w:pPr>
            <w:r>
              <w:rPr>
                <w:rFonts w:ascii="Stone Sans II ITC Std Bk"/>
                <w:b/>
                <w:w w:val="110"/>
                <w:sz w:val="20"/>
              </w:rPr>
              <w:t>STIPENDIARY</w:t>
            </w:r>
          </w:p>
        </w:tc>
        <w:tc>
          <w:tcPr>
            <w:tcW w:w="932" w:type="dxa"/>
            <w:shd w:val="clear" w:color="auto" w:fill="D4E9F7"/>
          </w:tcPr>
          <w:p>
            <w:pPr>
              <w:pStyle w:val="TableParagraph"/>
              <w:rPr>
                <w:rFonts w:ascii="Times New Roman"/>
                <w:sz w:val="24"/>
              </w:rPr>
            </w:pPr>
          </w:p>
        </w:tc>
        <w:tc>
          <w:tcPr>
            <w:tcW w:w="935" w:type="dxa"/>
            <w:shd w:val="clear" w:color="auto" w:fill="D4E9F7"/>
          </w:tcPr>
          <w:p>
            <w:pPr>
              <w:pStyle w:val="TableParagraph"/>
              <w:rPr>
                <w:rFonts w:ascii="Times New Roman"/>
                <w:sz w:val="24"/>
              </w:rPr>
            </w:pPr>
          </w:p>
        </w:tc>
        <w:tc>
          <w:tcPr>
            <w:tcW w:w="850" w:type="dxa"/>
            <w:shd w:val="clear" w:color="auto" w:fill="D4E9F7"/>
          </w:tcPr>
          <w:p>
            <w:pPr>
              <w:pStyle w:val="TableParagraph"/>
              <w:rPr>
                <w:rFonts w:ascii="Times New Roman"/>
                <w:sz w:val="24"/>
              </w:rPr>
            </w:pPr>
          </w:p>
        </w:tc>
        <w:tc>
          <w:tcPr>
            <w:tcW w:w="888" w:type="dxa"/>
            <w:shd w:val="clear" w:color="auto" w:fill="D4E9F7"/>
          </w:tcPr>
          <w:p>
            <w:pPr>
              <w:pStyle w:val="TableParagraph"/>
              <w:rPr>
                <w:rFonts w:ascii="Times New Roman"/>
                <w:sz w:val="24"/>
              </w:rPr>
            </w:pPr>
          </w:p>
        </w:tc>
        <w:tc>
          <w:tcPr>
            <w:tcW w:w="888" w:type="dxa"/>
            <w:shd w:val="clear" w:color="auto" w:fill="D4E9F7"/>
          </w:tcPr>
          <w:p>
            <w:pPr>
              <w:pStyle w:val="TableParagraph"/>
              <w:rPr>
                <w:rFonts w:ascii="Times New Roman"/>
                <w:sz w:val="24"/>
              </w:rPr>
            </w:pPr>
          </w:p>
        </w:tc>
        <w:tc>
          <w:tcPr>
            <w:tcW w:w="843" w:type="dxa"/>
            <w:shd w:val="clear" w:color="auto" w:fill="D4E9F7"/>
          </w:tcPr>
          <w:p>
            <w:pPr>
              <w:pStyle w:val="TableParagraph"/>
              <w:rPr>
                <w:rFonts w:ascii="Times New Roman"/>
                <w:sz w:val="24"/>
              </w:rPr>
            </w:pPr>
          </w:p>
        </w:tc>
      </w:tr>
      <w:tr>
        <w:trPr>
          <w:trHeight w:val="438" w:hRule="atLeast"/>
        </w:trPr>
        <w:tc>
          <w:tcPr>
            <w:tcW w:w="3224" w:type="dxa"/>
          </w:tcPr>
          <w:p>
            <w:pPr>
              <w:pStyle w:val="TableParagraph"/>
              <w:spacing w:before="93"/>
              <w:ind w:left="113"/>
              <w:rPr>
                <w:rFonts w:ascii="Stone Sans II ITC Std Bk"/>
                <w:b/>
                <w:sz w:val="20"/>
              </w:rPr>
            </w:pPr>
            <w:r>
              <w:rPr>
                <w:rFonts w:ascii="Stone Sans II ITC Std Bk"/>
                <w:b/>
                <w:w w:val="110"/>
                <w:sz w:val="20"/>
              </w:rPr>
              <w:t>Full-Time Courses</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Northern College </w:t>
            </w:r>
            <w:r>
              <w:rPr>
                <w:w w:val="125"/>
                <w:sz w:val="18"/>
              </w:rPr>
              <w:t>(RCL) MWS</w:t>
            </w:r>
          </w:p>
        </w:tc>
        <w:tc>
          <w:tcPr>
            <w:tcW w:w="932" w:type="dxa"/>
          </w:tcPr>
          <w:p>
            <w:pPr>
              <w:pStyle w:val="TableParagraph"/>
              <w:spacing w:line="243" w:lineRule="exact" w:before="105"/>
              <w:ind w:right="401"/>
              <w:jc w:val="right"/>
              <w:rPr>
                <w:sz w:val="20"/>
              </w:rPr>
            </w:pPr>
            <w:r>
              <w:rPr>
                <w:w w:val="125"/>
                <w:sz w:val="20"/>
              </w:rPr>
              <w:t>11</w:t>
            </w:r>
          </w:p>
        </w:tc>
        <w:tc>
          <w:tcPr>
            <w:tcW w:w="935" w:type="dxa"/>
          </w:tcPr>
          <w:p>
            <w:pPr>
              <w:pStyle w:val="TableParagraph"/>
              <w:spacing w:line="243" w:lineRule="exact" w:before="105"/>
              <w:ind w:right="400"/>
              <w:jc w:val="right"/>
              <w:rPr>
                <w:sz w:val="20"/>
              </w:rPr>
            </w:pPr>
            <w:r>
              <w:rPr>
                <w:w w:val="125"/>
                <w:sz w:val="20"/>
              </w:rPr>
              <w:t>11</w:t>
            </w:r>
          </w:p>
        </w:tc>
        <w:tc>
          <w:tcPr>
            <w:tcW w:w="850" w:type="dxa"/>
          </w:tcPr>
          <w:p>
            <w:pPr>
              <w:pStyle w:val="TableParagraph"/>
              <w:spacing w:line="243" w:lineRule="exact" w:before="105"/>
              <w:ind w:right="52"/>
              <w:jc w:val="center"/>
              <w:rPr>
                <w:sz w:val="20"/>
              </w:rPr>
            </w:pPr>
            <w:r>
              <w:rPr>
                <w:w w:val="125"/>
                <w:sz w:val="20"/>
              </w:rPr>
              <w:t>4</w:t>
            </w:r>
          </w:p>
        </w:tc>
        <w:tc>
          <w:tcPr>
            <w:tcW w:w="888" w:type="dxa"/>
          </w:tcPr>
          <w:p>
            <w:pPr>
              <w:pStyle w:val="TableParagraph"/>
              <w:spacing w:line="243" w:lineRule="exact" w:before="105"/>
              <w:ind w:right="12"/>
              <w:jc w:val="center"/>
              <w:rPr>
                <w:sz w:val="20"/>
              </w:rPr>
            </w:pPr>
            <w:r>
              <w:rPr>
                <w:w w:val="125"/>
                <w:sz w:val="20"/>
              </w:rPr>
              <w:t>2</w:t>
            </w:r>
          </w:p>
        </w:tc>
        <w:tc>
          <w:tcPr>
            <w:tcW w:w="888" w:type="dxa"/>
          </w:tcPr>
          <w:p>
            <w:pPr>
              <w:pStyle w:val="TableParagraph"/>
              <w:spacing w:line="243" w:lineRule="exact" w:before="105"/>
              <w:ind w:right="12"/>
              <w:jc w:val="center"/>
              <w:rPr>
                <w:sz w:val="20"/>
              </w:rPr>
            </w:pPr>
            <w:r>
              <w:rPr>
                <w:w w:val="125"/>
                <w:sz w:val="20"/>
              </w:rPr>
              <w:t>3</w:t>
            </w:r>
          </w:p>
        </w:tc>
        <w:tc>
          <w:tcPr>
            <w:tcW w:w="843" w:type="dxa"/>
          </w:tcPr>
          <w:p>
            <w:pPr>
              <w:pStyle w:val="TableParagraph"/>
              <w:spacing w:line="243" w:lineRule="exact" w:before="105"/>
              <w:ind w:right="57"/>
              <w:jc w:val="center"/>
              <w:rPr>
                <w:sz w:val="20"/>
              </w:rPr>
            </w:pPr>
            <w:r>
              <w:rPr>
                <w:w w:val="125"/>
                <w:sz w:val="20"/>
              </w:rPr>
              <w:t>2</w:t>
            </w:r>
          </w:p>
        </w:tc>
      </w:tr>
      <w:tr>
        <w:trPr>
          <w:trHeight w:val="368" w:hRule="atLeast"/>
        </w:trPr>
        <w:tc>
          <w:tcPr>
            <w:tcW w:w="3224" w:type="dxa"/>
          </w:tcPr>
          <w:p>
            <w:pPr>
              <w:pStyle w:val="TableParagraph"/>
              <w:spacing w:line="243" w:lineRule="exact" w:before="105"/>
              <w:ind w:left="226"/>
              <w:rPr>
                <w:sz w:val="18"/>
              </w:rPr>
            </w:pPr>
            <w:r>
              <w:rPr>
                <w:w w:val="125"/>
                <w:sz w:val="20"/>
              </w:rPr>
              <w:t>Northern College </w:t>
            </w:r>
            <w:r>
              <w:rPr>
                <w:w w:val="125"/>
                <w:sz w:val="18"/>
              </w:rPr>
              <w:t>(RCL) CRCW</w:t>
            </w:r>
          </w:p>
        </w:tc>
        <w:tc>
          <w:tcPr>
            <w:tcW w:w="932" w:type="dxa"/>
          </w:tcPr>
          <w:p>
            <w:pPr>
              <w:pStyle w:val="TableParagraph"/>
              <w:spacing w:line="243" w:lineRule="exact" w:before="105"/>
              <w:ind w:right="379"/>
              <w:jc w:val="right"/>
              <w:rPr>
                <w:sz w:val="20"/>
              </w:rPr>
            </w:pPr>
            <w:r>
              <w:rPr>
                <w:w w:val="125"/>
                <w:sz w:val="20"/>
              </w:rPr>
              <w:t>5</w:t>
            </w:r>
          </w:p>
        </w:tc>
        <w:tc>
          <w:tcPr>
            <w:tcW w:w="935" w:type="dxa"/>
          </w:tcPr>
          <w:p>
            <w:pPr>
              <w:pStyle w:val="TableParagraph"/>
              <w:spacing w:line="243" w:lineRule="exact" w:before="105"/>
              <w:ind w:right="378"/>
              <w:jc w:val="right"/>
              <w:rPr>
                <w:sz w:val="20"/>
              </w:rPr>
            </w:pPr>
            <w:r>
              <w:rPr>
                <w:w w:val="125"/>
                <w:sz w:val="20"/>
              </w:rPr>
              <w:t>4</w:t>
            </w:r>
          </w:p>
        </w:tc>
        <w:tc>
          <w:tcPr>
            <w:tcW w:w="850" w:type="dxa"/>
          </w:tcPr>
          <w:p>
            <w:pPr>
              <w:pStyle w:val="TableParagraph"/>
              <w:spacing w:line="243" w:lineRule="exact" w:before="105"/>
              <w:ind w:right="51"/>
              <w:jc w:val="center"/>
              <w:rPr>
                <w:sz w:val="20"/>
              </w:rPr>
            </w:pPr>
            <w:r>
              <w:rPr>
                <w:w w:val="125"/>
                <w:sz w:val="20"/>
              </w:rPr>
              <w:t>2</w:t>
            </w:r>
          </w:p>
        </w:tc>
        <w:tc>
          <w:tcPr>
            <w:tcW w:w="888" w:type="dxa"/>
          </w:tcPr>
          <w:p>
            <w:pPr>
              <w:pStyle w:val="TableParagraph"/>
              <w:spacing w:line="243" w:lineRule="exact" w:before="105"/>
              <w:ind w:right="12"/>
              <w:jc w:val="center"/>
              <w:rPr>
                <w:sz w:val="20"/>
              </w:rPr>
            </w:pPr>
            <w:r>
              <w:rPr>
                <w:w w:val="125"/>
                <w:sz w:val="20"/>
              </w:rPr>
              <w:t>1</w:t>
            </w:r>
          </w:p>
        </w:tc>
        <w:tc>
          <w:tcPr>
            <w:tcW w:w="888" w:type="dxa"/>
          </w:tcPr>
          <w:p>
            <w:pPr>
              <w:pStyle w:val="TableParagraph"/>
              <w:rPr>
                <w:rFonts w:ascii="Times New Roman"/>
                <w:sz w:val="24"/>
              </w:rPr>
            </w:pPr>
          </w:p>
        </w:tc>
        <w:tc>
          <w:tcPr>
            <w:tcW w:w="843" w:type="dxa"/>
          </w:tcPr>
          <w:p>
            <w:pPr>
              <w:pStyle w:val="TableParagraph"/>
              <w:spacing w:line="243" w:lineRule="exact" w:before="105"/>
              <w:ind w:right="57"/>
              <w:jc w:val="center"/>
              <w:rPr>
                <w:sz w:val="20"/>
              </w:rPr>
            </w:pPr>
            <w:r>
              <w:rPr>
                <w:w w:val="125"/>
                <w:sz w:val="20"/>
              </w:rPr>
              <w:t>1</w:t>
            </w:r>
          </w:p>
        </w:tc>
      </w:tr>
      <w:tr>
        <w:trPr>
          <w:trHeight w:val="368" w:hRule="atLeast"/>
        </w:trPr>
        <w:tc>
          <w:tcPr>
            <w:tcW w:w="3224" w:type="dxa"/>
          </w:tcPr>
          <w:p>
            <w:pPr>
              <w:pStyle w:val="TableParagraph"/>
              <w:spacing w:line="243" w:lineRule="exact" w:before="105"/>
              <w:ind w:left="226"/>
              <w:rPr>
                <w:sz w:val="18"/>
              </w:rPr>
            </w:pPr>
            <w:r>
              <w:rPr>
                <w:w w:val="130"/>
                <w:sz w:val="20"/>
              </w:rPr>
              <w:t>SURCC </w:t>
            </w:r>
            <w:r>
              <w:rPr>
                <w:w w:val="130"/>
                <w:sz w:val="18"/>
              </w:rPr>
              <w:t>(RCL)</w:t>
            </w:r>
          </w:p>
        </w:tc>
        <w:tc>
          <w:tcPr>
            <w:tcW w:w="932" w:type="dxa"/>
          </w:tcPr>
          <w:p>
            <w:pPr>
              <w:pStyle w:val="TableParagraph"/>
              <w:spacing w:line="243" w:lineRule="exact" w:before="105"/>
              <w:ind w:right="379"/>
              <w:jc w:val="right"/>
              <w:rPr>
                <w:sz w:val="20"/>
              </w:rPr>
            </w:pPr>
            <w:r>
              <w:rPr>
                <w:w w:val="125"/>
                <w:sz w:val="20"/>
              </w:rPr>
              <w:t>2</w:t>
            </w:r>
          </w:p>
        </w:tc>
        <w:tc>
          <w:tcPr>
            <w:tcW w:w="935" w:type="dxa"/>
          </w:tcPr>
          <w:p>
            <w:pPr>
              <w:pStyle w:val="TableParagraph"/>
              <w:spacing w:line="243" w:lineRule="exact" w:before="105"/>
              <w:ind w:right="378"/>
              <w:jc w:val="right"/>
              <w:rPr>
                <w:sz w:val="20"/>
              </w:rPr>
            </w:pPr>
            <w:r>
              <w:rPr>
                <w:w w:val="125"/>
                <w:sz w:val="20"/>
              </w:rPr>
              <w:t>1</w:t>
            </w: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spacing w:line="243" w:lineRule="exact" w:before="105"/>
              <w:ind w:right="12"/>
              <w:jc w:val="center"/>
              <w:rPr>
                <w:sz w:val="20"/>
              </w:rPr>
            </w:pPr>
            <w:r>
              <w:rPr>
                <w:w w:val="125"/>
                <w:sz w:val="20"/>
              </w:rPr>
              <w:t>1</w:t>
            </w: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Westminster College </w:t>
            </w:r>
            <w:r>
              <w:rPr>
                <w:w w:val="125"/>
                <w:sz w:val="18"/>
              </w:rPr>
              <w:t>(RCL)</w:t>
            </w:r>
          </w:p>
        </w:tc>
        <w:tc>
          <w:tcPr>
            <w:tcW w:w="932" w:type="dxa"/>
          </w:tcPr>
          <w:p>
            <w:pPr>
              <w:pStyle w:val="TableParagraph"/>
              <w:spacing w:line="243" w:lineRule="exact" w:before="105"/>
              <w:ind w:right="393"/>
              <w:jc w:val="right"/>
              <w:rPr>
                <w:sz w:val="20"/>
              </w:rPr>
            </w:pPr>
            <w:r>
              <w:rPr>
                <w:w w:val="125"/>
                <w:sz w:val="20"/>
              </w:rPr>
              <w:t>16</w:t>
            </w:r>
          </w:p>
        </w:tc>
        <w:tc>
          <w:tcPr>
            <w:tcW w:w="935" w:type="dxa"/>
          </w:tcPr>
          <w:p>
            <w:pPr>
              <w:pStyle w:val="TableParagraph"/>
              <w:spacing w:line="243" w:lineRule="exact" w:before="105"/>
              <w:ind w:right="401"/>
              <w:jc w:val="right"/>
              <w:rPr>
                <w:sz w:val="20"/>
              </w:rPr>
            </w:pPr>
            <w:r>
              <w:rPr>
                <w:w w:val="125"/>
                <w:sz w:val="20"/>
              </w:rPr>
              <w:t>17</w:t>
            </w:r>
          </w:p>
        </w:tc>
        <w:tc>
          <w:tcPr>
            <w:tcW w:w="850" w:type="dxa"/>
          </w:tcPr>
          <w:p>
            <w:pPr>
              <w:pStyle w:val="TableParagraph"/>
              <w:spacing w:line="243" w:lineRule="exact" w:before="105"/>
              <w:ind w:right="50"/>
              <w:jc w:val="center"/>
              <w:rPr>
                <w:sz w:val="20"/>
              </w:rPr>
            </w:pPr>
            <w:r>
              <w:rPr>
                <w:w w:val="125"/>
                <w:sz w:val="20"/>
              </w:rPr>
              <w:t>8</w:t>
            </w:r>
          </w:p>
        </w:tc>
        <w:tc>
          <w:tcPr>
            <w:tcW w:w="888" w:type="dxa"/>
          </w:tcPr>
          <w:p>
            <w:pPr>
              <w:pStyle w:val="TableParagraph"/>
              <w:spacing w:line="243" w:lineRule="exact" w:before="105"/>
              <w:ind w:right="12"/>
              <w:jc w:val="center"/>
              <w:rPr>
                <w:sz w:val="20"/>
              </w:rPr>
            </w:pPr>
            <w:r>
              <w:rPr>
                <w:w w:val="125"/>
                <w:sz w:val="20"/>
              </w:rPr>
              <w:t>6</w:t>
            </w:r>
          </w:p>
        </w:tc>
        <w:tc>
          <w:tcPr>
            <w:tcW w:w="888" w:type="dxa"/>
          </w:tcPr>
          <w:p>
            <w:pPr>
              <w:pStyle w:val="TableParagraph"/>
              <w:spacing w:line="243" w:lineRule="exact" w:before="105"/>
              <w:ind w:right="12"/>
              <w:jc w:val="center"/>
              <w:rPr>
                <w:sz w:val="20"/>
              </w:rPr>
            </w:pPr>
            <w:r>
              <w:rPr>
                <w:w w:val="125"/>
                <w:sz w:val="20"/>
              </w:rPr>
              <w:t>2</w:t>
            </w:r>
          </w:p>
        </w:tc>
        <w:tc>
          <w:tcPr>
            <w:tcW w:w="843" w:type="dxa"/>
          </w:tcPr>
          <w:p>
            <w:pPr>
              <w:pStyle w:val="TableParagraph"/>
              <w:spacing w:line="243" w:lineRule="exact" w:before="105"/>
              <w:ind w:right="57"/>
              <w:jc w:val="center"/>
              <w:rPr>
                <w:sz w:val="20"/>
              </w:rPr>
            </w:pPr>
            <w:r>
              <w:rPr>
                <w:w w:val="125"/>
                <w:sz w:val="20"/>
              </w:rPr>
              <w:t>1</w:t>
            </w:r>
          </w:p>
        </w:tc>
      </w:tr>
      <w:tr>
        <w:trPr>
          <w:trHeight w:val="368" w:hRule="atLeast"/>
        </w:trPr>
        <w:tc>
          <w:tcPr>
            <w:tcW w:w="3224" w:type="dxa"/>
          </w:tcPr>
          <w:p>
            <w:pPr>
              <w:pStyle w:val="TableParagraph"/>
              <w:spacing w:line="255" w:lineRule="exact" w:before="93"/>
              <w:ind w:left="113"/>
              <w:rPr>
                <w:rFonts w:ascii="Stone Sans II ITC Std Bk"/>
                <w:b/>
                <w:sz w:val="20"/>
              </w:rPr>
            </w:pPr>
            <w:r>
              <w:rPr>
                <w:rFonts w:ascii="Stone Sans II ITC Std Bk"/>
                <w:b/>
                <w:w w:val="110"/>
                <w:sz w:val="20"/>
              </w:rPr>
              <w:t>Part-time Courses</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Northern College </w:t>
            </w:r>
            <w:r>
              <w:rPr>
                <w:w w:val="125"/>
                <w:sz w:val="18"/>
              </w:rPr>
              <w:t>(RCL)</w:t>
            </w:r>
          </w:p>
        </w:tc>
        <w:tc>
          <w:tcPr>
            <w:tcW w:w="932" w:type="dxa"/>
          </w:tcPr>
          <w:p>
            <w:pPr>
              <w:pStyle w:val="TableParagraph"/>
              <w:rPr>
                <w:rFonts w:ascii="Times New Roman"/>
                <w:sz w:val="24"/>
              </w:rPr>
            </w:pPr>
          </w:p>
        </w:tc>
        <w:tc>
          <w:tcPr>
            <w:tcW w:w="935" w:type="dxa"/>
          </w:tcPr>
          <w:p>
            <w:pPr>
              <w:pStyle w:val="TableParagraph"/>
              <w:spacing w:line="243" w:lineRule="exact" w:before="105"/>
              <w:ind w:right="378"/>
              <w:jc w:val="right"/>
              <w:rPr>
                <w:sz w:val="20"/>
              </w:rPr>
            </w:pPr>
            <w:r>
              <w:rPr>
                <w:w w:val="125"/>
                <w:sz w:val="20"/>
              </w:rPr>
              <w:t>1</w:t>
            </w: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spacing w:line="243" w:lineRule="exact" w:before="105"/>
              <w:ind w:right="12"/>
              <w:jc w:val="center"/>
              <w:rPr>
                <w:sz w:val="20"/>
              </w:rPr>
            </w:pPr>
            <w:r>
              <w:rPr>
                <w:w w:val="125"/>
                <w:sz w:val="20"/>
              </w:rPr>
              <w:t>1</w:t>
            </w: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30"/>
                <w:sz w:val="20"/>
              </w:rPr>
              <w:t>SURCC </w:t>
            </w:r>
            <w:r>
              <w:rPr>
                <w:w w:val="130"/>
                <w:sz w:val="18"/>
              </w:rPr>
              <w:t>(RCL)</w:t>
            </w:r>
          </w:p>
        </w:tc>
        <w:tc>
          <w:tcPr>
            <w:tcW w:w="932" w:type="dxa"/>
          </w:tcPr>
          <w:p>
            <w:pPr>
              <w:pStyle w:val="TableParagraph"/>
              <w:spacing w:line="243" w:lineRule="exact" w:before="105"/>
              <w:ind w:right="379"/>
              <w:jc w:val="right"/>
              <w:rPr>
                <w:sz w:val="20"/>
              </w:rPr>
            </w:pPr>
            <w:r>
              <w:rPr>
                <w:w w:val="125"/>
                <w:sz w:val="20"/>
              </w:rPr>
              <w:t>2</w:t>
            </w: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55" w:lineRule="exact" w:before="93"/>
              <w:ind w:left="113"/>
              <w:rPr>
                <w:rFonts w:ascii="Stone Sans II ITC Std Bk"/>
                <w:b/>
                <w:sz w:val="20"/>
              </w:rPr>
            </w:pPr>
            <w:r>
              <w:rPr>
                <w:rFonts w:ascii="Stone Sans II ITC Std Bk"/>
                <w:b/>
                <w:w w:val="110"/>
                <w:sz w:val="20"/>
              </w:rPr>
              <w:t>Subtotal</w:t>
            </w:r>
          </w:p>
        </w:tc>
        <w:tc>
          <w:tcPr>
            <w:tcW w:w="932" w:type="dxa"/>
          </w:tcPr>
          <w:p>
            <w:pPr>
              <w:pStyle w:val="TableParagraph"/>
              <w:spacing w:line="255" w:lineRule="exact" w:before="93"/>
              <w:ind w:right="381"/>
              <w:jc w:val="right"/>
              <w:rPr>
                <w:rFonts w:ascii="Stone Sans II ITC Std Bk"/>
                <w:b/>
                <w:sz w:val="20"/>
              </w:rPr>
            </w:pPr>
            <w:r>
              <w:rPr>
                <w:rFonts w:ascii="Stone Sans II ITC Std Bk"/>
                <w:b/>
                <w:w w:val="110"/>
                <w:sz w:val="20"/>
              </w:rPr>
              <w:t>36</w:t>
            </w:r>
          </w:p>
        </w:tc>
        <w:tc>
          <w:tcPr>
            <w:tcW w:w="935" w:type="dxa"/>
          </w:tcPr>
          <w:p>
            <w:pPr>
              <w:pStyle w:val="TableParagraph"/>
              <w:spacing w:line="255" w:lineRule="exact" w:before="93"/>
              <w:ind w:right="379"/>
              <w:jc w:val="right"/>
              <w:rPr>
                <w:rFonts w:ascii="Stone Sans II ITC Std Bk"/>
                <w:b/>
                <w:sz w:val="20"/>
              </w:rPr>
            </w:pPr>
            <w:r>
              <w:rPr>
                <w:rFonts w:ascii="Stone Sans II ITC Std Bk"/>
                <w:b/>
                <w:w w:val="110"/>
                <w:sz w:val="20"/>
              </w:rPr>
              <w:t>34</w:t>
            </w:r>
          </w:p>
        </w:tc>
        <w:tc>
          <w:tcPr>
            <w:tcW w:w="850" w:type="dxa"/>
          </w:tcPr>
          <w:p>
            <w:pPr>
              <w:pStyle w:val="TableParagraph"/>
              <w:spacing w:line="255" w:lineRule="exact" w:before="93"/>
              <w:ind w:left="187"/>
              <w:rPr>
                <w:rFonts w:ascii="Stone Sans II ITC Std Bk"/>
                <w:b/>
                <w:sz w:val="20"/>
              </w:rPr>
            </w:pPr>
            <w:r>
              <w:rPr>
                <w:rFonts w:ascii="Stone Sans II ITC Std Bk"/>
                <w:b/>
                <w:w w:val="110"/>
                <w:sz w:val="20"/>
              </w:rPr>
              <w:t>14</w:t>
            </w:r>
          </w:p>
        </w:tc>
        <w:tc>
          <w:tcPr>
            <w:tcW w:w="888" w:type="dxa"/>
          </w:tcPr>
          <w:p>
            <w:pPr>
              <w:pStyle w:val="TableParagraph"/>
              <w:spacing w:line="255" w:lineRule="exact" w:before="93"/>
              <w:ind w:right="26"/>
              <w:jc w:val="center"/>
              <w:rPr>
                <w:rFonts w:ascii="Stone Sans II ITC Std Bk"/>
                <w:b/>
                <w:sz w:val="20"/>
              </w:rPr>
            </w:pPr>
            <w:r>
              <w:rPr>
                <w:rFonts w:ascii="Stone Sans II ITC Std Bk"/>
                <w:b/>
                <w:w w:val="110"/>
                <w:sz w:val="20"/>
              </w:rPr>
              <w:t>9</w:t>
            </w:r>
          </w:p>
        </w:tc>
        <w:tc>
          <w:tcPr>
            <w:tcW w:w="888" w:type="dxa"/>
          </w:tcPr>
          <w:p>
            <w:pPr>
              <w:pStyle w:val="TableParagraph"/>
              <w:spacing w:line="255" w:lineRule="exact" w:before="93"/>
              <w:ind w:right="26"/>
              <w:jc w:val="center"/>
              <w:rPr>
                <w:rFonts w:ascii="Stone Sans II ITC Std Bk"/>
                <w:b/>
                <w:sz w:val="20"/>
              </w:rPr>
            </w:pPr>
            <w:r>
              <w:rPr>
                <w:rFonts w:ascii="Stone Sans II ITC Std Bk"/>
                <w:b/>
                <w:w w:val="110"/>
                <w:sz w:val="20"/>
              </w:rPr>
              <w:t>7</w:t>
            </w:r>
          </w:p>
        </w:tc>
        <w:tc>
          <w:tcPr>
            <w:tcW w:w="843" w:type="dxa"/>
          </w:tcPr>
          <w:p>
            <w:pPr>
              <w:pStyle w:val="TableParagraph"/>
              <w:spacing w:line="255" w:lineRule="exact" w:before="93"/>
              <w:ind w:right="71"/>
              <w:jc w:val="center"/>
              <w:rPr>
                <w:rFonts w:ascii="Stone Sans II ITC Std Bk"/>
                <w:b/>
                <w:sz w:val="20"/>
              </w:rPr>
            </w:pPr>
            <w:r>
              <w:rPr>
                <w:rFonts w:ascii="Stone Sans II ITC Std Bk"/>
                <w:b/>
                <w:w w:val="110"/>
                <w:sz w:val="20"/>
              </w:rPr>
              <w:t>4</w:t>
            </w:r>
          </w:p>
        </w:tc>
      </w:tr>
      <w:tr>
        <w:trPr>
          <w:trHeight w:val="368" w:hRule="atLeast"/>
        </w:trPr>
        <w:tc>
          <w:tcPr>
            <w:tcW w:w="3224" w:type="dxa"/>
            <w:shd w:val="clear" w:color="auto" w:fill="D4E9F7"/>
          </w:tcPr>
          <w:p>
            <w:pPr>
              <w:pStyle w:val="TableParagraph"/>
              <w:spacing w:line="255" w:lineRule="exact" w:before="93"/>
              <w:ind w:left="113"/>
              <w:rPr>
                <w:rFonts w:ascii="Stone Sans II ITC Std Bk"/>
                <w:b/>
                <w:sz w:val="20"/>
              </w:rPr>
            </w:pPr>
            <w:r>
              <w:rPr>
                <w:rFonts w:ascii="Stone Sans II ITC Std Bk"/>
                <w:b/>
                <w:w w:val="110"/>
                <w:sz w:val="20"/>
              </w:rPr>
              <w:t>NON-STIPENDIARY</w:t>
            </w:r>
          </w:p>
        </w:tc>
        <w:tc>
          <w:tcPr>
            <w:tcW w:w="932" w:type="dxa"/>
            <w:shd w:val="clear" w:color="auto" w:fill="D4E9F7"/>
          </w:tcPr>
          <w:p>
            <w:pPr>
              <w:pStyle w:val="TableParagraph"/>
              <w:rPr>
                <w:rFonts w:ascii="Times New Roman"/>
                <w:sz w:val="24"/>
              </w:rPr>
            </w:pPr>
          </w:p>
        </w:tc>
        <w:tc>
          <w:tcPr>
            <w:tcW w:w="935" w:type="dxa"/>
            <w:shd w:val="clear" w:color="auto" w:fill="D4E9F7"/>
          </w:tcPr>
          <w:p>
            <w:pPr>
              <w:pStyle w:val="TableParagraph"/>
              <w:rPr>
                <w:rFonts w:ascii="Times New Roman"/>
                <w:sz w:val="24"/>
              </w:rPr>
            </w:pPr>
          </w:p>
        </w:tc>
        <w:tc>
          <w:tcPr>
            <w:tcW w:w="850" w:type="dxa"/>
            <w:shd w:val="clear" w:color="auto" w:fill="D4E9F7"/>
          </w:tcPr>
          <w:p>
            <w:pPr>
              <w:pStyle w:val="TableParagraph"/>
              <w:rPr>
                <w:rFonts w:ascii="Times New Roman"/>
                <w:sz w:val="24"/>
              </w:rPr>
            </w:pPr>
          </w:p>
        </w:tc>
        <w:tc>
          <w:tcPr>
            <w:tcW w:w="888" w:type="dxa"/>
            <w:shd w:val="clear" w:color="auto" w:fill="D4E9F7"/>
          </w:tcPr>
          <w:p>
            <w:pPr>
              <w:pStyle w:val="TableParagraph"/>
              <w:rPr>
                <w:rFonts w:ascii="Times New Roman"/>
                <w:sz w:val="24"/>
              </w:rPr>
            </w:pPr>
          </w:p>
        </w:tc>
        <w:tc>
          <w:tcPr>
            <w:tcW w:w="888" w:type="dxa"/>
            <w:shd w:val="clear" w:color="auto" w:fill="D4E9F7"/>
          </w:tcPr>
          <w:p>
            <w:pPr>
              <w:pStyle w:val="TableParagraph"/>
              <w:rPr>
                <w:rFonts w:ascii="Times New Roman"/>
                <w:sz w:val="24"/>
              </w:rPr>
            </w:pPr>
          </w:p>
        </w:tc>
        <w:tc>
          <w:tcPr>
            <w:tcW w:w="843" w:type="dxa"/>
            <w:shd w:val="clear" w:color="auto" w:fill="D4E9F7"/>
          </w:tcPr>
          <w:p>
            <w:pPr>
              <w:pStyle w:val="TableParagraph"/>
              <w:rPr>
                <w:rFonts w:ascii="Times New Roman"/>
                <w:sz w:val="24"/>
              </w:rPr>
            </w:pPr>
          </w:p>
        </w:tc>
      </w:tr>
      <w:tr>
        <w:trPr>
          <w:trHeight w:val="368" w:hRule="atLeast"/>
        </w:trPr>
        <w:tc>
          <w:tcPr>
            <w:tcW w:w="3224" w:type="dxa"/>
          </w:tcPr>
          <w:p>
            <w:pPr>
              <w:pStyle w:val="TableParagraph"/>
              <w:spacing w:line="255" w:lineRule="exact" w:before="93"/>
              <w:ind w:left="113"/>
              <w:rPr>
                <w:rFonts w:ascii="Stone Sans II ITC Std Bk"/>
                <w:b/>
                <w:sz w:val="20"/>
              </w:rPr>
            </w:pPr>
            <w:r>
              <w:rPr>
                <w:rFonts w:ascii="Stone Sans II ITC Std Bk"/>
                <w:b/>
                <w:w w:val="110"/>
                <w:sz w:val="20"/>
              </w:rPr>
              <w:t>Full-Time Courses</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Northern College </w:t>
            </w:r>
            <w:r>
              <w:rPr>
                <w:w w:val="125"/>
                <w:sz w:val="18"/>
              </w:rPr>
              <w:t>(RCL)</w:t>
            </w:r>
          </w:p>
        </w:tc>
        <w:tc>
          <w:tcPr>
            <w:tcW w:w="932" w:type="dxa"/>
          </w:tcPr>
          <w:p>
            <w:pPr>
              <w:pStyle w:val="TableParagraph"/>
              <w:spacing w:line="243" w:lineRule="exact" w:before="105"/>
              <w:ind w:right="379"/>
              <w:jc w:val="right"/>
              <w:rPr>
                <w:sz w:val="20"/>
              </w:rPr>
            </w:pPr>
            <w:r>
              <w:rPr>
                <w:w w:val="125"/>
                <w:sz w:val="20"/>
              </w:rPr>
              <w:t>1</w:t>
            </w: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Westminster College </w:t>
            </w:r>
            <w:r>
              <w:rPr>
                <w:w w:val="125"/>
                <w:sz w:val="18"/>
              </w:rPr>
              <w:t>(RCL)</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56" w:lineRule="exact" w:before="92"/>
              <w:ind w:left="113"/>
              <w:rPr>
                <w:rFonts w:ascii="Stone Sans II ITC Std Bk"/>
                <w:b/>
                <w:sz w:val="20"/>
              </w:rPr>
            </w:pPr>
            <w:r>
              <w:rPr>
                <w:rFonts w:ascii="Stone Sans II ITC Std Bk"/>
                <w:b/>
                <w:w w:val="110"/>
                <w:sz w:val="20"/>
              </w:rPr>
              <w:t>Part-Time Courses</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Northern College </w:t>
            </w:r>
            <w:r>
              <w:rPr>
                <w:w w:val="125"/>
                <w:sz w:val="18"/>
              </w:rPr>
              <w:t>(RCL)</w:t>
            </w:r>
          </w:p>
        </w:tc>
        <w:tc>
          <w:tcPr>
            <w:tcW w:w="932" w:type="dxa"/>
          </w:tcPr>
          <w:p>
            <w:pPr>
              <w:pStyle w:val="TableParagraph"/>
              <w:spacing w:line="243" w:lineRule="exact" w:before="105"/>
              <w:ind w:right="379"/>
              <w:jc w:val="right"/>
              <w:rPr>
                <w:sz w:val="20"/>
              </w:rPr>
            </w:pPr>
            <w:r>
              <w:rPr>
                <w:w w:val="125"/>
                <w:sz w:val="20"/>
              </w:rPr>
              <w:t>4</w:t>
            </w:r>
          </w:p>
        </w:tc>
        <w:tc>
          <w:tcPr>
            <w:tcW w:w="935" w:type="dxa"/>
          </w:tcPr>
          <w:p>
            <w:pPr>
              <w:pStyle w:val="TableParagraph"/>
              <w:spacing w:line="243" w:lineRule="exact" w:before="105"/>
              <w:ind w:right="378"/>
              <w:jc w:val="right"/>
              <w:rPr>
                <w:sz w:val="20"/>
              </w:rPr>
            </w:pPr>
            <w:r>
              <w:rPr>
                <w:w w:val="125"/>
                <w:sz w:val="20"/>
              </w:rPr>
              <w:t>8</w:t>
            </w:r>
          </w:p>
        </w:tc>
        <w:tc>
          <w:tcPr>
            <w:tcW w:w="850" w:type="dxa"/>
          </w:tcPr>
          <w:p>
            <w:pPr>
              <w:pStyle w:val="TableParagraph"/>
              <w:spacing w:line="243" w:lineRule="exact" w:before="105"/>
              <w:ind w:right="50"/>
              <w:jc w:val="center"/>
              <w:rPr>
                <w:sz w:val="20"/>
              </w:rPr>
            </w:pPr>
            <w:r>
              <w:rPr>
                <w:w w:val="125"/>
                <w:sz w:val="20"/>
              </w:rPr>
              <w:t>1</w:t>
            </w:r>
          </w:p>
        </w:tc>
        <w:tc>
          <w:tcPr>
            <w:tcW w:w="888" w:type="dxa"/>
          </w:tcPr>
          <w:p>
            <w:pPr>
              <w:pStyle w:val="TableParagraph"/>
              <w:spacing w:line="243" w:lineRule="exact" w:before="105"/>
              <w:ind w:right="12"/>
              <w:jc w:val="center"/>
              <w:rPr>
                <w:sz w:val="20"/>
              </w:rPr>
            </w:pPr>
            <w:r>
              <w:rPr>
                <w:w w:val="125"/>
                <w:sz w:val="20"/>
              </w:rPr>
              <w:t>4</w:t>
            </w:r>
          </w:p>
        </w:tc>
        <w:tc>
          <w:tcPr>
            <w:tcW w:w="888" w:type="dxa"/>
          </w:tcPr>
          <w:p>
            <w:pPr>
              <w:pStyle w:val="TableParagraph"/>
              <w:spacing w:line="243" w:lineRule="exact" w:before="105"/>
              <w:ind w:right="12"/>
              <w:jc w:val="center"/>
              <w:rPr>
                <w:sz w:val="20"/>
              </w:rPr>
            </w:pPr>
            <w:r>
              <w:rPr>
                <w:w w:val="125"/>
                <w:sz w:val="20"/>
              </w:rPr>
              <w:t>2</w:t>
            </w:r>
          </w:p>
        </w:tc>
        <w:tc>
          <w:tcPr>
            <w:tcW w:w="843" w:type="dxa"/>
          </w:tcPr>
          <w:p>
            <w:pPr>
              <w:pStyle w:val="TableParagraph"/>
              <w:spacing w:line="243" w:lineRule="exact" w:before="105"/>
              <w:ind w:right="57"/>
              <w:jc w:val="center"/>
              <w:rPr>
                <w:sz w:val="20"/>
              </w:rPr>
            </w:pPr>
            <w:r>
              <w:rPr>
                <w:w w:val="125"/>
                <w:sz w:val="20"/>
              </w:rPr>
              <w:t>1</w:t>
            </w:r>
          </w:p>
        </w:tc>
      </w:tr>
      <w:tr>
        <w:trPr>
          <w:trHeight w:val="368" w:hRule="atLeast"/>
        </w:trPr>
        <w:tc>
          <w:tcPr>
            <w:tcW w:w="3224" w:type="dxa"/>
          </w:tcPr>
          <w:p>
            <w:pPr>
              <w:pStyle w:val="TableParagraph"/>
              <w:spacing w:line="243" w:lineRule="exact" w:before="105"/>
              <w:ind w:left="226"/>
              <w:rPr>
                <w:sz w:val="18"/>
              </w:rPr>
            </w:pPr>
            <w:r>
              <w:rPr>
                <w:w w:val="130"/>
                <w:sz w:val="20"/>
              </w:rPr>
              <w:t>SURCC </w:t>
            </w:r>
            <w:r>
              <w:rPr>
                <w:w w:val="130"/>
                <w:sz w:val="18"/>
              </w:rPr>
              <w:t>(RCL)</w:t>
            </w:r>
          </w:p>
        </w:tc>
        <w:tc>
          <w:tcPr>
            <w:tcW w:w="932" w:type="dxa"/>
          </w:tcPr>
          <w:p>
            <w:pPr>
              <w:pStyle w:val="TableParagraph"/>
              <w:rPr>
                <w:rFonts w:ascii="Times New Roman"/>
                <w:sz w:val="24"/>
              </w:rPr>
            </w:pPr>
          </w:p>
        </w:tc>
        <w:tc>
          <w:tcPr>
            <w:tcW w:w="935" w:type="dxa"/>
          </w:tcPr>
          <w:p>
            <w:pPr>
              <w:pStyle w:val="TableParagraph"/>
              <w:rPr>
                <w:rFonts w:ascii="Times New Roman"/>
                <w:sz w:val="24"/>
              </w:rPr>
            </w:pPr>
          </w:p>
        </w:tc>
        <w:tc>
          <w:tcPr>
            <w:tcW w:w="850" w:type="dxa"/>
          </w:tcPr>
          <w:p>
            <w:pPr>
              <w:pStyle w:val="TableParagraph"/>
              <w:rPr>
                <w:rFonts w:ascii="Times New Roman"/>
                <w:sz w:val="24"/>
              </w:rPr>
            </w:pPr>
          </w:p>
        </w:tc>
        <w:tc>
          <w:tcPr>
            <w:tcW w:w="888" w:type="dxa"/>
          </w:tcPr>
          <w:p>
            <w:pPr>
              <w:pStyle w:val="TableParagraph"/>
              <w:rPr>
                <w:rFonts w:ascii="Times New Roman"/>
                <w:sz w:val="24"/>
              </w:rPr>
            </w:pP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43" w:lineRule="exact" w:before="105"/>
              <w:ind w:left="226"/>
              <w:rPr>
                <w:sz w:val="18"/>
              </w:rPr>
            </w:pPr>
            <w:r>
              <w:rPr>
                <w:w w:val="125"/>
                <w:sz w:val="20"/>
              </w:rPr>
              <w:t>Westminster College </w:t>
            </w:r>
            <w:r>
              <w:rPr>
                <w:w w:val="125"/>
                <w:sz w:val="18"/>
              </w:rPr>
              <w:t>(RCL)</w:t>
            </w:r>
          </w:p>
        </w:tc>
        <w:tc>
          <w:tcPr>
            <w:tcW w:w="932" w:type="dxa"/>
          </w:tcPr>
          <w:p>
            <w:pPr>
              <w:pStyle w:val="TableParagraph"/>
              <w:spacing w:line="243" w:lineRule="exact" w:before="105"/>
              <w:ind w:right="379"/>
              <w:jc w:val="right"/>
              <w:rPr>
                <w:sz w:val="20"/>
              </w:rPr>
            </w:pPr>
            <w:r>
              <w:rPr>
                <w:w w:val="125"/>
                <w:sz w:val="20"/>
              </w:rPr>
              <w:t>2</w:t>
            </w:r>
          </w:p>
        </w:tc>
        <w:tc>
          <w:tcPr>
            <w:tcW w:w="935" w:type="dxa"/>
          </w:tcPr>
          <w:p>
            <w:pPr>
              <w:pStyle w:val="TableParagraph"/>
              <w:spacing w:line="243" w:lineRule="exact" w:before="105"/>
              <w:ind w:right="378"/>
              <w:jc w:val="right"/>
              <w:rPr>
                <w:sz w:val="20"/>
              </w:rPr>
            </w:pPr>
            <w:r>
              <w:rPr>
                <w:w w:val="125"/>
                <w:sz w:val="20"/>
              </w:rPr>
              <w:t>3</w:t>
            </w:r>
          </w:p>
        </w:tc>
        <w:tc>
          <w:tcPr>
            <w:tcW w:w="850" w:type="dxa"/>
          </w:tcPr>
          <w:p>
            <w:pPr>
              <w:pStyle w:val="TableParagraph"/>
              <w:spacing w:line="243" w:lineRule="exact" w:before="105"/>
              <w:ind w:right="51"/>
              <w:jc w:val="center"/>
              <w:rPr>
                <w:sz w:val="20"/>
              </w:rPr>
            </w:pPr>
            <w:r>
              <w:rPr>
                <w:w w:val="125"/>
                <w:sz w:val="20"/>
              </w:rPr>
              <w:t>2</w:t>
            </w:r>
          </w:p>
        </w:tc>
        <w:tc>
          <w:tcPr>
            <w:tcW w:w="888" w:type="dxa"/>
          </w:tcPr>
          <w:p>
            <w:pPr>
              <w:pStyle w:val="TableParagraph"/>
              <w:spacing w:line="243" w:lineRule="exact" w:before="105"/>
              <w:ind w:right="12"/>
              <w:jc w:val="center"/>
              <w:rPr>
                <w:sz w:val="20"/>
              </w:rPr>
            </w:pPr>
            <w:r>
              <w:rPr>
                <w:w w:val="125"/>
                <w:sz w:val="20"/>
              </w:rPr>
              <w:t>1</w:t>
            </w:r>
          </w:p>
        </w:tc>
        <w:tc>
          <w:tcPr>
            <w:tcW w:w="888" w:type="dxa"/>
          </w:tcPr>
          <w:p>
            <w:pPr>
              <w:pStyle w:val="TableParagraph"/>
              <w:rPr>
                <w:rFonts w:ascii="Times New Roman"/>
                <w:sz w:val="24"/>
              </w:rPr>
            </w:pPr>
          </w:p>
        </w:tc>
        <w:tc>
          <w:tcPr>
            <w:tcW w:w="843" w:type="dxa"/>
          </w:tcPr>
          <w:p>
            <w:pPr>
              <w:pStyle w:val="TableParagraph"/>
              <w:rPr>
                <w:rFonts w:ascii="Times New Roman"/>
                <w:sz w:val="24"/>
              </w:rPr>
            </w:pPr>
          </w:p>
        </w:tc>
      </w:tr>
      <w:tr>
        <w:trPr>
          <w:trHeight w:val="368" w:hRule="atLeast"/>
        </w:trPr>
        <w:tc>
          <w:tcPr>
            <w:tcW w:w="3224" w:type="dxa"/>
          </w:tcPr>
          <w:p>
            <w:pPr>
              <w:pStyle w:val="TableParagraph"/>
              <w:spacing w:line="255" w:lineRule="exact" w:before="93"/>
              <w:ind w:left="113"/>
              <w:rPr>
                <w:rFonts w:ascii="Stone Sans II ITC Std Bk"/>
                <w:b/>
                <w:sz w:val="20"/>
              </w:rPr>
            </w:pPr>
            <w:r>
              <w:rPr>
                <w:rFonts w:ascii="Stone Sans II ITC Std Bk"/>
                <w:b/>
                <w:w w:val="110"/>
                <w:sz w:val="20"/>
              </w:rPr>
              <w:t>Subtotal</w:t>
            </w:r>
          </w:p>
        </w:tc>
        <w:tc>
          <w:tcPr>
            <w:tcW w:w="932" w:type="dxa"/>
          </w:tcPr>
          <w:p>
            <w:pPr>
              <w:pStyle w:val="TableParagraph"/>
              <w:spacing w:line="255" w:lineRule="exact" w:before="93"/>
              <w:ind w:right="379"/>
              <w:jc w:val="right"/>
              <w:rPr>
                <w:rFonts w:ascii="Stone Sans II ITC Std Bk"/>
                <w:b/>
                <w:sz w:val="20"/>
              </w:rPr>
            </w:pPr>
            <w:r>
              <w:rPr>
                <w:rFonts w:ascii="Stone Sans II ITC Std Bk"/>
                <w:b/>
                <w:w w:val="110"/>
                <w:sz w:val="20"/>
              </w:rPr>
              <w:t>7</w:t>
            </w:r>
          </w:p>
        </w:tc>
        <w:tc>
          <w:tcPr>
            <w:tcW w:w="935" w:type="dxa"/>
          </w:tcPr>
          <w:p>
            <w:pPr>
              <w:pStyle w:val="TableParagraph"/>
              <w:spacing w:line="255" w:lineRule="exact" w:before="93"/>
              <w:ind w:right="400"/>
              <w:jc w:val="right"/>
              <w:rPr>
                <w:rFonts w:ascii="Stone Sans II ITC Std Bk"/>
                <w:b/>
                <w:sz w:val="20"/>
              </w:rPr>
            </w:pPr>
            <w:r>
              <w:rPr>
                <w:rFonts w:ascii="Stone Sans II ITC Std Bk"/>
                <w:b/>
                <w:w w:val="110"/>
                <w:sz w:val="20"/>
              </w:rPr>
              <w:t>11</w:t>
            </w:r>
          </w:p>
        </w:tc>
        <w:tc>
          <w:tcPr>
            <w:tcW w:w="850" w:type="dxa"/>
          </w:tcPr>
          <w:p>
            <w:pPr>
              <w:pStyle w:val="TableParagraph"/>
              <w:spacing w:line="255" w:lineRule="exact" w:before="93"/>
              <w:ind w:right="64"/>
              <w:jc w:val="center"/>
              <w:rPr>
                <w:rFonts w:ascii="Stone Sans II ITC Std Bk"/>
                <w:b/>
                <w:sz w:val="20"/>
              </w:rPr>
            </w:pPr>
            <w:r>
              <w:rPr>
                <w:rFonts w:ascii="Stone Sans II ITC Std Bk"/>
                <w:b/>
                <w:w w:val="110"/>
                <w:sz w:val="20"/>
              </w:rPr>
              <w:t>3</w:t>
            </w:r>
          </w:p>
        </w:tc>
        <w:tc>
          <w:tcPr>
            <w:tcW w:w="888" w:type="dxa"/>
          </w:tcPr>
          <w:p>
            <w:pPr>
              <w:pStyle w:val="TableParagraph"/>
              <w:spacing w:line="255" w:lineRule="exact" w:before="93"/>
              <w:ind w:right="26"/>
              <w:jc w:val="center"/>
              <w:rPr>
                <w:rFonts w:ascii="Stone Sans II ITC Std Bk"/>
                <w:b/>
                <w:sz w:val="20"/>
              </w:rPr>
            </w:pPr>
            <w:r>
              <w:rPr>
                <w:rFonts w:ascii="Stone Sans II ITC Std Bk"/>
                <w:b/>
                <w:w w:val="110"/>
                <w:sz w:val="20"/>
              </w:rPr>
              <w:t>5</w:t>
            </w:r>
          </w:p>
        </w:tc>
        <w:tc>
          <w:tcPr>
            <w:tcW w:w="888" w:type="dxa"/>
          </w:tcPr>
          <w:p>
            <w:pPr>
              <w:pStyle w:val="TableParagraph"/>
              <w:spacing w:line="255" w:lineRule="exact" w:before="93"/>
              <w:ind w:right="26"/>
              <w:jc w:val="center"/>
              <w:rPr>
                <w:rFonts w:ascii="Stone Sans II ITC Std Bk"/>
                <w:b/>
                <w:sz w:val="20"/>
              </w:rPr>
            </w:pPr>
            <w:r>
              <w:rPr>
                <w:rFonts w:ascii="Stone Sans II ITC Std Bk"/>
                <w:b/>
                <w:w w:val="110"/>
                <w:sz w:val="20"/>
              </w:rPr>
              <w:t>2</w:t>
            </w:r>
          </w:p>
        </w:tc>
        <w:tc>
          <w:tcPr>
            <w:tcW w:w="843" w:type="dxa"/>
          </w:tcPr>
          <w:p>
            <w:pPr>
              <w:pStyle w:val="TableParagraph"/>
              <w:spacing w:line="255" w:lineRule="exact" w:before="93"/>
              <w:ind w:right="71"/>
              <w:jc w:val="center"/>
              <w:rPr>
                <w:rFonts w:ascii="Stone Sans II ITC Std Bk"/>
                <w:b/>
                <w:sz w:val="20"/>
              </w:rPr>
            </w:pPr>
            <w:r>
              <w:rPr>
                <w:rFonts w:ascii="Stone Sans II ITC Std Bk"/>
                <w:b/>
                <w:w w:val="110"/>
                <w:sz w:val="20"/>
              </w:rPr>
              <w:t>1</w:t>
            </w:r>
          </w:p>
        </w:tc>
      </w:tr>
      <w:tr>
        <w:trPr>
          <w:trHeight w:val="368" w:hRule="atLeast"/>
        </w:trPr>
        <w:tc>
          <w:tcPr>
            <w:tcW w:w="3224" w:type="dxa"/>
            <w:shd w:val="clear" w:color="auto" w:fill="D4E9F7"/>
          </w:tcPr>
          <w:p>
            <w:pPr>
              <w:pStyle w:val="TableParagraph"/>
              <w:spacing w:line="255" w:lineRule="exact" w:before="93"/>
              <w:ind w:left="113"/>
              <w:rPr>
                <w:rFonts w:ascii="Stone Sans II ITC Std Bk"/>
                <w:b/>
                <w:sz w:val="20"/>
              </w:rPr>
            </w:pPr>
            <w:r>
              <w:rPr>
                <w:rFonts w:ascii="Stone Sans II ITC Std Bk"/>
                <w:b/>
                <w:w w:val="110"/>
                <w:sz w:val="20"/>
              </w:rPr>
              <w:t>GRAND TOTAL</w:t>
            </w:r>
          </w:p>
        </w:tc>
        <w:tc>
          <w:tcPr>
            <w:tcW w:w="932" w:type="dxa"/>
            <w:shd w:val="clear" w:color="auto" w:fill="D4E9F7"/>
          </w:tcPr>
          <w:p>
            <w:pPr>
              <w:pStyle w:val="TableParagraph"/>
              <w:spacing w:line="255" w:lineRule="exact" w:before="93"/>
              <w:ind w:right="387"/>
              <w:jc w:val="right"/>
              <w:rPr>
                <w:rFonts w:ascii="Stone Sans II ITC Std Bk"/>
                <w:b/>
                <w:sz w:val="20"/>
              </w:rPr>
            </w:pPr>
            <w:r>
              <w:rPr>
                <w:rFonts w:ascii="Stone Sans II ITC Std Bk"/>
                <w:b/>
                <w:w w:val="110"/>
                <w:sz w:val="20"/>
              </w:rPr>
              <w:t>43</w:t>
            </w:r>
          </w:p>
        </w:tc>
        <w:tc>
          <w:tcPr>
            <w:tcW w:w="935" w:type="dxa"/>
            <w:shd w:val="clear" w:color="auto" w:fill="D4E9F7"/>
          </w:tcPr>
          <w:p>
            <w:pPr>
              <w:pStyle w:val="TableParagraph"/>
              <w:spacing w:line="255" w:lineRule="exact" w:before="93"/>
              <w:ind w:right="382"/>
              <w:jc w:val="right"/>
              <w:rPr>
                <w:rFonts w:ascii="Stone Sans II ITC Std Bk"/>
                <w:b/>
                <w:sz w:val="20"/>
              </w:rPr>
            </w:pPr>
            <w:r>
              <w:rPr>
                <w:rFonts w:ascii="Stone Sans II ITC Std Bk"/>
                <w:b/>
                <w:w w:val="110"/>
                <w:sz w:val="20"/>
              </w:rPr>
              <w:t>45</w:t>
            </w:r>
          </w:p>
        </w:tc>
        <w:tc>
          <w:tcPr>
            <w:tcW w:w="850" w:type="dxa"/>
            <w:shd w:val="clear" w:color="auto" w:fill="D4E9F7"/>
          </w:tcPr>
          <w:p>
            <w:pPr>
              <w:pStyle w:val="TableParagraph"/>
              <w:spacing w:line="255" w:lineRule="exact" w:before="93"/>
              <w:ind w:left="194"/>
              <w:rPr>
                <w:rFonts w:ascii="Stone Sans II ITC Std Bk"/>
                <w:b/>
                <w:sz w:val="20"/>
              </w:rPr>
            </w:pPr>
            <w:r>
              <w:rPr>
                <w:rFonts w:ascii="Stone Sans II ITC Std Bk"/>
                <w:b/>
                <w:w w:val="110"/>
                <w:sz w:val="20"/>
              </w:rPr>
              <w:t>17</w:t>
            </w:r>
          </w:p>
        </w:tc>
        <w:tc>
          <w:tcPr>
            <w:tcW w:w="888" w:type="dxa"/>
            <w:shd w:val="clear" w:color="auto" w:fill="D4E9F7"/>
          </w:tcPr>
          <w:p>
            <w:pPr>
              <w:pStyle w:val="TableParagraph"/>
              <w:spacing w:line="255" w:lineRule="exact" w:before="93"/>
              <w:ind w:left="226"/>
              <w:rPr>
                <w:rFonts w:ascii="Stone Sans II ITC Std Bk"/>
                <w:b/>
                <w:sz w:val="20"/>
              </w:rPr>
            </w:pPr>
            <w:r>
              <w:rPr>
                <w:rFonts w:ascii="Stone Sans II ITC Std Bk"/>
                <w:b/>
                <w:w w:val="110"/>
                <w:sz w:val="20"/>
              </w:rPr>
              <w:t>14</w:t>
            </w:r>
          </w:p>
        </w:tc>
        <w:tc>
          <w:tcPr>
            <w:tcW w:w="888" w:type="dxa"/>
            <w:shd w:val="clear" w:color="auto" w:fill="D4E9F7"/>
          </w:tcPr>
          <w:p>
            <w:pPr>
              <w:pStyle w:val="TableParagraph"/>
              <w:spacing w:line="255" w:lineRule="exact" w:before="93"/>
              <w:ind w:right="26"/>
              <w:jc w:val="center"/>
              <w:rPr>
                <w:rFonts w:ascii="Stone Sans II ITC Std Bk"/>
                <w:b/>
                <w:sz w:val="20"/>
              </w:rPr>
            </w:pPr>
            <w:r>
              <w:rPr>
                <w:rFonts w:ascii="Stone Sans II ITC Std Bk"/>
                <w:b/>
                <w:w w:val="110"/>
                <w:sz w:val="20"/>
              </w:rPr>
              <w:t>9</w:t>
            </w:r>
          </w:p>
        </w:tc>
        <w:tc>
          <w:tcPr>
            <w:tcW w:w="843" w:type="dxa"/>
            <w:shd w:val="clear" w:color="auto" w:fill="D4E9F7"/>
          </w:tcPr>
          <w:p>
            <w:pPr>
              <w:pStyle w:val="TableParagraph"/>
              <w:spacing w:line="255" w:lineRule="exact" w:before="93"/>
              <w:ind w:right="71"/>
              <w:jc w:val="center"/>
              <w:rPr>
                <w:rFonts w:ascii="Stone Sans II ITC Std Bk"/>
                <w:b/>
                <w:sz w:val="20"/>
              </w:rPr>
            </w:pPr>
            <w:r>
              <w:rPr>
                <w:rFonts w:ascii="Stone Sans II ITC Std Bk"/>
                <w:b/>
                <w:w w:val="110"/>
                <w:sz w:val="20"/>
              </w:rPr>
              <w:t>5</w:t>
            </w:r>
          </w:p>
        </w:tc>
      </w:tr>
    </w:tbl>
    <w:p>
      <w:pPr>
        <w:pStyle w:val="BodyText"/>
        <w:spacing w:before="12"/>
        <w:rPr>
          <w:sz w:val="8"/>
        </w:rPr>
      </w:pPr>
    </w:p>
    <w:p>
      <w:pPr>
        <w:pStyle w:val="BodyText"/>
        <w:spacing w:line="235" w:lineRule="auto" w:before="103"/>
        <w:ind w:left="827" w:right="1528"/>
      </w:pPr>
      <w:r>
        <w:rPr>
          <w:w w:val="120"/>
        </w:rPr>
        <w:t>Anticipated entry does not take into account those who have been selected at recent Assessment Conferences but who have not yet formally begun their studies at an RCL.</w:t>
      </w:r>
    </w:p>
    <w:p>
      <w:pPr>
        <w:spacing w:after="0" w:line="235" w:lineRule="auto"/>
        <w:sectPr>
          <w:headerReference w:type="even" r:id="rId299"/>
          <w:pgSz w:w="11910" w:h="16840"/>
          <w:pgMar w:header="0" w:footer="647" w:top="0" w:bottom="840" w:left="420" w:right="380"/>
        </w:sectPr>
      </w:pPr>
    </w:p>
    <w:p>
      <w:pPr>
        <w:pStyle w:val="BodyText"/>
      </w:pPr>
      <w:r>
        <w:rPr/>
        <w:drawing>
          <wp:anchor distT="0" distB="0" distL="0" distR="0" allowOverlap="1" layoutInCell="1" locked="0" behindDoc="0" simplePos="0" relativeHeight="251934720">
            <wp:simplePos x="0" y="0"/>
            <wp:positionH relativeFrom="page">
              <wp:posOffset>6974928</wp:posOffset>
            </wp:positionH>
            <wp:positionV relativeFrom="page">
              <wp:posOffset>0</wp:posOffset>
            </wp:positionV>
            <wp:extent cx="585063" cy="10692003"/>
            <wp:effectExtent l="0" t="0" r="0" b="0"/>
            <wp:wrapNone/>
            <wp:docPr id="195" name="image57.png"/>
            <wp:cNvGraphicFramePr>
              <a:graphicFrameLocks noChangeAspect="1"/>
            </wp:cNvGraphicFramePr>
            <a:graphic>
              <a:graphicData uri="http://schemas.openxmlformats.org/drawingml/2006/picture">
                <pic:pic>
                  <pic:nvPicPr>
                    <pic:cNvPr id="19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left="7334"/>
      </w:pPr>
      <w:r>
        <w:rPr/>
        <w:pict>
          <v:shape style="position:absolute;margin-left:554.141174pt;margin-top:22.693945pt;width:26pt;height:242.25pt;mso-position-horizontal-relative:page;mso-position-vertical-relative:paragraph;z-index:251935744"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spacing w:before="246"/>
        <w:ind w:left="1564" w:right="0" w:firstLine="0"/>
        <w:jc w:val="left"/>
        <w:rPr>
          <w:rFonts w:ascii="Stone Sans II ITC Std X Bd"/>
          <w:b/>
          <w:sz w:val="50"/>
        </w:rPr>
      </w:pPr>
      <w:r>
        <w:rPr>
          <w:rFonts w:ascii="Stone Sans II ITC Std X Bd"/>
          <w:b/>
          <w:w w:val="110"/>
          <w:sz w:val="50"/>
        </w:rPr>
        <w:t>Students in Training, by synod</w:t>
      </w:r>
    </w:p>
    <w:p>
      <w:pPr>
        <w:pStyle w:val="Heading6"/>
        <w:numPr>
          <w:ilvl w:val="0"/>
          <w:numId w:val="69"/>
        </w:numPr>
        <w:tabs>
          <w:tab w:pos="2244" w:val="left" w:leader="none"/>
          <w:tab w:pos="2245" w:val="left" w:leader="none"/>
        </w:tabs>
        <w:spacing w:line="240" w:lineRule="auto" w:before="524" w:after="0"/>
        <w:ind w:left="2244" w:right="0" w:hanging="681"/>
        <w:jc w:val="left"/>
      </w:pPr>
      <w:r>
        <w:rPr>
          <w:w w:val="110"/>
        </w:rPr>
        <w:t>North </w:t>
      </w:r>
      <w:r>
        <w:rPr>
          <w:spacing w:val="-3"/>
          <w:w w:val="110"/>
        </w:rPr>
        <w:t>Western</w:t>
      </w:r>
    </w:p>
    <w:p>
      <w:pPr>
        <w:pStyle w:val="BodyText"/>
        <w:tabs>
          <w:tab w:pos="2401" w:val="left" w:leader="none"/>
          <w:tab w:pos="5281" w:val="left" w:leader="none"/>
        </w:tabs>
        <w:spacing w:before="66"/>
        <w:ind w:left="201"/>
        <w:jc w:val="center"/>
      </w:pPr>
      <w:r>
        <w:rPr>
          <w:rFonts w:ascii="Stone Sans II ITC Std Bk"/>
          <w:b/>
          <w:spacing w:val="2"/>
          <w:w w:val="120"/>
        </w:rPr>
        <w:t>CRCW</w:t>
        <w:tab/>
      </w:r>
      <w:r>
        <w:rPr>
          <w:w w:val="120"/>
        </w:rPr>
        <w:t>Katy</w:t>
      </w:r>
      <w:r>
        <w:rPr>
          <w:spacing w:val="4"/>
          <w:w w:val="120"/>
        </w:rPr>
        <w:t> </w:t>
      </w:r>
      <w:r>
        <w:rPr>
          <w:w w:val="120"/>
        </w:rPr>
        <w:t>Ollerenshaw</w:t>
        <w:tab/>
      </w:r>
      <w:r>
        <w:rPr>
          <w:spacing w:val="2"/>
          <w:w w:val="120"/>
        </w:rPr>
        <w:t>Northern</w:t>
      </w:r>
      <w:r>
        <w:rPr>
          <w:spacing w:val="43"/>
          <w:w w:val="120"/>
        </w:rPr>
        <w:t> </w:t>
      </w:r>
      <w:r>
        <w:rPr>
          <w:w w:val="120"/>
        </w:rPr>
        <w:t>College</w:t>
      </w:r>
    </w:p>
    <w:p>
      <w:pPr>
        <w:tabs>
          <w:tab w:pos="2401" w:val="left" w:leader="none"/>
          <w:tab w:pos="5281" w:val="left" w:leader="none"/>
        </w:tabs>
        <w:spacing w:before="210"/>
        <w:ind w:left="201" w:right="0" w:firstLine="0"/>
        <w:jc w:val="center"/>
        <w:rPr>
          <w:sz w:val="20"/>
        </w:rPr>
      </w:pPr>
      <w:r>
        <w:rPr>
          <w:rFonts w:ascii="Stone Sans II ITC Std Bk"/>
          <w:b/>
          <w:w w:val="115"/>
          <w:sz w:val="20"/>
        </w:rPr>
        <w:t>Non-Stipendiary</w:t>
        <w:tab/>
      </w:r>
      <w:r>
        <w:rPr>
          <w:w w:val="120"/>
          <w:sz w:val="20"/>
        </w:rPr>
        <w:t>Alma</w:t>
      </w:r>
      <w:r>
        <w:rPr>
          <w:spacing w:val="-2"/>
          <w:w w:val="120"/>
          <w:sz w:val="20"/>
        </w:rPr>
        <w:t> </w:t>
      </w:r>
      <w:r>
        <w:rPr>
          <w:w w:val="120"/>
          <w:sz w:val="20"/>
        </w:rPr>
        <w:t>Fritchley</w:t>
        <w:tab/>
      </w:r>
      <w:r>
        <w:rPr>
          <w:spacing w:val="2"/>
          <w:w w:val="120"/>
          <w:sz w:val="20"/>
        </w:rPr>
        <w:t>Northern</w:t>
      </w:r>
      <w:r>
        <w:rPr>
          <w:spacing w:val="43"/>
          <w:w w:val="120"/>
          <w:sz w:val="20"/>
        </w:rPr>
        <w:t> </w:t>
      </w:r>
      <w:r>
        <w:rPr>
          <w:w w:val="120"/>
          <w:sz w:val="20"/>
        </w:rPr>
        <w:t>College</w:t>
      </w:r>
    </w:p>
    <w:p>
      <w:pPr>
        <w:tabs>
          <w:tab w:pos="2199" w:val="left" w:leader="none"/>
          <w:tab w:pos="5079" w:val="left" w:leader="none"/>
        </w:tabs>
        <w:spacing w:line="261" w:lineRule="exact" w:before="210"/>
        <w:ind w:left="0" w:right="2041" w:firstLine="0"/>
        <w:jc w:val="right"/>
        <w:rPr>
          <w:sz w:val="20"/>
        </w:rPr>
      </w:pPr>
      <w:r>
        <w:rPr>
          <w:rFonts w:ascii="Stone Sans II ITC Std Bk"/>
          <w:b/>
          <w:w w:val="115"/>
          <w:sz w:val="20"/>
        </w:rPr>
        <w:t>Stipendiary</w:t>
        <w:tab/>
      </w:r>
      <w:r>
        <w:rPr>
          <w:w w:val="120"/>
          <w:sz w:val="20"/>
        </w:rPr>
        <w:t>Cath</w:t>
      </w:r>
      <w:r>
        <w:rPr>
          <w:spacing w:val="4"/>
          <w:w w:val="120"/>
          <w:sz w:val="20"/>
        </w:rPr>
        <w:t> </w:t>
      </w:r>
      <w:r>
        <w:rPr>
          <w:w w:val="120"/>
          <w:sz w:val="20"/>
        </w:rPr>
        <w:t>Atkinson</w:t>
        <w:tab/>
      </w:r>
      <w:r>
        <w:rPr>
          <w:spacing w:val="2"/>
          <w:w w:val="120"/>
          <w:sz w:val="20"/>
        </w:rPr>
        <w:t>Northern</w:t>
      </w:r>
      <w:r>
        <w:rPr>
          <w:spacing w:val="43"/>
          <w:w w:val="120"/>
          <w:sz w:val="20"/>
        </w:rPr>
        <w:t> </w:t>
      </w:r>
      <w:r>
        <w:rPr>
          <w:w w:val="120"/>
          <w:sz w:val="20"/>
        </w:rPr>
        <w:t>College</w:t>
      </w:r>
    </w:p>
    <w:p>
      <w:pPr>
        <w:pStyle w:val="BodyText"/>
        <w:tabs>
          <w:tab w:pos="2879" w:val="left" w:leader="none"/>
        </w:tabs>
        <w:spacing w:line="233" w:lineRule="exact"/>
        <w:ind w:right="2041"/>
        <w:jc w:val="right"/>
      </w:pPr>
      <w:r>
        <w:rPr>
          <w:w w:val="120"/>
        </w:rPr>
        <w:t>Andrew Mudharara</w:t>
        <w:tab/>
      </w:r>
      <w:r>
        <w:rPr>
          <w:spacing w:val="2"/>
          <w:w w:val="120"/>
        </w:rPr>
        <w:t>Northern</w:t>
      </w:r>
      <w:r>
        <w:rPr>
          <w:spacing w:val="43"/>
          <w:w w:val="120"/>
        </w:rPr>
        <w:t> </w:t>
      </w:r>
      <w:r>
        <w:rPr>
          <w:w w:val="120"/>
        </w:rPr>
        <w:t>College</w:t>
      </w:r>
    </w:p>
    <w:p>
      <w:pPr>
        <w:pStyle w:val="BodyText"/>
        <w:tabs>
          <w:tab w:pos="7324" w:val="left" w:leader="none"/>
        </w:tabs>
        <w:spacing w:line="240" w:lineRule="exact"/>
        <w:ind w:left="4444"/>
      </w:pPr>
      <w:r>
        <w:rPr>
          <w:w w:val="120"/>
        </w:rPr>
        <w:t>Alison</w:t>
      </w:r>
      <w:r>
        <w:rPr>
          <w:spacing w:val="2"/>
          <w:w w:val="120"/>
        </w:rPr>
        <w:t> </w:t>
      </w:r>
      <w:r>
        <w:rPr>
          <w:w w:val="120"/>
        </w:rPr>
        <w:t>Smith</w:t>
        <w:tab/>
        <w:t>Westminster</w:t>
      </w:r>
      <w:r>
        <w:rPr>
          <w:spacing w:val="2"/>
          <w:w w:val="120"/>
        </w:rPr>
        <w:t> </w:t>
      </w:r>
      <w:r>
        <w:rPr>
          <w:w w:val="120"/>
        </w:rPr>
        <w:t>College</w:t>
      </w:r>
    </w:p>
    <w:p>
      <w:pPr>
        <w:pStyle w:val="BodyText"/>
        <w:tabs>
          <w:tab w:pos="7323" w:val="left" w:leader="none"/>
        </w:tabs>
        <w:spacing w:line="240" w:lineRule="exact"/>
        <w:ind w:left="4444"/>
      </w:pPr>
      <w:r>
        <w:rPr>
          <w:w w:val="120"/>
        </w:rPr>
        <w:t>Jenny</w:t>
      </w:r>
      <w:r>
        <w:rPr>
          <w:spacing w:val="-3"/>
          <w:w w:val="120"/>
        </w:rPr>
        <w:t> Travis</w:t>
        <w:tab/>
      </w:r>
      <w:r>
        <w:rPr>
          <w:spacing w:val="2"/>
          <w:w w:val="120"/>
        </w:rPr>
        <w:t>Northern</w:t>
      </w:r>
      <w:r>
        <w:rPr>
          <w:spacing w:val="3"/>
          <w:w w:val="120"/>
        </w:rPr>
        <w:t> </w:t>
      </w:r>
      <w:r>
        <w:rPr>
          <w:w w:val="120"/>
        </w:rPr>
        <w:t>College</w:t>
      </w:r>
    </w:p>
    <w:p>
      <w:pPr>
        <w:pStyle w:val="BodyText"/>
        <w:tabs>
          <w:tab w:pos="7324" w:val="left" w:leader="none"/>
        </w:tabs>
        <w:spacing w:line="240" w:lineRule="exact"/>
        <w:ind w:left="4444"/>
      </w:pPr>
      <w:r>
        <w:rPr>
          <w:w w:val="120"/>
        </w:rPr>
        <w:t>Alex</w:t>
      </w:r>
      <w:r>
        <w:rPr>
          <w:spacing w:val="9"/>
          <w:w w:val="120"/>
        </w:rPr>
        <w:t> </w:t>
      </w:r>
      <w:r>
        <w:rPr>
          <w:w w:val="120"/>
        </w:rPr>
        <w:t>Clare-Young</w:t>
        <w:tab/>
        <w:t>Westminster</w:t>
      </w:r>
      <w:r>
        <w:rPr>
          <w:spacing w:val="2"/>
          <w:w w:val="120"/>
        </w:rPr>
        <w:t> </w:t>
      </w:r>
      <w:r>
        <w:rPr>
          <w:w w:val="120"/>
        </w:rPr>
        <w:t>College</w:t>
      </w:r>
    </w:p>
    <w:p>
      <w:pPr>
        <w:pStyle w:val="BodyText"/>
        <w:tabs>
          <w:tab w:pos="7324" w:val="left" w:leader="none"/>
        </w:tabs>
        <w:spacing w:line="240" w:lineRule="exact"/>
        <w:ind w:left="4444"/>
      </w:pPr>
      <w:r>
        <w:rPr>
          <w:w w:val="120"/>
        </w:rPr>
        <w:t>Sarah</w:t>
      </w:r>
      <w:r>
        <w:rPr>
          <w:spacing w:val="-3"/>
          <w:w w:val="120"/>
        </w:rPr>
        <w:t> </w:t>
      </w:r>
      <w:r>
        <w:rPr>
          <w:w w:val="120"/>
        </w:rPr>
        <w:t>Fitton</w:t>
        <w:tab/>
      </w:r>
      <w:r>
        <w:rPr>
          <w:spacing w:val="2"/>
          <w:w w:val="120"/>
        </w:rPr>
        <w:t>Northern</w:t>
      </w:r>
      <w:r>
        <w:rPr>
          <w:spacing w:val="44"/>
          <w:w w:val="120"/>
        </w:rPr>
        <w:t> </w:t>
      </w:r>
      <w:r>
        <w:rPr>
          <w:w w:val="120"/>
        </w:rPr>
        <w:t>College</w:t>
      </w:r>
    </w:p>
    <w:p>
      <w:pPr>
        <w:pStyle w:val="BodyText"/>
        <w:tabs>
          <w:tab w:pos="7324" w:val="left" w:leader="none"/>
        </w:tabs>
        <w:spacing w:line="240" w:lineRule="exact"/>
        <w:ind w:left="4444"/>
      </w:pPr>
      <w:r>
        <w:rPr>
          <w:w w:val="120"/>
        </w:rPr>
        <w:t>Lee</w:t>
      </w:r>
      <w:r>
        <w:rPr>
          <w:spacing w:val="-2"/>
          <w:w w:val="120"/>
        </w:rPr>
        <w:t> </w:t>
      </w:r>
      <w:r>
        <w:rPr>
          <w:w w:val="120"/>
        </w:rPr>
        <w:t>Battle</w:t>
        <w:tab/>
      </w:r>
      <w:r>
        <w:rPr>
          <w:spacing w:val="2"/>
          <w:w w:val="120"/>
        </w:rPr>
        <w:t>Northern</w:t>
      </w:r>
      <w:r>
        <w:rPr>
          <w:spacing w:val="44"/>
          <w:w w:val="120"/>
        </w:rPr>
        <w:t> </w:t>
      </w:r>
      <w:r>
        <w:rPr>
          <w:w w:val="120"/>
        </w:rPr>
        <w:t>College</w:t>
      </w:r>
    </w:p>
    <w:p>
      <w:pPr>
        <w:pStyle w:val="BodyText"/>
        <w:tabs>
          <w:tab w:pos="7324" w:val="left" w:leader="none"/>
        </w:tabs>
        <w:spacing w:line="242" w:lineRule="exact"/>
        <w:ind w:left="4444"/>
      </w:pPr>
      <w:r>
        <w:rPr>
          <w:w w:val="120"/>
        </w:rPr>
        <w:t>Jonnie</w:t>
      </w:r>
      <w:r>
        <w:rPr>
          <w:spacing w:val="2"/>
          <w:w w:val="120"/>
        </w:rPr>
        <w:t> </w:t>
      </w:r>
      <w:r>
        <w:rPr>
          <w:w w:val="120"/>
        </w:rPr>
        <w:t>Hill</w:t>
        <w:tab/>
      </w:r>
      <w:r>
        <w:rPr>
          <w:spacing w:val="2"/>
          <w:w w:val="120"/>
        </w:rPr>
        <w:t>Northern</w:t>
      </w:r>
      <w:r>
        <w:rPr>
          <w:spacing w:val="43"/>
          <w:w w:val="120"/>
        </w:rPr>
        <w:t> </w:t>
      </w:r>
      <w:r>
        <w:rPr>
          <w:w w:val="120"/>
        </w:rPr>
        <w:t>College</w:t>
      </w:r>
    </w:p>
    <w:p>
      <w:pPr>
        <w:pStyle w:val="BodyText"/>
        <w:spacing w:before="12"/>
        <w:rPr>
          <w:sz w:val="10"/>
        </w:rPr>
      </w:pPr>
    </w:p>
    <w:p>
      <w:pPr>
        <w:pStyle w:val="Heading6"/>
        <w:numPr>
          <w:ilvl w:val="0"/>
          <w:numId w:val="69"/>
        </w:numPr>
        <w:tabs>
          <w:tab w:pos="2244" w:val="left" w:leader="none"/>
          <w:tab w:pos="2245" w:val="left" w:leader="none"/>
        </w:tabs>
        <w:spacing w:line="240" w:lineRule="auto" w:before="95" w:after="0"/>
        <w:ind w:left="2244" w:right="0" w:hanging="681"/>
        <w:jc w:val="left"/>
      </w:pPr>
      <w:r>
        <w:rPr>
          <w:w w:val="110"/>
        </w:rPr>
        <w:t>Mersey</w:t>
      </w:r>
    </w:p>
    <w:p>
      <w:pPr>
        <w:tabs>
          <w:tab w:pos="2401" w:val="left" w:leader="none"/>
          <w:tab w:pos="5281" w:val="left" w:leader="none"/>
        </w:tabs>
        <w:spacing w:before="66"/>
        <w:ind w:left="201" w:right="0" w:firstLine="0"/>
        <w:jc w:val="center"/>
        <w:rPr>
          <w:sz w:val="20"/>
        </w:rPr>
      </w:pPr>
      <w:r>
        <w:rPr>
          <w:rFonts w:ascii="Stone Sans II ITC Std Bk"/>
          <w:b/>
          <w:w w:val="115"/>
          <w:sz w:val="20"/>
        </w:rPr>
        <w:t>Non-Stipendiary</w:t>
        <w:tab/>
      </w:r>
      <w:r>
        <w:rPr>
          <w:w w:val="120"/>
          <w:sz w:val="20"/>
        </w:rPr>
        <w:t>Pamela</w:t>
      </w:r>
      <w:r>
        <w:rPr>
          <w:spacing w:val="7"/>
          <w:w w:val="120"/>
          <w:sz w:val="20"/>
        </w:rPr>
        <w:t> </w:t>
      </w:r>
      <w:r>
        <w:rPr>
          <w:w w:val="120"/>
          <w:sz w:val="20"/>
        </w:rPr>
        <w:t>Hughson</w:t>
        <w:tab/>
      </w:r>
      <w:r>
        <w:rPr>
          <w:spacing w:val="2"/>
          <w:w w:val="120"/>
          <w:sz w:val="20"/>
        </w:rPr>
        <w:t>Northern</w:t>
      </w:r>
      <w:r>
        <w:rPr>
          <w:spacing w:val="43"/>
          <w:w w:val="120"/>
          <w:sz w:val="20"/>
        </w:rPr>
        <w:t> </w:t>
      </w:r>
      <w:r>
        <w:rPr>
          <w:w w:val="120"/>
          <w:sz w:val="20"/>
        </w:rPr>
        <w:t>College</w:t>
      </w:r>
    </w:p>
    <w:p>
      <w:pPr>
        <w:tabs>
          <w:tab w:pos="2199" w:val="left" w:leader="none"/>
          <w:tab w:pos="5079" w:val="left" w:leader="none"/>
        </w:tabs>
        <w:spacing w:line="261" w:lineRule="exact" w:before="210"/>
        <w:ind w:left="0" w:right="2041" w:firstLine="0"/>
        <w:jc w:val="right"/>
        <w:rPr>
          <w:sz w:val="20"/>
        </w:rPr>
      </w:pPr>
      <w:r>
        <w:rPr>
          <w:rFonts w:ascii="Stone Sans II ITC Std Bk"/>
          <w:b/>
          <w:w w:val="115"/>
          <w:sz w:val="20"/>
        </w:rPr>
        <w:t>Stipendiary</w:t>
        <w:tab/>
      </w:r>
      <w:r>
        <w:rPr>
          <w:w w:val="120"/>
          <w:sz w:val="20"/>
        </w:rPr>
        <w:t>John</w:t>
      </w:r>
      <w:r>
        <w:rPr>
          <w:spacing w:val="7"/>
          <w:w w:val="120"/>
          <w:sz w:val="20"/>
        </w:rPr>
        <w:t> </w:t>
      </w:r>
      <w:r>
        <w:rPr>
          <w:w w:val="120"/>
          <w:sz w:val="20"/>
        </w:rPr>
        <w:t>Grundy</w:t>
        <w:tab/>
      </w:r>
      <w:r>
        <w:rPr>
          <w:spacing w:val="2"/>
          <w:w w:val="120"/>
          <w:sz w:val="20"/>
        </w:rPr>
        <w:t>Northern</w:t>
      </w:r>
      <w:r>
        <w:rPr>
          <w:spacing w:val="44"/>
          <w:w w:val="120"/>
          <w:sz w:val="20"/>
        </w:rPr>
        <w:t> </w:t>
      </w:r>
      <w:r>
        <w:rPr>
          <w:w w:val="120"/>
          <w:sz w:val="20"/>
        </w:rPr>
        <w:t>College</w:t>
      </w:r>
    </w:p>
    <w:p>
      <w:pPr>
        <w:pStyle w:val="BodyText"/>
        <w:tabs>
          <w:tab w:pos="2879" w:val="left" w:leader="none"/>
        </w:tabs>
        <w:spacing w:line="235" w:lineRule="exact"/>
        <w:ind w:right="2041"/>
        <w:jc w:val="right"/>
      </w:pPr>
      <w:r>
        <w:rPr>
          <w:w w:val="120"/>
        </w:rPr>
        <w:t>Paul</w:t>
      </w:r>
      <w:r>
        <w:rPr>
          <w:spacing w:val="6"/>
          <w:w w:val="120"/>
        </w:rPr>
        <w:t> </w:t>
      </w:r>
      <w:r>
        <w:rPr>
          <w:w w:val="120"/>
        </w:rPr>
        <w:t>Duncan</w:t>
        <w:tab/>
      </w:r>
      <w:r>
        <w:rPr>
          <w:spacing w:val="2"/>
          <w:w w:val="120"/>
        </w:rPr>
        <w:t>Northern</w:t>
      </w:r>
      <w:r>
        <w:rPr>
          <w:spacing w:val="43"/>
          <w:w w:val="120"/>
        </w:rPr>
        <w:t> </w:t>
      </w:r>
      <w:r>
        <w:rPr>
          <w:w w:val="120"/>
        </w:rPr>
        <w:t>College</w:t>
      </w:r>
    </w:p>
    <w:p>
      <w:pPr>
        <w:pStyle w:val="BodyText"/>
        <w:spacing w:before="11"/>
        <w:rPr>
          <w:sz w:val="10"/>
        </w:rPr>
      </w:pPr>
    </w:p>
    <w:p>
      <w:pPr>
        <w:pStyle w:val="Heading6"/>
        <w:numPr>
          <w:ilvl w:val="0"/>
          <w:numId w:val="69"/>
        </w:numPr>
        <w:tabs>
          <w:tab w:pos="2244" w:val="left" w:leader="none"/>
          <w:tab w:pos="2245" w:val="left" w:leader="none"/>
        </w:tabs>
        <w:spacing w:line="240" w:lineRule="auto" w:before="96" w:after="0"/>
        <w:ind w:left="2244" w:right="0" w:hanging="681"/>
        <w:jc w:val="left"/>
      </w:pPr>
      <w:r>
        <w:rPr>
          <w:spacing w:val="-3"/>
          <w:w w:val="110"/>
        </w:rPr>
        <w:t>Yorkshire</w:t>
      </w:r>
    </w:p>
    <w:p>
      <w:pPr>
        <w:tabs>
          <w:tab w:pos="2199" w:val="left" w:leader="none"/>
          <w:tab w:pos="5079" w:val="left" w:leader="none"/>
        </w:tabs>
        <w:spacing w:line="261" w:lineRule="exact" w:before="66"/>
        <w:ind w:left="0" w:right="1734" w:firstLine="0"/>
        <w:jc w:val="right"/>
        <w:rPr>
          <w:sz w:val="20"/>
        </w:rPr>
      </w:pPr>
      <w:r>
        <w:rPr>
          <w:rFonts w:ascii="Stone Sans II ITC Std Bk"/>
          <w:b/>
          <w:w w:val="115"/>
          <w:sz w:val="20"/>
        </w:rPr>
        <w:t>Stipendiary</w:t>
        <w:tab/>
      </w:r>
      <w:r>
        <w:rPr>
          <w:spacing w:val="-3"/>
          <w:w w:val="120"/>
          <w:sz w:val="20"/>
        </w:rPr>
        <w:t>Tessa</w:t>
      </w:r>
      <w:r>
        <w:rPr>
          <w:spacing w:val="6"/>
          <w:w w:val="120"/>
          <w:sz w:val="20"/>
        </w:rPr>
        <w:t> </w:t>
      </w:r>
      <w:r>
        <w:rPr>
          <w:w w:val="120"/>
          <w:sz w:val="20"/>
        </w:rPr>
        <w:t>Henry-Robinson</w:t>
        <w:tab/>
        <w:t>Westminster</w:t>
      </w:r>
      <w:r>
        <w:rPr>
          <w:spacing w:val="8"/>
          <w:w w:val="120"/>
          <w:sz w:val="20"/>
        </w:rPr>
        <w:t> </w:t>
      </w:r>
      <w:r>
        <w:rPr>
          <w:w w:val="120"/>
          <w:sz w:val="20"/>
        </w:rPr>
        <w:t>College</w:t>
      </w:r>
    </w:p>
    <w:p>
      <w:pPr>
        <w:pStyle w:val="BodyText"/>
        <w:tabs>
          <w:tab w:pos="2879" w:val="left" w:leader="none"/>
        </w:tabs>
        <w:spacing w:line="235" w:lineRule="exact"/>
        <w:ind w:right="1734"/>
        <w:jc w:val="right"/>
      </w:pPr>
      <w:r>
        <w:rPr>
          <w:w w:val="120"/>
        </w:rPr>
        <w:t>Adam</w:t>
      </w:r>
      <w:r>
        <w:rPr>
          <w:spacing w:val="3"/>
          <w:w w:val="120"/>
        </w:rPr>
        <w:t> </w:t>
      </w:r>
      <w:r>
        <w:rPr>
          <w:w w:val="120"/>
        </w:rPr>
        <w:t>Woodhouse</w:t>
        <w:tab/>
        <w:t>Westminster</w:t>
      </w:r>
      <w:r>
        <w:rPr>
          <w:spacing w:val="7"/>
          <w:w w:val="120"/>
        </w:rPr>
        <w:t> </w:t>
      </w:r>
      <w:r>
        <w:rPr>
          <w:w w:val="120"/>
        </w:rPr>
        <w:t>College</w:t>
      </w:r>
    </w:p>
    <w:p>
      <w:pPr>
        <w:pStyle w:val="BodyText"/>
        <w:rPr>
          <w:sz w:val="11"/>
        </w:rPr>
      </w:pPr>
    </w:p>
    <w:p>
      <w:pPr>
        <w:pStyle w:val="Heading6"/>
        <w:numPr>
          <w:ilvl w:val="0"/>
          <w:numId w:val="69"/>
        </w:numPr>
        <w:tabs>
          <w:tab w:pos="2244" w:val="left" w:leader="none"/>
          <w:tab w:pos="2245" w:val="left" w:leader="none"/>
        </w:tabs>
        <w:spacing w:line="240" w:lineRule="auto" w:before="95" w:after="0"/>
        <w:ind w:left="2244" w:right="0" w:hanging="681"/>
        <w:jc w:val="left"/>
      </w:pPr>
      <w:r>
        <w:rPr>
          <w:w w:val="110"/>
        </w:rPr>
        <w:t>East Midlands</w:t>
      </w:r>
    </w:p>
    <w:p>
      <w:pPr>
        <w:tabs>
          <w:tab w:pos="2401" w:val="left" w:leader="none"/>
          <w:tab w:pos="5281" w:val="left" w:leader="none"/>
        </w:tabs>
        <w:spacing w:before="66"/>
        <w:ind w:left="201" w:right="0" w:firstLine="0"/>
        <w:jc w:val="center"/>
        <w:rPr>
          <w:sz w:val="20"/>
        </w:rPr>
      </w:pPr>
      <w:r>
        <w:rPr>
          <w:rFonts w:ascii="Stone Sans II ITC Std Bk"/>
          <w:b/>
          <w:w w:val="115"/>
          <w:sz w:val="20"/>
        </w:rPr>
        <w:t>Non-Stipendiary</w:t>
        <w:tab/>
      </w:r>
      <w:r>
        <w:rPr>
          <w:w w:val="120"/>
          <w:sz w:val="20"/>
        </w:rPr>
        <w:t>Amanda</w:t>
      </w:r>
      <w:r>
        <w:rPr>
          <w:spacing w:val="5"/>
          <w:w w:val="120"/>
          <w:sz w:val="20"/>
        </w:rPr>
        <w:t> </w:t>
      </w:r>
      <w:r>
        <w:rPr>
          <w:w w:val="120"/>
          <w:sz w:val="20"/>
        </w:rPr>
        <w:t>Linney</w:t>
        <w:tab/>
      </w:r>
      <w:r>
        <w:rPr>
          <w:spacing w:val="2"/>
          <w:w w:val="120"/>
          <w:sz w:val="20"/>
        </w:rPr>
        <w:t>Northern</w:t>
      </w:r>
      <w:r>
        <w:rPr>
          <w:spacing w:val="3"/>
          <w:w w:val="120"/>
          <w:sz w:val="20"/>
        </w:rPr>
        <w:t> </w:t>
      </w:r>
      <w:r>
        <w:rPr>
          <w:w w:val="120"/>
          <w:sz w:val="20"/>
        </w:rPr>
        <w:t>College</w:t>
      </w:r>
    </w:p>
    <w:p>
      <w:pPr>
        <w:pStyle w:val="Heading6"/>
        <w:numPr>
          <w:ilvl w:val="0"/>
          <w:numId w:val="69"/>
        </w:numPr>
        <w:tabs>
          <w:tab w:pos="2244" w:val="left" w:leader="none"/>
          <w:tab w:pos="2245" w:val="left" w:leader="none"/>
        </w:tabs>
        <w:spacing w:line="240" w:lineRule="auto" w:before="216" w:after="0"/>
        <w:ind w:left="2244" w:right="0" w:hanging="681"/>
        <w:jc w:val="left"/>
      </w:pPr>
      <w:r>
        <w:rPr>
          <w:w w:val="110"/>
        </w:rPr>
        <w:t>West Midlands</w:t>
      </w:r>
    </w:p>
    <w:p>
      <w:pPr>
        <w:pStyle w:val="BodyText"/>
        <w:tabs>
          <w:tab w:pos="2401" w:val="left" w:leader="none"/>
          <w:tab w:pos="5281" w:val="left" w:leader="none"/>
        </w:tabs>
        <w:spacing w:before="66"/>
        <w:ind w:left="201"/>
        <w:jc w:val="center"/>
      </w:pPr>
      <w:r>
        <w:rPr>
          <w:rFonts w:ascii="Stone Sans II ITC Std Bk"/>
          <w:b/>
          <w:spacing w:val="2"/>
          <w:w w:val="120"/>
        </w:rPr>
        <w:t>CRCW</w:t>
        <w:tab/>
      </w:r>
      <w:r>
        <w:rPr>
          <w:w w:val="120"/>
        </w:rPr>
        <w:t>Andy</w:t>
      </w:r>
      <w:r>
        <w:rPr>
          <w:spacing w:val="7"/>
          <w:w w:val="120"/>
        </w:rPr>
        <w:t> </w:t>
      </w:r>
      <w:r>
        <w:rPr>
          <w:w w:val="120"/>
        </w:rPr>
        <w:t>Littlejohns</w:t>
        <w:tab/>
      </w:r>
      <w:r>
        <w:rPr>
          <w:spacing w:val="2"/>
          <w:w w:val="120"/>
        </w:rPr>
        <w:t>Northern</w:t>
      </w:r>
      <w:r>
        <w:rPr>
          <w:spacing w:val="43"/>
          <w:w w:val="120"/>
        </w:rPr>
        <w:t> </w:t>
      </w:r>
      <w:r>
        <w:rPr>
          <w:w w:val="120"/>
        </w:rPr>
        <w:t>College</w:t>
      </w:r>
    </w:p>
    <w:p>
      <w:pPr>
        <w:tabs>
          <w:tab w:pos="2400" w:val="left" w:leader="none"/>
          <w:tab w:pos="5280" w:val="left" w:leader="none"/>
        </w:tabs>
        <w:spacing w:line="261" w:lineRule="exact" w:before="209"/>
        <w:ind w:left="201" w:right="0" w:firstLine="0"/>
        <w:jc w:val="center"/>
        <w:rPr>
          <w:sz w:val="20"/>
        </w:rPr>
      </w:pPr>
      <w:r>
        <w:rPr>
          <w:rFonts w:ascii="Stone Sans II ITC Std Bk"/>
          <w:b/>
          <w:w w:val="115"/>
          <w:sz w:val="20"/>
        </w:rPr>
        <w:t>Non-Stipendiary</w:t>
        <w:tab/>
      </w:r>
      <w:r>
        <w:rPr>
          <w:w w:val="120"/>
          <w:sz w:val="20"/>
        </w:rPr>
        <w:t>Chris Watson</w:t>
        <w:tab/>
      </w:r>
      <w:r>
        <w:rPr>
          <w:spacing w:val="2"/>
          <w:w w:val="120"/>
          <w:sz w:val="20"/>
        </w:rPr>
        <w:t>Northern</w:t>
      </w:r>
      <w:r>
        <w:rPr>
          <w:spacing w:val="44"/>
          <w:w w:val="120"/>
          <w:sz w:val="20"/>
        </w:rPr>
        <w:t> </w:t>
      </w:r>
      <w:r>
        <w:rPr>
          <w:w w:val="120"/>
          <w:sz w:val="20"/>
        </w:rPr>
        <w:t>College</w:t>
      </w:r>
    </w:p>
    <w:p>
      <w:pPr>
        <w:pStyle w:val="BodyText"/>
        <w:tabs>
          <w:tab w:pos="5587" w:val="left" w:leader="none"/>
        </w:tabs>
        <w:spacing w:line="235" w:lineRule="exact"/>
        <w:ind w:left="2707"/>
        <w:jc w:val="center"/>
      </w:pPr>
      <w:r>
        <w:rPr>
          <w:w w:val="120"/>
        </w:rPr>
        <w:t>Fiona</w:t>
      </w:r>
      <w:r>
        <w:rPr>
          <w:spacing w:val="-2"/>
          <w:w w:val="120"/>
        </w:rPr>
        <w:t> </w:t>
      </w:r>
      <w:r>
        <w:rPr>
          <w:w w:val="120"/>
        </w:rPr>
        <w:t>Elvins</w:t>
        <w:tab/>
        <w:t>Westminster</w:t>
      </w:r>
      <w:r>
        <w:rPr>
          <w:spacing w:val="2"/>
          <w:w w:val="120"/>
        </w:rPr>
        <w:t> </w:t>
      </w:r>
      <w:r>
        <w:rPr>
          <w:w w:val="120"/>
        </w:rPr>
        <w:t>College</w:t>
      </w:r>
    </w:p>
    <w:p>
      <w:pPr>
        <w:pStyle w:val="BodyText"/>
        <w:spacing w:before="4"/>
        <w:rPr>
          <w:sz w:val="18"/>
        </w:rPr>
      </w:pPr>
    </w:p>
    <w:p>
      <w:pPr>
        <w:tabs>
          <w:tab w:pos="2400" w:val="left" w:leader="none"/>
          <w:tab w:pos="5280" w:val="left" w:leader="none"/>
        </w:tabs>
        <w:spacing w:before="0"/>
        <w:ind w:left="201" w:right="0" w:firstLine="0"/>
        <w:jc w:val="center"/>
        <w:rPr>
          <w:sz w:val="20"/>
        </w:rPr>
      </w:pPr>
      <w:r>
        <w:rPr>
          <w:rFonts w:ascii="Stone Sans II ITC Std Bk"/>
          <w:b/>
          <w:w w:val="115"/>
          <w:sz w:val="20"/>
        </w:rPr>
        <w:t>Stipendiary</w:t>
        <w:tab/>
      </w:r>
      <w:r>
        <w:rPr>
          <w:w w:val="120"/>
          <w:sz w:val="20"/>
        </w:rPr>
        <w:t>James</w:t>
      </w:r>
      <w:r>
        <w:rPr>
          <w:spacing w:val="-5"/>
          <w:w w:val="120"/>
          <w:sz w:val="20"/>
        </w:rPr>
        <w:t> </w:t>
      </w:r>
      <w:r>
        <w:rPr>
          <w:w w:val="120"/>
          <w:sz w:val="20"/>
        </w:rPr>
        <w:t>Hamilton</w:t>
        <w:tab/>
      </w:r>
      <w:r>
        <w:rPr>
          <w:spacing w:val="2"/>
          <w:w w:val="120"/>
          <w:sz w:val="20"/>
        </w:rPr>
        <w:t>Northern</w:t>
      </w:r>
      <w:r>
        <w:rPr>
          <w:spacing w:val="3"/>
          <w:w w:val="120"/>
          <w:sz w:val="20"/>
        </w:rPr>
        <w:t> </w:t>
      </w:r>
      <w:r>
        <w:rPr>
          <w:w w:val="120"/>
          <w:sz w:val="20"/>
        </w:rPr>
        <w:t>College</w:t>
      </w:r>
    </w:p>
    <w:p>
      <w:pPr>
        <w:pStyle w:val="Heading6"/>
        <w:numPr>
          <w:ilvl w:val="0"/>
          <w:numId w:val="69"/>
        </w:numPr>
        <w:tabs>
          <w:tab w:pos="2244" w:val="left" w:leader="none"/>
          <w:tab w:pos="2245" w:val="left" w:leader="none"/>
        </w:tabs>
        <w:spacing w:line="240" w:lineRule="auto" w:before="216" w:after="0"/>
        <w:ind w:left="2244" w:right="0" w:hanging="681"/>
        <w:jc w:val="left"/>
      </w:pPr>
      <w:r>
        <w:rPr>
          <w:w w:val="110"/>
        </w:rPr>
        <w:t>Eastern</w:t>
      </w:r>
    </w:p>
    <w:p>
      <w:pPr>
        <w:tabs>
          <w:tab w:pos="2199" w:val="left" w:leader="none"/>
          <w:tab w:pos="5079" w:val="left" w:leader="none"/>
        </w:tabs>
        <w:spacing w:line="261" w:lineRule="exact" w:before="66"/>
        <w:ind w:left="0" w:right="1734" w:firstLine="0"/>
        <w:jc w:val="right"/>
        <w:rPr>
          <w:sz w:val="20"/>
        </w:rPr>
      </w:pPr>
      <w:r>
        <w:rPr>
          <w:rFonts w:ascii="Stone Sans II ITC Std Bk"/>
          <w:b/>
          <w:w w:val="115"/>
          <w:sz w:val="20"/>
        </w:rPr>
        <w:t>Stipendiary</w:t>
        <w:tab/>
      </w:r>
      <w:r>
        <w:rPr>
          <w:w w:val="120"/>
          <w:sz w:val="20"/>
        </w:rPr>
        <w:t>Gillian</w:t>
      </w:r>
      <w:r>
        <w:rPr>
          <w:spacing w:val="8"/>
          <w:w w:val="120"/>
          <w:sz w:val="20"/>
        </w:rPr>
        <w:t> </w:t>
      </w:r>
      <w:r>
        <w:rPr>
          <w:w w:val="120"/>
          <w:sz w:val="20"/>
        </w:rPr>
        <w:t>Thomson</w:t>
        <w:tab/>
        <w:t>Westminster</w:t>
      </w:r>
      <w:r>
        <w:rPr>
          <w:spacing w:val="7"/>
          <w:w w:val="120"/>
          <w:sz w:val="20"/>
        </w:rPr>
        <w:t> </w:t>
      </w:r>
      <w:r>
        <w:rPr>
          <w:w w:val="120"/>
          <w:sz w:val="20"/>
        </w:rPr>
        <w:t>College</w:t>
      </w:r>
    </w:p>
    <w:p>
      <w:pPr>
        <w:pStyle w:val="BodyText"/>
        <w:tabs>
          <w:tab w:pos="2879" w:val="left" w:leader="none"/>
        </w:tabs>
        <w:spacing w:line="233" w:lineRule="exact"/>
        <w:ind w:right="1734"/>
        <w:jc w:val="right"/>
      </w:pPr>
      <w:r>
        <w:rPr>
          <w:w w:val="120"/>
        </w:rPr>
        <w:t>Cristina</w:t>
      </w:r>
      <w:r>
        <w:rPr>
          <w:spacing w:val="12"/>
          <w:w w:val="120"/>
        </w:rPr>
        <w:t> </w:t>
      </w:r>
      <w:r>
        <w:rPr>
          <w:w w:val="120"/>
        </w:rPr>
        <w:t>Cipriani</w:t>
        <w:tab/>
        <w:t>Westminster</w:t>
      </w:r>
      <w:r>
        <w:rPr>
          <w:spacing w:val="7"/>
          <w:w w:val="120"/>
        </w:rPr>
        <w:t> </w:t>
      </w:r>
      <w:r>
        <w:rPr>
          <w:w w:val="120"/>
        </w:rPr>
        <w:t>College</w:t>
      </w:r>
    </w:p>
    <w:p>
      <w:pPr>
        <w:pStyle w:val="BodyText"/>
        <w:tabs>
          <w:tab w:pos="2879" w:val="left" w:leader="none"/>
        </w:tabs>
        <w:spacing w:line="242" w:lineRule="exact"/>
        <w:ind w:right="1734"/>
        <w:jc w:val="right"/>
      </w:pPr>
      <w:r>
        <w:rPr>
          <w:w w:val="120"/>
        </w:rPr>
        <w:t>Naomi</w:t>
      </w:r>
      <w:r>
        <w:rPr>
          <w:spacing w:val="14"/>
          <w:w w:val="120"/>
        </w:rPr>
        <w:t> </w:t>
      </w:r>
      <w:r>
        <w:rPr>
          <w:spacing w:val="-3"/>
          <w:w w:val="120"/>
        </w:rPr>
        <w:t>Young</w:t>
        <w:tab/>
      </w:r>
      <w:r>
        <w:rPr>
          <w:w w:val="120"/>
        </w:rPr>
        <w:t>Westminster</w:t>
      </w:r>
      <w:r>
        <w:rPr>
          <w:spacing w:val="7"/>
          <w:w w:val="120"/>
        </w:rPr>
        <w:t> </w:t>
      </w:r>
      <w:r>
        <w:rPr>
          <w:w w:val="120"/>
        </w:rPr>
        <w:t>College</w:t>
      </w:r>
    </w:p>
    <w:p>
      <w:pPr>
        <w:pStyle w:val="BodyText"/>
        <w:spacing w:before="11"/>
        <w:rPr>
          <w:sz w:val="10"/>
        </w:rPr>
      </w:pPr>
    </w:p>
    <w:p>
      <w:pPr>
        <w:pStyle w:val="Heading6"/>
        <w:numPr>
          <w:ilvl w:val="0"/>
          <w:numId w:val="69"/>
        </w:numPr>
        <w:tabs>
          <w:tab w:pos="2244" w:val="left" w:leader="none"/>
          <w:tab w:pos="2245" w:val="left" w:leader="none"/>
        </w:tabs>
        <w:spacing w:line="240" w:lineRule="auto" w:before="96" w:after="0"/>
        <w:ind w:left="2244" w:right="0" w:hanging="681"/>
        <w:jc w:val="left"/>
      </w:pPr>
      <w:r>
        <w:rPr>
          <w:w w:val="110"/>
        </w:rPr>
        <w:t>South </w:t>
      </w:r>
      <w:r>
        <w:rPr>
          <w:spacing w:val="-3"/>
          <w:w w:val="110"/>
        </w:rPr>
        <w:t>Western</w:t>
      </w:r>
    </w:p>
    <w:p>
      <w:pPr>
        <w:pStyle w:val="BodyText"/>
        <w:tabs>
          <w:tab w:pos="4444" w:val="left" w:leader="none"/>
          <w:tab w:pos="7324" w:val="left" w:leader="none"/>
        </w:tabs>
        <w:spacing w:before="66"/>
        <w:ind w:left="2244"/>
      </w:pPr>
      <w:r>
        <w:rPr>
          <w:rFonts w:ascii="Stone Sans II ITC Std Bk"/>
          <w:b/>
          <w:spacing w:val="2"/>
          <w:w w:val="120"/>
        </w:rPr>
        <w:t>CRCW</w:t>
        <w:tab/>
      </w:r>
      <w:r>
        <w:rPr>
          <w:w w:val="120"/>
        </w:rPr>
        <w:t>Maria</w:t>
      </w:r>
      <w:r>
        <w:rPr>
          <w:spacing w:val="-4"/>
          <w:w w:val="120"/>
        </w:rPr>
        <w:t> </w:t>
      </w:r>
      <w:r>
        <w:rPr>
          <w:w w:val="120"/>
        </w:rPr>
        <w:t>Lee</w:t>
        <w:tab/>
      </w:r>
      <w:r>
        <w:rPr>
          <w:spacing w:val="2"/>
          <w:w w:val="120"/>
        </w:rPr>
        <w:t>Northern</w:t>
      </w:r>
      <w:r>
        <w:rPr>
          <w:spacing w:val="43"/>
          <w:w w:val="120"/>
        </w:rPr>
        <w:t> </w:t>
      </w:r>
      <w:r>
        <w:rPr>
          <w:w w:val="120"/>
        </w:rPr>
        <w:t>College</w:t>
      </w:r>
    </w:p>
    <w:p>
      <w:pPr>
        <w:tabs>
          <w:tab w:pos="4443" w:val="left" w:leader="none"/>
          <w:tab w:pos="7323" w:val="left" w:leader="none"/>
        </w:tabs>
        <w:spacing w:line="261" w:lineRule="exact" w:before="210"/>
        <w:ind w:left="2244" w:right="0" w:firstLine="0"/>
        <w:jc w:val="left"/>
        <w:rPr>
          <w:sz w:val="20"/>
        </w:rPr>
      </w:pPr>
      <w:r>
        <w:rPr>
          <w:rFonts w:ascii="Stone Sans II ITC Std Bk"/>
          <w:b/>
          <w:w w:val="115"/>
          <w:sz w:val="20"/>
        </w:rPr>
        <w:t>Stipendiary</w:t>
        <w:tab/>
      </w:r>
      <w:r>
        <w:rPr>
          <w:w w:val="120"/>
          <w:sz w:val="20"/>
        </w:rPr>
        <w:t>Barnabas</w:t>
      </w:r>
      <w:r>
        <w:rPr>
          <w:spacing w:val="-2"/>
          <w:w w:val="120"/>
          <w:sz w:val="20"/>
        </w:rPr>
        <w:t> </w:t>
      </w:r>
      <w:r>
        <w:rPr>
          <w:w w:val="120"/>
          <w:sz w:val="20"/>
        </w:rPr>
        <w:t>Shin</w:t>
        <w:tab/>
      </w:r>
      <w:r>
        <w:rPr>
          <w:spacing w:val="2"/>
          <w:w w:val="120"/>
          <w:sz w:val="20"/>
        </w:rPr>
        <w:t>Northern</w:t>
      </w:r>
      <w:r>
        <w:rPr>
          <w:spacing w:val="43"/>
          <w:w w:val="120"/>
          <w:sz w:val="20"/>
        </w:rPr>
        <w:t> </w:t>
      </w:r>
      <w:r>
        <w:rPr>
          <w:w w:val="120"/>
          <w:sz w:val="20"/>
        </w:rPr>
        <w:t>College</w:t>
      </w:r>
    </w:p>
    <w:p>
      <w:pPr>
        <w:pStyle w:val="BodyText"/>
        <w:tabs>
          <w:tab w:pos="7323" w:val="left" w:leader="none"/>
        </w:tabs>
        <w:spacing w:line="235" w:lineRule="auto"/>
        <w:ind w:left="4443" w:right="1735" w:hanging="1"/>
      </w:pPr>
      <w:r>
        <w:rPr>
          <w:w w:val="120"/>
        </w:rPr>
        <w:t>Aiyana</w:t>
      </w:r>
      <w:r>
        <w:rPr>
          <w:spacing w:val="28"/>
          <w:w w:val="120"/>
        </w:rPr>
        <w:t> </w:t>
      </w:r>
      <w:r>
        <w:rPr>
          <w:w w:val="120"/>
        </w:rPr>
        <w:t>Gardner-Houghton</w:t>
        <w:tab/>
      </w:r>
      <w:r>
        <w:rPr>
          <w:spacing w:val="2"/>
          <w:w w:val="120"/>
        </w:rPr>
        <w:t>Northern </w:t>
      </w:r>
      <w:r>
        <w:rPr>
          <w:w w:val="120"/>
        </w:rPr>
        <w:t>College Julie</w:t>
      </w:r>
      <w:r>
        <w:rPr>
          <w:spacing w:val="1"/>
          <w:w w:val="120"/>
        </w:rPr>
        <w:t> </w:t>
      </w:r>
      <w:r>
        <w:rPr>
          <w:w w:val="120"/>
        </w:rPr>
        <w:t>Kirby</w:t>
        <w:tab/>
        <w:t>Westminster</w:t>
      </w:r>
      <w:r>
        <w:rPr>
          <w:spacing w:val="7"/>
          <w:w w:val="120"/>
        </w:rPr>
        <w:t> </w:t>
      </w:r>
      <w:r>
        <w:rPr>
          <w:w w:val="120"/>
        </w:rPr>
        <w:t>College</w:t>
      </w:r>
    </w:p>
    <w:p>
      <w:pPr>
        <w:pStyle w:val="BodyText"/>
        <w:tabs>
          <w:tab w:pos="7323" w:val="left" w:leader="none"/>
        </w:tabs>
        <w:spacing w:line="242" w:lineRule="exact"/>
        <w:ind w:left="4443"/>
      </w:pPr>
      <w:r>
        <w:rPr>
          <w:w w:val="120"/>
        </w:rPr>
        <w:t>Matthew</w:t>
      </w:r>
      <w:r>
        <w:rPr>
          <w:spacing w:val="6"/>
          <w:w w:val="120"/>
        </w:rPr>
        <w:t> </w:t>
      </w:r>
      <w:r>
        <w:rPr>
          <w:w w:val="120"/>
        </w:rPr>
        <w:t>Rigden</w:t>
        <w:tab/>
        <w:t>Westminster</w:t>
      </w:r>
      <w:r>
        <w:rPr>
          <w:spacing w:val="7"/>
          <w:w w:val="120"/>
        </w:rPr>
        <w:t> </w:t>
      </w:r>
      <w:r>
        <w:rPr>
          <w:w w:val="120"/>
        </w:rPr>
        <w:t>College</w:t>
      </w:r>
    </w:p>
    <w:p>
      <w:pPr>
        <w:spacing w:after="0" w:line="242" w:lineRule="exact"/>
        <w:sectPr>
          <w:headerReference w:type="default" r:id="rId300"/>
          <w:footerReference w:type="default" r:id="rId301"/>
          <w:footerReference w:type="even" r:id="rId302"/>
          <w:pgSz w:w="11910" w:h="16840"/>
          <w:pgMar w:header="0" w:footer="647" w:top="0" w:bottom="840" w:left="420" w:right="380"/>
          <w:pgNumType w:start="103"/>
        </w:sectPr>
      </w:pPr>
    </w:p>
    <w:p>
      <w:pPr>
        <w:pStyle w:val="BodyText"/>
      </w:pPr>
      <w:r>
        <w:rPr/>
        <w:drawing>
          <wp:anchor distT="0" distB="0" distL="0" distR="0" allowOverlap="1" layoutInCell="1" locked="0" behindDoc="1" simplePos="0" relativeHeight="235969536">
            <wp:simplePos x="0" y="0"/>
            <wp:positionH relativeFrom="page">
              <wp:posOffset>0</wp:posOffset>
            </wp:positionH>
            <wp:positionV relativeFrom="page">
              <wp:posOffset>0</wp:posOffset>
            </wp:positionV>
            <wp:extent cx="594067" cy="10692003"/>
            <wp:effectExtent l="0" t="0" r="0" b="0"/>
            <wp:wrapNone/>
            <wp:docPr id="197" name="image70.png"/>
            <wp:cNvGraphicFramePr>
              <a:graphicFrameLocks noChangeAspect="1"/>
            </wp:cNvGraphicFramePr>
            <a:graphic>
              <a:graphicData uri="http://schemas.openxmlformats.org/drawingml/2006/picture">
                <pic:pic>
                  <pic:nvPicPr>
                    <pic:cNvPr id="19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2.25pt;mso-position-horizontal-relative:page;mso-position-vertical-relative:paragraph;z-index:251937792" type="#_x0000_t202" filled="false" stroked="false">
            <v:textbox inset="0,0,0,0" style="layout-flow:vertical">
              <w:txbxContent>
                <w:p>
                  <w:pPr>
                    <w:spacing w:before="29"/>
                    <w:ind w:left="20" w:right="0" w:firstLine="0"/>
                    <w:jc w:val="left"/>
                    <w:rPr>
                      <w:sz w:val="39"/>
                    </w:rPr>
                  </w:pPr>
                  <w:r>
                    <w:rPr>
                      <w:color w:val="FFFFFF"/>
                      <w:w w:val="125"/>
                      <w:sz w:val="39"/>
                    </w:rPr>
                    <w:t>Education and learning</w:t>
                  </w:r>
                </w:p>
              </w:txbxContent>
            </v:textbox>
            <w10:wrap type="none"/>
          </v:shape>
        </w:pict>
      </w:r>
      <w:r>
        <w:rPr>
          <w:color w:val="7EAABF"/>
          <w:w w:val="120"/>
        </w:rPr>
        <w:t>Education and learning</w:t>
      </w:r>
    </w:p>
    <w:p>
      <w:pPr>
        <w:pStyle w:val="BodyText"/>
        <w:spacing w:before="6"/>
        <w:rPr>
          <w:sz w:val="11"/>
        </w:rPr>
      </w:pP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9"/>
        <w:gridCol w:w="2220"/>
        <w:gridCol w:w="2741"/>
        <w:gridCol w:w="2372"/>
      </w:tblGrid>
      <w:tr>
        <w:trPr>
          <w:trHeight w:val="409" w:hRule="atLeast"/>
        </w:trPr>
        <w:tc>
          <w:tcPr>
            <w:tcW w:w="569" w:type="dxa"/>
          </w:tcPr>
          <w:p>
            <w:pPr>
              <w:pStyle w:val="TableParagraph"/>
              <w:spacing w:line="314" w:lineRule="exact" w:before="75"/>
              <w:ind w:left="50"/>
              <w:rPr>
                <w:rFonts w:ascii="Stone Sans II ITC Std Bk"/>
                <w:b/>
                <w:sz w:val="25"/>
              </w:rPr>
            </w:pPr>
            <w:r>
              <w:rPr>
                <w:rFonts w:ascii="Stone Sans II ITC Std Bk"/>
                <w:b/>
                <w:w w:val="110"/>
                <w:sz w:val="25"/>
              </w:rPr>
              <w:t>09</w:t>
            </w:r>
          </w:p>
        </w:tc>
        <w:tc>
          <w:tcPr>
            <w:tcW w:w="2220" w:type="dxa"/>
          </w:tcPr>
          <w:p>
            <w:pPr>
              <w:pStyle w:val="TableParagraph"/>
              <w:spacing w:line="314" w:lineRule="exact" w:before="75"/>
              <w:ind w:left="161"/>
              <w:rPr>
                <w:rFonts w:ascii="Stone Sans II ITC Std Bk"/>
                <w:b/>
                <w:sz w:val="25"/>
              </w:rPr>
            </w:pPr>
            <w:r>
              <w:rPr>
                <w:rFonts w:ascii="Stone Sans II ITC Std Bk"/>
                <w:b/>
                <w:w w:val="110"/>
                <w:sz w:val="25"/>
              </w:rPr>
              <w:t>Wessex</w:t>
            </w:r>
          </w:p>
        </w:tc>
        <w:tc>
          <w:tcPr>
            <w:tcW w:w="5113" w:type="dxa"/>
            <w:gridSpan w:val="2"/>
          </w:tcPr>
          <w:p>
            <w:pPr>
              <w:pStyle w:val="TableParagraph"/>
              <w:rPr>
                <w:rFonts w:ascii="Times New Roman"/>
                <w:sz w:val="22"/>
              </w:rPr>
            </w:pPr>
          </w:p>
        </w:tc>
      </w:tr>
      <w:tr>
        <w:trPr>
          <w:trHeight w:val="649" w:hRule="atLeast"/>
        </w:trPr>
        <w:tc>
          <w:tcPr>
            <w:tcW w:w="569" w:type="dxa"/>
          </w:tcPr>
          <w:p>
            <w:pPr>
              <w:pStyle w:val="TableParagraph"/>
              <w:rPr>
                <w:rFonts w:ascii="Times New Roman"/>
                <w:sz w:val="22"/>
              </w:rPr>
            </w:pPr>
          </w:p>
        </w:tc>
        <w:tc>
          <w:tcPr>
            <w:tcW w:w="2220" w:type="dxa"/>
          </w:tcPr>
          <w:p>
            <w:pPr>
              <w:pStyle w:val="TableParagraph"/>
              <w:spacing w:before="70"/>
              <w:ind w:left="161"/>
              <w:rPr>
                <w:rFonts w:ascii="Stone Sans II ITC Std Bk"/>
                <w:b/>
                <w:sz w:val="20"/>
              </w:rPr>
            </w:pPr>
            <w:r>
              <w:rPr>
                <w:rFonts w:ascii="Stone Sans II ITC Std Bk"/>
                <w:b/>
                <w:w w:val="110"/>
                <w:sz w:val="20"/>
              </w:rPr>
              <w:t>Non-Stipendiary</w:t>
            </w:r>
          </w:p>
        </w:tc>
        <w:tc>
          <w:tcPr>
            <w:tcW w:w="2741" w:type="dxa"/>
          </w:tcPr>
          <w:p>
            <w:pPr>
              <w:pStyle w:val="TableParagraph"/>
              <w:spacing w:line="235" w:lineRule="auto" w:before="86"/>
              <w:ind w:left="141" w:right="1203" w:hanging="1"/>
              <w:rPr>
                <w:sz w:val="20"/>
              </w:rPr>
            </w:pPr>
            <w:r>
              <w:rPr>
                <w:w w:val="120"/>
                <w:sz w:val="20"/>
              </w:rPr>
              <w:t>Helen Everard Cara Heafey</w:t>
            </w:r>
          </w:p>
        </w:tc>
        <w:tc>
          <w:tcPr>
            <w:tcW w:w="2372" w:type="dxa"/>
          </w:tcPr>
          <w:p>
            <w:pPr>
              <w:pStyle w:val="TableParagraph"/>
              <w:spacing w:line="235" w:lineRule="auto" w:before="86"/>
              <w:ind w:left="280" w:hanging="1"/>
              <w:rPr>
                <w:sz w:val="20"/>
              </w:rPr>
            </w:pPr>
            <w:r>
              <w:rPr>
                <w:w w:val="125"/>
                <w:sz w:val="20"/>
              </w:rPr>
              <w:t>Northern College Northern College</w:t>
            </w:r>
          </w:p>
        </w:tc>
      </w:tr>
      <w:tr>
        <w:trPr>
          <w:trHeight w:val="481" w:hRule="atLeast"/>
        </w:trPr>
        <w:tc>
          <w:tcPr>
            <w:tcW w:w="569" w:type="dxa"/>
          </w:tcPr>
          <w:p>
            <w:pPr>
              <w:pStyle w:val="TableParagraph"/>
              <w:rPr>
                <w:rFonts w:ascii="Times New Roman"/>
                <w:sz w:val="22"/>
              </w:rPr>
            </w:pPr>
          </w:p>
        </w:tc>
        <w:tc>
          <w:tcPr>
            <w:tcW w:w="2220" w:type="dxa"/>
          </w:tcPr>
          <w:p>
            <w:pPr>
              <w:pStyle w:val="TableParagraph"/>
              <w:spacing w:before="140"/>
              <w:ind w:left="161"/>
              <w:rPr>
                <w:rFonts w:ascii="Stone Sans II ITC Std Bk"/>
                <w:b/>
                <w:sz w:val="20"/>
              </w:rPr>
            </w:pPr>
            <w:r>
              <w:rPr>
                <w:rFonts w:ascii="Stone Sans II ITC Std Bk"/>
                <w:b/>
                <w:w w:val="110"/>
                <w:sz w:val="20"/>
              </w:rPr>
              <w:t>Stipendiary</w:t>
            </w:r>
          </w:p>
        </w:tc>
        <w:tc>
          <w:tcPr>
            <w:tcW w:w="2741" w:type="dxa"/>
          </w:tcPr>
          <w:p>
            <w:pPr>
              <w:pStyle w:val="TableParagraph"/>
              <w:spacing w:before="152"/>
              <w:ind w:left="140"/>
              <w:rPr>
                <w:sz w:val="20"/>
              </w:rPr>
            </w:pPr>
            <w:r>
              <w:rPr>
                <w:w w:val="120"/>
                <w:sz w:val="20"/>
              </w:rPr>
              <w:t>Paul Stein</w:t>
            </w:r>
          </w:p>
        </w:tc>
        <w:tc>
          <w:tcPr>
            <w:tcW w:w="2372" w:type="dxa"/>
          </w:tcPr>
          <w:p>
            <w:pPr>
              <w:pStyle w:val="TableParagraph"/>
              <w:spacing w:before="152"/>
              <w:ind w:left="279"/>
              <w:rPr>
                <w:sz w:val="20"/>
              </w:rPr>
            </w:pPr>
            <w:r>
              <w:rPr>
                <w:w w:val="120"/>
                <w:sz w:val="20"/>
              </w:rPr>
              <w:t>Westminster College</w:t>
            </w:r>
          </w:p>
        </w:tc>
      </w:tr>
      <w:tr>
        <w:trPr>
          <w:trHeight w:val="478" w:hRule="atLeast"/>
        </w:trPr>
        <w:tc>
          <w:tcPr>
            <w:tcW w:w="569" w:type="dxa"/>
          </w:tcPr>
          <w:p>
            <w:pPr>
              <w:pStyle w:val="TableParagraph"/>
              <w:spacing w:line="314" w:lineRule="exact" w:before="144"/>
              <w:ind w:left="50"/>
              <w:rPr>
                <w:rFonts w:ascii="Stone Sans II ITC Std Bk"/>
                <w:b/>
                <w:sz w:val="25"/>
              </w:rPr>
            </w:pPr>
            <w:r>
              <w:rPr>
                <w:rFonts w:ascii="Stone Sans II ITC Std Bk"/>
                <w:b/>
                <w:w w:val="110"/>
                <w:sz w:val="25"/>
              </w:rPr>
              <w:t>10</w:t>
            </w:r>
          </w:p>
        </w:tc>
        <w:tc>
          <w:tcPr>
            <w:tcW w:w="2220" w:type="dxa"/>
          </w:tcPr>
          <w:p>
            <w:pPr>
              <w:pStyle w:val="TableParagraph"/>
              <w:spacing w:line="314" w:lineRule="exact" w:before="144"/>
              <w:ind w:left="161"/>
              <w:rPr>
                <w:rFonts w:ascii="Stone Sans II ITC Std Bk"/>
                <w:b/>
                <w:sz w:val="25"/>
              </w:rPr>
            </w:pPr>
            <w:r>
              <w:rPr>
                <w:rFonts w:ascii="Stone Sans II ITC Std Bk"/>
                <w:b/>
                <w:w w:val="110"/>
                <w:sz w:val="25"/>
              </w:rPr>
              <w:t>Thames North</w:t>
            </w:r>
          </w:p>
        </w:tc>
        <w:tc>
          <w:tcPr>
            <w:tcW w:w="2741" w:type="dxa"/>
          </w:tcPr>
          <w:p>
            <w:pPr>
              <w:pStyle w:val="TableParagraph"/>
              <w:rPr>
                <w:rFonts w:ascii="Times New Roman"/>
                <w:sz w:val="22"/>
              </w:rPr>
            </w:pPr>
          </w:p>
        </w:tc>
        <w:tc>
          <w:tcPr>
            <w:tcW w:w="2372" w:type="dxa"/>
          </w:tcPr>
          <w:p>
            <w:pPr>
              <w:pStyle w:val="TableParagraph"/>
              <w:rPr>
                <w:rFonts w:ascii="Times New Roman"/>
                <w:sz w:val="22"/>
              </w:rPr>
            </w:pPr>
          </w:p>
        </w:tc>
      </w:tr>
      <w:tr>
        <w:trPr>
          <w:trHeight w:val="410" w:hRule="atLeast"/>
        </w:trPr>
        <w:tc>
          <w:tcPr>
            <w:tcW w:w="569" w:type="dxa"/>
          </w:tcPr>
          <w:p>
            <w:pPr>
              <w:pStyle w:val="TableParagraph"/>
              <w:rPr>
                <w:rFonts w:ascii="Times New Roman"/>
                <w:sz w:val="22"/>
              </w:rPr>
            </w:pPr>
          </w:p>
        </w:tc>
        <w:tc>
          <w:tcPr>
            <w:tcW w:w="2220" w:type="dxa"/>
          </w:tcPr>
          <w:p>
            <w:pPr>
              <w:pStyle w:val="TableParagraph"/>
              <w:spacing w:before="70"/>
              <w:ind w:left="161"/>
              <w:rPr>
                <w:rFonts w:ascii="Stone Sans II ITC Std Bk"/>
                <w:b/>
                <w:sz w:val="20"/>
              </w:rPr>
            </w:pPr>
            <w:r>
              <w:rPr>
                <w:rFonts w:ascii="Stone Sans II ITC Std Bk"/>
                <w:b/>
                <w:w w:val="110"/>
                <w:sz w:val="20"/>
              </w:rPr>
              <w:t>Non-Stipendiary</w:t>
            </w:r>
          </w:p>
        </w:tc>
        <w:tc>
          <w:tcPr>
            <w:tcW w:w="2741" w:type="dxa"/>
          </w:tcPr>
          <w:p>
            <w:pPr>
              <w:pStyle w:val="TableParagraph"/>
              <w:spacing w:before="82"/>
              <w:ind w:left="141"/>
              <w:rPr>
                <w:sz w:val="20"/>
              </w:rPr>
            </w:pPr>
            <w:r>
              <w:rPr>
                <w:w w:val="120"/>
                <w:sz w:val="20"/>
              </w:rPr>
              <w:t>Solomon Aryee-Brown</w:t>
            </w:r>
          </w:p>
        </w:tc>
        <w:tc>
          <w:tcPr>
            <w:tcW w:w="2372" w:type="dxa"/>
          </w:tcPr>
          <w:p>
            <w:pPr>
              <w:pStyle w:val="TableParagraph"/>
              <w:spacing w:before="82"/>
              <w:ind w:left="280"/>
              <w:rPr>
                <w:sz w:val="20"/>
              </w:rPr>
            </w:pPr>
            <w:r>
              <w:rPr>
                <w:w w:val="125"/>
                <w:sz w:val="20"/>
              </w:rPr>
              <w:t>Northern College</w:t>
            </w:r>
          </w:p>
        </w:tc>
      </w:tr>
      <w:tr>
        <w:trPr>
          <w:trHeight w:val="721" w:hRule="atLeast"/>
        </w:trPr>
        <w:tc>
          <w:tcPr>
            <w:tcW w:w="569" w:type="dxa"/>
          </w:tcPr>
          <w:p>
            <w:pPr>
              <w:pStyle w:val="TableParagraph"/>
              <w:rPr>
                <w:rFonts w:ascii="Times New Roman"/>
                <w:sz w:val="22"/>
              </w:rPr>
            </w:pPr>
          </w:p>
        </w:tc>
        <w:tc>
          <w:tcPr>
            <w:tcW w:w="2220" w:type="dxa"/>
          </w:tcPr>
          <w:p>
            <w:pPr>
              <w:pStyle w:val="TableParagraph"/>
              <w:spacing w:before="140"/>
              <w:ind w:left="161"/>
              <w:rPr>
                <w:rFonts w:ascii="Stone Sans II ITC Std Bk"/>
                <w:b/>
                <w:sz w:val="20"/>
              </w:rPr>
            </w:pPr>
            <w:r>
              <w:rPr>
                <w:rFonts w:ascii="Stone Sans II ITC Std Bk"/>
                <w:b/>
                <w:w w:val="110"/>
                <w:sz w:val="20"/>
              </w:rPr>
              <w:t>Stipendiary</w:t>
            </w:r>
          </w:p>
        </w:tc>
        <w:tc>
          <w:tcPr>
            <w:tcW w:w="2741" w:type="dxa"/>
          </w:tcPr>
          <w:p>
            <w:pPr>
              <w:pStyle w:val="TableParagraph"/>
              <w:spacing w:line="235" w:lineRule="auto" w:before="156"/>
              <w:ind w:left="141" w:right="506" w:hanging="1"/>
              <w:rPr>
                <w:sz w:val="20"/>
              </w:rPr>
            </w:pPr>
            <w:r>
              <w:rPr>
                <w:w w:val="120"/>
                <w:sz w:val="20"/>
              </w:rPr>
              <w:t>Helen Garton Stephen Ansa-Addo</w:t>
            </w:r>
          </w:p>
        </w:tc>
        <w:tc>
          <w:tcPr>
            <w:tcW w:w="2372" w:type="dxa"/>
          </w:tcPr>
          <w:p>
            <w:pPr>
              <w:pStyle w:val="TableParagraph"/>
              <w:spacing w:line="235" w:lineRule="auto" w:before="156"/>
              <w:ind w:left="280" w:right="43"/>
              <w:rPr>
                <w:sz w:val="20"/>
              </w:rPr>
            </w:pPr>
            <w:r>
              <w:rPr>
                <w:w w:val="120"/>
                <w:sz w:val="20"/>
              </w:rPr>
              <w:t>Westminster College Westminster College</w:t>
            </w:r>
          </w:p>
        </w:tc>
      </w:tr>
      <w:tr>
        <w:trPr>
          <w:trHeight w:val="478" w:hRule="atLeast"/>
        </w:trPr>
        <w:tc>
          <w:tcPr>
            <w:tcW w:w="569" w:type="dxa"/>
          </w:tcPr>
          <w:p>
            <w:pPr>
              <w:pStyle w:val="TableParagraph"/>
              <w:spacing w:line="314" w:lineRule="exact" w:before="144"/>
              <w:ind w:left="50"/>
              <w:rPr>
                <w:rFonts w:ascii="Stone Sans II ITC Std Bk"/>
                <w:b/>
                <w:sz w:val="25"/>
              </w:rPr>
            </w:pPr>
            <w:r>
              <w:rPr>
                <w:rFonts w:ascii="Stone Sans II ITC Std Bk"/>
                <w:b/>
                <w:w w:val="110"/>
                <w:sz w:val="25"/>
              </w:rPr>
              <w:t>11</w:t>
            </w:r>
          </w:p>
        </w:tc>
        <w:tc>
          <w:tcPr>
            <w:tcW w:w="2220" w:type="dxa"/>
          </w:tcPr>
          <w:p>
            <w:pPr>
              <w:pStyle w:val="TableParagraph"/>
              <w:spacing w:line="314" w:lineRule="exact" w:before="144"/>
              <w:ind w:left="161"/>
              <w:rPr>
                <w:rFonts w:ascii="Stone Sans II ITC Std Bk"/>
                <w:b/>
                <w:sz w:val="25"/>
              </w:rPr>
            </w:pPr>
            <w:r>
              <w:rPr>
                <w:rFonts w:ascii="Stone Sans II ITC Std Bk"/>
                <w:b/>
                <w:w w:val="110"/>
                <w:sz w:val="25"/>
              </w:rPr>
              <w:t>Southern</w:t>
            </w:r>
          </w:p>
        </w:tc>
        <w:tc>
          <w:tcPr>
            <w:tcW w:w="2741" w:type="dxa"/>
          </w:tcPr>
          <w:p>
            <w:pPr>
              <w:pStyle w:val="TableParagraph"/>
              <w:rPr>
                <w:rFonts w:ascii="Times New Roman"/>
                <w:sz w:val="22"/>
              </w:rPr>
            </w:pPr>
          </w:p>
        </w:tc>
        <w:tc>
          <w:tcPr>
            <w:tcW w:w="2372" w:type="dxa"/>
          </w:tcPr>
          <w:p>
            <w:pPr>
              <w:pStyle w:val="TableParagraph"/>
              <w:rPr>
                <w:rFonts w:ascii="Times New Roman"/>
                <w:sz w:val="22"/>
              </w:rPr>
            </w:pPr>
          </w:p>
        </w:tc>
      </w:tr>
      <w:tr>
        <w:trPr>
          <w:trHeight w:val="410" w:hRule="atLeast"/>
        </w:trPr>
        <w:tc>
          <w:tcPr>
            <w:tcW w:w="569" w:type="dxa"/>
          </w:tcPr>
          <w:p>
            <w:pPr>
              <w:pStyle w:val="TableParagraph"/>
              <w:rPr>
                <w:rFonts w:ascii="Times New Roman"/>
                <w:sz w:val="22"/>
              </w:rPr>
            </w:pPr>
          </w:p>
        </w:tc>
        <w:tc>
          <w:tcPr>
            <w:tcW w:w="2220" w:type="dxa"/>
          </w:tcPr>
          <w:p>
            <w:pPr>
              <w:pStyle w:val="TableParagraph"/>
              <w:spacing w:before="70"/>
              <w:ind w:left="161"/>
              <w:rPr>
                <w:rFonts w:ascii="Stone Sans II ITC Std Bk"/>
                <w:b/>
                <w:sz w:val="20"/>
              </w:rPr>
            </w:pPr>
            <w:r>
              <w:rPr>
                <w:rFonts w:ascii="Stone Sans II ITC Std Bk"/>
                <w:b/>
                <w:w w:val="110"/>
                <w:sz w:val="20"/>
              </w:rPr>
              <w:t>CRCW</w:t>
            </w:r>
          </w:p>
        </w:tc>
        <w:tc>
          <w:tcPr>
            <w:tcW w:w="2741" w:type="dxa"/>
          </w:tcPr>
          <w:p>
            <w:pPr>
              <w:pStyle w:val="TableParagraph"/>
              <w:spacing w:before="82"/>
              <w:ind w:left="141"/>
              <w:rPr>
                <w:sz w:val="20"/>
              </w:rPr>
            </w:pPr>
            <w:r>
              <w:rPr>
                <w:w w:val="115"/>
                <w:sz w:val="20"/>
              </w:rPr>
              <w:t>Jo Patterson</w:t>
            </w:r>
          </w:p>
        </w:tc>
        <w:tc>
          <w:tcPr>
            <w:tcW w:w="2372" w:type="dxa"/>
          </w:tcPr>
          <w:p>
            <w:pPr>
              <w:pStyle w:val="TableParagraph"/>
              <w:spacing w:before="82"/>
              <w:ind w:left="280"/>
              <w:rPr>
                <w:sz w:val="20"/>
              </w:rPr>
            </w:pPr>
            <w:r>
              <w:rPr>
                <w:w w:val="125"/>
                <w:sz w:val="20"/>
              </w:rPr>
              <w:t>Northern College</w:t>
            </w:r>
          </w:p>
        </w:tc>
      </w:tr>
      <w:tr>
        <w:trPr>
          <w:trHeight w:val="959" w:hRule="atLeast"/>
        </w:trPr>
        <w:tc>
          <w:tcPr>
            <w:tcW w:w="569" w:type="dxa"/>
          </w:tcPr>
          <w:p>
            <w:pPr>
              <w:pStyle w:val="TableParagraph"/>
              <w:rPr>
                <w:rFonts w:ascii="Times New Roman"/>
                <w:sz w:val="22"/>
              </w:rPr>
            </w:pPr>
          </w:p>
        </w:tc>
        <w:tc>
          <w:tcPr>
            <w:tcW w:w="2220" w:type="dxa"/>
          </w:tcPr>
          <w:p>
            <w:pPr>
              <w:pStyle w:val="TableParagraph"/>
              <w:spacing w:before="140"/>
              <w:ind w:left="161"/>
              <w:rPr>
                <w:rFonts w:ascii="Stone Sans II ITC Std Bk"/>
                <w:b/>
                <w:sz w:val="20"/>
              </w:rPr>
            </w:pPr>
            <w:r>
              <w:rPr>
                <w:rFonts w:ascii="Stone Sans II ITC Std Bk"/>
                <w:b/>
                <w:w w:val="110"/>
                <w:sz w:val="20"/>
              </w:rPr>
              <w:t>Non-Stipendiary</w:t>
            </w:r>
          </w:p>
        </w:tc>
        <w:tc>
          <w:tcPr>
            <w:tcW w:w="2741" w:type="dxa"/>
          </w:tcPr>
          <w:p>
            <w:pPr>
              <w:pStyle w:val="TableParagraph"/>
              <w:spacing w:line="242" w:lineRule="exact" w:before="152"/>
              <w:ind w:left="141"/>
              <w:rPr>
                <w:sz w:val="20"/>
              </w:rPr>
            </w:pPr>
            <w:r>
              <w:rPr>
                <w:w w:val="120"/>
                <w:sz w:val="20"/>
              </w:rPr>
              <w:t>Tim Reith</w:t>
            </w:r>
          </w:p>
          <w:p>
            <w:pPr>
              <w:pStyle w:val="TableParagraph"/>
              <w:spacing w:line="240" w:lineRule="exact"/>
              <w:ind w:left="140"/>
              <w:rPr>
                <w:sz w:val="20"/>
              </w:rPr>
            </w:pPr>
            <w:r>
              <w:rPr>
                <w:w w:val="125"/>
                <w:sz w:val="20"/>
              </w:rPr>
              <w:t>Ted Bellingham</w:t>
            </w:r>
          </w:p>
          <w:p>
            <w:pPr>
              <w:pStyle w:val="TableParagraph"/>
              <w:spacing w:line="242" w:lineRule="exact"/>
              <w:ind w:left="140"/>
              <w:rPr>
                <w:sz w:val="20"/>
              </w:rPr>
            </w:pPr>
            <w:r>
              <w:rPr>
                <w:w w:val="120"/>
                <w:sz w:val="20"/>
              </w:rPr>
              <w:t>Prince Brown-Engmann</w:t>
            </w:r>
          </w:p>
        </w:tc>
        <w:tc>
          <w:tcPr>
            <w:tcW w:w="2372" w:type="dxa"/>
          </w:tcPr>
          <w:p>
            <w:pPr>
              <w:pStyle w:val="TableParagraph"/>
              <w:spacing w:line="235" w:lineRule="auto" w:before="156"/>
              <w:ind w:left="279" w:right="45"/>
              <w:jc w:val="both"/>
              <w:rPr>
                <w:sz w:val="20"/>
              </w:rPr>
            </w:pPr>
            <w:r>
              <w:rPr>
                <w:w w:val="120"/>
                <w:sz w:val="20"/>
              </w:rPr>
              <w:t>Westminster College Westminster College Northern College</w:t>
            </w:r>
          </w:p>
        </w:tc>
      </w:tr>
      <w:tr>
        <w:trPr>
          <w:trHeight w:val="1441" w:hRule="atLeast"/>
        </w:trPr>
        <w:tc>
          <w:tcPr>
            <w:tcW w:w="569" w:type="dxa"/>
          </w:tcPr>
          <w:p>
            <w:pPr>
              <w:pStyle w:val="TableParagraph"/>
              <w:rPr>
                <w:rFonts w:ascii="Times New Roman"/>
                <w:sz w:val="22"/>
              </w:rPr>
            </w:pPr>
          </w:p>
        </w:tc>
        <w:tc>
          <w:tcPr>
            <w:tcW w:w="2220" w:type="dxa"/>
          </w:tcPr>
          <w:p>
            <w:pPr>
              <w:pStyle w:val="TableParagraph"/>
              <w:spacing w:before="140"/>
              <w:ind w:left="161"/>
              <w:rPr>
                <w:rFonts w:ascii="Stone Sans II ITC Std Bk"/>
                <w:b/>
                <w:sz w:val="20"/>
              </w:rPr>
            </w:pPr>
            <w:r>
              <w:rPr>
                <w:rFonts w:ascii="Stone Sans II ITC Std Bk"/>
                <w:b/>
                <w:w w:val="110"/>
                <w:sz w:val="20"/>
              </w:rPr>
              <w:t>Stipendiary</w:t>
            </w:r>
          </w:p>
        </w:tc>
        <w:tc>
          <w:tcPr>
            <w:tcW w:w="2741" w:type="dxa"/>
          </w:tcPr>
          <w:p>
            <w:pPr>
              <w:pStyle w:val="TableParagraph"/>
              <w:spacing w:line="235" w:lineRule="auto" w:before="156"/>
              <w:ind w:left="140" w:right="1122" w:hanging="1"/>
              <w:rPr>
                <w:sz w:val="20"/>
              </w:rPr>
            </w:pPr>
            <w:r>
              <w:rPr>
                <w:w w:val="120"/>
                <w:sz w:val="20"/>
              </w:rPr>
              <w:t>Bernard Fidder Jo Clare-Young Josh Thomas Dan Harris Jacob Bali</w:t>
            </w:r>
          </w:p>
        </w:tc>
        <w:tc>
          <w:tcPr>
            <w:tcW w:w="2372" w:type="dxa"/>
          </w:tcPr>
          <w:p>
            <w:pPr>
              <w:pStyle w:val="TableParagraph"/>
              <w:spacing w:line="235" w:lineRule="auto" w:before="156"/>
              <w:ind w:left="279" w:right="45" w:hanging="1"/>
              <w:jc w:val="both"/>
              <w:rPr>
                <w:sz w:val="20"/>
              </w:rPr>
            </w:pPr>
            <w:r>
              <w:rPr>
                <w:w w:val="120"/>
                <w:sz w:val="20"/>
              </w:rPr>
              <w:t>Westminster College Westminster College Westminster College Westminster College Westminster College</w:t>
            </w:r>
          </w:p>
        </w:tc>
      </w:tr>
      <w:tr>
        <w:trPr>
          <w:trHeight w:val="478" w:hRule="atLeast"/>
        </w:trPr>
        <w:tc>
          <w:tcPr>
            <w:tcW w:w="569" w:type="dxa"/>
          </w:tcPr>
          <w:p>
            <w:pPr>
              <w:pStyle w:val="TableParagraph"/>
              <w:spacing w:line="314" w:lineRule="exact" w:before="144"/>
              <w:ind w:left="50"/>
              <w:rPr>
                <w:rFonts w:ascii="Stone Sans II ITC Std Bk"/>
                <w:b/>
                <w:sz w:val="25"/>
              </w:rPr>
            </w:pPr>
            <w:r>
              <w:rPr>
                <w:rFonts w:ascii="Stone Sans II ITC Std Bk"/>
                <w:b/>
                <w:w w:val="110"/>
                <w:sz w:val="25"/>
              </w:rPr>
              <w:t>12</w:t>
            </w:r>
          </w:p>
        </w:tc>
        <w:tc>
          <w:tcPr>
            <w:tcW w:w="2220" w:type="dxa"/>
          </w:tcPr>
          <w:p>
            <w:pPr>
              <w:pStyle w:val="TableParagraph"/>
              <w:spacing w:line="314" w:lineRule="exact" w:before="144"/>
              <w:ind w:left="161"/>
              <w:rPr>
                <w:rFonts w:ascii="Stone Sans II ITC Std Bk"/>
                <w:b/>
                <w:sz w:val="25"/>
              </w:rPr>
            </w:pPr>
            <w:r>
              <w:rPr>
                <w:rFonts w:ascii="Stone Sans II ITC Std Bk"/>
                <w:b/>
                <w:w w:val="110"/>
                <w:sz w:val="25"/>
              </w:rPr>
              <w:t>Wales</w:t>
            </w:r>
          </w:p>
        </w:tc>
        <w:tc>
          <w:tcPr>
            <w:tcW w:w="2741" w:type="dxa"/>
          </w:tcPr>
          <w:p>
            <w:pPr>
              <w:pStyle w:val="TableParagraph"/>
              <w:rPr>
                <w:rFonts w:ascii="Times New Roman"/>
                <w:sz w:val="22"/>
              </w:rPr>
            </w:pPr>
          </w:p>
        </w:tc>
        <w:tc>
          <w:tcPr>
            <w:tcW w:w="2372" w:type="dxa"/>
          </w:tcPr>
          <w:p>
            <w:pPr>
              <w:pStyle w:val="TableParagraph"/>
              <w:rPr>
                <w:rFonts w:ascii="Times New Roman"/>
                <w:sz w:val="22"/>
              </w:rPr>
            </w:pPr>
          </w:p>
        </w:tc>
      </w:tr>
      <w:tr>
        <w:trPr>
          <w:trHeight w:val="411" w:hRule="atLeast"/>
        </w:trPr>
        <w:tc>
          <w:tcPr>
            <w:tcW w:w="569" w:type="dxa"/>
          </w:tcPr>
          <w:p>
            <w:pPr>
              <w:pStyle w:val="TableParagraph"/>
              <w:rPr>
                <w:rFonts w:ascii="Times New Roman"/>
                <w:sz w:val="22"/>
              </w:rPr>
            </w:pPr>
          </w:p>
        </w:tc>
        <w:tc>
          <w:tcPr>
            <w:tcW w:w="2220" w:type="dxa"/>
          </w:tcPr>
          <w:p>
            <w:pPr>
              <w:pStyle w:val="TableParagraph"/>
              <w:spacing w:before="70"/>
              <w:ind w:left="161"/>
              <w:rPr>
                <w:rFonts w:ascii="Stone Sans II ITC Std Bk"/>
                <w:b/>
                <w:sz w:val="20"/>
              </w:rPr>
            </w:pPr>
            <w:r>
              <w:rPr>
                <w:rFonts w:ascii="Stone Sans II ITC Std Bk"/>
                <w:b/>
                <w:w w:val="110"/>
                <w:sz w:val="20"/>
              </w:rPr>
              <w:t>Stipendiary</w:t>
            </w:r>
          </w:p>
        </w:tc>
        <w:tc>
          <w:tcPr>
            <w:tcW w:w="2741" w:type="dxa"/>
          </w:tcPr>
          <w:p>
            <w:pPr>
              <w:pStyle w:val="TableParagraph"/>
              <w:spacing w:before="82"/>
              <w:ind w:left="140"/>
              <w:rPr>
                <w:sz w:val="20"/>
              </w:rPr>
            </w:pPr>
            <w:r>
              <w:rPr>
                <w:w w:val="120"/>
                <w:sz w:val="20"/>
              </w:rPr>
              <w:t>Ceri Gardner</w:t>
            </w:r>
          </w:p>
        </w:tc>
        <w:tc>
          <w:tcPr>
            <w:tcW w:w="2372" w:type="dxa"/>
          </w:tcPr>
          <w:p>
            <w:pPr>
              <w:pStyle w:val="TableParagraph"/>
              <w:spacing w:before="82"/>
              <w:ind w:left="280"/>
              <w:rPr>
                <w:sz w:val="20"/>
              </w:rPr>
            </w:pPr>
            <w:r>
              <w:rPr>
                <w:w w:val="125"/>
                <w:sz w:val="20"/>
              </w:rPr>
              <w:t>Northern College</w:t>
            </w:r>
          </w:p>
        </w:tc>
      </w:tr>
      <w:tr>
        <w:trPr>
          <w:trHeight w:val="478" w:hRule="atLeast"/>
        </w:trPr>
        <w:tc>
          <w:tcPr>
            <w:tcW w:w="569" w:type="dxa"/>
          </w:tcPr>
          <w:p>
            <w:pPr>
              <w:pStyle w:val="TableParagraph"/>
              <w:spacing w:line="314" w:lineRule="exact" w:before="144"/>
              <w:ind w:left="50"/>
              <w:rPr>
                <w:rFonts w:ascii="Stone Sans II ITC Std Bk"/>
                <w:b/>
                <w:sz w:val="25"/>
              </w:rPr>
            </w:pPr>
            <w:r>
              <w:rPr>
                <w:rFonts w:ascii="Stone Sans II ITC Std Bk"/>
                <w:b/>
                <w:w w:val="110"/>
                <w:sz w:val="25"/>
              </w:rPr>
              <w:t>13</w:t>
            </w:r>
          </w:p>
        </w:tc>
        <w:tc>
          <w:tcPr>
            <w:tcW w:w="2220" w:type="dxa"/>
          </w:tcPr>
          <w:p>
            <w:pPr>
              <w:pStyle w:val="TableParagraph"/>
              <w:spacing w:line="314" w:lineRule="exact" w:before="144"/>
              <w:ind w:left="161"/>
              <w:rPr>
                <w:rFonts w:ascii="Stone Sans II ITC Std Bk"/>
                <w:b/>
                <w:sz w:val="25"/>
              </w:rPr>
            </w:pPr>
            <w:r>
              <w:rPr>
                <w:rFonts w:ascii="Stone Sans II ITC Std Bk"/>
                <w:b/>
                <w:w w:val="110"/>
                <w:sz w:val="25"/>
              </w:rPr>
              <w:t>Scotland</w:t>
            </w:r>
          </w:p>
        </w:tc>
        <w:tc>
          <w:tcPr>
            <w:tcW w:w="2741" w:type="dxa"/>
          </w:tcPr>
          <w:p>
            <w:pPr>
              <w:pStyle w:val="TableParagraph"/>
              <w:rPr>
                <w:rFonts w:ascii="Times New Roman"/>
                <w:sz w:val="22"/>
              </w:rPr>
            </w:pPr>
          </w:p>
        </w:tc>
        <w:tc>
          <w:tcPr>
            <w:tcW w:w="2372" w:type="dxa"/>
          </w:tcPr>
          <w:p>
            <w:pPr>
              <w:pStyle w:val="TableParagraph"/>
              <w:rPr>
                <w:rFonts w:ascii="Times New Roman"/>
                <w:sz w:val="22"/>
              </w:rPr>
            </w:pPr>
          </w:p>
        </w:tc>
      </w:tr>
      <w:tr>
        <w:trPr>
          <w:trHeight w:val="342" w:hRule="atLeast"/>
        </w:trPr>
        <w:tc>
          <w:tcPr>
            <w:tcW w:w="569" w:type="dxa"/>
          </w:tcPr>
          <w:p>
            <w:pPr>
              <w:pStyle w:val="TableParagraph"/>
              <w:rPr>
                <w:rFonts w:ascii="Times New Roman"/>
                <w:sz w:val="22"/>
              </w:rPr>
            </w:pPr>
          </w:p>
        </w:tc>
        <w:tc>
          <w:tcPr>
            <w:tcW w:w="2220" w:type="dxa"/>
          </w:tcPr>
          <w:p>
            <w:pPr>
              <w:pStyle w:val="TableParagraph"/>
              <w:spacing w:line="253" w:lineRule="exact" w:before="70"/>
              <w:ind w:left="161"/>
              <w:rPr>
                <w:rFonts w:ascii="Stone Sans II ITC Std Bk"/>
                <w:b/>
                <w:sz w:val="20"/>
              </w:rPr>
            </w:pPr>
            <w:r>
              <w:rPr>
                <w:rFonts w:ascii="Stone Sans II ITC Std Bk"/>
                <w:b/>
                <w:w w:val="110"/>
                <w:sz w:val="20"/>
              </w:rPr>
              <w:t>Stipendiary</w:t>
            </w:r>
          </w:p>
        </w:tc>
        <w:tc>
          <w:tcPr>
            <w:tcW w:w="2741" w:type="dxa"/>
          </w:tcPr>
          <w:p>
            <w:pPr>
              <w:pStyle w:val="TableParagraph"/>
              <w:spacing w:line="240" w:lineRule="exact" w:before="82"/>
              <w:ind w:left="141"/>
              <w:rPr>
                <w:sz w:val="20"/>
              </w:rPr>
            </w:pPr>
            <w:r>
              <w:rPr>
                <w:w w:val="120"/>
                <w:sz w:val="20"/>
              </w:rPr>
              <w:t>Susan Henderson</w:t>
            </w:r>
          </w:p>
        </w:tc>
        <w:tc>
          <w:tcPr>
            <w:tcW w:w="2372" w:type="dxa"/>
          </w:tcPr>
          <w:p>
            <w:pPr>
              <w:pStyle w:val="TableParagraph"/>
              <w:spacing w:line="240" w:lineRule="exact" w:before="82"/>
              <w:ind w:left="280"/>
              <w:rPr>
                <w:sz w:val="20"/>
              </w:rPr>
            </w:pPr>
            <w:r>
              <w:rPr>
                <w:w w:val="120"/>
                <w:sz w:val="20"/>
              </w:rPr>
              <w:t>Scottish Cong and</w:t>
            </w:r>
          </w:p>
        </w:tc>
      </w:tr>
    </w:tbl>
    <w:p>
      <w:pPr>
        <w:pStyle w:val="BodyText"/>
        <w:ind w:left="7307"/>
      </w:pPr>
      <w:r>
        <w:rPr>
          <w:w w:val="125"/>
        </w:rPr>
        <w:t>URC College</w:t>
      </w:r>
    </w:p>
    <w:p>
      <w:pPr>
        <w:pStyle w:val="BodyText"/>
        <w:rPr>
          <w:sz w:val="24"/>
        </w:rPr>
      </w:pPr>
    </w:p>
    <w:p>
      <w:pPr>
        <w:pStyle w:val="BodyText"/>
        <w:spacing w:before="183"/>
        <w:ind w:left="827"/>
      </w:pPr>
      <w:r>
        <w:rPr>
          <w:w w:val="120"/>
        </w:rPr>
        <w:t>Total Students 45</w:t>
      </w:r>
    </w:p>
    <w:p>
      <w:pPr>
        <w:spacing w:after="0"/>
        <w:sectPr>
          <w:headerReference w:type="even" r:id="rId303"/>
          <w:pgSz w:w="11910" w:h="16840"/>
          <w:pgMar w:header="0" w:footer="647" w:top="0" w:bottom="840" w:left="420" w:right="380"/>
        </w:sectPr>
      </w:pPr>
    </w:p>
    <w:p>
      <w:pPr>
        <w:pStyle w:val="BodyText"/>
      </w:pPr>
      <w:r>
        <w:rPr/>
        <w:pict>
          <v:rect style="position:absolute;margin-left:1.417pt;margin-top:.000015pt;width:547.79pt;height:841.89pt;mso-position-horizontal-relative:page;mso-position-vertical-relative:page;z-index:-267344896" filled="true" fillcolor="#d4e9f7" stroked="false">
            <v:fill type="solid"/>
            <w10:wrap type="none"/>
          </v:rect>
        </w:pict>
      </w:r>
      <w:r>
        <w:rPr/>
        <w:drawing>
          <wp:anchor distT="0" distB="0" distL="0" distR="0" allowOverlap="1" layoutInCell="1" locked="0" behindDoc="0" simplePos="0" relativeHeight="251939840">
            <wp:simplePos x="0" y="0"/>
            <wp:positionH relativeFrom="page">
              <wp:posOffset>6974928</wp:posOffset>
            </wp:positionH>
            <wp:positionV relativeFrom="page">
              <wp:posOffset>0</wp:posOffset>
            </wp:positionV>
            <wp:extent cx="585063" cy="10692003"/>
            <wp:effectExtent l="0" t="0" r="0" b="0"/>
            <wp:wrapNone/>
            <wp:docPr id="199" name="image57.png"/>
            <wp:cNvGraphicFramePr>
              <a:graphicFrameLocks noChangeAspect="1"/>
            </wp:cNvGraphicFramePr>
            <a:graphic>
              <a:graphicData uri="http://schemas.openxmlformats.org/drawingml/2006/picture">
                <pic:pic>
                  <pic:nvPicPr>
                    <pic:cNvPr id="20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09" w:right="3149"/>
        <w:rPr>
          <w:b/>
        </w:rPr>
      </w:pPr>
      <w:r>
        <w:rPr/>
        <w:pict>
          <v:shape style="position:absolute;margin-left:554.141174pt;margin-top:-5.989334pt;width:26pt;height:100.95pt;mso-position-horizontal-relative:page;mso-position-vertical-relative:paragraph;z-index:251940864" type="#_x0000_t202" filled="false" stroked="false">
            <v:textbox inset="0,0,0,0" style="layout-flow:vertical">
              <w:txbxContent>
                <w:p>
                  <w:pPr>
                    <w:spacing w:before="29"/>
                    <w:ind w:left="20" w:right="0" w:firstLine="0"/>
                    <w:jc w:val="left"/>
                    <w:rPr>
                      <w:sz w:val="39"/>
                    </w:rPr>
                  </w:pPr>
                  <w:r>
                    <w:rPr>
                      <w:color w:val="FFFFFF"/>
                      <w:w w:val="120"/>
                      <w:sz w:val="39"/>
                    </w:rPr>
                    <w:t>Equalities</w:t>
                  </w:r>
                </w:p>
              </w:txbxContent>
            </v:textbox>
            <w10:wrap type="none"/>
          </v:shape>
        </w:pict>
      </w:r>
      <w:bookmarkStart w:name="_bookmark18" w:id="22"/>
      <w:bookmarkEnd w:id="22"/>
      <w:r>
        <w:rPr>
          <w:b w:val="0"/>
        </w:rPr>
      </w:r>
      <w:r>
        <w:rPr>
          <w:b/>
          <w:color w:val="0090D4"/>
          <w:spacing w:val="-10"/>
          <w:w w:val="110"/>
        </w:rPr>
        <w:t>Equalities committee </w:t>
      </w:r>
      <w:r>
        <w:rPr>
          <w:b/>
          <w:spacing w:val="-10"/>
          <w:w w:val="110"/>
        </w:rPr>
        <w:t>Encouraging </w:t>
      </w:r>
      <w:r>
        <w:rPr>
          <w:b/>
          <w:spacing w:val="-12"/>
          <w:w w:val="110"/>
        </w:rPr>
        <w:t>equality, </w:t>
      </w:r>
      <w:r>
        <w:rPr>
          <w:b/>
          <w:spacing w:val="-9"/>
          <w:w w:val="110"/>
        </w:rPr>
        <w:t>cherishing diversity</w:t>
      </w:r>
    </w:p>
    <w:p>
      <w:pPr>
        <w:spacing w:before="354" w:after="9"/>
        <w:ind w:left="1309"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Helen M Mee: </w:t>
            </w:r>
            <w:hyperlink r:id="rId306">
              <w:r>
                <w:rPr>
                  <w:color w:val="006AB3"/>
                  <w:w w:val="120"/>
                  <w:sz w:val="20"/>
                </w:rPr>
                <w:t>hmmedin@aol.com</w:t>
              </w:r>
            </w:hyperlink>
          </w:p>
        </w:tc>
      </w:tr>
      <w:tr>
        <w:trPr>
          <w:trHeight w:val="40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rPr>
                <w:rFonts w:ascii="Times New Roman"/>
                <w:sz w:val="24"/>
              </w:rPr>
            </w:pPr>
          </w:p>
        </w:tc>
      </w:tr>
      <w:tr>
        <w:trPr>
          <w:trHeight w:val="184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numPr>
                <w:ilvl w:val="0"/>
                <w:numId w:val="70"/>
              </w:numPr>
              <w:tabs>
                <w:tab w:pos="760" w:val="left" w:leader="none"/>
                <w:tab w:pos="761" w:val="left" w:leader="none"/>
              </w:tabs>
              <w:spacing w:line="213" w:lineRule="auto" w:before="117" w:after="0"/>
              <w:ind w:left="80" w:right="376" w:firstLine="0"/>
              <w:jc w:val="left"/>
              <w:rPr>
                <w:rFonts w:ascii="Stone Sans II ITC Std Bk"/>
                <w:b/>
                <w:sz w:val="20"/>
              </w:rPr>
            </w:pPr>
            <w:r>
              <w:rPr>
                <w:rFonts w:ascii="Stone Sans II ITC Std Bk"/>
                <w:b/>
                <w:w w:val="110"/>
                <w:sz w:val="20"/>
              </w:rPr>
              <w:t>General Assembly extends the membership of the equalities committee to include a nominee of URC</w:t>
            </w:r>
            <w:r>
              <w:rPr>
                <w:rFonts w:ascii="Stone Sans II ITC Std Bk"/>
                <w:b/>
                <w:spacing w:val="1"/>
                <w:w w:val="110"/>
                <w:sz w:val="20"/>
              </w:rPr>
              <w:t> </w:t>
            </w:r>
            <w:r>
              <w:rPr>
                <w:rFonts w:ascii="Stone Sans II ITC Std Bk"/>
                <w:b/>
                <w:w w:val="110"/>
                <w:sz w:val="20"/>
              </w:rPr>
              <w:t>Youth.</w:t>
            </w:r>
          </w:p>
          <w:p>
            <w:pPr>
              <w:pStyle w:val="TableParagraph"/>
              <w:spacing w:before="9"/>
              <w:rPr>
                <w:rFonts w:ascii="Stone Sans II ITC Std Bk"/>
                <w:b/>
                <w:sz w:val="17"/>
              </w:rPr>
            </w:pPr>
          </w:p>
          <w:p>
            <w:pPr>
              <w:pStyle w:val="TableParagraph"/>
              <w:numPr>
                <w:ilvl w:val="0"/>
                <w:numId w:val="70"/>
              </w:numPr>
              <w:tabs>
                <w:tab w:pos="760" w:val="left" w:leader="none"/>
                <w:tab w:pos="761" w:val="left" w:leader="none"/>
              </w:tabs>
              <w:spacing w:line="213" w:lineRule="auto" w:before="0" w:after="0"/>
              <w:ind w:left="80" w:right="97" w:firstLine="0"/>
              <w:jc w:val="left"/>
              <w:rPr>
                <w:rFonts w:ascii="Stone Sans II ITC Std Bk"/>
                <w:b/>
                <w:sz w:val="20"/>
              </w:rPr>
            </w:pPr>
            <w:r>
              <w:rPr>
                <w:rFonts w:ascii="Stone Sans II ITC Std Bk"/>
                <w:b/>
                <w:w w:val="110"/>
                <w:sz w:val="20"/>
              </w:rPr>
              <w:t>General Assembly welcomes the attention already given to diversity by the nominations committee and</w:t>
            </w:r>
            <w:r>
              <w:rPr>
                <w:rFonts w:ascii="Stone Sans II ITC Std Bk"/>
                <w:b/>
                <w:spacing w:val="-17"/>
                <w:w w:val="110"/>
                <w:sz w:val="20"/>
              </w:rPr>
              <w:t> </w:t>
            </w:r>
            <w:r>
              <w:rPr>
                <w:rFonts w:ascii="Stone Sans II ITC Std Bk"/>
                <w:b/>
                <w:w w:val="110"/>
                <w:sz w:val="20"/>
              </w:rPr>
              <w:t>invites the equalities committee to seek </w:t>
            </w:r>
            <w:r>
              <w:rPr>
                <w:rFonts w:ascii="Stone Sans II ITC Std Bk"/>
                <w:b/>
                <w:spacing w:val="-3"/>
                <w:w w:val="110"/>
                <w:sz w:val="20"/>
              </w:rPr>
              <w:t>ways </w:t>
            </w:r>
            <w:r>
              <w:rPr>
                <w:rFonts w:ascii="Stone Sans II ITC Std Bk"/>
                <w:b/>
                <w:w w:val="110"/>
                <w:sz w:val="20"/>
              </w:rPr>
              <w:t>of supporting the nominations committee in this aspect of its</w:t>
            </w:r>
            <w:r>
              <w:rPr>
                <w:rFonts w:ascii="Stone Sans II ITC Std Bk"/>
                <w:b/>
                <w:spacing w:val="-1"/>
                <w:w w:val="110"/>
                <w:sz w:val="20"/>
              </w:rPr>
              <w:t> </w:t>
            </w:r>
            <w:r>
              <w:rPr>
                <w:rFonts w:ascii="Stone Sans II ITC Std Bk"/>
                <w:b/>
                <w:w w:val="110"/>
                <w:sz w:val="20"/>
              </w:rPr>
              <w:t>work.</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342"/>
              <w:rPr>
                <w:sz w:val="20"/>
              </w:rPr>
            </w:pPr>
            <w:r>
              <w:rPr>
                <w:w w:val="120"/>
                <w:sz w:val="20"/>
              </w:rPr>
              <w:t>To share with General Assembly the main thrust of the work of the committee since General Assembly 2016 and to indicate future work identified.</w:t>
            </w:r>
          </w:p>
        </w:tc>
      </w:tr>
      <w:tr>
        <w:trPr>
          <w:trHeight w:val="88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229"/>
              <w:rPr>
                <w:sz w:val="20"/>
              </w:rPr>
            </w:pPr>
            <w:r>
              <w:rPr>
                <w:spacing w:val="-7"/>
                <w:w w:val="120"/>
                <w:sz w:val="20"/>
              </w:rPr>
              <w:t>To </w:t>
            </w:r>
            <w:r>
              <w:rPr>
                <w:w w:val="120"/>
                <w:sz w:val="20"/>
              </w:rPr>
              <w:t>promote a culture of inclusion and equalities within the life  of the URC and to challenge practices which are exclusive of the diversity within the</w:t>
            </w:r>
            <w:r>
              <w:rPr>
                <w:spacing w:val="7"/>
                <w:w w:val="120"/>
                <w:sz w:val="20"/>
              </w:rPr>
              <w:t> </w:t>
            </w:r>
            <w:r>
              <w:rPr>
                <w:w w:val="120"/>
                <w:sz w:val="20"/>
              </w:rPr>
              <w:t>denomination.</w:t>
            </w:r>
          </w:p>
        </w:tc>
      </w:tr>
      <w:tr>
        <w:trPr>
          <w:trHeight w:val="646" w:hRule="atLeast"/>
        </w:trPr>
        <w:tc>
          <w:tcPr>
            <w:tcW w:w="2660" w:type="dxa"/>
            <w:shd w:val="clear" w:color="auto" w:fill="FFFFFF"/>
          </w:tcPr>
          <w:p>
            <w:pPr>
              <w:pStyle w:val="TableParagraph"/>
              <w:spacing w:line="213" w:lineRule="auto" w:before="117"/>
              <w:ind w:left="79" w:right="702"/>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color w:val="006AB3"/>
                <w:w w:val="120"/>
                <w:sz w:val="20"/>
              </w:rPr>
              <w:t>urc.org.uk/equal-opportunities.html</w:t>
            </w:r>
          </w:p>
        </w:tc>
      </w:tr>
      <w:tr>
        <w:trPr>
          <w:trHeight w:val="88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42" w:lineRule="exact" w:before="108"/>
              <w:ind w:left="80"/>
              <w:rPr>
                <w:sz w:val="20"/>
              </w:rPr>
            </w:pPr>
            <w:r>
              <w:rPr>
                <w:w w:val="120"/>
                <w:sz w:val="20"/>
              </w:rPr>
              <w:t>Nominations committee; URC Youth Executive;</w:t>
            </w:r>
          </w:p>
          <w:p>
            <w:pPr>
              <w:pStyle w:val="TableParagraph"/>
              <w:spacing w:line="235" w:lineRule="auto" w:before="1"/>
              <w:ind w:left="80" w:right="395"/>
              <w:rPr>
                <w:sz w:val="20"/>
              </w:rPr>
            </w:pPr>
            <w:r>
              <w:rPr>
                <w:w w:val="120"/>
                <w:sz w:val="20"/>
              </w:rPr>
              <w:t>General Assembly committees through linked observers; Secretary for Global and Intercultural Ministries.</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As budgeted.</w:t>
            </w:r>
          </w:p>
        </w:tc>
      </w:tr>
      <w:tr>
        <w:trPr>
          <w:trHeight w:val="646" w:hRule="atLeast"/>
        </w:trPr>
        <w:tc>
          <w:tcPr>
            <w:tcW w:w="266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0"/>
                <w:sz w:val="20"/>
              </w:rPr>
              <w:t>Ecumenical.</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0"/>
        <w:rPr>
          <w:rFonts w:ascii="Stone Sans II ITC Std Bk"/>
          <w:b/>
          <w:sz w:val="31"/>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105</w:t>
      </w:r>
    </w:p>
    <w:p>
      <w:pPr>
        <w:spacing w:after="0"/>
        <w:jc w:val="left"/>
        <w:rPr>
          <w:rFonts w:ascii="Stone Sans II ITC Std X Bd" w:hAnsi="Stone Sans II ITC Std X Bd"/>
          <w:sz w:val="24"/>
        </w:rPr>
        <w:sectPr>
          <w:headerReference w:type="default" r:id="rId304"/>
          <w:footerReference w:type="default" r:id="rId305"/>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5974656">
            <wp:simplePos x="0" y="0"/>
            <wp:positionH relativeFrom="page">
              <wp:posOffset>0</wp:posOffset>
            </wp:positionH>
            <wp:positionV relativeFrom="page">
              <wp:posOffset>0</wp:posOffset>
            </wp:positionV>
            <wp:extent cx="594067" cy="10692003"/>
            <wp:effectExtent l="0" t="0" r="0" b="0"/>
            <wp:wrapNone/>
            <wp:docPr id="201" name="image70.png"/>
            <wp:cNvGraphicFramePr>
              <a:graphicFrameLocks noChangeAspect="1"/>
            </wp:cNvGraphicFramePr>
            <a:graphic>
              <a:graphicData uri="http://schemas.openxmlformats.org/drawingml/2006/picture">
                <pic:pic>
                  <pic:nvPicPr>
                    <pic:cNvPr id="20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spacing w:line="213" w:lineRule="auto" w:before="308"/>
        <w:ind w:left="2483" w:right="1528" w:hanging="323"/>
        <w:jc w:val="left"/>
        <w:rPr>
          <w:rFonts w:ascii="Stone Sans II ITC Std X Bd"/>
          <w:b/>
          <w:sz w:val="50"/>
        </w:rPr>
      </w:pPr>
      <w:r>
        <w:rPr/>
        <w:pict>
          <v:shape style="position:absolute;margin-left:20.519100pt;margin-top:7.429978pt;width:26pt;height:100.95pt;mso-position-horizontal-relative:page;mso-position-vertical-relative:paragraph;z-index:251942912" type="#_x0000_t202" filled="false" stroked="false">
            <v:textbox inset="0,0,0,0" style="layout-flow:vertical">
              <w:txbxContent>
                <w:p>
                  <w:pPr>
                    <w:spacing w:before="29"/>
                    <w:ind w:left="20" w:right="0" w:firstLine="0"/>
                    <w:jc w:val="left"/>
                    <w:rPr>
                      <w:sz w:val="39"/>
                    </w:rPr>
                  </w:pPr>
                  <w:r>
                    <w:rPr>
                      <w:color w:val="FFFFFF"/>
                      <w:w w:val="120"/>
                      <w:sz w:val="39"/>
                    </w:rPr>
                    <w:t>Equalities</w:t>
                  </w:r>
                </w:p>
              </w:txbxContent>
            </v:textbox>
            <w10:wrap type="none"/>
          </v:shape>
        </w:pict>
      </w:r>
      <w:r>
        <w:rPr>
          <w:rFonts w:ascii="Stone Sans II ITC Std X Bd"/>
          <w:b/>
          <w:spacing w:val="-10"/>
          <w:w w:val="110"/>
          <w:sz w:val="50"/>
        </w:rPr>
        <w:t>Encouraging </w:t>
      </w:r>
      <w:r>
        <w:rPr>
          <w:rFonts w:ascii="Stone Sans II ITC Std X Bd"/>
          <w:b/>
          <w:spacing w:val="-12"/>
          <w:w w:val="110"/>
          <w:sz w:val="50"/>
        </w:rPr>
        <w:t>equality, </w:t>
      </w:r>
      <w:r>
        <w:rPr>
          <w:rFonts w:ascii="Stone Sans II ITC Std X Bd"/>
          <w:b/>
          <w:spacing w:val="-9"/>
          <w:w w:val="110"/>
          <w:sz w:val="50"/>
        </w:rPr>
        <w:t>cherishing diversity</w:t>
      </w:r>
    </w:p>
    <w:p>
      <w:pPr>
        <w:pStyle w:val="ListParagraph"/>
        <w:numPr>
          <w:ilvl w:val="1"/>
          <w:numId w:val="71"/>
        </w:numPr>
        <w:tabs>
          <w:tab w:pos="1507" w:val="left" w:leader="none"/>
          <w:tab w:pos="1508" w:val="left" w:leader="none"/>
        </w:tabs>
        <w:spacing w:line="235" w:lineRule="auto" w:before="382" w:after="0"/>
        <w:ind w:left="827" w:right="1843" w:firstLine="0"/>
        <w:jc w:val="left"/>
        <w:rPr>
          <w:sz w:val="20"/>
        </w:rPr>
      </w:pPr>
      <w:r>
        <w:rPr>
          <w:w w:val="120"/>
          <w:sz w:val="20"/>
        </w:rPr>
        <w:t>The equalities committee assists the development of equalities throughout the United Reformed Church and promotes, supports and encourages our contribution   to equality and diversity in the wider life of our society. It seeks to remind the whole denomination that equality is enshrined in its theology, life and work. It therefore will challenge the practices of the URC where</w:t>
      </w:r>
      <w:r>
        <w:rPr>
          <w:spacing w:val="18"/>
          <w:w w:val="120"/>
          <w:sz w:val="20"/>
        </w:rPr>
        <w:t> </w:t>
      </w:r>
      <w:r>
        <w:rPr>
          <w:w w:val="120"/>
          <w:sz w:val="20"/>
        </w:rPr>
        <w:t>appropriate.</w:t>
      </w:r>
    </w:p>
    <w:p>
      <w:pPr>
        <w:pStyle w:val="BodyText"/>
        <w:spacing w:before="11"/>
        <w:rPr>
          <w:sz w:val="19"/>
        </w:rPr>
      </w:pPr>
    </w:p>
    <w:p>
      <w:pPr>
        <w:pStyle w:val="ListParagraph"/>
        <w:numPr>
          <w:ilvl w:val="1"/>
          <w:numId w:val="71"/>
        </w:numPr>
        <w:tabs>
          <w:tab w:pos="1507" w:val="left" w:leader="none"/>
          <w:tab w:pos="1508" w:val="left" w:leader="none"/>
        </w:tabs>
        <w:spacing w:line="235" w:lineRule="auto" w:before="0" w:after="0"/>
        <w:ind w:left="827" w:right="1908" w:firstLine="0"/>
        <w:jc w:val="left"/>
        <w:rPr>
          <w:sz w:val="20"/>
        </w:rPr>
      </w:pPr>
      <w:r>
        <w:rPr>
          <w:w w:val="120"/>
          <w:sz w:val="20"/>
        </w:rPr>
        <w:t>This remit is wide-reaching and aspirational and we seek to fulfil it through collaboration. Thus, members of the committee are each linked with another committee, receiving papers and attending occasional meetings. In </w:t>
      </w:r>
      <w:r>
        <w:rPr>
          <w:spacing w:val="-6"/>
          <w:w w:val="120"/>
          <w:sz w:val="20"/>
        </w:rPr>
        <w:t>2018 </w:t>
      </w:r>
      <w:r>
        <w:rPr>
          <w:w w:val="120"/>
          <w:sz w:val="20"/>
        </w:rPr>
        <w:t>an updated checklist for equality committee members was produced which outlines that</w:t>
      </w:r>
      <w:r>
        <w:rPr>
          <w:spacing w:val="36"/>
          <w:w w:val="120"/>
          <w:sz w:val="20"/>
        </w:rPr>
        <w:t> </w:t>
      </w:r>
      <w:r>
        <w:rPr>
          <w:w w:val="120"/>
          <w:sz w:val="20"/>
        </w:rPr>
        <w:t>role.</w:t>
      </w:r>
    </w:p>
    <w:p>
      <w:pPr>
        <w:pStyle w:val="BodyText"/>
        <w:spacing w:line="235" w:lineRule="auto" w:before="3"/>
        <w:ind w:left="827" w:right="1868"/>
      </w:pPr>
      <w:r>
        <w:rPr>
          <w:w w:val="120"/>
        </w:rPr>
        <w:t>It is available on the equalities page of the website and is printed as Appendix 1 on page 109.</w:t>
      </w:r>
    </w:p>
    <w:p>
      <w:pPr>
        <w:pStyle w:val="BodyText"/>
        <w:spacing w:before="10"/>
        <w:rPr>
          <w:sz w:val="19"/>
        </w:rPr>
      </w:pPr>
    </w:p>
    <w:p>
      <w:pPr>
        <w:pStyle w:val="ListParagraph"/>
        <w:numPr>
          <w:ilvl w:val="1"/>
          <w:numId w:val="71"/>
        </w:numPr>
        <w:tabs>
          <w:tab w:pos="1507" w:val="left" w:leader="none"/>
          <w:tab w:pos="1508" w:val="left" w:leader="none"/>
        </w:tabs>
        <w:spacing w:line="235" w:lineRule="auto" w:before="0" w:after="0"/>
        <w:ind w:left="827" w:right="1859" w:firstLine="0"/>
        <w:jc w:val="left"/>
        <w:rPr>
          <w:sz w:val="20"/>
        </w:rPr>
      </w:pPr>
      <w:r>
        <w:rPr>
          <w:w w:val="120"/>
          <w:sz w:val="20"/>
        </w:rPr>
        <w:t>The committee has been keen to support the Assembly arrangements committee in seeking strategies to mitigate against some of the shortcomings of this year’s venue. We welcome the actions of that committee in terms of guidance offered and temporary adaptations made to the</w:t>
      </w:r>
      <w:r>
        <w:rPr>
          <w:spacing w:val="16"/>
          <w:w w:val="120"/>
          <w:sz w:val="20"/>
        </w:rPr>
        <w:t> </w:t>
      </w:r>
      <w:r>
        <w:rPr>
          <w:w w:val="120"/>
          <w:sz w:val="20"/>
        </w:rPr>
        <w:t>building.</w:t>
      </w:r>
    </w:p>
    <w:p>
      <w:pPr>
        <w:pStyle w:val="BodyText"/>
        <w:spacing w:before="11"/>
        <w:rPr>
          <w:sz w:val="19"/>
        </w:rPr>
      </w:pPr>
    </w:p>
    <w:p>
      <w:pPr>
        <w:pStyle w:val="ListParagraph"/>
        <w:numPr>
          <w:ilvl w:val="1"/>
          <w:numId w:val="71"/>
        </w:numPr>
        <w:tabs>
          <w:tab w:pos="1507" w:val="left" w:leader="none"/>
          <w:tab w:pos="1508" w:val="left" w:leader="none"/>
        </w:tabs>
        <w:spacing w:line="235" w:lineRule="auto" w:before="0" w:after="0"/>
        <w:ind w:left="827" w:right="1688" w:firstLine="0"/>
        <w:jc w:val="left"/>
        <w:rPr>
          <w:sz w:val="20"/>
        </w:rPr>
      </w:pPr>
      <w:r>
        <w:rPr>
          <w:w w:val="120"/>
          <w:sz w:val="20"/>
        </w:rPr>
        <w:t>The work of encouraging equality and cherishing diversity belongs to the whole Church and is the task of every disciple. We recognise however that the work of some programme staff is particularly focused on welcome and inclusion, and we value their input to and support of our work. Likewise we greatly appreciate the work of the Joint Public Issues </w:t>
      </w:r>
      <w:r>
        <w:rPr>
          <w:spacing w:val="-4"/>
          <w:w w:val="120"/>
          <w:sz w:val="20"/>
        </w:rPr>
        <w:t>Team </w:t>
      </w:r>
      <w:r>
        <w:rPr>
          <w:w w:val="120"/>
          <w:sz w:val="20"/>
        </w:rPr>
        <w:t>(JPIT) both in advocacy and as invaluable resource providers. We encourage the awareness of churches and individuals through following social media and</w:t>
      </w:r>
      <w:r>
        <w:rPr>
          <w:spacing w:val="2"/>
          <w:w w:val="120"/>
          <w:sz w:val="20"/>
        </w:rPr>
        <w:t> </w:t>
      </w:r>
      <w:r>
        <w:rPr>
          <w:w w:val="120"/>
          <w:sz w:val="20"/>
        </w:rPr>
        <w:t>weblinks.</w:t>
      </w:r>
    </w:p>
    <w:p>
      <w:pPr>
        <w:pStyle w:val="BodyText"/>
      </w:pPr>
    </w:p>
    <w:p>
      <w:pPr>
        <w:pStyle w:val="ListParagraph"/>
        <w:numPr>
          <w:ilvl w:val="1"/>
          <w:numId w:val="71"/>
        </w:numPr>
        <w:tabs>
          <w:tab w:pos="1507" w:val="left" w:leader="none"/>
          <w:tab w:pos="1508" w:val="left" w:leader="none"/>
        </w:tabs>
        <w:spacing w:line="235" w:lineRule="auto" w:before="1" w:after="0"/>
        <w:ind w:left="827" w:right="1761" w:firstLine="0"/>
        <w:jc w:val="left"/>
        <w:rPr>
          <w:sz w:val="20"/>
        </w:rPr>
      </w:pPr>
      <w:r>
        <w:rPr>
          <w:w w:val="120"/>
          <w:sz w:val="20"/>
        </w:rPr>
        <w:t>We note and rejoice in a continued embedding and celebration of issues of equality and diversity within the work of individual committees and broader initiatives such as ‘Walking the Way: Living the life of Jesus </w:t>
      </w:r>
      <w:r>
        <w:rPr>
          <w:spacing w:val="-3"/>
          <w:w w:val="120"/>
          <w:sz w:val="20"/>
        </w:rPr>
        <w:t>today’. </w:t>
      </w:r>
      <w:r>
        <w:rPr>
          <w:w w:val="120"/>
          <w:sz w:val="20"/>
        </w:rPr>
        <w:t>We work closely with the Deputy General Secretary (Admin and </w:t>
      </w:r>
      <w:r>
        <w:rPr>
          <w:spacing w:val="-3"/>
          <w:w w:val="120"/>
          <w:sz w:val="20"/>
        </w:rPr>
        <w:t>Resources) </w:t>
      </w:r>
      <w:r>
        <w:rPr>
          <w:w w:val="120"/>
          <w:sz w:val="20"/>
        </w:rPr>
        <w:t>and are encouraged by the ongoing refreshing of HR</w:t>
      </w:r>
      <w:r>
        <w:rPr>
          <w:spacing w:val="6"/>
          <w:w w:val="120"/>
          <w:sz w:val="20"/>
        </w:rPr>
        <w:t> </w:t>
      </w:r>
      <w:r>
        <w:rPr>
          <w:w w:val="120"/>
          <w:sz w:val="20"/>
        </w:rPr>
        <w:t>policies.</w:t>
      </w:r>
    </w:p>
    <w:p>
      <w:pPr>
        <w:pStyle w:val="BodyText"/>
        <w:spacing w:before="11"/>
        <w:rPr>
          <w:sz w:val="19"/>
        </w:rPr>
      </w:pPr>
    </w:p>
    <w:p>
      <w:pPr>
        <w:pStyle w:val="ListParagraph"/>
        <w:numPr>
          <w:ilvl w:val="1"/>
          <w:numId w:val="72"/>
        </w:numPr>
        <w:tabs>
          <w:tab w:pos="1507" w:val="left" w:leader="none"/>
          <w:tab w:pos="1508" w:val="left" w:leader="none"/>
        </w:tabs>
        <w:spacing w:line="235" w:lineRule="auto" w:before="0" w:after="0"/>
        <w:ind w:left="827" w:right="1602" w:firstLine="0"/>
        <w:jc w:val="left"/>
        <w:rPr>
          <w:sz w:val="20"/>
        </w:rPr>
      </w:pPr>
      <w:r>
        <w:rPr>
          <w:w w:val="120"/>
          <w:sz w:val="20"/>
        </w:rPr>
        <w:t>Since Assembly </w:t>
      </w:r>
      <w:r>
        <w:rPr>
          <w:spacing w:val="-6"/>
          <w:w w:val="120"/>
          <w:sz w:val="20"/>
        </w:rPr>
        <w:t>2018 </w:t>
      </w:r>
      <w:r>
        <w:rPr>
          <w:w w:val="120"/>
          <w:sz w:val="20"/>
        </w:rPr>
        <w:t>two committee members had to resign membership during their tenure. Other members </w:t>
      </w:r>
      <w:r>
        <w:rPr>
          <w:spacing w:val="2"/>
          <w:w w:val="120"/>
          <w:sz w:val="20"/>
        </w:rPr>
        <w:t>left </w:t>
      </w:r>
      <w:r>
        <w:rPr>
          <w:w w:val="120"/>
          <w:sz w:val="20"/>
        </w:rPr>
        <w:t>at the end of their term of service. We thank them all for their contributions. We also thank the nominations committee, acknowledging that their task is complex and perhaps thankless. Finding those willing and able to</w:t>
      </w:r>
      <w:r>
        <w:rPr>
          <w:spacing w:val="49"/>
          <w:w w:val="120"/>
          <w:sz w:val="20"/>
        </w:rPr>
        <w:t> </w:t>
      </w:r>
      <w:r>
        <w:rPr>
          <w:w w:val="120"/>
          <w:sz w:val="20"/>
        </w:rPr>
        <w:t>serve</w:t>
      </w:r>
    </w:p>
    <w:p>
      <w:pPr>
        <w:pStyle w:val="BodyText"/>
        <w:spacing w:line="235" w:lineRule="auto" w:before="3"/>
        <w:ind w:left="827" w:right="1528"/>
      </w:pPr>
      <w:r>
        <w:rPr>
          <w:w w:val="120"/>
        </w:rPr>
        <w:t>on Assembly committees is hard but that is compounded by our policy to ensure that committees reflect the diversity of the denomination when many of these diversities are not visible.</w:t>
      </w:r>
    </w:p>
    <w:p>
      <w:pPr>
        <w:pStyle w:val="BodyText"/>
        <w:spacing w:before="10"/>
        <w:rPr>
          <w:sz w:val="19"/>
        </w:rPr>
      </w:pPr>
    </w:p>
    <w:p>
      <w:pPr>
        <w:pStyle w:val="ListParagraph"/>
        <w:numPr>
          <w:ilvl w:val="1"/>
          <w:numId w:val="72"/>
        </w:numPr>
        <w:tabs>
          <w:tab w:pos="1507" w:val="left" w:leader="none"/>
          <w:tab w:pos="1508" w:val="left" w:leader="none"/>
        </w:tabs>
        <w:spacing w:line="235" w:lineRule="auto" w:before="0" w:after="0"/>
        <w:ind w:left="827" w:right="1762" w:firstLine="0"/>
        <w:jc w:val="left"/>
        <w:rPr>
          <w:sz w:val="20"/>
        </w:rPr>
      </w:pPr>
      <w:r>
        <w:rPr>
          <w:w w:val="120"/>
          <w:sz w:val="20"/>
        </w:rPr>
        <w:t>This is an equalities and inclusion issue. Do we need to rethink how we conduct our business and decision making to ensure as wide a representation as</w:t>
      </w:r>
      <w:r>
        <w:rPr>
          <w:spacing w:val="14"/>
          <w:w w:val="120"/>
          <w:sz w:val="20"/>
        </w:rPr>
        <w:t> </w:t>
      </w:r>
      <w:r>
        <w:rPr>
          <w:w w:val="120"/>
          <w:sz w:val="20"/>
        </w:rPr>
        <w:t>possible?</w:t>
      </w:r>
    </w:p>
    <w:p>
      <w:pPr>
        <w:pStyle w:val="BodyText"/>
        <w:spacing w:before="6"/>
        <w:rPr>
          <w:sz w:val="19"/>
        </w:rPr>
      </w:pPr>
    </w:p>
    <w:p>
      <w:pPr>
        <w:pStyle w:val="ListParagraph"/>
        <w:numPr>
          <w:ilvl w:val="1"/>
          <w:numId w:val="72"/>
        </w:numPr>
        <w:tabs>
          <w:tab w:pos="1507" w:val="left" w:leader="none"/>
          <w:tab w:pos="1508" w:val="left" w:leader="none"/>
        </w:tabs>
        <w:spacing w:line="242" w:lineRule="exact" w:before="0" w:after="0"/>
        <w:ind w:left="1507" w:right="0" w:hanging="681"/>
        <w:jc w:val="left"/>
        <w:rPr>
          <w:sz w:val="20"/>
        </w:rPr>
      </w:pPr>
      <w:r>
        <w:rPr>
          <w:w w:val="120"/>
          <w:sz w:val="20"/>
        </w:rPr>
        <w:t>We welcome and encourage any approach which allows greater</w:t>
      </w:r>
      <w:r>
        <w:rPr>
          <w:spacing w:val="27"/>
          <w:w w:val="120"/>
          <w:sz w:val="20"/>
        </w:rPr>
        <w:t> </w:t>
      </w:r>
      <w:r>
        <w:rPr>
          <w:w w:val="120"/>
          <w:sz w:val="20"/>
        </w:rPr>
        <w:t>participation</w:t>
      </w:r>
    </w:p>
    <w:p>
      <w:pPr>
        <w:pStyle w:val="BodyText"/>
        <w:spacing w:line="242" w:lineRule="exact"/>
        <w:ind w:left="827"/>
      </w:pPr>
      <w:r>
        <w:rPr>
          <w:w w:val="120"/>
        </w:rPr>
        <w:t>e.g. issue based and time limited approaches such as task and finish groups.</w:t>
      </w:r>
    </w:p>
    <w:p>
      <w:pPr>
        <w:pStyle w:val="BodyText"/>
        <w:spacing w:before="8"/>
        <w:rPr>
          <w:sz w:val="19"/>
        </w:rPr>
      </w:pPr>
    </w:p>
    <w:p>
      <w:pPr>
        <w:pStyle w:val="ListParagraph"/>
        <w:numPr>
          <w:ilvl w:val="1"/>
          <w:numId w:val="72"/>
        </w:numPr>
        <w:tabs>
          <w:tab w:pos="1507" w:val="left" w:leader="none"/>
          <w:tab w:pos="1508" w:val="left" w:leader="none"/>
        </w:tabs>
        <w:spacing w:line="235" w:lineRule="auto" w:before="0" w:after="0"/>
        <w:ind w:left="827" w:right="1890" w:firstLine="0"/>
        <w:jc w:val="left"/>
        <w:rPr>
          <w:sz w:val="20"/>
        </w:rPr>
      </w:pPr>
      <w:r>
        <w:rPr>
          <w:w w:val="120"/>
          <w:sz w:val="20"/>
        </w:rPr>
        <w:t>We are continuing to develop virtual meeting and other technological skills which allow us to hold a short, focused meeting to progress an item, consequently saving time at physical meetings and allowing items to progress more quickly. Virtual attendance at the core meetings has also been made</w:t>
      </w:r>
      <w:r>
        <w:rPr>
          <w:spacing w:val="17"/>
          <w:w w:val="120"/>
          <w:sz w:val="20"/>
        </w:rPr>
        <w:t> </w:t>
      </w:r>
      <w:r>
        <w:rPr>
          <w:w w:val="120"/>
          <w:sz w:val="20"/>
        </w:rPr>
        <w:t>possible.</w:t>
      </w:r>
    </w:p>
    <w:p>
      <w:pPr>
        <w:pStyle w:val="BodyText"/>
        <w:spacing w:before="10"/>
        <w:rPr>
          <w:sz w:val="19"/>
        </w:rPr>
      </w:pPr>
    </w:p>
    <w:p>
      <w:pPr>
        <w:pStyle w:val="ListParagraph"/>
        <w:numPr>
          <w:ilvl w:val="1"/>
          <w:numId w:val="72"/>
        </w:numPr>
        <w:tabs>
          <w:tab w:pos="1507" w:val="left" w:leader="none"/>
          <w:tab w:pos="1508" w:val="left" w:leader="none"/>
        </w:tabs>
        <w:spacing w:line="235" w:lineRule="auto" w:before="1" w:after="0"/>
        <w:ind w:left="827" w:right="2213" w:firstLine="0"/>
        <w:jc w:val="left"/>
        <w:rPr>
          <w:sz w:val="20"/>
        </w:rPr>
      </w:pPr>
      <w:r>
        <w:rPr>
          <w:w w:val="120"/>
          <w:sz w:val="20"/>
        </w:rPr>
        <w:t>We commend the continuing development of this approach across the denomination primarily as it enables greater participation of those who</w:t>
      </w:r>
      <w:r>
        <w:rPr>
          <w:spacing w:val="29"/>
          <w:w w:val="120"/>
          <w:sz w:val="20"/>
        </w:rPr>
        <w:t> </w:t>
      </w:r>
      <w:r>
        <w:rPr>
          <w:w w:val="120"/>
          <w:sz w:val="20"/>
        </w:rPr>
        <w:t>otherwise</w:t>
      </w:r>
    </w:p>
    <w:p>
      <w:pPr>
        <w:spacing w:after="0" w:line="235" w:lineRule="auto"/>
        <w:jc w:val="left"/>
        <w:rPr>
          <w:sz w:val="20"/>
        </w:rPr>
        <w:sectPr>
          <w:headerReference w:type="even" r:id="rId307"/>
          <w:footerReference w:type="even" r:id="rId308"/>
          <w:footerReference w:type="default" r:id="rId309"/>
          <w:pgSz w:w="11910" w:h="16840"/>
          <w:pgMar w:header="0" w:footer="647" w:top="0" w:bottom="840" w:left="420" w:right="380"/>
          <w:pgNumType w:start="106"/>
        </w:sectPr>
      </w:pPr>
    </w:p>
    <w:p>
      <w:pPr>
        <w:pStyle w:val="BodyText"/>
      </w:pPr>
      <w:r>
        <w:rPr/>
        <w:drawing>
          <wp:anchor distT="0" distB="0" distL="0" distR="0" allowOverlap="1" layoutInCell="1" locked="0" behindDoc="0" simplePos="0" relativeHeight="251943936">
            <wp:simplePos x="0" y="0"/>
            <wp:positionH relativeFrom="page">
              <wp:posOffset>6974928</wp:posOffset>
            </wp:positionH>
            <wp:positionV relativeFrom="page">
              <wp:posOffset>0</wp:posOffset>
            </wp:positionV>
            <wp:extent cx="585063" cy="10692003"/>
            <wp:effectExtent l="0" t="0" r="0" b="0"/>
            <wp:wrapNone/>
            <wp:docPr id="203" name="image57.png"/>
            <wp:cNvGraphicFramePr>
              <a:graphicFrameLocks noChangeAspect="1"/>
            </wp:cNvGraphicFramePr>
            <a:graphic>
              <a:graphicData uri="http://schemas.openxmlformats.org/drawingml/2006/picture">
                <pic:pic>
                  <pic:nvPicPr>
                    <pic:cNvPr id="20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00.95pt;mso-position-horizontal-relative:page;mso-position-vertical-relative:paragraph;z-index:251944960" type="#_x0000_t202" filled="false" stroked="false">
            <v:textbox inset="0,0,0,0" style="layout-flow:vertical">
              <w:txbxContent>
                <w:p>
                  <w:pPr>
                    <w:spacing w:before="29"/>
                    <w:ind w:left="20" w:right="0" w:firstLine="0"/>
                    <w:jc w:val="left"/>
                    <w:rPr>
                      <w:sz w:val="39"/>
                    </w:rPr>
                  </w:pPr>
                  <w:r>
                    <w:rPr>
                      <w:color w:val="FFFFFF"/>
                      <w:w w:val="120"/>
                      <w:sz w:val="39"/>
                    </w:rPr>
                    <w:t>Equalities</w:t>
                  </w:r>
                </w:p>
              </w:txbxContent>
            </v:textbox>
            <w10:wrap type="none"/>
          </v:shape>
        </w:pict>
      </w:r>
      <w:bookmarkStart w:name="_TOC_250006" w:id="23"/>
      <w:bookmarkEnd w:id="23"/>
      <w:r>
        <w:rPr>
          <w:color w:val="7EAABF"/>
          <w:w w:val="115"/>
        </w:rPr>
        <w:t>Equalities</w:t>
      </w:r>
    </w:p>
    <w:p>
      <w:pPr>
        <w:pStyle w:val="BodyText"/>
        <w:spacing w:line="235" w:lineRule="auto" w:before="222"/>
        <w:ind w:left="1564" w:right="1528"/>
      </w:pPr>
      <w:r>
        <w:rPr>
          <w:w w:val="120"/>
        </w:rPr>
        <w:t>might feel unable to contribute to a committee on the grounds of, for example, distance, disability, family responsibilities or work commitment.</w:t>
      </w:r>
    </w:p>
    <w:p>
      <w:pPr>
        <w:pStyle w:val="BodyText"/>
        <w:spacing w:before="9"/>
        <w:rPr>
          <w:sz w:val="19"/>
        </w:rPr>
      </w:pPr>
    </w:p>
    <w:p>
      <w:pPr>
        <w:pStyle w:val="ListParagraph"/>
        <w:numPr>
          <w:ilvl w:val="0"/>
          <w:numId w:val="73"/>
        </w:numPr>
        <w:tabs>
          <w:tab w:pos="2244" w:val="left" w:leader="none"/>
          <w:tab w:pos="2245" w:val="left" w:leader="none"/>
        </w:tabs>
        <w:spacing w:line="235" w:lineRule="auto" w:before="0" w:after="0"/>
        <w:ind w:left="1564" w:right="1531" w:firstLine="0"/>
        <w:jc w:val="left"/>
        <w:rPr>
          <w:sz w:val="20"/>
        </w:rPr>
      </w:pPr>
      <w:r>
        <w:rPr>
          <w:w w:val="120"/>
          <w:sz w:val="20"/>
        </w:rPr>
        <w:t>The committee warmly welcomes the initiative taken at </w:t>
      </w:r>
      <w:r>
        <w:rPr>
          <w:spacing w:val="-3"/>
          <w:w w:val="120"/>
          <w:sz w:val="20"/>
        </w:rPr>
        <w:t>Youth </w:t>
      </w:r>
      <w:r>
        <w:rPr>
          <w:w w:val="120"/>
          <w:sz w:val="20"/>
        </w:rPr>
        <w:t>Assembly to create an equality and diversity representative role on the URC </w:t>
      </w:r>
      <w:r>
        <w:rPr>
          <w:spacing w:val="-3"/>
          <w:w w:val="120"/>
          <w:sz w:val="20"/>
        </w:rPr>
        <w:t>Youth</w:t>
      </w:r>
      <w:r>
        <w:rPr>
          <w:spacing w:val="29"/>
          <w:w w:val="120"/>
          <w:sz w:val="20"/>
        </w:rPr>
        <w:t> </w:t>
      </w:r>
      <w:r>
        <w:rPr>
          <w:w w:val="120"/>
          <w:sz w:val="20"/>
        </w:rPr>
        <w:t>Executive.</w:t>
      </w:r>
    </w:p>
    <w:p>
      <w:pPr>
        <w:pStyle w:val="BodyText"/>
        <w:spacing w:line="235" w:lineRule="auto" w:before="2"/>
        <w:ind w:left="1564" w:right="923"/>
      </w:pPr>
      <w:r>
        <w:rPr>
          <w:w w:val="120"/>
        </w:rPr>
        <w:t>The descriptor for the role includes serving on the equalities committee whilst holding the office. An enabling resolution accompanies this report.</w:t>
      </w:r>
    </w:p>
    <w:p>
      <w:pPr>
        <w:pStyle w:val="BodyText"/>
        <w:spacing w:before="9"/>
        <w:rPr>
          <w:sz w:val="19"/>
        </w:rPr>
      </w:pPr>
    </w:p>
    <w:p>
      <w:pPr>
        <w:pStyle w:val="ListParagraph"/>
        <w:numPr>
          <w:ilvl w:val="0"/>
          <w:numId w:val="73"/>
        </w:numPr>
        <w:tabs>
          <w:tab w:pos="2244" w:val="left" w:leader="none"/>
          <w:tab w:pos="2245" w:val="left" w:leader="none"/>
        </w:tabs>
        <w:spacing w:line="235" w:lineRule="auto" w:before="0" w:after="0"/>
        <w:ind w:left="1564" w:right="956" w:firstLine="0"/>
        <w:jc w:val="left"/>
        <w:rPr>
          <w:sz w:val="20"/>
        </w:rPr>
      </w:pPr>
      <w:r>
        <w:rPr>
          <w:w w:val="120"/>
          <w:sz w:val="20"/>
        </w:rPr>
        <w:t>The position of different schools associated with the URC has now been very helpfully clarified. Those schools which have a member of their Board of Governors nominated by General Assembly are asked to </w:t>
      </w:r>
      <w:r>
        <w:rPr>
          <w:spacing w:val="2"/>
          <w:w w:val="120"/>
          <w:sz w:val="20"/>
        </w:rPr>
        <w:t>report </w:t>
      </w:r>
      <w:r>
        <w:rPr>
          <w:w w:val="120"/>
          <w:sz w:val="20"/>
        </w:rPr>
        <w:t>to General Assembly whilst those </w:t>
      </w:r>
      <w:r>
        <w:rPr>
          <w:spacing w:val="-5"/>
          <w:w w:val="120"/>
          <w:sz w:val="20"/>
        </w:rPr>
        <w:t>(we </w:t>
      </w:r>
      <w:r>
        <w:rPr>
          <w:w w:val="120"/>
          <w:sz w:val="20"/>
        </w:rPr>
        <w:t>know of </w:t>
      </w:r>
      <w:r>
        <w:rPr>
          <w:spacing w:val="-3"/>
          <w:w w:val="120"/>
          <w:sz w:val="20"/>
        </w:rPr>
        <w:t>four) </w:t>
      </w:r>
      <w:r>
        <w:rPr>
          <w:w w:val="120"/>
          <w:sz w:val="20"/>
        </w:rPr>
        <w:t>with a locally sustained link to a local church </w:t>
      </w:r>
      <w:r>
        <w:rPr>
          <w:spacing w:val="-6"/>
          <w:w w:val="120"/>
          <w:sz w:val="20"/>
        </w:rPr>
        <w:t>(or </w:t>
      </w:r>
      <w:r>
        <w:rPr>
          <w:w w:val="120"/>
          <w:sz w:val="20"/>
        </w:rPr>
        <w:t>its successor) should rightly </w:t>
      </w:r>
      <w:r>
        <w:rPr>
          <w:spacing w:val="2"/>
          <w:w w:val="120"/>
          <w:sz w:val="20"/>
        </w:rPr>
        <w:t>report</w:t>
      </w:r>
      <w:r>
        <w:rPr>
          <w:spacing w:val="4"/>
          <w:w w:val="120"/>
          <w:sz w:val="20"/>
        </w:rPr>
        <w:t> </w:t>
      </w:r>
      <w:r>
        <w:rPr>
          <w:w w:val="120"/>
          <w:sz w:val="20"/>
        </w:rPr>
        <w:t>locally.</w:t>
      </w:r>
    </w:p>
    <w:p>
      <w:pPr>
        <w:pStyle w:val="BodyText"/>
        <w:spacing w:before="12"/>
        <w:rPr>
          <w:sz w:val="19"/>
        </w:rPr>
      </w:pPr>
    </w:p>
    <w:p>
      <w:pPr>
        <w:pStyle w:val="ListParagraph"/>
        <w:numPr>
          <w:ilvl w:val="0"/>
          <w:numId w:val="73"/>
        </w:numPr>
        <w:tabs>
          <w:tab w:pos="2244" w:val="left" w:leader="none"/>
          <w:tab w:pos="2245" w:val="left" w:leader="none"/>
        </w:tabs>
        <w:spacing w:line="235" w:lineRule="auto" w:before="0" w:after="0"/>
        <w:ind w:left="1564" w:right="1726" w:firstLine="0"/>
        <w:jc w:val="left"/>
        <w:rPr>
          <w:sz w:val="20"/>
        </w:rPr>
      </w:pPr>
      <w:r>
        <w:rPr>
          <w:w w:val="120"/>
          <w:sz w:val="20"/>
        </w:rPr>
        <w:t>Looking ahead we have identified a number of areas which merit further exploration from an equality and diversity</w:t>
      </w:r>
      <w:r>
        <w:rPr>
          <w:spacing w:val="15"/>
          <w:w w:val="120"/>
          <w:sz w:val="20"/>
        </w:rPr>
        <w:t> </w:t>
      </w:r>
      <w:r>
        <w:rPr>
          <w:w w:val="120"/>
          <w:sz w:val="20"/>
        </w:rPr>
        <w:t>perspective:</w:t>
      </w:r>
    </w:p>
    <w:p>
      <w:pPr>
        <w:pStyle w:val="ListParagraph"/>
        <w:numPr>
          <w:ilvl w:val="2"/>
          <w:numId w:val="72"/>
        </w:numPr>
        <w:tabs>
          <w:tab w:pos="2244" w:val="left" w:leader="none"/>
          <w:tab w:pos="2245" w:val="left" w:leader="none"/>
        </w:tabs>
        <w:spacing w:line="235" w:lineRule="auto" w:before="0" w:after="0"/>
        <w:ind w:left="2244" w:right="1252" w:hanging="681"/>
        <w:jc w:val="left"/>
        <w:rPr>
          <w:sz w:val="20"/>
        </w:rPr>
      </w:pPr>
      <w:r>
        <w:rPr>
          <w:w w:val="120"/>
          <w:sz w:val="20"/>
        </w:rPr>
        <w:t>ensuring strategies and procedures are in place to collect data on ethnicity in regard to recruitment and employment at Church</w:t>
      </w:r>
      <w:r>
        <w:rPr>
          <w:spacing w:val="21"/>
          <w:w w:val="120"/>
          <w:sz w:val="20"/>
        </w:rPr>
        <w:t> </w:t>
      </w:r>
      <w:r>
        <w:rPr>
          <w:w w:val="120"/>
          <w:sz w:val="20"/>
        </w:rPr>
        <w:t>House;</w:t>
      </w:r>
    </w:p>
    <w:p>
      <w:pPr>
        <w:pStyle w:val="ListParagraph"/>
        <w:numPr>
          <w:ilvl w:val="2"/>
          <w:numId w:val="72"/>
        </w:numPr>
        <w:tabs>
          <w:tab w:pos="2244" w:val="left" w:leader="none"/>
          <w:tab w:pos="2245" w:val="left" w:leader="none"/>
        </w:tabs>
        <w:spacing w:line="234" w:lineRule="exact" w:before="0" w:after="0"/>
        <w:ind w:left="2244" w:right="0" w:hanging="681"/>
        <w:jc w:val="left"/>
        <w:rPr>
          <w:sz w:val="20"/>
        </w:rPr>
      </w:pPr>
      <w:r>
        <w:rPr>
          <w:w w:val="120"/>
          <w:sz w:val="20"/>
        </w:rPr>
        <w:t>exploring possibilities for being recognized as a Breast Feeding Friendly</w:t>
      </w:r>
      <w:r>
        <w:rPr>
          <w:spacing w:val="4"/>
          <w:w w:val="120"/>
          <w:sz w:val="20"/>
        </w:rPr>
        <w:t> </w:t>
      </w:r>
      <w:r>
        <w:rPr>
          <w:w w:val="120"/>
          <w:sz w:val="20"/>
        </w:rPr>
        <w:t>Church;</w:t>
      </w:r>
    </w:p>
    <w:p>
      <w:pPr>
        <w:pStyle w:val="ListParagraph"/>
        <w:numPr>
          <w:ilvl w:val="2"/>
          <w:numId w:val="72"/>
        </w:numPr>
        <w:tabs>
          <w:tab w:pos="2244" w:val="left" w:leader="none"/>
          <w:tab w:pos="2245" w:val="left" w:leader="none"/>
        </w:tabs>
        <w:spacing w:line="235" w:lineRule="auto" w:before="0" w:after="0"/>
        <w:ind w:left="2244" w:right="1663" w:hanging="681"/>
        <w:jc w:val="left"/>
        <w:rPr>
          <w:sz w:val="20"/>
        </w:rPr>
      </w:pPr>
      <w:r>
        <w:rPr>
          <w:w w:val="120"/>
          <w:sz w:val="20"/>
        </w:rPr>
        <w:t>collating available equality statements from synods in order to share best practice across the</w:t>
      </w:r>
      <w:r>
        <w:rPr>
          <w:spacing w:val="6"/>
          <w:w w:val="120"/>
          <w:sz w:val="20"/>
        </w:rPr>
        <w:t> </w:t>
      </w:r>
      <w:r>
        <w:rPr>
          <w:w w:val="120"/>
          <w:sz w:val="20"/>
        </w:rPr>
        <w:t>denomination;</w:t>
      </w:r>
    </w:p>
    <w:p>
      <w:pPr>
        <w:pStyle w:val="ListParagraph"/>
        <w:numPr>
          <w:ilvl w:val="2"/>
          <w:numId w:val="72"/>
        </w:numPr>
        <w:tabs>
          <w:tab w:pos="2244" w:val="left" w:leader="none"/>
          <w:tab w:pos="2245" w:val="left" w:leader="none"/>
        </w:tabs>
        <w:spacing w:line="235" w:lineRule="auto" w:before="0" w:after="0"/>
        <w:ind w:left="2244" w:right="1032" w:hanging="681"/>
        <w:jc w:val="left"/>
        <w:rPr>
          <w:sz w:val="20"/>
        </w:rPr>
      </w:pPr>
      <w:r>
        <w:rPr>
          <w:w w:val="120"/>
          <w:sz w:val="20"/>
        </w:rPr>
        <w:t>updating the welcome pack available to new equalities committee members and considering whether a document collating the </w:t>
      </w:r>
      <w:r>
        <w:rPr>
          <w:spacing w:val="-3"/>
          <w:w w:val="120"/>
          <w:sz w:val="20"/>
        </w:rPr>
        <w:t>URC’s </w:t>
      </w:r>
      <w:r>
        <w:rPr>
          <w:w w:val="120"/>
          <w:sz w:val="20"/>
        </w:rPr>
        <w:t>commitment to equality with some guidance as to best practice would be helpful to committee convenors.</w:t>
      </w:r>
    </w:p>
    <w:p>
      <w:pPr>
        <w:pStyle w:val="BodyText"/>
        <w:spacing w:before="1"/>
        <w:rPr>
          <w:sz w:val="18"/>
        </w:rPr>
      </w:pPr>
    </w:p>
    <w:p>
      <w:pPr>
        <w:pStyle w:val="ListParagraph"/>
        <w:numPr>
          <w:ilvl w:val="0"/>
          <w:numId w:val="73"/>
        </w:numPr>
        <w:tabs>
          <w:tab w:pos="2244" w:val="left" w:leader="none"/>
          <w:tab w:pos="2245" w:val="left" w:leader="none"/>
        </w:tabs>
        <w:spacing w:line="235" w:lineRule="auto" w:before="0" w:after="0"/>
        <w:ind w:left="1564" w:right="869" w:firstLine="0"/>
        <w:jc w:val="left"/>
        <w:rPr>
          <w:sz w:val="20"/>
        </w:rPr>
      </w:pPr>
      <w:r>
        <w:rPr>
          <w:w w:val="120"/>
          <w:sz w:val="20"/>
        </w:rPr>
        <w:t>We continue to hope that the faith and order committee will be able to identify a permissive paragraph to be added, as appropriate, to the Basis of Union and Schedules </w:t>
      </w:r>
      <w:r>
        <w:rPr>
          <w:spacing w:val="3"/>
          <w:w w:val="120"/>
          <w:sz w:val="20"/>
        </w:rPr>
        <w:t>A, </w:t>
      </w:r>
      <w:r>
        <w:rPr>
          <w:w w:val="120"/>
          <w:sz w:val="20"/>
        </w:rPr>
        <w:t>B, C and D where a trinitarian formula is used (Baptism, Ordination) to allow the use of expansive language (General Assembly </w:t>
      </w:r>
      <w:r>
        <w:rPr>
          <w:spacing w:val="-8"/>
          <w:w w:val="120"/>
          <w:sz w:val="20"/>
        </w:rPr>
        <w:t>2014) </w:t>
      </w:r>
      <w:r>
        <w:rPr>
          <w:w w:val="120"/>
          <w:sz w:val="20"/>
        </w:rPr>
        <w:t>to describe the triune nature of</w:t>
      </w:r>
      <w:r>
        <w:rPr>
          <w:spacing w:val="50"/>
          <w:w w:val="120"/>
          <w:sz w:val="20"/>
        </w:rPr>
        <w:t> </w:t>
      </w:r>
      <w:r>
        <w:rPr>
          <w:w w:val="120"/>
          <w:sz w:val="20"/>
        </w:rPr>
        <w:t>God.</w:t>
      </w:r>
    </w:p>
    <w:p>
      <w:pPr>
        <w:pStyle w:val="BodyText"/>
        <w:spacing w:before="11"/>
        <w:rPr>
          <w:sz w:val="19"/>
        </w:rPr>
      </w:pPr>
    </w:p>
    <w:p>
      <w:pPr>
        <w:pStyle w:val="ListParagraph"/>
        <w:numPr>
          <w:ilvl w:val="0"/>
          <w:numId w:val="73"/>
        </w:numPr>
        <w:tabs>
          <w:tab w:pos="2244" w:val="left" w:leader="none"/>
          <w:tab w:pos="2245" w:val="left" w:leader="none"/>
        </w:tabs>
        <w:spacing w:line="235" w:lineRule="auto" w:before="0" w:after="0"/>
        <w:ind w:left="1564" w:right="1305" w:firstLine="0"/>
        <w:jc w:val="left"/>
        <w:rPr>
          <w:sz w:val="20"/>
        </w:rPr>
      </w:pPr>
      <w:r>
        <w:rPr>
          <w:spacing w:val="-6"/>
          <w:w w:val="120"/>
          <w:sz w:val="20"/>
        </w:rPr>
        <w:t>Two </w:t>
      </w:r>
      <w:r>
        <w:rPr>
          <w:w w:val="120"/>
          <w:sz w:val="20"/>
        </w:rPr>
        <w:t>excellent resources considering transgender issues have been produced over recent</w:t>
      </w:r>
      <w:r>
        <w:rPr>
          <w:spacing w:val="3"/>
          <w:w w:val="120"/>
          <w:sz w:val="20"/>
        </w:rPr>
        <w:t> </w:t>
      </w:r>
      <w:r>
        <w:rPr>
          <w:w w:val="120"/>
          <w:sz w:val="20"/>
        </w:rPr>
        <w:t>months.</w:t>
      </w:r>
    </w:p>
    <w:p>
      <w:pPr>
        <w:pStyle w:val="ListParagraph"/>
        <w:numPr>
          <w:ilvl w:val="2"/>
          <w:numId w:val="72"/>
        </w:numPr>
        <w:tabs>
          <w:tab w:pos="2244" w:val="left" w:leader="none"/>
          <w:tab w:pos="2245" w:val="left" w:leader="none"/>
        </w:tabs>
        <w:spacing w:line="235" w:lineRule="auto" w:before="0" w:after="0"/>
        <w:ind w:left="2244" w:right="1175" w:hanging="681"/>
        <w:jc w:val="left"/>
        <w:rPr>
          <w:sz w:val="20"/>
        </w:rPr>
      </w:pPr>
      <w:r>
        <w:rPr>
          <w:i/>
          <w:w w:val="120"/>
          <w:sz w:val="20"/>
        </w:rPr>
        <w:t>Transfaith:</w:t>
      </w:r>
      <w:r>
        <w:rPr>
          <w:i/>
          <w:spacing w:val="-21"/>
          <w:w w:val="120"/>
          <w:sz w:val="20"/>
        </w:rPr>
        <w:t> </w:t>
      </w:r>
      <w:r>
        <w:rPr>
          <w:i/>
          <w:w w:val="120"/>
          <w:sz w:val="20"/>
        </w:rPr>
        <w:t>A</w:t>
      </w:r>
      <w:r>
        <w:rPr>
          <w:i/>
          <w:spacing w:val="-20"/>
          <w:w w:val="120"/>
          <w:sz w:val="20"/>
        </w:rPr>
        <w:t> </w:t>
      </w:r>
      <w:r>
        <w:rPr>
          <w:i/>
          <w:w w:val="120"/>
          <w:sz w:val="20"/>
        </w:rPr>
        <w:t>transgender</w:t>
      </w:r>
      <w:r>
        <w:rPr>
          <w:i/>
          <w:spacing w:val="-20"/>
          <w:w w:val="120"/>
          <w:sz w:val="20"/>
        </w:rPr>
        <w:t> </w:t>
      </w:r>
      <w:r>
        <w:rPr>
          <w:i/>
          <w:w w:val="120"/>
          <w:sz w:val="20"/>
        </w:rPr>
        <w:t>pastoral</w:t>
      </w:r>
      <w:r>
        <w:rPr>
          <w:i/>
          <w:spacing w:val="-20"/>
          <w:w w:val="120"/>
          <w:sz w:val="20"/>
        </w:rPr>
        <w:t> </w:t>
      </w:r>
      <w:r>
        <w:rPr>
          <w:i/>
          <w:w w:val="120"/>
          <w:sz w:val="20"/>
        </w:rPr>
        <w:t>resource</w:t>
      </w:r>
      <w:r>
        <w:rPr>
          <w:i/>
          <w:spacing w:val="-19"/>
          <w:w w:val="120"/>
          <w:sz w:val="20"/>
        </w:rPr>
        <w:t> </w:t>
      </w:r>
      <w:r>
        <w:rPr>
          <w:w w:val="120"/>
          <w:sz w:val="20"/>
        </w:rPr>
        <w:t>published</w:t>
      </w:r>
      <w:r>
        <w:rPr>
          <w:spacing w:val="-18"/>
          <w:w w:val="120"/>
          <w:sz w:val="20"/>
        </w:rPr>
        <w:t> </w:t>
      </w:r>
      <w:r>
        <w:rPr>
          <w:w w:val="120"/>
          <w:sz w:val="20"/>
        </w:rPr>
        <w:t>by</w:t>
      </w:r>
      <w:r>
        <w:rPr>
          <w:spacing w:val="-18"/>
          <w:w w:val="120"/>
          <w:sz w:val="20"/>
        </w:rPr>
        <w:t> </w:t>
      </w:r>
      <w:r>
        <w:rPr>
          <w:w w:val="120"/>
          <w:sz w:val="20"/>
        </w:rPr>
        <w:t>Darton,</w:t>
      </w:r>
      <w:r>
        <w:rPr>
          <w:spacing w:val="-18"/>
          <w:w w:val="120"/>
          <w:sz w:val="20"/>
        </w:rPr>
        <w:t> </w:t>
      </w:r>
      <w:r>
        <w:rPr>
          <w:w w:val="120"/>
          <w:sz w:val="20"/>
        </w:rPr>
        <w:t>Longman</w:t>
      </w:r>
      <w:r>
        <w:rPr>
          <w:spacing w:val="-19"/>
          <w:w w:val="120"/>
          <w:sz w:val="20"/>
        </w:rPr>
        <w:t> </w:t>
      </w:r>
      <w:r>
        <w:rPr>
          <w:w w:val="120"/>
          <w:sz w:val="20"/>
        </w:rPr>
        <w:t>and </w:t>
      </w:r>
      <w:r>
        <w:rPr>
          <w:spacing w:val="-3"/>
          <w:w w:val="120"/>
          <w:sz w:val="20"/>
        </w:rPr>
        <w:t>Todd </w:t>
      </w:r>
      <w:r>
        <w:rPr>
          <w:w w:val="120"/>
          <w:sz w:val="20"/>
        </w:rPr>
        <w:t>in </w:t>
      </w:r>
      <w:r>
        <w:rPr>
          <w:spacing w:val="-6"/>
          <w:w w:val="120"/>
          <w:sz w:val="20"/>
        </w:rPr>
        <w:t>2018 </w:t>
      </w:r>
      <w:r>
        <w:rPr>
          <w:w w:val="120"/>
          <w:sz w:val="20"/>
        </w:rPr>
        <w:t>is a resource book offering pastoral guidelines, Bible studies and liturgies. Its authors are Chris Dowd and Christina Beardsley with Justin </w:t>
      </w:r>
      <w:r>
        <w:rPr>
          <w:spacing w:val="-3"/>
          <w:w w:val="120"/>
          <w:sz w:val="20"/>
        </w:rPr>
        <w:t>Tanis. </w:t>
      </w:r>
      <w:r>
        <w:rPr>
          <w:w w:val="120"/>
          <w:sz w:val="20"/>
        </w:rPr>
        <w:t>Chris is a URC</w:t>
      </w:r>
      <w:r>
        <w:rPr>
          <w:spacing w:val="7"/>
          <w:w w:val="120"/>
          <w:sz w:val="20"/>
        </w:rPr>
        <w:t> </w:t>
      </w:r>
      <w:r>
        <w:rPr>
          <w:w w:val="120"/>
          <w:sz w:val="20"/>
        </w:rPr>
        <w:t>minister.</w:t>
      </w:r>
    </w:p>
    <w:p>
      <w:pPr>
        <w:pStyle w:val="ListParagraph"/>
        <w:numPr>
          <w:ilvl w:val="2"/>
          <w:numId w:val="72"/>
        </w:numPr>
        <w:tabs>
          <w:tab w:pos="2244" w:val="left" w:leader="none"/>
          <w:tab w:pos="2245" w:val="left" w:leader="none"/>
        </w:tabs>
        <w:spacing w:line="235" w:lineRule="auto" w:before="0" w:after="0"/>
        <w:ind w:left="2244" w:right="1248" w:hanging="681"/>
        <w:jc w:val="left"/>
        <w:rPr>
          <w:sz w:val="20"/>
        </w:rPr>
      </w:pPr>
      <w:r>
        <w:rPr>
          <w:w w:val="120"/>
          <w:sz w:val="20"/>
        </w:rPr>
        <w:t>The Church of Scotland has produced </w:t>
      </w:r>
      <w:r>
        <w:rPr>
          <w:i/>
          <w:w w:val="120"/>
          <w:sz w:val="20"/>
        </w:rPr>
        <w:t>Diverse Gender Identities and Pastoral </w:t>
      </w:r>
      <w:r>
        <w:rPr>
          <w:i/>
          <w:spacing w:val="-3"/>
          <w:w w:val="120"/>
          <w:sz w:val="20"/>
        </w:rPr>
        <w:t>Care</w:t>
      </w:r>
      <w:r>
        <w:rPr>
          <w:spacing w:val="-3"/>
          <w:w w:val="120"/>
          <w:sz w:val="20"/>
        </w:rPr>
        <w:t>. </w:t>
      </w:r>
      <w:r>
        <w:rPr>
          <w:w w:val="120"/>
          <w:sz w:val="20"/>
        </w:rPr>
        <w:t>This is a downloadable booklet available on the equalities webpage,  and includes personal stories shared by a number of leaders from the URC in Scotland. The booklet seeks to ‘promote learning and awareness of the</w:t>
      </w:r>
      <w:r>
        <w:rPr>
          <w:spacing w:val="14"/>
          <w:w w:val="120"/>
          <w:sz w:val="20"/>
        </w:rPr>
        <w:t> </w:t>
      </w:r>
      <w:r>
        <w:rPr>
          <w:w w:val="120"/>
          <w:sz w:val="20"/>
        </w:rPr>
        <w:t>issues</w:t>
      </w:r>
    </w:p>
    <w:p>
      <w:pPr>
        <w:pStyle w:val="BodyText"/>
        <w:spacing w:line="235" w:lineRule="auto"/>
        <w:ind w:left="2244" w:right="923"/>
      </w:pPr>
      <w:r>
        <w:rPr>
          <w:w w:val="120"/>
        </w:rPr>
        <w:t>transgender and gender non-conforming people experience in order to better facilitate pastoral care’.</w:t>
      </w:r>
    </w:p>
    <w:p>
      <w:pPr>
        <w:pStyle w:val="BodyText"/>
        <w:spacing w:before="7"/>
        <w:rPr>
          <w:sz w:val="18"/>
        </w:rPr>
      </w:pPr>
    </w:p>
    <w:p>
      <w:pPr>
        <w:pStyle w:val="ListParagraph"/>
        <w:numPr>
          <w:ilvl w:val="1"/>
          <w:numId w:val="74"/>
        </w:numPr>
        <w:tabs>
          <w:tab w:pos="2244" w:val="left" w:leader="none"/>
          <w:tab w:pos="2245" w:val="left" w:leader="none"/>
        </w:tabs>
        <w:spacing w:line="235" w:lineRule="auto" w:before="0" w:after="0"/>
        <w:ind w:left="1564" w:right="983" w:firstLine="0"/>
        <w:jc w:val="left"/>
        <w:rPr>
          <w:sz w:val="20"/>
        </w:rPr>
      </w:pPr>
      <w:r>
        <w:rPr>
          <w:w w:val="120"/>
          <w:sz w:val="20"/>
        </w:rPr>
        <w:t>The equalities </w:t>
      </w:r>
      <w:r>
        <w:rPr>
          <w:spacing w:val="-3"/>
          <w:w w:val="120"/>
          <w:sz w:val="20"/>
        </w:rPr>
        <w:t>committee </w:t>
      </w:r>
      <w:r>
        <w:rPr>
          <w:w w:val="120"/>
          <w:sz w:val="20"/>
        </w:rPr>
        <w:t>is </w:t>
      </w:r>
      <w:r>
        <w:rPr>
          <w:spacing w:val="-3"/>
          <w:w w:val="120"/>
          <w:sz w:val="20"/>
        </w:rPr>
        <w:t>concerned </w:t>
      </w:r>
      <w:r>
        <w:rPr>
          <w:w w:val="120"/>
          <w:sz w:val="20"/>
        </w:rPr>
        <w:t>that in our experience of being a shrinking </w:t>
      </w:r>
      <w:r>
        <w:rPr>
          <w:spacing w:val="-3"/>
          <w:w w:val="120"/>
          <w:sz w:val="20"/>
        </w:rPr>
        <w:t>denomination </w:t>
      </w:r>
      <w:r>
        <w:rPr>
          <w:w w:val="120"/>
          <w:sz w:val="20"/>
        </w:rPr>
        <w:t>we sense that a less-than-inclusive </w:t>
      </w:r>
      <w:r>
        <w:rPr>
          <w:spacing w:val="-3"/>
          <w:w w:val="120"/>
          <w:sz w:val="20"/>
        </w:rPr>
        <w:t>culture </w:t>
      </w:r>
      <w:r>
        <w:rPr>
          <w:w w:val="120"/>
          <w:sz w:val="20"/>
        </w:rPr>
        <w:t>is emerging. Both anecdotal </w:t>
      </w:r>
      <w:r>
        <w:rPr>
          <w:spacing w:val="-3"/>
          <w:w w:val="120"/>
          <w:sz w:val="20"/>
        </w:rPr>
        <w:t>accounts </w:t>
      </w:r>
      <w:r>
        <w:rPr>
          <w:w w:val="120"/>
          <w:sz w:val="20"/>
        </w:rPr>
        <w:t>and </w:t>
      </w:r>
      <w:r>
        <w:rPr>
          <w:spacing w:val="-3"/>
          <w:w w:val="120"/>
          <w:sz w:val="20"/>
        </w:rPr>
        <w:t>visible count would </w:t>
      </w:r>
      <w:r>
        <w:rPr>
          <w:w w:val="120"/>
          <w:sz w:val="20"/>
        </w:rPr>
        <w:t>suggest that </w:t>
      </w:r>
      <w:r>
        <w:rPr>
          <w:spacing w:val="-3"/>
          <w:w w:val="120"/>
          <w:sz w:val="20"/>
        </w:rPr>
        <w:t>this </w:t>
      </w:r>
      <w:r>
        <w:rPr>
          <w:w w:val="120"/>
          <w:sz w:val="20"/>
        </w:rPr>
        <w:t>is a trend </w:t>
      </w:r>
      <w:r>
        <w:rPr>
          <w:spacing w:val="-3"/>
          <w:w w:val="120"/>
          <w:sz w:val="20"/>
        </w:rPr>
        <w:t>across </w:t>
      </w:r>
      <w:r>
        <w:rPr>
          <w:w w:val="120"/>
          <w:sz w:val="20"/>
        </w:rPr>
        <w:t>the</w:t>
      </w:r>
      <w:r>
        <w:rPr>
          <w:spacing w:val="21"/>
          <w:w w:val="120"/>
          <w:sz w:val="20"/>
        </w:rPr>
        <w:t> </w:t>
      </w:r>
      <w:r>
        <w:rPr>
          <w:spacing w:val="-3"/>
          <w:w w:val="120"/>
          <w:sz w:val="20"/>
        </w:rPr>
        <w:t>denomination.</w:t>
      </w:r>
    </w:p>
    <w:p>
      <w:pPr>
        <w:pStyle w:val="BodyText"/>
        <w:spacing w:before="10"/>
        <w:rPr>
          <w:sz w:val="19"/>
        </w:rPr>
      </w:pPr>
    </w:p>
    <w:p>
      <w:pPr>
        <w:pStyle w:val="ListParagraph"/>
        <w:numPr>
          <w:ilvl w:val="1"/>
          <w:numId w:val="74"/>
        </w:numPr>
        <w:tabs>
          <w:tab w:pos="2244" w:val="left" w:leader="none"/>
          <w:tab w:pos="2245" w:val="left" w:leader="none"/>
        </w:tabs>
        <w:spacing w:line="235" w:lineRule="auto" w:before="1" w:after="0"/>
        <w:ind w:left="1564" w:right="1019" w:firstLine="0"/>
        <w:jc w:val="left"/>
        <w:rPr>
          <w:sz w:val="20"/>
        </w:rPr>
      </w:pPr>
      <w:r>
        <w:rPr>
          <w:w w:val="120"/>
          <w:sz w:val="20"/>
        </w:rPr>
        <w:t>With fewer people available to take on roles that we currently understand to be essential the number of participants and voices heard at the table</w:t>
      </w:r>
      <w:r>
        <w:rPr>
          <w:spacing w:val="19"/>
          <w:w w:val="120"/>
          <w:sz w:val="20"/>
        </w:rPr>
        <w:t> </w:t>
      </w:r>
      <w:r>
        <w:rPr>
          <w:w w:val="120"/>
          <w:sz w:val="20"/>
        </w:rPr>
        <w:t>reduces.</w:t>
      </w:r>
    </w:p>
    <w:p>
      <w:pPr>
        <w:pStyle w:val="BodyText"/>
        <w:spacing w:before="5"/>
        <w:rPr>
          <w:sz w:val="19"/>
        </w:rPr>
      </w:pPr>
    </w:p>
    <w:p>
      <w:pPr>
        <w:pStyle w:val="ListParagraph"/>
        <w:numPr>
          <w:ilvl w:val="1"/>
          <w:numId w:val="74"/>
        </w:numPr>
        <w:tabs>
          <w:tab w:pos="2244" w:val="left" w:leader="none"/>
          <w:tab w:pos="2245" w:val="left" w:leader="none"/>
        </w:tabs>
        <w:spacing w:line="237" w:lineRule="exact" w:before="0" w:after="0"/>
        <w:ind w:left="2244" w:right="0" w:hanging="681"/>
        <w:jc w:val="left"/>
        <w:rPr>
          <w:sz w:val="20"/>
        </w:rPr>
      </w:pPr>
      <w:r>
        <w:rPr>
          <w:w w:val="120"/>
          <w:sz w:val="20"/>
        </w:rPr>
        <w:t>This appears to have at least two</w:t>
      </w:r>
      <w:r>
        <w:rPr>
          <w:spacing w:val="10"/>
          <w:w w:val="120"/>
          <w:sz w:val="20"/>
        </w:rPr>
        <w:t> </w:t>
      </w:r>
      <w:r>
        <w:rPr>
          <w:w w:val="120"/>
          <w:sz w:val="20"/>
        </w:rPr>
        <w:t>effects:</w:t>
      </w:r>
    </w:p>
    <w:p>
      <w:pPr>
        <w:pStyle w:val="ListParagraph"/>
        <w:numPr>
          <w:ilvl w:val="2"/>
          <w:numId w:val="72"/>
        </w:numPr>
        <w:tabs>
          <w:tab w:pos="2244" w:val="left" w:leader="none"/>
          <w:tab w:pos="2245" w:val="left" w:leader="none"/>
        </w:tabs>
        <w:spacing w:line="235" w:lineRule="auto" w:before="0" w:after="0"/>
        <w:ind w:left="2244" w:right="1153" w:hanging="681"/>
        <w:jc w:val="left"/>
        <w:rPr>
          <w:sz w:val="20"/>
        </w:rPr>
      </w:pPr>
      <w:r>
        <w:rPr>
          <w:w w:val="120"/>
          <w:sz w:val="20"/>
        </w:rPr>
        <w:t>as some individuals take on more roles they naturally become more skilled  and better equipped to represent the denomination creating a self-fulfilling prophesy. This makes it even harder for those at the edge to see themselves as potential</w:t>
      </w:r>
      <w:r>
        <w:rPr>
          <w:spacing w:val="1"/>
          <w:w w:val="120"/>
          <w:sz w:val="20"/>
        </w:rPr>
        <w:t> </w:t>
      </w:r>
      <w:r>
        <w:rPr>
          <w:w w:val="120"/>
          <w:sz w:val="20"/>
        </w:rPr>
        <w:t>contributors;</w:t>
      </w:r>
    </w:p>
    <w:p>
      <w:pPr>
        <w:pStyle w:val="ListParagraph"/>
        <w:numPr>
          <w:ilvl w:val="2"/>
          <w:numId w:val="72"/>
        </w:numPr>
        <w:tabs>
          <w:tab w:pos="2244" w:val="left" w:leader="none"/>
          <w:tab w:pos="2245" w:val="left" w:leader="none"/>
        </w:tabs>
        <w:spacing w:line="235" w:lineRule="auto" w:before="0" w:after="0"/>
        <w:ind w:left="2244" w:right="965" w:hanging="681"/>
        <w:jc w:val="left"/>
        <w:rPr>
          <w:sz w:val="20"/>
        </w:rPr>
      </w:pPr>
      <w:r>
        <w:rPr>
          <w:w w:val="120"/>
          <w:sz w:val="20"/>
        </w:rPr>
        <w:t>a sense that the shrinkage is happening faster amongst the already marginalized groups in our denominational</w:t>
      </w:r>
      <w:r>
        <w:rPr>
          <w:spacing w:val="8"/>
          <w:w w:val="120"/>
          <w:sz w:val="20"/>
        </w:rPr>
        <w:t> </w:t>
      </w:r>
      <w:r>
        <w:rPr>
          <w:w w:val="120"/>
          <w:sz w:val="20"/>
        </w:rPr>
        <w:t>family</w:t>
      </w:r>
    </w:p>
    <w:p>
      <w:pPr>
        <w:spacing w:after="0" w:line="235" w:lineRule="auto"/>
        <w:jc w:val="left"/>
        <w:rPr>
          <w:sz w:val="20"/>
        </w:rPr>
        <w:sectPr>
          <w:headerReference w:type="default" r:id="rId310"/>
          <w:pgSz w:w="11910" w:h="16840"/>
          <w:pgMar w:header="0" w:footer="647" w:top="0" w:bottom="840" w:left="420" w:right="380"/>
        </w:sectPr>
      </w:pPr>
    </w:p>
    <w:p>
      <w:pPr>
        <w:pStyle w:val="BodyText"/>
      </w:pPr>
      <w:r>
        <w:rPr/>
        <w:drawing>
          <wp:anchor distT="0" distB="0" distL="0" distR="0" allowOverlap="1" layoutInCell="1" locked="0" behindDoc="1" simplePos="0" relativeHeight="235978752">
            <wp:simplePos x="0" y="0"/>
            <wp:positionH relativeFrom="page">
              <wp:posOffset>0</wp:posOffset>
            </wp:positionH>
            <wp:positionV relativeFrom="page">
              <wp:posOffset>0</wp:posOffset>
            </wp:positionV>
            <wp:extent cx="594067" cy="10692003"/>
            <wp:effectExtent l="0" t="0" r="0" b="0"/>
            <wp:wrapNone/>
            <wp:docPr id="205" name="image70.png"/>
            <wp:cNvGraphicFramePr>
              <a:graphicFrameLocks noChangeAspect="1"/>
            </wp:cNvGraphicFramePr>
            <a:graphic>
              <a:graphicData uri="http://schemas.openxmlformats.org/drawingml/2006/picture">
                <pic:pic>
                  <pic:nvPicPr>
                    <pic:cNvPr id="20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00.95pt;mso-position-horizontal-relative:page;mso-position-vertical-relative:paragraph;z-index:251947008" type="#_x0000_t202" filled="false" stroked="false">
            <v:textbox inset="0,0,0,0" style="layout-flow:vertical">
              <w:txbxContent>
                <w:p>
                  <w:pPr>
                    <w:spacing w:before="29"/>
                    <w:ind w:left="20" w:right="0" w:firstLine="0"/>
                    <w:jc w:val="left"/>
                    <w:rPr>
                      <w:sz w:val="39"/>
                    </w:rPr>
                  </w:pPr>
                  <w:r>
                    <w:rPr>
                      <w:color w:val="FFFFFF"/>
                      <w:w w:val="120"/>
                      <w:sz w:val="39"/>
                    </w:rPr>
                    <w:t>Equalities</w:t>
                  </w:r>
                </w:p>
              </w:txbxContent>
            </v:textbox>
            <w10:wrap type="none"/>
          </v:shape>
        </w:pict>
      </w:r>
      <w:r>
        <w:rPr>
          <w:color w:val="7EAABF"/>
          <w:w w:val="115"/>
        </w:rPr>
        <w:t>Equalities</w:t>
      </w:r>
    </w:p>
    <w:p>
      <w:pPr>
        <w:pStyle w:val="ListParagraph"/>
        <w:numPr>
          <w:ilvl w:val="1"/>
          <w:numId w:val="74"/>
        </w:numPr>
        <w:tabs>
          <w:tab w:pos="1564" w:val="left" w:leader="none"/>
          <w:tab w:pos="1565" w:val="left" w:leader="none"/>
        </w:tabs>
        <w:spacing w:line="235" w:lineRule="auto" w:before="222" w:after="0"/>
        <w:ind w:left="827" w:right="1603" w:firstLine="0"/>
        <w:jc w:val="left"/>
        <w:rPr>
          <w:sz w:val="20"/>
        </w:rPr>
      </w:pPr>
      <w:r>
        <w:rPr>
          <w:w w:val="120"/>
          <w:sz w:val="20"/>
        </w:rPr>
        <w:t>If we are still committed to being an inclusive church then we need to match   this intent with practical solutions to allow participation. This developing situation if not addressed will continue to impact on some of the good work done over the</w:t>
      </w:r>
      <w:r>
        <w:rPr>
          <w:spacing w:val="5"/>
          <w:w w:val="120"/>
          <w:sz w:val="20"/>
        </w:rPr>
        <w:t> </w:t>
      </w:r>
      <w:r>
        <w:rPr>
          <w:w w:val="120"/>
          <w:sz w:val="20"/>
        </w:rPr>
        <w:t>years.</w:t>
      </w:r>
    </w:p>
    <w:p>
      <w:pPr>
        <w:pStyle w:val="BodyText"/>
        <w:spacing w:before="10"/>
        <w:rPr>
          <w:sz w:val="19"/>
        </w:rPr>
      </w:pPr>
    </w:p>
    <w:p>
      <w:pPr>
        <w:pStyle w:val="ListParagraph"/>
        <w:numPr>
          <w:ilvl w:val="1"/>
          <w:numId w:val="74"/>
        </w:numPr>
        <w:tabs>
          <w:tab w:pos="1507" w:val="left" w:leader="none"/>
          <w:tab w:pos="1508" w:val="left" w:leader="none"/>
        </w:tabs>
        <w:spacing w:line="235" w:lineRule="auto" w:before="0" w:after="0"/>
        <w:ind w:left="827" w:right="1652" w:firstLine="0"/>
        <w:jc w:val="left"/>
        <w:rPr>
          <w:sz w:val="20"/>
        </w:rPr>
      </w:pPr>
      <w:r>
        <w:rPr>
          <w:w w:val="120"/>
          <w:sz w:val="20"/>
        </w:rPr>
        <w:t>This is a challenge to the whole Church as we struggle to ensure that with such a commitment we actively seek and hear the voices from the edge as well as those more centrally placed. Without those voices we are all diminished. Our second resolution therefore offers the Equalities Committee’s ongoing support for this aspect of the work of the Nominations</w:t>
      </w:r>
      <w:r>
        <w:rPr>
          <w:spacing w:val="6"/>
          <w:w w:val="120"/>
          <w:sz w:val="20"/>
        </w:rPr>
        <w:t> </w:t>
      </w:r>
      <w:r>
        <w:rPr>
          <w:w w:val="120"/>
          <w:sz w:val="20"/>
        </w:rPr>
        <w:t>Committee.</w:t>
      </w:r>
    </w:p>
    <w:p>
      <w:pPr>
        <w:spacing w:after="0" w:line="235" w:lineRule="auto"/>
        <w:jc w:val="left"/>
        <w:rPr>
          <w:sz w:val="20"/>
        </w:rPr>
        <w:sectPr>
          <w:headerReference w:type="even" r:id="rId311"/>
          <w:footerReference w:type="even" r:id="rId312"/>
          <w:footerReference w:type="default" r:id="rId313"/>
          <w:pgSz w:w="11910" w:h="16840"/>
          <w:pgMar w:header="0" w:footer="647" w:top="0" w:bottom="840" w:left="420" w:right="380"/>
          <w:pgNumType w:start="108"/>
        </w:sectPr>
      </w:pPr>
    </w:p>
    <w:p>
      <w:pPr>
        <w:pStyle w:val="BodyText"/>
      </w:pPr>
      <w:r>
        <w:rPr/>
        <w:drawing>
          <wp:anchor distT="0" distB="0" distL="0" distR="0" allowOverlap="1" layoutInCell="1" locked="0" behindDoc="0" simplePos="0" relativeHeight="251948032">
            <wp:simplePos x="0" y="0"/>
            <wp:positionH relativeFrom="page">
              <wp:posOffset>6974928</wp:posOffset>
            </wp:positionH>
            <wp:positionV relativeFrom="page">
              <wp:posOffset>0</wp:posOffset>
            </wp:positionV>
            <wp:extent cx="585063" cy="10692003"/>
            <wp:effectExtent l="0" t="0" r="0" b="0"/>
            <wp:wrapNone/>
            <wp:docPr id="207" name="image72.png"/>
            <wp:cNvGraphicFramePr>
              <a:graphicFrameLocks noChangeAspect="1"/>
            </wp:cNvGraphicFramePr>
            <a:graphic>
              <a:graphicData uri="http://schemas.openxmlformats.org/drawingml/2006/picture">
                <pic:pic>
                  <pic:nvPicPr>
                    <pic:cNvPr id="208" name="image72.png"/>
                    <pic:cNvPicPr/>
                  </pic:nvPicPr>
                  <pic:blipFill>
                    <a:blip r:embed="rId315"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244.9pt;mso-position-horizontal-relative:page;mso-position-vertical-relative:paragraph;z-index:251949056" type="#_x0000_t202" filled="false" stroked="false">
            <v:textbox inset="0,0,0,0" style="layout-flow:vertical">
              <w:txbxContent>
                <w:p>
                  <w:pPr>
                    <w:spacing w:before="29"/>
                    <w:ind w:left="20" w:right="0" w:firstLine="0"/>
                    <w:jc w:val="left"/>
                    <w:rPr>
                      <w:sz w:val="39"/>
                    </w:rPr>
                  </w:pPr>
                  <w:r>
                    <w:rPr>
                      <w:color w:val="FFFFFF"/>
                      <w:spacing w:val="9"/>
                      <w:w w:val="125"/>
                      <w:sz w:val="39"/>
                    </w:rPr>
                    <w:t>Equalities </w:t>
                  </w:r>
                  <w:r>
                    <w:rPr>
                      <w:color w:val="FFFFFF"/>
                      <w:w w:val="125"/>
                      <w:sz w:val="39"/>
                    </w:rPr>
                    <w:t>– </w:t>
                  </w:r>
                  <w:r>
                    <w:rPr>
                      <w:color w:val="FFFFFF"/>
                      <w:spacing w:val="9"/>
                      <w:w w:val="125"/>
                      <w:sz w:val="39"/>
                    </w:rPr>
                    <w:t>Appendix</w:t>
                  </w:r>
                  <w:r>
                    <w:rPr>
                      <w:color w:val="FFFFFF"/>
                      <w:spacing w:val="76"/>
                      <w:w w:val="125"/>
                      <w:sz w:val="39"/>
                    </w:rPr>
                    <w:t> </w:t>
                  </w:r>
                  <w:r>
                    <w:rPr>
                      <w:color w:val="FFFFFF"/>
                      <w:w w:val="125"/>
                      <w:sz w:val="39"/>
                    </w:rPr>
                    <w:t>1</w:t>
                  </w:r>
                </w:p>
              </w:txbxContent>
            </v:textbox>
            <w10:wrap type="none"/>
          </v:shape>
        </w:pict>
      </w:r>
      <w:r>
        <w:rPr>
          <w:color w:val="7EAABF"/>
          <w:w w:val="115"/>
        </w:rPr>
        <w:t>Equalities</w:t>
      </w:r>
    </w:p>
    <w:p>
      <w:pPr>
        <w:spacing w:before="246"/>
        <w:ind w:left="1261" w:right="576" w:firstLine="0"/>
        <w:jc w:val="center"/>
        <w:rPr>
          <w:rFonts w:ascii="Stone Sans II ITC Std Bk"/>
          <w:b/>
          <w:sz w:val="50"/>
        </w:rPr>
      </w:pPr>
      <w:r>
        <w:rPr>
          <w:rFonts w:ascii="Stone Sans II ITC Std Bk"/>
          <w:b/>
          <w:color w:val="0090D4"/>
          <w:w w:val="110"/>
          <w:sz w:val="50"/>
        </w:rPr>
        <w:t>Appendix 1</w:t>
      </w:r>
    </w:p>
    <w:p>
      <w:pPr>
        <w:spacing w:line="213" w:lineRule="auto" w:before="140"/>
        <w:ind w:left="3090" w:right="2400" w:hanging="4"/>
        <w:jc w:val="center"/>
        <w:rPr>
          <w:rFonts w:ascii="Stone Sans II ITC Std X Bd"/>
          <w:b/>
          <w:sz w:val="50"/>
        </w:rPr>
      </w:pPr>
      <w:r>
        <w:rPr>
          <w:rFonts w:ascii="Stone Sans II ITC Std X Bd"/>
          <w:b/>
          <w:spacing w:val="-7"/>
          <w:w w:val="110"/>
          <w:sz w:val="50"/>
        </w:rPr>
        <w:t>Observing </w:t>
      </w:r>
      <w:r>
        <w:rPr>
          <w:rFonts w:ascii="Stone Sans II ITC Std X Bd"/>
          <w:b/>
          <w:spacing w:val="-10"/>
          <w:w w:val="110"/>
          <w:sz w:val="50"/>
        </w:rPr>
        <w:t>Assembly committees </w:t>
      </w:r>
      <w:r>
        <w:rPr>
          <w:rFonts w:ascii="Stone Sans II ITC Std X Bd"/>
          <w:b/>
          <w:spacing w:val="-8"/>
          <w:w w:val="110"/>
          <w:sz w:val="50"/>
        </w:rPr>
        <w:t>at </w:t>
      </w:r>
      <w:r>
        <w:rPr>
          <w:rFonts w:ascii="Stone Sans II ITC Std X Bd"/>
          <w:b/>
          <w:spacing w:val="-12"/>
          <w:w w:val="110"/>
          <w:sz w:val="50"/>
        </w:rPr>
        <w:t>work:</w:t>
      </w:r>
    </w:p>
    <w:p>
      <w:pPr>
        <w:spacing w:line="213" w:lineRule="auto" w:before="0"/>
        <w:ind w:left="3016" w:right="1130" w:hanging="1109"/>
        <w:jc w:val="left"/>
        <w:rPr>
          <w:rFonts w:ascii="Stone Sans II ITC Std X Bd"/>
          <w:b/>
          <w:sz w:val="50"/>
        </w:rPr>
      </w:pPr>
      <w:r>
        <w:rPr>
          <w:rFonts w:ascii="Stone Sans II ITC Std X Bd"/>
          <w:b/>
          <w:w w:val="110"/>
          <w:sz w:val="50"/>
        </w:rPr>
        <w:t>Guidance for members of the equalities committee</w:t>
      </w:r>
    </w:p>
    <w:p>
      <w:pPr>
        <w:pStyle w:val="ListParagraph"/>
        <w:numPr>
          <w:ilvl w:val="1"/>
          <w:numId w:val="75"/>
        </w:numPr>
        <w:tabs>
          <w:tab w:pos="2244" w:val="left" w:leader="none"/>
          <w:tab w:pos="2245" w:val="left" w:leader="none"/>
        </w:tabs>
        <w:spacing w:line="235" w:lineRule="auto" w:before="378" w:after="0"/>
        <w:ind w:left="1564" w:right="1025" w:firstLine="0"/>
        <w:jc w:val="left"/>
        <w:rPr>
          <w:sz w:val="20"/>
        </w:rPr>
      </w:pPr>
      <w:r>
        <w:rPr>
          <w:w w:val="120"/>
          <w:sz w:val="20"/>
        </w:rPr>
        <w:t>What follows here is designed to help members of the equalities committee observe and reflect back reasonably constructive comments and suggestions to a General Assembly committee on its own practice of inclusion in relation to the desired intentions of the</w:t>
      </w:r>
      <w:r>
        <w:rPr>
          <w:spacing w:val="5"/>
          <w:w w:val="120"/>
          <w:sz w:val="20"/>
        </w:rPr>
        <w:t> </w:t>
      </w:r>
      <w:r>
        <w:rPr>
          <w:w w:val="120"/>
          <w:sz w:val="20"/>
        </w:rPr>
        <w:t>URC.</w:t>
      </w:r>
    </w:p>
    <w:p>
      <w:pPr>
        <w:pStyle w:val="BodyText"/>
        <w:spacing w:before="11"/>
        <w:rPr>
          <w:sz w:val="19"/>
        </w:rPr>
      </w:pPr>
    </w:p>
    <w:p>
      <w:pPr>
        <w:pStyle w:val="ListParagraph"/>
        <w:numPr>
          <w:ilvl w:val="1"/>
          <w:numId w:val="75"/>
        </w:numPr>
        <w:tabs>
          <w:tab w:pos="2244" w:val="left" w:leader="none"/>
          <w:tab w:pos="2245" w:val="left" w:leader="none"/>
        </w:tabs>
        <w:spacing w:line="235" w:lineRule="auto" w:before="0" w:after="0"/>
        <w:ind w:left="1564" w:right="1270" w:firstLine="0"/>
        <w:jc w:val="left"/>
        <w:rPr>
          <w:sz w:val="20"/>
        </w:rPr>
      </w:pPr>
      <w:r>
        <w:rPr>
          <w:w w:val="120"/>
          <w:sz w:val="20"/>
        </w:rPr>
        <w:t>Good equalities and diversity practice is more than ethnicity, gender and culture. There are a whole range of protected characteristics as covered by the Equalities Act </w:t>
      </w:r>
      <w:r>
        <w:rPr>
          <w:spacing w:val="-5"/>
          <w:w w:val="120"/>
          <w:sz w:val="20"/>
        </w:rPr>
        <w:t>2010. </w:t>
      </w:r>
      <w:r>
        <w:rPr>
          <w:w w:val="120"/>
          <w:sz w:val="20"/>
        </w:rPr>
        <w:t>Ultimately in working towards transformative inclusion we must consider how all elements of difference intersect and how discrimination, based on different layers of identity often interlocks to reinforce and perpetuate each</w:t>
      </w:r>
      <w:r>
        <w:rPr>
          <w:spacing w:val="-13"/>
          <w:w w:val="120"/>
          <w:sz w:val="20"/>
        </w:rPr>
        <w:t> </w:t>
      </w:r>
      <w:r>
        <w:rPr>
          <w:spacing w:val="-3"/>
          <w:w w:val="120"/>
          <w:sz w:val="20"/>
        </w:rPr>
        <w:t>other.</w:t>
      </w:r>
    </w:p>
    <w:p>
      <w:pPr>
        <w:pStyle w:val="BodyText"/>
        <w:spacing w:before="11"/>
        <w:rPr>
          <w:sz w:val="19"/>
        </w:rPr>
      </w:pPr>
    </w:p>
    <w:p>
      <w:pPr>
        <w:pStyle w:val="ListParagraph"/>
        <w:numPr>
          <w:ilvl w:val="1"/>
          <w:numId w:val="75"/>
        </w:numPr>
        <w:tabs>
          <w:tab w:pos="2244" w:val="left" w:leader="none"/>
          <w:tab w:pos="2245" w:val="left" w:leader="none"/>
        </w:tabs>
        <w:spacing w:line="235" w:lineRule="auto" w:before="1" w:after="0"/>
        <w:ind w:left="1564" w:right="1205" w:firstLine="0"/>
        <w:jc w:val="left"/>
        <w:rPr>
          <w:sz w:val="20"/>
        </w:rPr>
      </w:pPr>
      <w:r>
        <w:rPr>
          <w:w w:val="120"/>
          <w:sz w:val="20"/>
        </w:rPr>
        <w:t>For instance, when attending a mission committee meeting or that of the education and learning committee or the finance committee, it will not necessarily be evident what the equalities issues are and how that committee’s working practice is related to the issues that matter to Equalities. The intention is not that equalities observation of a committee’s work must be done from the perspective that there must be some evil intention lurking somewhere in the committee’s work. Rather</w:t>
      </w:r>
      <w:r>
        <w:rPr>
          <w:spacing w:val="17"/>
          <w:w w:val="120"/>
          <w:sz w:val="20"/>
        </w:rPr>
        <w:t> </w:t>
      </w:r>
      <w:r>
        <w:rPr>
          <w:w w:val="120"/>
          <w:sz w:val="20"/>
        </w:rPr>
        <w:t>the</w:t>
      </w:r>
    </w:p>
    <w:p>
      <w:pPr>
        <w:pStyle w:val="BodyText"/>
        <w:spacing w:line="235" w:lineRule="auto" w:before="4"/>
        <w:ind w:left="1564" w:right="923"/>
      </w:pPr>
      <w:r>
        <w:rPr>
          <w:w w:val="120"/>
        </w:rPr>
        <w:t>intention is to affirm good practice, highlight deficiencies and point to helpful ways to improve representation and participation in the meeting. It is also to indicate</w:t>
      </w:r>
      <w:r>
        <w:rPr>
          <w:spacing w:val="37"/>
          <w:w w:val="120"/>
        </w:rPr>
        <w:t> </w:t>
      </w:r>
      <w:r>
        <w:rPr>
          <w:w w:val="120"/>
        </w:rPr>
        <w:t>where</w:t>
      </w:r>
    </w:p>
    <w:p>
      <w:pPr>
        <w:pStyle w:val="BodyText"/>
        <w:spacing w:line="235" w:lineRule="auto" w:before="1"/>
        <w:ind w:left="1564" w:right="923"/>
      </w:pPr>
      <w:r>
        <w:rPr>
          <w:w w:val="120"/>
        </w:rPr>
        <w:t>a course of action that might arise from a committee decision might raise issues of discrimination or exclusion.</w:t>
      </w:r>
    </w:p>
    <w:p>
      <w:pPr>
        <w:pStyle w:val="BodyText"/>
        <w:spacing w:before="6"/>
        <w:rPr>
          <w:sz w:val="19"/>
        </w:rPr>
      </w:pPr>
    </w:p>
    <w:p>
      <w:pPr>
        <w:pStyle w:val="BodyText"/>
        <w:tabs>
          <w:tab w:pos="2244" w:val="left" w:leader="none"/>
        </w:tabs>
        <w:spacing w:line="237" w:lineRule="exact"/>
        <w:ind w:left="1564"/>
      </w:pPr>
      <w:r>
        <w:rPr>
          <w:spacing w:val="-7"/>
          <w:w w:val="120"/>
        </w:rPr>
        <w:t>2.1</w:t>
        <w:tab/>
      </w:r>
      <w:r>
        <w:rPr>
          <w:w w:val="120"/>
        </w:rPr>
        <w:t>Things to consider </w:t>
      </w:r>
      <w:r>
        <w:rPr>
          <w:spacing w:val="-9"/>
          <w:w w:val="120"/>
        </w:rPr>
        <w:t>(a </w:t>
      </w:r>
      <w:r>
        <w:rPr>
          <w:spacing w:val="2"/>
          <w:w w:val="120"/>
        </w:rPr>
        <w:t>sort </w:t>
      </w:r>
      <w:r>
        <w:rPr>
          <w:w w:val="120"/>
        </w:rPr>
        <w:t>of checklist, in no particular order and not</w:t>
      </w:r>
      <w:r>
        <w:rPr>
          <w:spacing w:val="48"/>
          <w:w w:val="120"/>
        </w:rPr>
        <w:t> </w:t>
      </w:r>
      <w:r>
        <w:rPr>
          <w:w w:val="120"/>
        </w:rPr>
        <w:t>exhaustive):</w:t>
      </w:r>
    </w:p>
    <w:p>
      <w:pPr>
        <w:pStyle w:val="ListParagraph"/>
        <w:numPr>
          <w:ilvl w:val="2"/>
          <w:numId w:val="72"/>
        </w:numPr>
        <w:tabs>
          <w:tab w:pos="2244" w:val="left" w:leader="none"/>
          <w:tab w:pos="2245" w:val="left" w:leader="none"/>
        </w:tabs>
        <w:spacing w:line="237" w:lineRule="auto" w:before="0" w:after="0"/>
        <w:ind w:left="2244" w:right="1577" w:hanging="681"/>
        <w:jc w:val="left"/>
        <w:rPr>
          <w:sz w:val="20"/>
        </w:rPr>
      </w:pPr>
      <w:r>
        <w:rPr>
          <w:w w:val="120"/>
          <w:sz w:val="20"/>
        </w:rPr>
        <w:t>Make up of committee: who constitutes the committee? How diverse is </w:t>
      </w:r>
      <w:r>
        <w:rPr>
          <w:spacing w:val="-3"/>
          <w:w w:val="120"/>
          <w:sz w:val="20"/>
        </w:rPr>
        <w:t>it? </w:t>
      </w:r>
      <w:r>
        <w:rPr>
          <w:w w:val="120"/>
          <w:sz w:val="20"/>
        </w:rPr>
        <w:t>Where is improvement needed? Is there an awareness of such a</w:t>
      </w:r>
      <w:r>
        <w:rPr>
          <w:spacing w:val="-14"/>
          <w:w w:val="120"/>
          <w:sz w:val="20"/>
        </w:rPr>
        <w:t> </w:t>
      </w:r>
      <w:r>
        <w:rPr>
          <w:w w:val="120"/>
          <w:sz w:val="20"/>
        </w:rPr>
        <w:t>need?</w:t>
      </w:r>
    </w:p>
    <w:p>
      <w:pPr>
        <w:pStyle w:val="ListParagraph"/>
        <w:numPr>
          <w:ilvl w:val="2"/>
          <w:numId w:val="72"/>
        </w:numPr>
        <w:tabs>
          <w:tab w:pos="2244" w:val="left" w:leader="none"/>
          <w:tab w:pos="2245" w:val="left" w:leader="none"/>
        </w:tabs>
        <w:spacing w:line="235" w:lineRule="auto" w:before="0" w:after="0"/>
        <w:ind w:left="2244" w:right="1070" w:hanging="681"/>
        <w:jc w:val="left"/>
        <w:rPr>
          <w:sz w:val="20"/>
        </w:rPr>
      </w:pPr>
      <w:r>
        <w:rPr>
          <w:w w:val="120"/>
          <w:sz w:val="20"/>
        </w:rPr>
        <w:t>Meeting space and timings: how is this affecting representation and participation? Is it accessible, easy to find, welcoming and friendly? Who would find it most</w:t>
      </w:r>
      <w:r>
        <w:rPr>
          <w:spacing w:val="5"/>
          <w:w w:val="120"/>
          <w:sz w:val="20"/>
        </w:rPr>
        <w:t> </w:t>
      </w:r>
      <w:r>
        <w:rPr>
          <w:w w:val="120"/>
          <w:sz w:val="20"/>
        </w:rPr>
        <w:t>difficult?</w:t>
      </w:r>
    </w:p>
    <w:p>
      <w:pPr>
        <w:pStyle w:val="ListParagraph"/>
        <w:numPr>
          <w:ilvl w:val="2"/>
          <w:numId w:val="72"/>
        </w:numPr>
        <w:tabs>
          <w:tab w:pos="2244" w:val="left" w:leader="none"/>
          <w:tab w:pos="2245" w:val="left" w:leader="none"/>
        </w:tabs>
        <w:spacing w:line="235" w:lineRule="auto" w:before="0" w:after="0"/>
        <w:ind w:left="2244" w:right="1403" w:hanging="681"/>
        <w:jc w:val="left"/>
        <w:rPr>
          <w:sz w:val="20"/>
        </w:rPr>
      </w:pPr>
      <w:r>
        <w:rPr>
          <w:w w:val="120"/>
          <w:sz w:val="20"/>
        </w:rPr>
        <w:t>Agenda and meeting process: what does the agenda and process say about inclusion, knowledge, inclusion/exclusion? Who finds it </w:t>
      </w:r>
      <w:r>
        <w:rPr>
          <w:spacing w:val="-3"/>
          <w:w w:val="120"/>
          <w:sz w:val="20"/>
        </w:rPr>
        <w:t>easier? </w:t>
      </w:r>
      <w:r>
        <w:rPr>
          <w:w w:val="120"/>
          <w:sz w:val="20"/>
        </w:rPr>
        <w:t>What are the assumptions? For whom is it challenging? Are all able to equally access the resources for the meeting (especially online</w:t>
      </w:r>
      <w:r>
        <w:rPr>
          <w:spacing w:val="9"/>
          <w:w w:val="120"/>
          <w:sz w:val="20"/>
        </w:rPr>
        <w:t> </w:t>
      </w:r>
      <w:r>
        <w:rPr>
          <w:spacing w:val="-3"/>
          <w:w w:val="120"/>
          <w:sz w:val="20"/>
        </w:rPr>
        <w:t>materials)?</w:t>
      </w:r>
    </w:p>
    <w:p>
      <w:pPr>
        <w:pStyle w:val="ListParagraph"/>
        <w:numPr>
          <w:ilvl w:val="2"/>
          <w:numId w:val="72"/>
        </w:numPr>
        <w:tabs>
          <w:tab w:pos="2244" w:val="left" w:leader="none"/>
          <w:tab w:pos="2245" w:val="left" w:leader="none"/>
        </w:tabs>
        <w:spacing w:line="235" w:lineRule="auto" w:before="0" w:after="0"/>
        <w:ind w:left="2244" w:right="1566" w:hanging="681"/>
        <w:jc w:val="left"/>
        <w:rPr>
          <w:sz w:val="20"/>
        </w:rPr>
      </w:pPr>
      <w:r>
        <w:rPr>
          <w:w w:val="120"/>
          <w:sz w:val="20"/>
        </w:rPr>
        <w:t>Language and images: how accessible has been the conversation for all?   Is there care in ensuring that acronyms and specialised terms are</w:t>
      </w:r>
      <w:r>
        <w:rPr>
          <w:spacing w:val="-20"/>
          <w:w w:val="120"/>
          <w:sz w:val="20"/>
        </w:rPr>
        <w:t> </w:t>
      </w:r>
      <w:r>
        <w:rPr>
          <w:w w:val="120"/>
          <w:sz w:val="20"/>
        </w:rPr>
        <w:t>clarified?</w:t>
      </w:r>
    </w:p>
    <w:p>
      <w:pPr>
        <w:pStyle w:val="BodyText"/>
        <w:spacing w:line="235" w:lineRule="auto"/>
        <w:ind w:left="2244" w:right="1169"/>
      </w:pPr>
      <w:r>
        <w:rPr>
          <w:w w:val="120"/>
        </w:rPr>
        <w:t>Do the images represent the diversity of the URC? Is the convenor ensuring clarity of communication and action for all?</w:t>
      </w:r>
    </w:p>
    <w:p>
      <w:pPr>
        <w:pStyle w:val="ListParagraph"/>
        <w:numPr>
          <w:ilvl w:val="2"/>
          <w:numId w:val="72"/>
        </w:numPr>
        <w:tabs>
          <w:tab w:pos="2244" w:val="left" w:leader="none"/>
          <w:tab w:pos="2245" w:val="left" w:leader="none"/>
        </w:tabs>
        <w:spacing w:line="235" w:lineRule="auto" w:before="0" w:after="0"/>
        <w:ind w:left="2244" w:right="1362" w:hanging="681"/>
        <w:jc w:val="left"/>
        <w:rPr>
          <w:sz w:val="20"/>
        </w:rPr>
      </w:pPr>
      <w:r>
        <w:rPr>
          <w:w w:val="120"/>
          <w:sz w:val="20"/>
        </w:rPr>
        <w:t>Culture of inclusion: how is this evident from the way the meeting happens? Who</w:t>
      </w:r>
      <w:r>
        <w:rPr>
          <w:spacing w:val="-7"/>
          <w:w w:val="120"/>
          <w:sz w:val="20"/>
        </w:rPr>
        <w:t> </w:t>
      </w:r>
      <w:r>
        <w:rPr>
          <w:w w:val="120"/>
          <w:sz w:val="20"/>
        </w:rPr>
        <w:t>are</w:t>
      </w:r>
      <w:r>
        <w:rPr>
          <w:spacing w:val="-7"/>
          <w:w w:val="120"/>
          <w:sz w:val="20"/>
        </w:rPr>
        <w:t> </w:t>
      </w:r>
      <w:r>
        <w:rPr>
          <w:w w:val="120"/>
          <w:sz w:val="20"/>
        </w:rPr>
        <w:t>valued?</w:t>
      </w:r>
      <w:r>
        <w:rPr>
          <w:spacing w:val="-7"/>
          <w:w w:val="120"/>
          <w:sz w:val="20"/>
        </w:rPr>
        <w:t> </w:t>
      </w:r>
      <w:r>
        <w:rPr>
          <w:w w:val="120"/>
          <w:sz w:val="20"/>
        </w:rPr>
        <w:t>Who</w:t>
      </w:r>
      <w:r>
        <w:rPr>
          <w:spacing w:val="-7"/>
          <w:w w:val="120"/>
          <w:sz w:val="20"/>
        </w:rPr>
        <w:t> </w:t>
      </w:r>
      <w:r>
        <w:rPr>
          <w:w w:val="120"/>
          <w:sz w:val="20"/>
        </w:rPr>
        <w:t>speaks?</w:t>
      </w:r>
      <w:r>
        <w:rPr>
          <w:spacing w:val="-6"/>
          <w:w w:val="120"/>
          <w:sz w:val="20"/>
        </w:rPr>
        <w:t> </w:t>
      </w:r>
      <w:r>
        <w:rPr>
          <w:w w:val="120"/>
          <w:sz w:val="20"/>
        </w:rPr>
        <w:t>How</w:t>
      </w:r>
      <w:r>
        <w:rPr>
          <w:spacing w:val="-7"/>
          <w:w w:val="120"/>
          <w:sz w:val="20"/>
        </w:rPr>
        <w:t> </w:t>
      </w:r>
      <w:r>
        <w:rPr>
          <w:w w:val="120"/>
          <w:sz w:val="20"/>
        </w:rPr>
        <w:t>many</w:t>
      </w:r>
      <w:r>
        <w:rPr>
          <w:spacing w:val="-7"/>
          <w:w w:val="120"/>
          <w:sz w:val="20"/>
        </w:rPr>
        <w:t> </w:t>
      </w:r>
      <w:r>
        <w:rPr>
          <w:w w:val="120"/>
          <w:sz w:val="20"/>
        </w:rPr>
        <w:t>times?</w:t>
      </w:r>
      <w:r>
        <w:rPr>
          <w:spacing w:val="-7"/>
          <w:w w:val="120"/>
          <w:sz w:val="20"/>
        </w:rPr>
        <w:t> </w:t>
      </w:r>
      <w:r>
        <w:rPr>
          <w:w w:val="120"/>
          <w:sz w:val="20"/>
        </w:rPr>
        <w:t>Who</w:t>
      </w:r>
      <w:r>
        <w:rPr>
          <w:spacing w:val="-6"/>
          <w:w w:val="120"/>
          <w:sz w:val="20"/>
        </w:rPr>
        <w:t> </w:t>
      </w:r>
      <w:r>
        <w:rPr>
          <w:w w:val="120"/>
          <w:sz w:val="20"/>
        </w:rPr>
        <w:t>are</w:t>
      </w:r>
      <w:r>
        <w:rPr>
          <w:spacing w:val="-7"/>
          <w:w w:val="120"/>
          <w:sz w:val="20"/>
        </w:rPr>
        <w:t> </w:t>
      </w:r>
      <w:r>
        <w:rPr>
          <w:w w:val="120"/>
          <w:sz w:val="20"/>
        </w:rPr>
        <w:t>heard?</w:t>
      </w:r>
      <w:r>
        <w:rPr>
          <w:spacing w:val="-7"/>
          <w:w w:val="120"/>
          <w:sz w:val="20"/>
        </w:rPr>
        <w:t> </w:t>
      </w:r>
      <w:r>
        <w:rPr>
          <w:w w:val="120"/>
          <w:sz w:val="20"/>
        </w:rPr>
        <w:t>Who/what are the trusted </w:t>
      </w:r>
      <w:r>
        <w:rPr>
          <w:spacing w:val="-3"/>
          <w:w w:val="120"/>
          <w:sz w:val="20"/>
        </w:rPr>
        <w:t>voices? </w:t>
      </w:r>
      <w:r>
        <w:rPr>
          <w:w w:val="120"/>
          <w:sz w:val="20"/>
        </w:rPr>
        <w:t>What is the convenor doing to make everyone feel included and to participate? Are all treated equally? What are the two key values of the</w:t>
      </w:r>
      <w:r>
        <w:rPr>
          <w:spacing w:val="4"/>
          <w:w w:val="120"/>
          <w:sz w:val="20"/>
        </w:rPr>
        <w:t> </w:t>
      </w:r>
      <w:r>
        <w:rPr>
          <w:w w:val="120"/>
          <w:sz w:val="20"/>
        </w:rPr>
        <w:t>committee?</w:t>
      </w:r>
    </w:p>
    <w:p>
      <w:pPr>
        <w:pStyle w:val="ListParagraph"/>
        <w:numPr>
          <w:ilvl w:val="2"/>
          <w:numId w:val="72"/>
        </w:numPr>
        <w:tabs>
          <w:tab w:pos="2244" w:val="left" w:leader="none"/>
          <w:tab w:pos="2245" w:val="left" w:leader="none"/>
        </w:tabs>
        <w:spacing w:line="235" w:lineRule="auto" w:before="0" w:after="0"/>
        <w:ind w:left="2244" w:right="1305" w:hanging="681"/>
        <w:jc w:val="both"/>
        <w:rPr>
          <w:sz w:val="20"/>
        </w:rPr>
      </w:pPr>
      <w:r>
        <w:rPr>
          <w:w w:val="120"/>
          <w:sz w:val="20"/>
        </w:rPr>
        <w:t>Visibility and invisibility: are there signals, codes, comments that are ‘insider’ </w:t>
      </w:r>
      <w:r>
        <w:rPr>
          <w:spacing w:val="-6"/>
          <w:w w:val="120"/>
          <w:sz w:val="20"/>
        </w:rPr>
        <w:t>(or </w:t>
      </w:r>
      <w:r>
        <w:rPr>
          <w:w w:val="120"/>
          <w:sz w:val="20"/>
        </w:rPr>
        <w:t>only known to a </w:t>
      </w:r>
      <w:r>
        <w:rPr>
          <w:spacing w:val="-5"/>
          <w:w w:val="120"/>
          <w:sz w:val="20"/>
        </w:rPr>
        <w:t>few)? </w:t>
      </w:r>
      <w:r>
        <w:rPr>
          <w:w w:val="120"/>
          <w:sz w:val="20"/>
        </w:rPr>
        <w:t>Who sits where? In terms of layout – are all equally visible to the convene or is the convenor only in eye contact with a</w:t>
      </w:r>
      <w:r>
        <w:rPr>
          <w:spacing w:val="26"/>
          <w:w w:val="120"/>
          <w:sz w:val="20"/>
        </w:rPr>
        <w:t> </w:t>
      </w:r>
      <w:r>
        <w:rPr>
          <w:spacing w:val="-4"/>
          <w:w w:val="120"/>
          <w:sz w:val="20"/>
        </w:rPr>
        <w:t>few?</w:t>
      </w:r>
    </w:p>
    <w:p>
      <w:pPr>
        <w:spacing w:after="0" w:line="235" w:lineRule="auto"/>
        <w:jc w:val="both"/>
        <w:rPr>
          <w:sz w:val="20"/>
        </w:rPr>
        <w:sectPr>
          <w:headerReference w:type="default" r:id="rId314"/>
          <w:pgSz w:w="11910" w:h="16840"/>
          <w:pgMar w:header="0" w:footer="647" w:top="0" w:bottom="840" w:left="420" w:right="380"/>
        </w:sectPr>
      </w:pPr>
    </w:p>
    <w:p>
      <w:pPr>
        <w:pStyle w:val="BodyText"/>
      </w:pPr>
      <w:r>
        <w:rPr/>
        <w:drawing>
          <wp:anchor distT="0" distB="0" distL="0" distR="0" allowOverlap="1" layoutInCell="1" locked="0" behindDoc="1" simplePos="0" relativeHeight="235982848">
            <wp:simplePos x="0" y="0"/>
            <wp:positionH relativeFrom="page">
              <wp:posOffset>0</wp:posOffset>
            </wp:positionH>
            <wp:positionV relativeFrom="page">
              <wp:posOffset>0</wp:posOffset>
            </wp:positionV>
            <wp:extent cx="594067" cy="10692003"/>
            <wp:effectExtent l="0" t="0" r="0" b="0"/>
            <wp:wrapNone/>
            <wp:docPr id="209" name="image73.png"/>
            <wp:cNvGraphicFramePr>
              <a:graphicFrameLocks noChangeAspect="1"/>
            </wp:cNvGraphicFramePr>
            <a:graphic>
              <a:graphicData uri="http://schemas.openxmlformats.org/drawingml/2006/picture">
                <pic:pic>
                  <pic:nvPicPr>
                    <pic:cNvPr id="210" name="image73.png"/>
                    <pic:cNvPicPr/>
                  </pic:nvPicPr>
                  <pic:blipFill>
                    <a:blip r:embed="rId318"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44.9pt;mso-position-horizontal-relative:page;mso-position-vertical-relative:paragraph;z-index:251951104" type="#_x0000_t202" filled="false" stroked="false">
            <v:textbox inset="0,0,0,0" style="layout-flow:vertical">
              <w:txbxContent>
                <w:p>
                  <w:pPr>
                    <w:spacing w:before="29"/>
                    <w:ind w:left="20" w:right="0" w:firstLine="0"/>
                    <w:jc w:val="left"/>
                    <w:rPr>
                      <w:sz w:val="39"/>
                    </w:rPr>
                  </w:pPr>
                  <w:r>
                    <w:rPr>
                      <w:color w:val="FFFFFF"/>
                      <w:spacing w:val="9"/>
                      <w:w w:val="125"/>
                      <w:sz w:val="39"/>
                    </w:rPr>
                    <w:t>Equalities </w:t>
                  </w:r>
                  <w:r>
                    <w:rPr>
                      <w:color w:val="FFFFFF"/>
                      <w:w w:val="125"/>
                      <w:sz w:val="39"/>
                    </w:rPr>
                    <w:t>– </w:t>
                  </w:r>
                  <w:r>
                    <w:rPr>
                      <w:color w:val="FFFFFF"/>
                      <w:spacing w:val="9"/>
                      <w:w w:val="125"/>
                      <w:sz w:val="39"/>
                    </w:rPr>
                    <w:t>Appendix</w:t>
                  </w:r>
                  <w:r>
                    <w:rPr>
                      <w:color w:val="FFFFFF"/>
                      <w:spacing w:val="76"/>
                      <w:w w:val="125"/>
                      <w:sz w:val="39"/>
                    </w:rPr>
                    <w:t> </w:t>
                  </w:r>
                  <w:r>
                    <w:rPr>
                      <w:color w:val="FFFFFF"/>
                      <w:w w:val="125"/>
                      <w:sz w:val="39"/>
                    </w:rPr>
                    <w:t>1</w:t>
                  </w:r>
                </w:p>
              </w:txbxContent>
            </v:textbox>
            <w10:wrap type="none"/>
          </v:shape>
        </w:pict>
      </w:r>
      <w:r>
        <w:rPr>
          <w:color w:val="7EAABF"/>
          <w:w w:val="115"/>
        </w:rPr>
        <w:t>Equalities</w:t>
      </w:r>
    </w:p>
    <w:p>
      <w:pPr>
        <w:pStyle w:val="ListParagraph"/>
        <w:numPr>
          <w:ilvl w:val="0"/>
          <w:numId w:val="65"/>
        </w:numPr>
        <w:tabs>
          <w:tab w:pos="1507" w:val="left" w:leader="none"/>
          <w:tab w:pos="1508" w:val="left" w:leader="none"/>
        </w:tabs>
        <w:spacing w:line="235" w:lineRule="auto" w:before="211" w:after="0"/>
        <w:ind w:left="1507" w:right="1772" w:hanging="681"/>
        <w:jc w:val="left"/>
        <w:rPr>
          <w:sz w:val="20"/>
        </w:rPr>
      </w:pPr>
      <w:r>
        <w:rPr>
          <w:w w:val="120"/>
          <w:sz w:val="20"/>
        </w:rPr>
        <w:t>Awareness: is there an </w:t>
      </w:r>
      <w:r>
        <w:rPr>
          <w:spacing w:val="2"/>
          <w:w w:val="120"/>
          <w:sz w:val="20"/>
        </w:rPr>
        <w:t>effort </w:t>
      </w:r>
      <w:r>
        <w:rPr>
          <w:w w:val="120"/>
          <w:sz w:val="20"/>
        </w:rPr>
        <w:t>to welcome marginalised/minority people or first timers to the meeting? How aware are the participants of a diversity of views or perspectives on a particular matter/issue? Is there concern about a convenor’s awareness level of diversity and difference? Is there a possibility for the development of awareness competence and other</w:t>
      </w:r>
      <w:r>
        <w:rPr>
          <w:spacing w:val="11"/>
          <w:w w:val="120"/>
          <w:sz w:val="20"/>
        </w:rPr>
        <w:t> </w:t>
      </w:r>
      <w:r>
        <w:rPr>
          <w:w w:val="120"/>
          <w:sz w:val="20"/>
        </w:rPr>
        <w:t>skilling?</w:t>
      </w:r>
    </w:p>
    <w:p>
      <w:pPr>
        <w:pStyle w:val="ListParagraph"/>
        <w:numPr>
          <w:ilvl w:val="0"/>
          <w:numId w:val="65"/>
        </w:numPr>
        <w:tabs>
          <w:tab w:pos="1507" w:val="left" w:leader="none"/>
          <w:tab w:pos="1508" w:val="left" w:leader="none"/>
        </w:tabs>
        <w:spacing w:line="235" w:lineRule="auto" w:before="0" w:after="0"/>
        <w:ind w:left="1507" w:right="1601" w:hanging="681"/>
        <w:jc w:val="left"/>
        <w:rPr>
          <w:sz w:val="20"/>
        </w:rPr>
      </w:pPr>
      <w:r>
        <w:rPr>
          <w:w w:val="120"/>
          <w:sz w:val="20"/>
        </w:rPr>
        <w:t>Intentionality: is there a sense that the agenda, process, discussion and outcomes reflect a reasonable grasp of diversity, difference and inclusion? What good practice have you observed? What can be</w:t>
      </w:r>
      <w:r>
        <w:rPr>
          <w:spacing w:val="16"/>
          <w:w w:val="120"/>
          <w:sz w:val="20"/>
        </w:rPr>
        <w:t> </w:t>
      </w:r>
      <w:r>
        <w:rPr>
          <w:w w:val="120"/>
          <w:sz w:val="20"/>
        </w:rPr>
        <w:t>improved?</w:t>
      </w:r>
    </w:p>
    <w:p>
      <w:pPr>
        <w:pStyle w:val="BodyText"/>
        <w:spacing w:before="3"/>
        <w:rPr>
          <w:sz w:val="19"/>
        </w:rPr>
      </w:pPr>
    </w:p>
    <w:p>
      <w:pPr>
        <w:pStyle w:val="BodyText"/>
        <w:tabs>
          <w:tab w:pos="1507" w:val="left" w:leader="none"/>
        </w:tabs>
        <w:spacing w:line="235" w:lineRule="auto"/>
        <w:ind w:left="827" w:right="1790"/>
      </w:pPr>
      <w:r>
        <w:rPr>
          <w:w w:val="120"/>
        </w:rPr>
        <w:t>3.</w:t>
        <w:tab/>
        <w:t>For any meeting a member of the equalities committee attends: what will I take away as good practice/model of inclusion to be shared with</w:t>
      </w:r>
      <w:r>
        <w:rPr>
          <w:spacing w:val="21"/>
          <w:w w:val="120"/>
        </w:rPr>
        <w:t> </w:t>
      </w:r>
      <w:r>
        <w:rPr>
          <w:w w:val="120"/>
        </w:rPr>
        <w:t>others?</w:t>
      </w:r>
    </w:p>
    <w:p>
      <w:pPr>
        <w:spacing w:after="0" w:line="235" w:lineRule="auto"/>
        <w:sectPr>
          <w:headerReference w:type="even" r:id="rId316"/>
          <w:footerReference w:type="even" r:id="rId317"/>
          <w:pgSz w:w="11910" w:h="16840"/>
          <w:pgMar w:header="0" w:footer="647" w:top="0" w:bottom="840" w:left="420" w:right="380"/>
        </w:sectPr>
      </w:pPr>
    </w:p>
    <w:p>
      <w:pPr>
        <w:pStyle w:val="BodyText"/>
      </w:pPr>
      <w:r>
        <w:rPr/>
        <w:pict>
          <v:rect style="position:absolute;margin-left:1.417pt;margin-top:.000015pt;width:547.79pt;height:841.89pt;mso-position-horizontal-relative:page;mso-position-vertical-relative:page;z-index:-267331584" filled="true" fillcolor="#d4e9f7" stroked="false">
            <v:fill type="solid"/>
            <w10:wrap type="none"/>
          </v:rect>
        </w:pict>
      </w:r>
      <w:r>
        <w:rPr/>
        <w:drawing>
          <wp:anchor distT="0" distB="0" distL="0" distR="0" allowOverlap="1" layoutInCell="1" locked="0" behindDoc="0" simplePos="0" relativeHeight="251953152">
            <wp:simplePos x="0" y="0"/>
            <wp:positionH relativeFrom="page">
              <wp:posOffset>6974928</wp:posOffset>
            </wp:positionH>
            <wp:positionV relativeFrom="page">
              <wp:posOffset>0</wp:posOffset>
            </wp:positionV>
            <wp:extent cx="585063" cy="10692003"/>
            <wp:effectExtent l="0" t="0" r="0" b="0"/>
            <wp:wrapNone/>
            <wp:docPr id="211" name="image57.png"/>
            <wp:cNvGraphicFramePr>
              <a:graphicFrameLocks noChangeAspect="1"/>
            </wp:cNvGraphicFramePr>
            <a:graphic>
              <a:graphicData uri="http://schemas.openxmlformats.org/drawingml/2006/picture">
                <pic:pic>
                  <pic:nvPicPr>
                    <pic:cNvPr id="21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51" w:right="2307"/>
        <w:rPr>
          <w:b/>
        </w:rPr>
      </w:pPr>
      <w:r>
        <w:rPr/>
        <w:pict>
          <v:shape style="position:absolute;margin-left:554.141174pt;margin-top:-5.989334pt;width:26pt;height:159.65pt;mso-position-horizontal-relative:page;mso-position-vertical-relative:paragraph;z-index:251954176"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bookmarkStart w:name="_bookmark19" w:id="24"/>
      <w:bookmarkEnd w:id="24"/>
      <w:r>
        <w:rPr>
          <w:b w:val="0"/>
        </w:rPr>
      </w:r>
      <w:r>
        <w:rPr>
          <w:b/>
          <w:color w:val="0090D4"/>
          <w:w w:val="110"/>
        </w:rPr>
        <w:t>Faith and order committee </w:t>
      </w:r>
      <w:r>
        <w:rPr>
          <w:b/>
          <w:w w:val="110"/>
        </w:rPr>
        <w:t>Report of ongoing work</w:t>
      </w:r>
    </w:p>
    <w:p>
      <w:pPr>
        <w:spacing w:before="356" w:after="9"/>
        <w:ind w:left="1351"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61"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shd w:val="clear" w:color="auto" w:fill="FFFFFF"/>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shd w:val="clear" w:color="auto" w:fill="FFFFFF"/>
          </w:tcPr>
          <w:p>
            <w:pPr>
              <w:pStyle w:val="TableParagraph"/>
              <w:spacing w:before="108"/>
              <w:ind w:left="79"/>
              <w:rPr>
                <w:sz w:val="20"/>
              </w:rPr>
            </w:pPr>
            <w:r>
              <w:rPr>
                <w:w w:val="120"/>
                <w:sz w:val="20"/>
              </w:rPr>
              <w:t>Alan Spence: </w:t>
            </w:r>
            <w:hyperlink r:id="rId321">
              <w:r>
                <w:rPr>
                  <w:color w:val="006AB3"/>
                  <w:w w:val="120"/>
                  <w:sz w:val="20"/>
                </w:rPr>
                <w:t>alanandsheila@gmail.com</w:t>
              </w:r>
            </w:hyperlink>
          </w:p>
        </w:tc>
      </w:tr>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shd w:val="clear" w:color="auto" w:fill="FFFFFF"/>
          </w:tcPr>
          <w:p>
            <w:pPr>
              <w:pStyle w:val="TableParagraph"/>
              <w:spacing w:before="108"/>
              <w:ind w:left="79"/>
              <w:rPr>
                <w:sz w:val="20"/>
              </w:rPr>
            </w:pPr>
            <w:r>
              <w:rPr>
                <w:w w:val="120"/>
                <w:sz w:val="20"/>
              </w:rPr>
              <w:t>Decision.</w:t>
            </w:r>
          </w:p>
        </w:tc>
      </w:tr>
      <w:tr>
        <w:trPr>
          <w:trHeight w:val="376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shd w:val="clear" w:color="auto" w:fill="FFFFFF"/>
          </w:tcPr>
          <w:p>
            <w:pPr>
              <w:pStyle w:val="TableParagraph"/>
              <w:tabs>
                <w:tab w:pos="760" w:val="left" w:leader="none"/>
              </w:tabs>
              <w:spacing w:line="213" w:lineRule="auto" w:before="117"/>
              <w:ind w:left="79" w:right="223"/>
              <w:rPr>
                <w:rFonts w:ascii="Stone Sans II ITC Std Bk"/>
                <w:b/>
                <w:sz w:val="20"/>
              </w:rPr>
            </w:pPr>
            <w:r>
              <w:rPr>
                <w:rFonts w:ascii="Stone Sans II ITC Std Bk"/>
                <w:b/>
                <w:w w:val="110"/>
                <w:sz w:val="20"/>
              </w:rPr>
              <w:t>25.</w:t>
              <w:tab/>
              <w:t>General Assembly recognises that some  people who wish to continue as members of the United Reformed Church are unable to do so in the normal </w:t>
            </w:r>
            <w:r>
              <w:rPr>
                <w:rFonts w:ascii="Stone Sans II ITC Std Bk"/>
                <w:b/>
                <w:spacing w:val="-4"/>
                <w:w w:val="110"/>
                <w:sz w:val="20"/>
              </w:rPr>
              <w:t>way,</w:t>
            </w:r>
            <w:r>
              <w:rPr>
                <w:rFonts w:ascii="Stone Sans II ITC Std Bk"/>
                <w:b/>
                <w:spacing w:val="2"/>
                <w:w w:val="110"/>
                <w:sz w:val="20"/>
              </w:rPr>
              <w:t> </w:t>
            </w:r>
            <w:r>
              <w:rPr>
                <w:rFonts w:ascii="Stone Sans II ITC Std Bk"/>
                <w:b/>
                <w:w w:val="110"/>
                <w:sz w:val="20"/>
              </w:rPr>
              <w:t>often</w:t>
            </w:r>
          </w:p>
          <w:p>
            <w:pPr>
              <w:pStyle w:val="TableParagraph"/>
              <w:spacing w:line="213" w:lineRule="auto"/>
              <w:ind w:left="79" w:right="112"/>
              <w:rPr>
                <w:rFonts w:ascii="Stone Sans II ITC Std Bk"/>
                <w:b/>
                <w:sz w:val="20"/>
              </w:rPr>
            </w:pPr>
            <w:r>
              <w:rPr>
                <w:rFonts w:ascii="Stone Sans II ITC Std Bk"/>
                <w:b/>
                <w:w w:val="110"/>
                <w:sz w:val="20"/>
              </w:rPr>
              <w:t>because they live at a great distance from any local church of the URC, or their circumstances require a greater degree of mobility than enables them to be church members in  the normal </w:t>
            </w:r>
            <w:r>
              <w:rPr>
                <w:rFonts w:ascii="Stone Sans II ITC Std Bk"/>
                <w:b/>
                <w:spacing w:val="-4"/>
                <w:w w:val="110"/>
                <w:sz w:val="20"/>
              </w:rPr>
              <w:t>way. </w:t>
            </w:r>
            <w:r>
              <w:rPr>
                <w:rFonts w:ascii="Stone Sans II ITC Std Bk"/>
                <w:b/>
                <w:w w:val="110"/>
                <w:sz w:val="20"/>
              </w:rPr>
              <w:t>General Assembly requests each</w:t>
            </w:r>
            <w:r>
              <w:rPr>
                <w:rFonts w:ascii="Stone Sans II ITC Std Bk"/>
                <w:b/>
                <w:spacing w:val="17"/>
                <w:w w:val="110"/>
                <w:sz w:val="20"/>
              </w:rPr>
              <w:t> </w:t>
            </w:r>
            <w:r>
              <w:rPr>
                <w:rFonts w:ascii="Stone Sans II ITC Std Bk"/>
                <w:b/>
                <w:w w:val="110"/>
                <w:sz w:val="20"/>
              </w:rPr>
              <w:t>synod</w:t>
            </w:r>
          </w:p>
          <w:p>
            <w:pPr>
              <w:pStyle w:val="TableParagraph"/>
              <w:spacing w:line="213" w:lineRule="auto"/>
              <w:ind w:left="79" w:right="144"/>
              <w:rPr>
                <w:rFonts w:ascii="Stone Sans II ITC Std Bk"/>
                <w:b/>
                <w:sz w:val="20"/>
              </w:rPr>
            </w:pPr>
            <w:r>
              <w:rPr>
                <w:rFonts w:ascii="Stone Sans II ITC Std Bk"/>
                <w:b/>
                <w:w w:val="110"/>
                <w:sz w:val="20"/>
              </w:rPr>
              <w:t>to consider whether they can identify one or more local churches which have a vocation to hold the membership  of such people, who could be received onto the roll of that local church simply by resolution of the Church Meeting. General Assembly further requests that synods continue to treat such a local church fairly and justly in regard both to scoping and requested contributions to the ministry and mission</w:t>
            </w:r>
            <w:r>
              <w:rPr>
                <w:rFonts w:ascii="Stone Sans II ITC Std Bk"/>
                <w:b/>
                <w:spacing w:val="-1"/>
                <w:w w:val="110"/>
                <w:sz w:val="20"/>
              </w:rPr>
              <w:t> </w:t>
            </w:r>
            <w:r>
              <w:rPr>
                <w:rFonts w:ascii="Stone Sans II ITC Std Bk"/>
                <w:b/>
                <w:w w:val="110"/>
                <w:sz w:val="20"/>
              </w:rPr>
              <w:t>fund.</w:t>
            </w:r>
          </w:p>
        </w:tc>
      </w:tr>
    </w:tbl>
    <w:p>
      <w:pPr>
        <w:spacing w:before="187" w:after="9"/>
        <w:ind w:left="1351"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61"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88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shd w:val="clear" w:color="auto" w:fill="FFFFFF"/>
          </w:tcPr>
          <w:p>
            <w:pPr>
              <w:pStyle w:val="TableParagraph"/>
              <w:spacing w:before="108"/>
              <w:ind w:left="79"/>
              <w:rPr>
                <w:sz w:val="20"/>
              </w:rPr>
            </w:pPr>
            <w:r>
              <w:rPr>
                <w:w w:val="120"/>
                <w:sz w:val="20"/>
              </w:rPr>
              <w:t>An</w:t>
            </w:r>
            <w:r>
              <w:rPr>
                <w:spacing w:val="-11"/>
                <w:w w:val="120"/>
                <w:sz w:val="20"/>
              </w:rPr>
              <w:t> </w:t>
            </w:r>
            <w:r>
              <w:rPr>
                <w:spacing w:val="-3"/>
                <w:w w:val="120"/>
                <w:sz w:val="20"/>
              </w:rPr>
              <w:t>update</w:t>
            </w:r>
            <w:r>
              <w:rPr>
                <w:spacing w:val="-11"/>
                <w:w w:val="120"/>
                <w:sz w:val="20"/>
              </w:rPr>
              <w:t> </w:t>
            </w:r>
            <w:r>
              <w:rPr>
                <w:w w:val="120"/>
                <w:sz w:val="20"/>
              </w:rPr>
              <w:t>on</w:t>
            </w:r>
            <w:r>
              <w:rPr>
                <w:spacing w:val="-11"/>
                <w:w w:val="120"/>
                <w:sz w:val="20"/>
              </w:rPr>
              <w:t> </w:t>
            </w:r>
            <w:r>
              <w:rPr>
                <w:w w:val="120"/>
                <w:sz w:val="20"/>
              </w:rPr>
              <w:t>the</w:t>
            </w:r>
            <w:r>
              <w:rPr>
                <w:spacing w:val="-11"/>
                <w:w w:val="120"/>
                <w:sz w:val="20"/>
              </w:rPr>
              <w:t> </w:t>
            </w:r>
            <w:r>
              <w:rPr>
                <w:spacing w:val="-4"/>
                <w:w w:val="120"/>
                <w:sz w:val="20"/>
              </w:rPr>
              <w:t>committee’s</w:t>
            </w:r>
            <w:r>
              <w:rPr>
                <w:spacing w:val="-11"/>
                <w:w w:val="120"/>
                <w:sz w:val="20"/>
              </w:rPr>
              <w:t> </w:t>
            </w:r>
            <w:r>
              <w:rPr>
                <w:w w:val="120"/>
                <w:sz w:val="20"/>
              </w:rPr>
              <w:t>work</w:t>
            </w:r>
            <w:r>
              <w:rPr>
                <w:spacing w:val="-11"/>
                <w:w w:val="120"/>
                <w:sz w:val="20"/>
              </w:rPr>
              <w:t> </w:t>
            </w:r>
            <w:r>
              <w:rPr>
                <w:w w:val="120"/>
                <w:sz w:val="20"/>
              </w:rPr>
              <w:t>and</w:t>
            </w:r>
            <w:r>
              <w:rPr>
                <w:spacing w:val="-11"/>
                <w:w w:val="120"/>
                <w:sz w:val="20"/>
              </w:rPr>
              <w:t> </w:t>
            </w:r>
            <w:r>
              <w:rPr>
                <w:w w:val="120"/>
                <w:sz w:val="20"/>
              </w:rPr>
              <w:t>outline</w:t>
            </w:r>
            <w:r>
              <w:rPr>
                <w:spacing w:val="-11"/>
                <w:w w:val="120"/>
                <w:sz w:val="20"/>
              </w:rPr>
              <w:t> </w:t>
            </w:r>
            <w:r>
              <w:rPr>
                <w:w w:val="120"/>
                <w:sz w:val="20"/>
              </w:rPr>
              <w:t>of</w:t>
            </w:r>
            <w:r>
              <w:rPr>
                <w:spacing w:val="-11"/>
                <w:w w:val="120"/>
                <w:sz w:val="20"/>
              </w:rPr>
              <w:t> </w:t>
            </w:r>
            <w:r>
              <w:rPr>
                <w:w w:val="120"/>
                <w:sz w:val="20"/>
              </w:rPr>
              <w:t>its</w:t>
            </w:r>
            <w:r>
              <w:rPr>
                <w:spacing w:val="-11"/>
                <w:w w:val="120"/>
                <w:sz w:val="20"/>
              </w:rPr>
              <w:t> </w:t>
            </w:r>
            <w:r>
              <w:rPr>
                <w:w w:val="120"/>
                <w:sz w:val="20"/>
              </w:rPr>
              <w:t>future</w:t>
            </w:r>
            <w:r>
              <w:rPr>
                <w:spacing w:val="-11"/>
                <w:w w:val="120"/>
                <w:sz w:val="20"/>
              </w:rPr>
              <w:t> </w:t>
            </w:r>
            <w:r>
              <w:rPr>
                <w:w w:val="120"/>
                <w:sz w:val="20"/>
              </w:rPr>
              <w:t>plans.</w:t>
            </w:r>
          </w:p>
          <w:p>
            <w:pPr>
              <w:pStyle w:val="TableParagraph"/>
              <w:spacing w:before="5"/>
              <w:rPr>
                <w:rFonts w:ascii="Stone Sans II ITC Std Bk"/>
                <w:b/>
                <w:sz w:val="17"/>
              </w:rPr>
            </w:pPr>
          </w:p>
          <w:p>
            <w:pPr>
              <w:pStyle w:val="TableParagraph"/>
              <w:spacing w:before="1"/>
              <w:ind w:left="79"/>
              <w:rPr>
                <w:sz w:val="20"/>
              </w:rPr>
            </w:pPr>
            <w:r>
              <w:rPr>
                <w:w w:val="120"/>
                <w:sz w:val="20"/>
              </w:rPr>
              <w:t>To extend the policy on church membership.</w:t>
            </w:r>
          </w:p>
        </w:tc>
      </w:tr>
      <w:tr>
        <w:trPr>
          <w:trHeight w:val="1846" w:hRule="atLeast"/>
        </w:trPr>
        <w:tc>
          <w:tcPr>
            <w:tcW w:w="2651"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33" w:type="dxa"/>
            <w:shd w:val="clear" w:color="auto" w:fill="FFFFFF"/>
          </w:tcPr>
          <w:p>
            <w:pPr>
              <w:pStyle w:val="TableParagraph"/>
              <w:numPr>
                <w:ilvl w:val="0"/>
                <w:numId w:val="76"/>
              </w:numPr>
              <w:tabs>
                <w:tab w:pos="760" w:val="left" w:leader="none"/>
                <w:tab w:pos="761" w:val="left" w:leader="none"/>
              </w:tabs>
              <w:spacing w:line="235" w:lineRule="auto" w:before="111" w:after="0"/>
              <w:ind w:left="760" w:right="500" w:hanging="681"/>
              <w:jc w:val="both"/>
              <w:rPr>
                <w:sz w:val="20"/>
              </w:rPr>
            </w:pPr>
            <w:r>
              <w:rPr>
                <w:spacing w:val="-7"/>
                <w:w w:val="120"/>
                <w:sz w:val="20"/>
              </w:rPr>
              <w:t>To </w:t>
            </w:r>
            <w:r>
              <w:rPr>
                <w:w w:val="120"/>
                <w:sz w:val="20"/>
              </w:rPr>
              <w:t>give an overview of the work done in the past two years – and that planned for the next two</w:t>
            </w:r>
            <w:r>
              <w:rPr>
                <w:spacing w:val="13"/>
                <w:w w:val="120"/>
                <w:sz w:val="20"/>
              </w:rPr>
              <w:t> </w:t>
            </w:r>
            <w:r>
              <w:rPr>
                <w:w w:val="120"/>
                <w:sz w:val="20"/>
              </w:rPr>
              <w:t>years.</w:t>
            </w:r>
          </w:p>
          <w:p>
            <w:pPr>
              <w:pStyle w:val="TableParagraph"/>
              <w:numPr>
                <w:ilvl w:val="0"/>
                <w:numId w:val="76"/>
              </w:numPr>
              <w:tabs>
                <w:tab w:pos="760" w:val="left" w:leader="none"/>
                <w:tab w:pos="761" w:val="left" w:leader="none"/>
              </w:tabs>
              <w:spacing w:line="235" w:lineRule="auto" w:before="2" w:after="0"/>
              <w:ind w:left="760" w:right="283" w:hanging="681"/>
              <w:jc w:val="both"/>
              <w:rPr>
                <w:sz w:val="20"/>
              </w:rPr>
            </w:pPr>
            <w:r>
              <w:rPr>
                <w:spacing w:val="-7"/>
                <w:w w:val="120"/>
                <w:sz w:val="20"/>
              </w:rPr>
              <w:t>To </w:t>
            </w:r>
            <w:r>
              <w:rPr>
                <w:w w:val="120"/>
                <w:sz w:val="20"/>
              </w:rPr>
              <w:t>emphasize the committee’s commitment to resource local churches for study and worship and to respond to matters referred to</w:t>
            </w:r>
            <w:r>
              <w:rPr>
                <w:spacing w:val="4"/>
                <w:w w:val="120"/>
                <w:sz w:val="20"/>
              </w:rPr>
              <w:t> </w:t>
            </w:r>
            <w:r>
              <w:rPr>
                <w:w w:val="120"/>
                <w:sz w:val="20"/>
              </w:rPr>
              <w:t>it.</w:t>
            </w:r>
          </w:p>
          <w:p>
            <w:pPr>
              <w:pStyle w:val="TableParagraph"/>
              <w:numPr>
                <w:ilvl w:val="0"/>
                <w:numId w:val="76"/>
              </w:numPr>
              <w:tabs>
                <w:tab w:pos="760" w:val="left" w:leader="none"/>
                <w:tab w:pos="761" w:val="left" w:leader="none"/>
              </w:tabs>
              <w:spacing w:line="235" w:lineRule="auto" w:before="2" w:after="0"/>
              <w:ind w:left="760" w:right="335" w:hanging="681"/>
              <w:jc w:val="both"/>
              <w:rPr>
                <w:sz w:val="20"/>
              </w:rPr>
            </w:pPr>
            <w:r>
              <w:rPr>
                <w:w w:val="120"/>
                <w:sz w:val="20"/>
              </w:rPr>
              <w:t>Recommendation that the denomination makes a small extension to its church membership</w:t>
            </w:r>
            <w:r>
              <w:rPr>
                <w:spacing w:val="16"/>
                <w:w w:val="120"/>
                <w:sz w:val="20"/>
              </w:rPr>
              <w:t> </w:t>
            </w:r>
            <w:r>
              <w:rPr>
                <w:w w:val="120"/>
                <w:sz w:val="20"/>
              </w:rPr>
              <w:t>policy.</w:t>
            </w:r>
          </w:p>
        </w:tc>
      </w:tr>
      <w:tr>
        <w:trPr>
          <w:trHeight w:val="886" w:hRule="atLeast"/>
        </w:trPr>
        <w:tc>
          <w:tcPr>
            <w:tcW w:w="2651" w:type="dxa"/>
            <w:shd w:val="clear" w:color="auto" w:fill="FFFFFF"/>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shd w:val="clear" w:color="auto" w:fill="FFFFFF"/>
          </w:tcPr>
          <w:p>
            <w:pPr>
              <w:pStyle w:val="TableParagraph"/>
              <w:spacing w:line="235" w:lineRule="auto" w:before="111"/>
              <w:ind w:left="79" w:right="235"/>
              <w:rPr>
                <w:sz w:val="20"/>
              </w:rPr>
            </w:pPr>
            <w:r>
              <w:rPr>
                <w:w w:val="120"/>
                <w:sz w:val="20"/>
              </w:rPr>
              <w:t>‘What is the Spirit saying …?’ at Assembly </w:t>
            </w:r>
            <w:r>
              <w:rPr>
                <w:spacing w:val="-7"/>
                <w:w w:val="120"/>
                <w:sz w:val="20"/>
              </w:rPr>
              <w:t>2014 </w:t>
            </w:r>
            <w:r>
              <w:rPr>
                <w:w w:val="120"/>
                <w:sz w:val="20"/>
              </w:rPr>
              <w:t>and </w:t>
            </w:r>
            <w:r>
              <w:rPr>
                <w:spacing w:val="-6"/>
                <w:w w:val="120"/>
                <w:sz w:val="20"/>
              </w:rPr>
              <w:t>2016. </w:t>
            </w:r>
            <w:r>
              <w:rPr>
                <w:w w:val="120"/>
                <w:sz w:val="20"/>
              </w:rPr>
              <w:t>General Assembly </w:t>
            </w:r>
            <w:r>
              <w:rPr>
                <w:spacing w:val="-7"/>
                <w:w w:val="120"/>
                <w:sz w:val="20"/>
              </w:rPr>
              <w:t>2016 </w:t>
            </w:r>
            <w:r>
              <w:rPr>
                <w:w w:val="120"/>
                <w:sz w:val="20"/>
              </w:rPr>
              <w:t>Resolutions </w:t>
            </w:r>
            <w:r>
              <w:rPr>
                <w:spacing w:val="-8"/>
                <w:w w:val="120"/>
                <w:sz w:val="20"/>
              </w:rPr>
              <w:t>21, </w:t>
            </w:r>
            <w:r>
              <w:rPr>
                <w:w w:val="120"/>
                <w:sz w:val="20"/>
              </w:rPr>
              <w:t>23 and</w:t>
            </w:r>
            <w:r>
              <w:rPr>
                <w:spacing w:val="52"/>
                <w:w w:val="120"/>
                <w:sz w:val="20"/>
              </w:rPr>
              <w:t> </w:t>
            </w:r>
            <w:r>
              <w:rPr>
                <w:spacing w:val="-5"/>
                <w:w w:val="120"/>
                <w:sz w:val="20"/>
              </w:rPr>
              <w:t>24.</w:t>
            </w:r>
          </w:p>
          <w:p>
            <w:pPr>
              <w:pStyle w:val="TableParagraph"/>
              <w:spacing w:line="242" w:lineRule="exact"/>
              <w:ind w:left="79"/>
              <w:rPr>
                <w:sz w:val="20"/>
              </w:rPr>
            </w:pPr>
            <w:r>
              <w:rPr>
                <w:w w:val="120"/>
                <w:sz w:val="20"/>
              </w:rPr>
              <w:t>‘Isolated members’ discussion at Mission Council in May 2017.</w:t>
            </w:r>
          </w:p>
        </w:tc>
      </w:tr>
      <w:tr>
        <w:trPr>
          <w:trHeight w:val="646" w:hRule="atLeast"/>
        </w:trPr>
        <w:tc>
          <w:tcPr>
            <w:tcW w:w="2651" w:type="dxa"/>
            <w:shd w:val="clear" w:color="auto" w:fill="FFFFFF"/>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shd w:val="clear" w:color="auto" w:fill="FFFFFF"/>
          </w:tcPr>
          <w:p>
            <w:pPr>
              <w:pStyle w:val="TableParagraph"/>
              <w:spacing w:line="235" w:lineRule="auto" w:before="111"/>
              <w:ind w:left="79" w:right="3032"/>
              <w:rPr>
                <w:sz w:val="20"/>
              </w:rPr>
            </w:pPr>
            <w:r>
              <w:rPr>
                <w:w w:val="120"/>
                <w:sz w:val="20"/>
              </w:rPr>
              <w:t>Law and polity advisory group Synod Moderators.</w:t>
            </w:r>
          </w:p>
        </w:tc>
      </w:tr>
    </w:tbl>
    <w:p>
      <w:pPr>
        <w:spacing w:before="187" w:after="9"/>
        <w:ind w:left="1351"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61"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406" w:hRule="atLeast"/>
        </w:trPr>
        <w:tc>
          <w:tcPr>
            <w:tcW w:w="2650" w:type="dxa"/>
            <w:shd w:val="clear" w:color="auto" w:fill="FFFFFF"/>
          </w:tcPr>
          <w:p>
            <w:pPr>
              <w:pStyle w:val="TableParagraph"/>
              <w:spacing w:before="95"/>
              <w:ind w:left="79"/>
              <w:rPr>
                <w:rFonts w:ascii="Stone Sans II ITC Std Bk"/>
                <w:b/>
                <w:sz w:val="20"/>
              </w:rPr>
            </w:pPr>
            <w:r>
              <w:rPr>
                <w:rFonts w:ascii="Stone Sans II ITC Std Bk"/>
                <w:b/>
                <w:w w:val="110"/>
                <w:sz w:val="20"/>
              </w:rPr>
              <w:t>Financial</w:t>
            </w:r>
          </w:p>
        </w:tc>
        <w:tc>
          <w:tcPr>
            <w:tcW w:w="6534" w:type="dxa"/>
            <w:shd w:val="clear" w:color="auto" w:fill="FFFFFF"/>
          </w:tcPr>
          <w:p>
            <w:pPr>
              <w:pStyle w:val="TableParagraph"/>
              <w:spacing w:before="108"/>
              <w:ind w:left="79"/>
              <w:rPr>
                <w:sz w:val="20"/>
              </w:rPr>
            </w:pPr>
            <w:r>
              <w:rPr>
                <w:w w:val="125"/>
                <w:sz w:val="20"/>
              </w:rPr>
              <w:t>None.</w:t>
            </w:r>
          </w:p>
        </w:tc>
      </w:tr>
      <w:tr>
        <w:trPr>
          <w:trHeight w:val="886" w:hRule="atLeast"/>
        </w:trPr>
        <w:tc>
          <w:tcPr>
            <w:tcW w:w="265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shd w:val="clear" w:color="auto" w:fill="FFFFFF"/>
          </w:tcPr>
          <w:p>
            <w:pPr>
              <w:pStyle w:val="TableParagraph"/>
              <w:spacing w:line="235" w:lineRule="auto" w:before="111"/>
              <w:ind w:left="79"/>
              <w:rPr>
                <w:sz w:val="20"/>
              </w:rPr>
            </w:pPr>
            <w:r>
              <w:rPr>
                <w:w w:val="120"/>
                <w:sz w:val="20"/>
              </w:rPr>
              <w:t>Ability to recognise the URC membership of a limited number of individuals currently worshipping in a local church of a partner tradition.</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5"/>
        <w:rPr>
          <w:rFonts w:ascii="Stone Sans II ITC Std Bk"/>
          <w:b/>
          <w:sz w:val="27"/>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111</w:t>
      </w:r>
    </w:p>
    <w:p>
      <w:pPr>
        <w:spacing w:after="0"/>
        <w:jc w:val="left"/>
        <w:rPr>
          <w:rFonts w:ascii="Stone Sans II ITC Std X Bd" w:hAnsi="Stone Sans II ITC Std X Bd"/>
          <w:sz w:val="24"/>
        </w:rPr>
        <w:sectPr>
          <w:headerReference w:type="default" r:id="rId319"/>
          <w:footerReference w:type="default" r:id="rId320"/>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5987968">
            <wp:simplePos x="0" y="0"/>
            <wp:positionH relativeFrom="page">
              <wp:posOffset>0</wp:posOffset>
            </wp:positionH>
            <wp:positionV relativeFrom="page">
              <wp:posOffset>0</wp:posOffset>
            </wp:positionV>
            <wp:extent cx="594067" cy="10692003"/>
            <wp:effectExtent l="0" t="0" r="0" b="0"/>
            <wp:wrapNone/>
            <wp:docPr id="213" name="image70.png"/>
            <wp:cNvGraphicFramePr>
              <a:graphicFrameLocks noChangeAspect="1"/>
            </wp:cNvGraphicFramePr>
            <a:graphic>
              <a:graphicData uri="http://schemas.openxmlformats.org/drawingml/2006/picture">
                <pic:pic>
                  <pic:nvPicPr>
                    <pic:cNvPr id="21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before="98"/>
        <w:ind w:left="577" w:right="1167" w:firstLine="0"/>
        <w:jc w:val="center"/>
        <w:rPr>
          <w:rFonts w:ascii="Stone Sans II ITC Std X Bd"/>
          <w:b/>
          <w:sz w:val="50"/>
        </w:rPr>
      </w:pPr>
      <w:r>
        <w:rPr/>
        <w:pict>
          <v:shape style="position:absolute;margin-left:20.519100pt;margin-top:-5.948083pt;width:26pt;height:159.65pt;mso-position-horizontal-relative:page;mso-position-vertical-relative:paragraph;z-index:251956224"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r>
        <w:rPr>
          <w:rFonts w:ascii="Stone Sans II ITC Std X Bd"/>
          <w:b/>
          <w:w w:val="110"/>
          <w:sz w:val="50"/>
        </w:rPr>
        <w:t>Report of ongoing work</w:t>
      </w:r>
    </w:p>
    <w:p>
      <w:pPr>
        <w:pStyle w:val="ListParagraph"/>
        <w:numPr>
          <w:ilvl w:val="0"/>
          <w:numId w:val="77"/>
        </w:numPr>
        <w:tabs>
          <w:tab w:pos="1507" w:val="left" w:leader="none"/>
          <w:tab w:pos="1508" w:val="left" w:leader="none"/>
        </w:tabs>
        <w:spacing w:line="240" w:lineRule="auto" w:before="393" w:after="0"/>
        <w:ind w:left="1507" w:right="0" w:hanging="681"/>
        <w:jc w:val="left"/>
        <w:rPr>
          <w:rFonts w:ascii="Stone Sans II ITC Std Bk"/>
          <w:b/>
          <w:sz w:val="29"/>
        </w:rPr>
      </w:pPr>
      <w:r>
        <w:rPr>
          <w:rFonts w:ascii="Stone Sans II ITC Std Bk"/>
          <w:b/>
          <w:spacing w:val="3"/>
          <w:w w:val="110"/>
          <w:sz w:val="29"/>
        </w:rPr>
        <w:t>Interpreting our</w:t>
      </w:r>
      <w:r>
        <w:rPr>
          <w:rFonts w:ascii="Stone Sans II ITC Std Bk"/>
          <w:b/>
          <w:spacing w:val="22"/>
          <w:w w:val="110"/>
          <w:sz w:val="29"/>
        </w:rPr>
        <w:t> </w:t>
      </w:r>
      <w:r>
        <w:rPr>
          <w:rFonts w:ascii="Stone Sans II ITC Std Bk"/>
          <w:b/>
          <w:spacing w:val="3"/>
          <w:w w:val="110"/>
          <w:sz w:val="29"/>
        </w:rPr>
        <w:t>remit</w:t>
      </w:r>
    </w:p>
    <w:p>
      <w:pPr>
        <w:pStyle w:val="BodyText"/>
        <w:spacing w:line="235" w:lineRule="auto" w:before="69"/>
        <w:ind w:left="827" w:right="1868"/>
      </w:pPr>
      <w:r>
        <w:rPr>
          <w:w w:val="120"/>
        </w:rPr>
        <w:t>The faith and order committee has been reflecting on the nature of its role in the mission of the United Reformed Church. Here is a brief summary.</w:t>
      </w:r>
    </w:p>
    <w:p>
      <w:pPr>
        <w:pStyle w:val="BodyText"/>
        <w:spacing w:before="10"/>
        <w:rPr>
          <w:sz w:val="19"/>
        </w:rPr>
      </w:pPr>
    </w:p>
    <w:p>
      <w:pPr>
        <w:pStyle w:val="ListParagraph"/>
        <w:numPr>
          <w:ilvl w:val="1"/>
          <w:numId w:val="77"/>
        </w:numPr>
        <w:tabs>
          <w:tab w:pos="1507" w:val="left" w:leader="none"/>
          <w:tab w:pos="1508" w:val="left" w:leader="none"/>
        </w:tabs>
        <w:spacing w:line="235" w:lineRule="auto" w:before="0" w:after="0"/>
        <w:ind w:left="827" w:right="1595" w:firstLine="0"/>
        <w:jc w:val="left"/>
        <w:rPr>
          <w:sz w:val="20"/>
        </w:rPr>
      </w:pPr>
      <w:r>
        <w:rPr>
          <w:spacing w:val="-3"/>
          <w:w w:val="120"/>
          <w:sz w:val="20"/>
        </w:rPr>
        <w:t>We</w:t>
      </w:r>
      <w:r>
        <w:rPr>
          <w:spacing w:val="-6"/>
          <w:w w:val="120"/>
          <w:sz w:val="20"/>
        </w:rPr>
        <w:t> </w:t>
      </w:r>
      <w:r>
        <w:rPr>
          <w:w w:val="120"/>
          <w:sz w:val="20"/>
        </w:rPr>
        <w:t>do</w:t>
      </w:r>
      <w:r>
        <w:rPr>
          <w:spacing w:val="-5"/>
          <w:w w:val="120"/>
          <w:sz w:val="20"/>
        </w:rPr>
        <w:t> </w:t>
      </w:r>
      <w:r>
        <w:rPr>
          <w:spacing w:val="-2"/>
          <w:w w:val="120"/>
          <w:sz w:val="20"/>
        </w:rPr>
        <w:t>not</w:t>
      </w:r>
      <w:r>
        <w:rPr>
          <w:spacing w:val="-5"/>
          <w:w w:val="120"/>
          <w:sz w:val="20"/>
        </w:rPr>
        <w:t> </w:t>
      </w:r>
      <w:r>
        <w:rPr>
          <w:w w:val="120"/>
          <w:sz w:val="20"/>
        </w:rPr>
        <w:t>see</w:t>
      </w:r>
      <w:r>
        <w:rPr>
          <w:spacing w:val="-5"/>
          <w:w w:val="120"/>
          <w:sz w:val="20"/>
        </w:rPr>
        <w:t> </w:t>
      </w:r>
      <w:r>
        <w:rPr>
          <w:w w:val="120"/>
          <w:sz w:val="20"/>
        </w:rPr>
        <w:t>it</w:t>
      </w:r>
      <w:r>
        <w:rPr>
          <w:spacing w:val="-6"/>
          <w:w w:val="120"/>
          <w:sz w:val="20"/>
        </w:rPr>
        <w:t> </w:t>
      </w:r>
      <w:r>
        <w:rPr>
          <w:w w:val="120"/>
          <w:sz w:val="20"/>
        </w:rPr>
        <w:t>as</w:t>
      </w:r>
      <w:r>
        <w:rPr>
          <w:spacing w:val="-5"/>
          <w:w w:val="120"/>
          <w:sz w:val="20"/>
        </w:rPr>
        <w:t> </w:t>
      </w:r>
      <w:r>
        <w:rPr>
          <w:w w:val="120"/>
          <w:sz w:val="20"/>
        </w:rPr>
        <w:t>part</w:t>
      </w:r>
      <w:r>
        <w:rPr>
          <w:spacing w:val="-5"/>
          <w:w w:val="120"/>
          <w:sz w:val="20"/>
        </w:rPr>
        <w:t> </w:t>
      </w:r>
      <w:r>
        <w:rPr>
          <w:w w:val="120"/>
          <w:sz w:val="20"/>
        </w:rPr>
        <w:t>of</w:t>
      </w:r>
      <w:r>
        <w:rPr>
          <w:spacing w:val="-5"/>
          <w:w w:val="120"/>
          <w:sz w:val="20"/>
        </w:rPr>
        <w:t> </w:t>
      </w:r>
      <w:r>
        <w:rPr>
          <w:w w:val="120"/>
          <w:sz w:val="20"/>
        </w:rPr>
        <w:t>our</w:t>
      </w:r>
      <w:r>
        <w:rPr>
          <w:spacing w:val="-6"/>
          <w:w w:val="120"/>
          <w:sz w:val="20"/>
        </w:rPr>
        <w:t> </w:t>
      </w:r>
      <w:r>
        <w:rPr>
          <w:w w:val="120"/>
          <w:sz w:val="20"/>
        </w:rPr>
        <w:t>role</w:t>
      </w:r>
      <w:r>
        <w:rPr>
          <w:spacing w:val="-5"/>
          <w:w w:val="120"/>
          <w:sz w:val="20"/>
        </w:rPr>
        <w:t> </w:t>
      </w:r>
      <w:r>
        <w:rPr>
          <w:spacing w:val="-3"/>
          <w:w w:val="120"/>
          <w:sz w:val="20"/>
        </w:rPr>
        <w:t>to</w:t>
      </w:r>
      <w:r>
        <w:rPr>
          <w:spacing w:val="-5"/>
          <w:w w:val="120"/>
          <w:sz w:val="20"/>
        </w:rPr>
        <w:t> </w:t>
      </w:r>
      <w:r>
        <w:rPr>
          <w:spacing w:val="2"/>
          <w:w w:val="120"/>
          <w:sz w:val="20"/>
        </w:rPr>
        <w:t>try</w:t>
      </w:r>
      <w:r>
        <w:rPr>
          <w:spacing w:val="-5"/>
          <w:w w:val="120"/>
          <w:sz w:val="20"/>
        </w:rPr>
        <w:t> </w:t>
      </w:r>
      <w:r>
        <w:rPr>
          <w:spacing w:val="-3"/>
          <w:w w:val="120"/>
          <w:sz w:val="20"/>
        </w:rPr>
        <w:t>to</w:t>
      </w:r>
      <w:r>
        <w:rPr>
          <w:spacing w:val="-6"/>
          <w:w w:val="120"/>
          <w:sz w:val="20"/>
        </w:rPr>
        <w:t> </w:t>
      </w:r>
      <w:r>
        <w:rPr>
          <w:w w:val="120"/>
          <w:sz w:val="20"/>
        </w:rPr>
        <w:t>shape</w:t>
      </w:r>
      <w:r>
        <w:rPr>
          <w:spacing w:val="-5"/>
          <w:w w:val="120"/>
          <w:sz w:val="20"/>
        </w:rPr>
        <w:t> </w:t>
      </w:r>
      <w:r>
        <w:rPr>
          <w:w w:val="120"/>
          <w:sz w:val="20"/>
        </w:rPr>
        <w:t>the</w:t>
      </w:r>
      <w:r>
        <w:rPr>
          <w:spacing w:val="-5"/>
          <w:w w:val="120"/>
          <w:sz w:val="20"/>
        </w:rPr>
        <w:t> </w:t>
      </w:r>
      <w:r>
        <w:rPr>
          <w:w w:val="120"/>
          <w:sz w:val="20"/>
        </w:rPr>
        <w:t>agenda</w:t>
      </w:r>
      <w:r>
        <w:rPr>
          <w:spacing w:val="-5"/>
          <w:w w:val="120"/>
          <w:sz w:val="20"/>
        </w:rPr>
        <w:t> </w:t>
      </w:r>
      <w:r>
        <w:rPr>
          <w:w w:val="120"/>
          <w:sz w:val="20"/>
        </w:rPr>
        <w:t>of</w:t>
      </w:r>
      <w:r>
        <w:rPr>
          <w:spacing w:val="-5"/>
          <w:w w:val="120"/>
          <w:sz w:val="20"/>
        </w:rPr>
        <w:t> </w:t>
      </w:r>
      <w:r>
        <w:rPr>
          <w:w w:val="120"/>
          <w:sz w:val="20"/>
        </w:rPr>
        <w:t>the</w:t>
      </w:r>
      <w:r>
        <w:rPr>
          <w:spacing w:val="-6"/>
          <w:w w:val="120"/>
          <w:sz w:val="20"/>
        </w:rPr>
        <w:t> </w:t>
      </w:r>
      <w:r>
        <w:rPr>
          <w:spacing w:val="-3"/>
          <w:w w:val="120"/>
          <w:sz w:val="20"/>
        </w:rPr>
        <w:t>denomination </w:t>
      </w:r>
      <w:r>
        <w:rPr>
          <w:w w:val="120"/>
          <w:sz w:val="20"/>
        </w:rPr>
        <w:t>or </w:t>
      </w:r>
      <w:r>
        <w:rPr>
          <w:spacing w:val="-3"/>
          <w:w w:val="120"/>
          <w:sz w:val="20"/>
        </w:rPr>
        <w:t>to advance any </w:t>
      </w:r>
      <w:r>
        <w:rPr>
          <w:w w:val="120"/>
          <w:sz w:val="20"/>
        </w:rPr>
        <w:t>particular project or programme. Rather we understand ourselves as a theological </w:t>
      </w:r>
      <w:r>
        <w:rPr>
          <w:spacing w:val="-3"/>
          <w:w w:val="120"/>
          <w:sz w:val="20"/>
        </w:rPr>
        <w:t>resource </w:t>
      </w:r>
      <w:r>
        <w:rPr>
          <w:w w:val="120"/>
          <w:sz w:val="20"/>
        </w:rPr>
        <w:t>for the General </w:t>
      </w:r>
      <w:r>
        <w:rPr>
          <w:spacing w:val="-3"/>
          <w:w w:val="120"/>
          <w:sz w:val="20"/>
        </w:rPr>
        <w:t>Assembly, </w:t>
      </w:r>
      <w:r>
        <w:rPr>
          <w:w w:val="120"/>
          <w:sz w:val="20"/>
        </w:rPr>
        <w:t>or for Mission </w:t>
      </w:r>
      <w:r>
        <w:rPr>
          <w:spacing w:val="-3"/>
          <w:w w:val="120"/>
          <w:sz w:val="20"/>
        </w:rPr>
        <w:t>Council </w:t>
      </w:r>
      <w:r>
        <w:rPr>
          <w:w w:val="120"/>
          <w:sz w:val="20"/>
        </w:rPr>
        <w:t>acting in its </w:t>
      </w:r>
      <w:r>
        <w:rPr>
          <w:spacing w:val="-3"/>
          <w:w w:val="120"/>
          <w:sz w:val="20"/>
        </w:rPr>
        <w:t>name, </w:t>
      </w:r>
      <w:r>
        <w:rPr>
          <w:w w:val="120"/>
          <w:sz w:val="20"/>
        </w:rPr>
        <w:t>as it </w:t>
      </w:r>
      <w:r>
        <w:rPr>
          <w:spacing w:val="-3"/>
          <w:w w:val="120"/>
          <w:sz w:val="20"/>
        </w:rPr>
        <w:t>considers </w:t>
      </w:r>
      <w:r>
        <w:rPr>
          <w:w w:val="120"/>
          <w:sz w:val="20"/>
        </w:rPr>
        <w:t>questions of doctrine or </w:t>
      </w:r>
      <w:r>
        <w:rPr>
          <w:spacing w:val="-4"/>
          <w:w w:val="120"/>
          <w:sz w:val="20"/>
        </w:rPr>
        <w:t>order. </w:t>
      </w:r>
      <w:r>
        <w:rPr>
          <w:w w:val="120"/>
          <w:sz w:val="20"/>
        </w:rPr>
        <w:t>This means that generally we expect </w:t>
      </w:r>
      <w:r>
        <w:rPr>
          <w:spacing w:val="-3"/>
          <w:w w:val="120"/>
          <w:sz w:val="20"/>
        </w:rPr>
        <w:t>to </w:t>
      </w:r>
      <w:r>
        <w:rPr>
          <w:w w:val="120"/>
          <w:sz w:val="20"/>
        </w:rPr>
        <w:t>find ourselves</w:t>
      </w:r>
      <w:r>
        <w:rPr>
          <w:spacing w:val="-9"/>
          <w:w w:val="120"/>
          <w:sz w:val="20"/>
        </w:rPr>
        <w:t> </w:t>
      </w:r>
      <w:r>
        <w:rPr>
          <w:w w:val="120"/>
          <w:sz w:val="20"/>
        </w:rPr>
        <w:t>responding</w:t>
      </w:r>
      <w:r>
        <w:rPr>
          <w:spacing w:val="-8"/>
          <w:w w:val="120"/>
          <w:sz w:val="20"/>
        </w:rPr>
        <w:t> </w:t>
      </w:r>
      <w:r>
        <w:rPr>
          <w:spacing w:val="-3"/>
          <w:w w:val="120"/>
          <w:sz w:val="20"/>
        </w:rPr>
        <w:t>to</w:t>
      </w:r>
      <w:r>
        <w:rPr>
          <w:spacing w:val="-8"/>
          <w:w w:val="120"/>
          <w:sz w:val="20"/>
        </w:rPr>
        <w:t> </w:t>
      </w:r>
      <w:r>
        <w:rPr>
          <w:w w:val="120"/>
          <w:sz w:val="20"/>
        </w:rPr>
        <w:t>tasks</w:t>
      </w:r>
      <w:r>
        <w:rPr>
          <w:spacing w:val="-8"/>
          <w:w w:val="120"/>
          <w:sz w:val="20"/>
        </w:rPr>
        <w:t> </w:t>
      </w:r>
      <w:r>
        <w:rPr>
          <w:spacing w:val="-3"/>
          <w:w w:val="120"/>
          <w:sz w:val="20"/>
        </w:rPr>
        <w:t>to</w:t>
      </w:r>
      <w:r>
        <w:rPr>
          <w:spacing w:val="-8"/>
          <w:w w:val="120"/>
          <w:sz w:val="20"/>
        </w:rPr>
        <w:t> </w:t>
      </w:r>
      <w:r>
        <w:rPr>
          <w:w w:val="120"/>
          <w:sz w:val="20"/>
        </w:rPr>
        <w:t>do</w:t>
      </w:r>
      <w:r>
        <w:rPr>
          <w:spacing w:val="-9"/>
          <w:w w:val="120"/>
          <w:sz w:val="20"/>
        </w:rPr>
        <w:t> </w:t>
      </w:r>
      <w:r>
        <w:rPr>
          <w:w w:val="120"/>
          <w:sz w:val="20"/>
        </w:rPr>
        <w:t>with</w:t>
      </w:r>
      <w:r>
        <w:rPr>
          <w:spacing w:val="-8"/>
          <w:w w:val="120"/>
          <w:sz w:val="20"/>
        </w:rPr>
        <w:t> </w:t>
      </w:r>
      <w:r>
        <w:rPr>
          <w:w w:val="120"/>
          <w:sz w:val="20"/>
        </w:rPr>
        <w:t>these</w:t>
      </w:r>
      <w:r>
        <w:rPr>
          <w:spacing w:val="-8"/>
          <w:w w:val="120"/>
          <w:sz w:val="20"/>
        </w:rPr>
        <w:t> </w:t>
      </w:r>
      <w:r>
        <w:rPr>
          <w:spacing w:val="-3"/>
          <w:w w:val="120"/>
          <w:sz w:val="20"/>
        </w:rPr>
        <w:t>issues</w:t>
      </w:r>
      <w:r>
        <w:rPr>
          <w:spacing w:val="-8"/>
          <w:w w:val="120"/>
          <w:sz w:val="20"/>
        </w:rPr>
        <w:t> </w:t>
      </w:r>
      <w:r>
        <w:rPr>
          <w:w w:val="120"/>
          <w:sz w:val="20"/>
        </w:rPr>
        <w:t>that</w:t>
      </w:r>
      <w:r>
        <w:rPr>
          <w:spacing w:val="-8"/>
          <w:w w:val="120"/>
          <w:sz w:val="20"/>
        </w:rPr>
        <w:t> </w:t>
      </w:r>
      <w:r>
        <w:rPr>
          <w:w w:val="120"/>
          <w:sz w:val="20"/>
        </w:rPr>
        <w:t>are</w:t>
      </w:r>
      <w:r>
        <w:rPr>
          <w:spacing w:val="-9"/>
          <w:w w:val="120"/>
          <w:sz w:val="20"/>
        </w:rPr>
        <w:t> </w:t>
      </w:r>
      <w:r>
        <w:rPr>
          <w:spacing w:val="-3"/>
          <w:w w:val="120"/>
          <w:sz w:val="20"/>
        </w:rPr>
        <w:t>asked</w:t>
      </w:r>
      <w:r>
        <w:rPr>
          <w:spacing w:val="-8"/>
          <w:w w:val="120"/>
          <w:sz w:val="20"/>
        </w:rPr>
        <w:t> </w:t>
      </w:r>
      <w:r>
        <w:rPr>
          <w:w w:val="120"/>
          <w:sz w:val="20"/>
        </w:rPr>
        <w:t>of</w:t>
      </w:r>
      <w:r>
        <w:rPr>
          <w:spacing w:val="-8"/>
          <w:w w:val="120"/>
          <w:sz w:val="20"/>
        </w:rPr>
        <w:t> </w:t>
      </w:r>
      <w:r>
        <w:rPr>
          <w:w w:val="120"/>
          <w:sz w:val="20"/>
        </w:rPr>
        <w:t>us</w:t>
      </w:r>
      <w:r>
        <w:rPr>
          <w:spacing w:val="-8"/>
          <w:w w:val="120"/>
          <w:sz w:val="20"/>
        </w:rPr>
        <w:t> </w:t>
      </w:r>
      <w:r>
        <w:rPr>
          <w:w w:val="120"/>
          <w:sz w:val="20"/>
        </w:rPr>
        <w:t>by</w:t>
      </w:r>
      <w:r>
        <w:rPr>
          <w:spacing w:val="-8"/>
          <w:w w:val="120"/>
          <w:sz w:val="20"/>
        </w:rPr>
        <w:t> </w:t>
      </w:r>
      <w:r>
        <w:rPr>
          <w:w w:val="120"/>
          <w:sz w:val="20"/>
        </w:rPr>
        <w:t>the</w:t>
      </w:r>
      <w:r>
        <w:rPr>
          <w:spacing w:val="-9"/>
          <w:w w:val="120"/>
          <w:sz w:val="20"/>
        </w:rPr>
        <w:t> </w:t>
      </w:r>
      <w:r>
        <w:rPr>
          <w:spacing w:val="-3"/>
          <w:w w:val="120"/>
          <w:sz w:val="20"/>
        </w:rPr>
        <w:t>Assembly.</w:t>
      </w:r>
    </w:p>
    <w:p>
      <w:pPr>
        <w:pStyle w:val="BodyText"/>
        <w:spacing w:before="11"/>
        <w:rPr>
          <w:sz w:val="19"/>
        </w:rPr>
      </w:pPr>
    </w:p>
    <w:p>
      <w:pPr>
        <w:pStyle w:val="ListParagraph"/>
        <w:numPr>
          <w:ilvl w:val="1"/>
          <w:numId w:val="77"/>
        </w:numPr>
        <w:tabs>
          <w:tab w:pos="1507" w:val="left" w:leader="none"/>
          <w:tab w:pos="1508" w:val="left" w:leader="none"/>
        </w:tabs>
        <w:spacing w:line="235" w:lineRule="auto" w:before="1" w:after="0"/>
        <w:ind w:left="827" w:right="1599" w:firstLine="0"/>
        <w:jc w:val="left"/>
        <w:rPr>
          <w:sz w:val="20"/>
        </w:rPr>
      </w:pPr>
      <w:r>
        <w:rPr>
          <w:w w:val="120"/>
          <w:sz w:val="20"/>
        </w:rPr>
        <w:t>We do, </w:t>
      </w:r>
      <w:r>
        <w:rPr>
          <w:spacing w:val="-3"/>
          <w:w w:val="120"/>
          <w:sz w:val="20"/>
        </w:rPr>
        <w:t>however, </w:t>
      </w:r>
      <w:r>
        <w:rPr>
          <w:w w:val="120"/>
          <w:sz w:val="20"/>
        </w:rPr>
        <w:t>believe that there is a role for us in identifying particular pieces of work being carried out by the Church which may have a faith and order element to them. Our aim would be to offer advice in the early stages of such work to assist in its formulation. Sometimes, </w:t>
      </w:r>
      <w:r>
        <w:rPr>
          <w:spacing w:val="-3"/>
          <w:w w:val="120"/>
          <w:sz w:val="20"/>
        </w:rPr>
        <w:t>however, </w:t>
      </w:r>
      <w:r>
        <w:rPr>
          <w:w w:val="120"/>
          <w:sz w:val="20"/>
        </w:rPr>
        <w:t>we might of ourselves identify an issue of doctrine or order that arises in our </w:t>
      </w:r>
      <w:r>
        <w:rPr>
          <w:spacing w:val="-3"/>
          <w:w w:val="120"/>
          <w:sz w:val="20"/>
        </w:rPr>
        <w:t>Church’s </w:t>
      </w:r>
      <w:r>
        <w:rPr>
          <w:w w:val="120"/>
          <w:sz w:val="20"/>
        </w:rPr>
        <w:t>wider life that we would wish to bring to the attention of Assembly. Further, our committee might on occasion believe that there is a particular theological resource that we could helpfully develop should the Assembly encourage    us to do</w:t>
      </w:r>
      <w:r>
        <w:rPr>
          <w:spacing w:val="5"/>
          <w:w w:val="120"/>
          <w:sz w:val="20"/>
        </w:rPr>
        <w:t> </w:t>
      </w:r>
      <w:r>
        <w:rPr>
          <w:w w:val="120"/>
          <w:sz w:val="20"/>
        </w:rPr>
        <w:t>so.</w:t>
      </w:r>
    </w:p>
    <w:p>
      <w:pPr>
        <w:pStyle w:val="BodyText"/>
        <w:spacing w:before="1"/>
      </w:pPr>
    </w:p>
    <w:p>
      <w:pPr>
        <w:pStyle w:val="ListParagraph"/>
        <w:numPr>
          <w:ilvl w:val="1"/>
          <w:numId w:val="77"/>
        </w:numPr>
        <w:tabs>
          <w:tab w:pos="1507" w:val="left" w:leader="none"/>
          <w:tab w:pos="1508" w:val="left" w:leader="none"/>
        </w:tabs>
        <w:spacing w:line="235" w:lineRule="auto" w:before="1" w:after="0"/>
        <w:ind w:left="827" w:right="1774" w:firstLine="0"/>
        <w:jc w:val="left"/>
        <w:rPr>
          <w:sz w:val="20"/>
        </w:rPr>
      </w:pPr>
      <w:r>
        <w:rPr>
          <w:w w:val="120"/>
          <w:sz w:val="20"/>
        </w:rPr>
        <w:t>In our communications, we are aware that technical theological language is not always helpful. We aim to provide input to the wider church in an accessible format with summary documents wherever possible. We believe that faith and order remains a valuable space and resource to assist the United Reformed Church in its</w:t>
      </w:r>
      <w:r>
        <w:rPr>
          <w:spacing w:val="15"/>
          <w:w w:val="120"/>
          <w:sz w:val="20"/>
        </w:rPr>
        <w:t> </w:t>
      </w:r>
      <w:r>
        <w:rPr>
          <w:w w:val="120"/>
          <w:sz w:val="20"/>
        </w:rPr>
        <w:t>mission.</w:t>
      </w:r>
    </w:p>
    <w:p>
      <w:pPr>
        <w:pStyle w:val="BodyText"/>
        <w:spacing w:before="3"/>
        <w:rPr>
          <w:sz w:val="22"/>
        </w:rPr>
      </w:pPr>
    </w:p>
    <w:p>
      <w:pPr>
        <w:pStyle w:val="ListParagraph"/>
        <w:numPr>
          <w:ilvl w:val="0"/>
          <w:numId w:val="77"/>
        </w:numPr>
        <w:tabs>
          <w:tab w:pos="1507" w:val="left" w:leader="none"/>
          <w:tab w:pos="1508" w:val="left" w:leader="none"/>
        </w:tabs>
        <w:spacing w:line="240" w:lineRule="auto" w:before="0" w:after="0"/>
        <w:ind w:left="1507" w:right="0" w:hanging="681"/>
        <w:jc w:val="left"/>
        <w:rPr>
          <w:rFonts w:ascii="Stone Sans II ITC Std Bk"/>
          <w:b/>
          <w:sz w:val="29"/>
        </w:rPr>
      </w:pPr>
      <w:r>
        <w:rPr>
          <w:rFonts w:ascii="Stone Sans II ITC Std Bk"/>
          <w:b/>
          <w:spacing w:val="-2"/>
          <w:w w:val="110"/>
          <w:sz w:val="29"/>
        </w:rPr>
        <w:t>Response </w:t>
      </w:r>
      <w:r>
        <w:rPr>
          <w:rFonts w:ascii="Stone Sans II ITC Std Bk"/>
          <w:b/>
          <w:spacing w:val="-4"/>
          <w:w w:val="110"/>
          <w:sz w:val="29"/>
        </w:rPr>
        <w:t>to </w:t>
      </w:r>
      <w:r>
        <w:rPr>
          <w:rFonts w:ascii="Stone Sans II ITC Std Bk"/>
          <w:b/>
          <w:w w:val="110"/>
          <w:sz w:val="29"/>
        </w:rPr>
        <w:t>resolutions from General Assembly</w:t>
      </w:r>
      <w:r>
        <w:rPr>
          <w:rFonts w:ascii="Stone Sans II ITC Std Bk"/>
          <w:b/>
          <w:spacing w:val="-2"/>
          <w:w w:val="110"/>
          <w:sz w:val="29"/>
        </w:rPr>
        <w:t> </w:t>
      </w:r>
      <w:r>
        <w:rPr>
          <w:rFonts w:ascii="Stone Sans II ITC Std Bk"/>
          <w:b/>
          <w:spacing w:val="-11"/>
          <w:w w:val="110"/>
          <w:sz w:val="29"/>
        </w:rPr>
        <w:t>2016</w:t>
      </w:r>
    </w:p>
    <w:p>
      <w:pPr>
        <w:pStyle w:val="Heading8"/>
        <w:numPr>
          <w:ilvl w:val="1"/>
          <w:numId w:val="77"/>
        </w:numPr>
        <w:tabs>
          <w:tab w:pos="1507" w:val="left" w:leader="none"/>
          <w:tab w:pos="1508" w:val="left" w:leader="none"/>
        </w:tabs>
        <w:spacing w:line="261" w:lineRule="exact" w:before="53" w:after="0"/>
        <w:ind w:left="1507" w:right="0" w:hanging="681"/>
        <w:jc w:val="left"/>
      </w:pPr>
      <w:r>
        <w:rPr>
          <w:w w:val="110"/>
        </w:rPr>
        <w:t>Resolution</w:t>
      </w:r>
      <w:r>
        <w:rPr>
          <w:spacing w:val="-1"/>
          <w:w w:val="110"/>
        </w:rPr>
        <w:t> </w:t>
      </w:r>
      <w:r>
        <w:rPr>
          <w:spacing w:val="-4"/>
          <w:w w:val="110"/>
        </w:rPr>
        <w:t>21</w:t>
      </w:r>
    </w:p>
    <w:p>
      <w:pPr>
        <w:pStyle w:val="BodyText"/>
        <w:spacing w:line="235" w:lineRule="auto"/>
        <w:ind w:left="827" w:right="1707"/>
      </w:pPr>
      <w:r>
        <w:rPr>
          <w:w w:val="120"/>
        </w:rPr>
        <w:t>The committee has been working for a few years on ‘What is the Spirit saying to the churches?’ Material was presented at the General Assembly in 2014 and again in 2016, and after the 2014 Assembly there was also a wide-ranging consultation with local congregations around the URC. This edited version of the 2016 material, posted on the faith and order web page, sums up the committee’s message. Our Church has a calling to live, a task to fulfil, a great God to serve, and grace sufficient for the journey ahead. We hope that people will find this message refreshingly positive. In some churches it may give resource material for preaching or discussion. We commend it to you, and commend you to God’s guidance, wisdom and love. (</w:t>
      </w:r>
      <w:r>
        <w:rPr>
          <w:color w:val="006AB3"/>
          <w:w w:val="120"/>
        </w:rPr>
        <w:t>https://</w:t>
      </w:r>
      <w:hyperlink r:id="rId325">
        <w:r>
          <w:rPr>
            <w:color w:val="006AB3"/>
            <w:w w:val="120"/>
          </w:rPr>
          <w:t>www.urc.org.uk/urc-</w:t>
        </w:r>
      </w:hyperlink>
      <w:r>
        <w:rPr>
          <w:color w:val="006AB3"/>
          <w:w w:val="120"/>
        </w:rPr>
        <w:t> resources/faith-and-order</w:t>
      </w:r>
      <w:r>
        <w:rPr>
          <w:w w:val="120"/>
        </w:rPr>
        <w:t>)</w:t>
      </w:r>
    </w:p>
    <w:p>
      <w:pPr>
        <w:pStyle w:val="BodyText"/>
        <w:spacing w:before="6"/>
        <w:rPr>
          <w:sz w:val="18"/>
        </w:rPr>
      </w:pPr>
    </w:p>
    <w:p>
      <w:pPr>
        <w:pStyle w:val="Heading8"/>
        <w:numPr>
          <w:ilvl w:val="1"/>
          <w:numId w:val="77"/>
        </w:numPr>
        <w:tabs>
          <w:tab w:pos="1507" w:val="left" w:leader="none"/>
          <w:tab w:pos="1508" w:val="left" w:leader="none"/>
        </w:tabs>
        <w:spacing w:line="261" w:lineRule="exact" w:before="0" w:after="0"/>
        <w:ind w:left="1507" w:right="0" w:hanging="681"/>
        <w:jc w:val="left"/>
      </w:pPr>
      <w:r>
        <w:rPr>
          <w:w w:val="110"/>
        </w:rPr>
        <w:t>Resolution</w:t>
      </w:r>
      <w:r>
        <w:rPr>
          <w:spacing w:val="-1"/>
          <w:w w:val="110"/>
        </w:rPr>
        <w:t> </w:t>
      </w:r>
      <w:r>
        <w:rPr>
          <w:w w:val="110"/>
        </w:rPr>
        <w:t>23</w:t>
      </w:r>
    </w:p>
    <w:p>
      <w:pPr>
        <w:pStyle w:val="BodyText"/>
        <w:spacing w:line="235" w:lineRule="auto"/>
        <w:ind w:left="827" w:right="1528"/>
      </w:pPr>
      <w:r>
        <w:rPr>
          <w:w w:val="120"/>
        </w:rPr>
        <w:t>In response to this resolution the committee has begun work on a series of short articles on what the church believes about ten central issues of the Christian faith.</w:t>
      </w:r>
    </w:p>
    <w:p>
      <w:pPr>
        <w:pStyle w:val="BodyText"/>
        <w:rPr>
          <w:sz w:val="18"/>
        </w:rPr>
      </w:pPr>
    </w:p>
    <w:p>
      <w:pPr>
        <w:pStyle w:val="Heading8"/>
        <w:numPr>
          <w:ilvl w:val="1"/>
          <w:numId w:val="77"/>
        </w:numPr>
        <w:tabs>
          <w:tab w:pos="1507" w:val="left" w:leader="none"/>
          <w:tab w:pos="1508" w:val="left" w:leader="none"/>
        </w:tabs>
        <w:spacing w:line="261" w:lineRule="exact" w:before="0" w:after="0"/>
        <w:ind w:left="1507" w:right="0" w:hanging="681"/>
        <w:jc w:val="left"/>
      </w:pPr>
      <w:r>
        <w:rPr>
          <w:w w:val="110"/>
        </w:rPr>
        <w:t>Resolution</w:t>
      </w:r>
      <w:r>
        <w:rPr>
          <w:spacing w:val="-1"/>
          <w:w w:val="110"/>
        </w:rPr>
        <w:t> </w:t>
      </w:r>
      <w:r>
        <w:rPr>
          <w:w w:val="110"/>
        </w:rPr>
        <w:t>24</w:t>
      </w:r>
    </w:p>
    <w:p>
      <w:pPr>
        <w:pStyle w:val="ListParagraph"/>
        <w:numPr>
          <w:ilvl w:val="2"/>
          <w:numId w:val="77"/>
        </w:numPr>
        <w:tabs>
          <w:tab w:pos="1508" w:val="left" w:leader="none"/>
        </w:tabs>
        <w:spacing w:line="235" w:lineRule="auto" w:before="0" w:after="0"/>
        <w:ind w:left="1507" w:right="1744" w:hanging="681"/>
        <w:jc w:val="left"/>
        <w:rPr>
          <w:sz w:val="20"/>
        </w:rPr>
      </w:pPr>
      <w:r>
        <w:rPr>
          <w:w w:val="120"/>
          <w:sz w:val="20"/>
        </w:rPr>
        <w:t>In </w:t>
      </w:r>
      <w:r>
        <w:rPr>
          <w:spacing w:val="-7"/>
          <w:w w:val="120"/>
          <w:sz w:val="20"/>
        </w:rPr>
        <w:t>2016 </w:t>
      </w:r>
      <w:r>
        <w:rPr>
          <w:w w:val="120"/>
          <w:sz w:val="20"/>
        </w:rPr>
        <w:t>General Assembly recognised in principle that a scheme should be developed for ‘wider fold/isolated members’, and instructed the committee to bring a proposal to Mission Council in May </w:t>
      </w:r>
      <w:r>
        <w:rPr>
          <w:spacing w:val="-12"/>
          <w:w w:val="120"/>
          <w:sz w:val="20"/>
        </w:rPr>
        <w:t>2017. </w:t>
      </w:r>
      <w:r>
        <w:rPr>
          <w:w w:val="120"/>
          <w:sz w:val="20"/>
        </w:rPr>
        <w:t>The discussion of this proposal raised questions about its conformity to the law and polity of the URC, and the committee was invited to explore the matter</w:t>
      </w:r>
      <w:r>
        <w:rPr>
          <w:spacing w:val="9"/>
          <w:w w:val="120"/>
          <w:sz w:val="20"/>
        </w:rPr>
        <w:t> </w:t>
      </w:r>
      <w:r>
        <w:rPr>
          <w:w w:val="120"/>
          <w:sz w:val="20"/>
        </w:rPr>
        <w:t>further.</w:t>
      </w:r>
    </w:p>
    <w:p>
      <w:pPr>
        <w:pStyle w:val="BodyText"/>
        <w:spacing w:before="7"/>
        <w:rPr>
          <w:sz w:val="19"/>
        </w:rPr>
      </w:pPr>
    </w:p>
    <w:p>
      <w:pPr>
        <w:pStyle w:val="ListParagraph"/>
        <w:numPr>
          <w:ilvl w:val="2"/>
          <w:numId w:val="77"/>
        </w:numPr>
        <w:tabs>
          <w:tab w:pos="1508" w:val="left" w:leader="none"/>
        </w:tabs>
        <w:spacing w:line="235" w:lineRule="auto" w:before="0" w:after="0"/>
        <w:ind w:left="1507" w:right="2368" w:hanging="681"/>
        <w:jc w:val="left"/>
        <w:rPr>
          <w:sz w:val="20"/>
        </w:rPr>
      </w:pPr>
      <w:r>
        <w:rPr>
          <w:w w:val="120"/>
          <w:sz w:val="20"/>
        </w:rPr>
        <w:t>Having </w:t>
      </w:r>
      <w:r>
        <w:rPr>
          <w:spacing w:val="-4"/>
          <w:w w:val="120"/>
          <w:sz w:val="20"/>
        </w:rPr>
        <w:t>consulted </w:t>
      </w:r>
      <w:r>
        <w:rPr>
          <w:w w:val="120"/>
          <w:sz w:val="20"/>
        </w:rPr>
        <w:t>with the law and polity advisory group and the synod moderators, the </w:t>
      </w:r>
      <w:r>
        <w:rPr>
          <w:spacing w:val="-3"/>
          <w:w w:val="120"/>
          <w:sz w:val="20"/>
        </w:rPr>
        <w:t>committee </w:t>
      </w:r>
      <w:r>
        <w:rPr>
          <w:spacing w:val="-2"/>
          <w:w w:val="120"/>
          <w:sz w:val="20"/>
        </w:rPr>
        <w:t>now </w:t>
      </w:r>
      <w:r>
        <w:rPr>
          <w:w w:val="120"/>
          <w:sz w:val="20"/>
        </w:rPr>
        <w:t>offers an amended </w:t>
      </w:r>
      <w:r>
        <w:rPr>
          <w:spacing w:val="-6"/>
          <w:w w:val="120"/>
          <w:sz w:val="20"/>
        </w:rPr>
        <w:t>(and </w:t>
      </w:r>
      <w:r>
        <w:rPr>
          <w:w w:val="120"/>
          <w:sz w:val="20"/>
        </w:rPr>
        <w:t>less</w:t>
      </w:r>
      <w:r>
        <w:rPr>
          <w:spacing w:val="-36"/>
          <w:w w:val="120"/>
          <w:sz w:val="20"/>
        </w:rPr>
        <w:t> </w:t>
      </w:r>
      <w:r>
        <w:rPr>
          <w:spacing w:val="-4"/>
          <w:w w:val="120"/>
          <w:sz w:val="20"/>
        </w:rPr>
        <w:t>adventurous) </w:t>
      </w:r>
      <w:r>
        <w:rPr>
          <w:w w:val="120"/>
          <w:sz w:val="20"/>
        </w:rPr>
        <w:t>proposal </w:t>
      </w:r>
      <w:r>
        <w:rPr>
          <w:spacing w:val="-3"/>
          <w:w w:val="120"/>
          <w:sz w:val="20"/>
        </w:rPr>
        <w:t>to </w:t>
      </w:r>
      <w:r>
        <w:rPr>
          <w:w w:val="120"/>
          <w:sz w:val="20"/>
        </w:rPr>
        <w:t>General</w:t>
      </w:r>
      <w:r>
        <w:rPr>
          <w:spacing w:val="-4"/>
          <w:w w:val="120"/>
          <w:sz w:val="20"/>
        </w:rPr>
        <w:t> </w:t>
      </w:r>
      <w:r>
        <w:rPr>
          <w:spacing w:val="-3"/>
          <w:w w:val="120"/>
          <w:sz w:val="20"/>
        </w:rPr>
        <w:t>Assembly.</w:t>
      </w:r>
    </w:p>
    <w:p>
      <w:pPr>
        <w:spacing w:after="0" w:line="235" w:lineRule="auto"/>
        <w:jc w:val="left"/>
        <w:rPr>
          <w:sz w:val="20"/>
        </w:rPr>
        <w:sectPr>
          <w:headerReference w:type="even" r:id="rId322"/>
          <w:footerReference w:type="even" r:id="rId323"/>
          <w:footerReference w:type="default" r:id="rId324"/>
          <w:pgSz w:w="11910" w:h="16840"/>
          <w:pgMar w:header="0" w:footer="647" w:top="0" w:bottom="840" w:left="420" w:right="380"/>
          <w:pgNumType w:start="112"/>
        </w:sectPr>
      </w:pPr>
    </w:p>
    <w:p>
      <w:pPr>
        <w:pStyle w:val="BodyText"/>
      </w:pPr>
      <w:r>
        <w:rPr/>
        <w:drawing>
          <wp:anchor distT="0" distB="0" distL="0" distR="0" allowOverlap="1" layoutInCell="1" locked="0" behindDoc="0" simplePos="0" relativeHeight="251957248">
            <wp:simplePos x="0" y="0"/>
            <wp:positionH relativeFrom="page">
              <wp:posOffset>6974928</wp:posOffset>
            </wp:positionH>
            <wp:positionV relativeFrom="page">
              <wp:posOffset>0</wp:posOffset>
            </wp:positionV>
            <wp:extent cx="585063" cy="10692003"/>
            <wp:effectExtent l="0" t="0" r="0" b="0"/>
            <wp:wrapNone/>
            <wp:docPr id="215" name="image57.png"/>
            <wp:cNvGraphicFramePr>
              <a:graphicFrameLocks noChangeAspect="1"/>
            </wp:cNvGraphicFramePr>
            <a:graphic>
              <a:graphicData uri="http://schemas.openxmlformats.org/drawingml/2006/picture">
                <pic:pic>
                  <pic:nvPicPr>
                    <pic:cNvPr id="21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59.65pt;mso-position-horizontal-relative:page;mso-position-vertical-relative:paragraph;z-index:251958272"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bookmarkStart w:name="_TOC_250005" w:id="25"/>
      <w:bookmarkEnd w:id="25"/>
      <w:r>
        <w:rPr>
          <w:color w:val="7EAABF"/>
          <w:w w:val="115"/>
        </w:rPr>
        <w:t>Faith and order</w:t>
      </w:r>
    </w:p>
    <w:p>
      <w:pPr>
        <w:pStyle w:val="ListParagraph"/>
        <w:numPr>
          <w:ilvl w:val="2"/>
          <w:numId w:val="77"/>
        </w:numPr>
        <w:tabs>
          <w:tab w:pos="2245" w:val="left" w:leader="none"/>
        </w:tabs>
        <w:spacing w:line="235" w:lineRule="auto" w:before="222" w:after="0"/>
        <w:ind w:left="2244" w:right="967" w:hanging="681"/>
        <w:jc w:val="left"/>
        <w:rPr>
          <w:sz w:val="20"/>
        </w:rPr>
      </w:pPr>
      <w:r>
        <w:rPr>
          <w:w w:val="120"/>
          <w:sz w:val="20"/>
        </w:rPr>
        <w:t>If the resolution is passed, we believe it will be important for the Church to offer guidance to those local congregations asked by their synods to fulfil this</w:t>
      </w:r>
      <w:r>
        <w:rPr>
          <w:spacing w:val="48"/>
          <w:w w:val="120"/>
          <w:sz w:val="20"/>
        </w:rPr>
        <w:t> </w:t>
      </w:r>
      <w:r>
        <w:rPr>
          <w:w w:val="120"/>
          <w:sz w:val="20"/>
        </w:rPr>
        <w:t>role,</w:t>
      </w:r>
    </w:p>
    <w:p>
      <w:pPr>
        <w:pStyle w:val="BodyText"/>
        <w:spacing w:line="235" w:lineRule="auto" w:before="1"/>
        <w:ind w:left="2244" w:right="1169"/>
      </w:pPr>
      <w:r>
        <w:rPr>
          <w:w w:val="120"/>
        </w:rPr>
        <w:t>to clarify reasonable expectations around pastoral care for isolated members. It is unlikely, we think, that the numbers of people involved will be large.</w:t>
      </w:r>
    </w:p>
    <w:p>
      <w:pPr>
        <w:pStyle w:val="BodyText"/>
        <w:spacing w:before="2"/>
        <w:rPr>
          <w:sz w:val="22"/>
        </w:rPr>
      </w:pPr>
    </w:p>
    <w:p>
      <w:pPr>
        <w:pStyle w:val="Heading4"/>
        <w:numPr>
          <w:ilvl w:val="0"/>
          <w:numId w:val="77"/>
        </w:numPr>
        <w:tabs>
          <w:tab w:pos="2244" w:val="left" w:leader="none"/>
          <w:tab w:pos="2245" w:val="left" w:leader="none"/>
        </w:tabs>
        <w:spacing w:line="240" w:lineRule="auto" w:before="0" w:after="0"/>
        <w:ind w:left="2244" w:right="0" w:hanging="681"/>
        <w:jc w:val="left"/>
      </w:pPr>
      <w:r>
        <w:rPr>
          <w:spacing w:val="3"/>
          <w:w w:val="110"/>
        </w:rPr>
        <w:t>Mission and </w:t>
      </w:r>
      <w:r>
        <w:rPr>
          <w:spacing w:val="4"/>
          <w:w w:val="110"/>
        </w:rPr>
        <w:t>ministry </w:t>
      </w:r>
      <w:r>
        <w:rPr>
          <w:w w:val="110"/>
        </w:rPr>
        <w:t>in</w:t>
      </w:r>
      <w:r>
        <w:rPr>
          <w:spacing w:val="42"/>
          <w:w w:val="110"/>
        </w:rPr>
        <w:t> </w:t>
      </w:r>
      <w:r>
        <w:rPr>
          <w:spacing w:val="2"/>
          <w:w w:val="110"/>
        </w:rPr>
        <w:t>covenant</w:t>
      </w:r>
    </w:p>
    <w:p>
      <w:pPr>
        <w:pStyle w:val="ListParagraph"/>
        <w:numPr>
          <w:ilvl w:val="1"/>
          <w:numId w:val="77"/>
        </w:numPr>
        <w:tabs>
          <w:tab w:pos="2244" w:val="left" w:leader="none"/>
          <w:tab w:pos="2245" w:val="left" w:leader="none"/>
        </w:tabs>
        <w:spacing w:line="235" w:lineRule="auto" w:before="69" w:after="0"/>
        <w:ind w:left="1564" w:right="879" w:firstLine="0"/>
        <w:jc w:val="left"/>
        <w:rPr>
          <w:sz w:val="20"/>
        </w:rPr>
      </w:pPr>
      <w:r>
        <w:rPr>
          <w:w w:val="120"/>
          <w:sz w:val="20"/>
        </w:rPr>
        <w:t>The Church of England and the Methodist Church are in serious discussion about the possible interchangeability of ministry between the two churches with a proposal entitled, ‘Mission and Ministry in Covenant: </w:t>
      </w:r>
      <w:r>
        <w:rPr>
          <w:spacing w:val="2"/>
          <w:w w:val="120"/>
          <w:sz w:val="20"/>
        </w:rPr>
        <w:t>Report </w:t>
      </w:r>
      <w:r>
        <w:rPr>
          <w:w w:val="120"/>
          <w:sz w:val="20"/>
        </w:rPr>
        <w:t>from the faith and order</w:t>
      </w:r>
      <w:r>
        <w:rPr>
          <w:spacing w:val="25"/>
          <w:w w:val="120"/>
          <w:sz w:val="20"/>
        </w:rPr>
        <w:t> </w:t>
      </w:r>
      <w:r>
        <w:rPr>
          <w:w w:val="120"/>
          <w:sz w:val="20"/>
        </w:rPr>
        <w:t>bodies</w:t>
      </w:r>
    </w:p>
    <w:p>
      <w:pPr>
        <w:pStyle w:val="BodyText"/>
        <w:spacing w:line="235" w:lineRule="auto" w:before="2"/>
        <w:ind w:left="1564" w:right="1339"/>
      </w:pPr>
      <w:r>
        <w:rPr>
          <w:w w:val="120"/>
        </w:rPr>
        <w:t>of the Church of England and Methodist Church’ (</w:t>
      </w:r>
      <w:hyperlink r:id="rId327">
        <w:r>
          <w:rPr>
            <w:color w:val="006AB3"/>
            <w:w w:val="120"/>
          </w:rPr>
          <w:t>www.churchofengland.org/sites/</w:t>
        </w:r>
      </w:hyperlink>
      <w:r>
        <w:rPr>
          <w:color w:val="006AB3"/>
          <w:w w:val="120"/>
        </w:rPr>
        <w:t> default/files/2017-10/mission-and-ministry-in-covenant.pdf</w:t>
      </w:r>
      <w:r>
        <w:rPr>
          <w:w w:val="120"/>
        </w:rPr>
        <w:t>)</w:t>
      </w:r>
    </w:p>
    <w:p>
      <w:pPr>
        <w:pStyle w:val="BodyText"/>
        <w:spacing w:before="6"/>
        <w:rPr>
          <w:sz w:val="19"/>
        </w:rPr>
      </w:pPr>
    </w:p>
    <w:p>
      <w:pPr>
        <w:pStyle w:val="ListParagraph"/>
        <w:numPr>
          <w:ilvl w:val="1"/>
          <w:numId w:val="77"/>
        </w:numPr>
        <w:tabs>
          <w:tab w:pos="2244" w:val="left" w:leader="none"/>
          <w:tab w:pos="2245" w:val="left" w:leader="none"/>
        </w:tabs>
        <w:spacing w:line="240" w:lineRule="auto" w:before="0" w:after="0"/>
        <w:ind w:left="2244" w:right="0" w:hanging="681"/>
        <w:jc w:val="left"/>
        <w:rPr>
          <w:sz w:val="20"/>
        </w:rPr>
      </w:pPr>
      <w:r>
        <w:rPr>
          <w:w w:val="120"/>
          <w:sz w:val="20"/>
        </w:rPr>
        <w:t>We were invited to respond and did so as</w:t>
      </w:r>
      <w:r>
        <w:rPr>
          <w:spacing w:val="17"/>
          <w:w w:val="120"/>
          <w:sz w:val="20"/>
        </w:rPr>
        <w:t> </w:t>
      </w:r>
      <w:r>
        <w:rPr>
          <w:w w:val="120"/>
          <w:sz w:val="20"/>
        </w:rPr>
        <w:t>follows:</w:t>
      </w:r>
    </w:p>
    <w:p>
      <w:pPr>
        <w:pStyle w:val="BodyText"/>
        <w:spacing w:before="7"/>
        <w:rPr>
          <w:sz w:val="19"/>
        </w:rPr>
      </w:pPr>
    </w:p>
    <w:p>
      <w:pPr>
        <w:spacing w:line="235" w:lineRule="auto" w:before="0"/>
        <w:ind w:left="2244" w:right="923" w:firstLine="0"/>
        <w:jc w:val="left"/>
        <w:rPr>
          <w:i/>
          <w:sz w:val="20"/>
        </w:rPr>
      </w:pPr>
      <w:r>
        <w:rPr>
          <w:i/>
          <w:w w:val="110"/>
          <w:sz w:val="20"/>
        </w:rPr>
        <w:t>Thank you for the opportunity to provide an initial response to the ‘Mission and Ministry </w:t>
      </w:r>
      <w:r>
        <w:rPr>
          <w:i/>
          <w:w w:val="110"/>
          <w:sz w:val="20"/>
        </w:rPr>
        <w:t>in Covenant’ document. As ecumenical partners, we would wish to support you in</w:t>
      </w:r>
    </w:p>
    <w:p>
      <w:pPr>
        <w:spacing w:line="240" w:lineRule="exact" w:before="0"/>
        <w:ind w:left="2244" w:right="0" w:firstLine="0"/>
        <w:jc w:val="left"/>
        <w:rPr>
          <w:i/>
          <w:sz w:val="20"/>
        </w:rPr>
      </w:pPr>
      <w:r>
        <w:rPr>
          <w:i/>
          <w:w w:val="110"/>
          <w:sz w:val="20"/>
        </w:rPr>
        <w:t>this proposal to work more closely together and in freeing up resources for mission.</w:t>
      </w:r>
    </w:p>
    <w:p>
      <w:pPr>
        <w:spacing w:line="235" w:lineRule="auto" w:before="2"/>
        <w:ind w:left="2244" w:right="881" w:firstLine="0"/>
        <w:jc w:val="left"/>
        <w:rPr>
          <w:i/>
          <w:sz w:val="20"/>
        </w:rPr>
      </w:pPr>
      <w:r>
        <w:rPr>
          <w:i/>
          <w:w w:val="115"/>
          <w:sz w:val="20"/>
        </w:rPr>
        <w:t>The proposal is clearly a challenging one for both your denominations and we would </w:t>
      </w:r>
      <w:r>
        <w:rPr>
          <w:i/>
          <w:w w:val="115"/>
          <w:sz w:val="20"/>
        </w:rPr>
        <w:t>encourage</w:t>
      </w:r>
      <w:r>
        <w:rPr>
          <w:i/>
          <w:spacing w:val="-14"/>
          <w:w w:val="115"/>
          <w:sz w:val="20"/>
        </w:rPr>
        <w:t> </w:t>
      </w:r>
      <w:r>
        <w:rPr>
          <w:i/>
          <w:w w:val="115"/>
          <w:sz w:val="20"/>
        </w:rPr>
        <w:t>openness</w:t>
      </w:r>
      <w:r>
        <w:rPr>
          <w:i/>
          <w:spacing w:val="-14"/>
          <w:w w:val="115"/>
          <w:sz w:val="20"/>
        </w:rPr>
        <w:t> </w:t>
      </w:r>
      <w:r>
        <w:rPr>
          <w:i/>
          <w:w w:val="115"/>
          <w:sz w:val="20"/>
        </w:rPr>
        <w:t>and</w:t>
      </w:r>
      <w:r>
        <w:rPr>
          <w:i/>
          <w:spacing w:val="-14"/>
          <w:w w:val="115"/>
          <w:sz w:val="20"/>
        </w:rPr>
        <w:t> </w:t>
      </w:r>
      <w:r>
        <w:rPr>
          <w:i/>
          <w:w w:val="115"/>
          <w:sz w:val="20"/>
        </w:rPr>
        <w:t>honesty</w:t>
      </w:r>
      <w:r>
        <w:rPr>
          <w:i/>
          <w:spacing w:val="-13"/>
          <w:w w:val="115"/>
          <w:sz w:val="20"/>
        </w:rPr>
        <w:t> </w:t>
      </w:r>
      <w:r>
        <w:rPr>
          <w:i/>
          <w:w w:val="115"/>
          <w:sz w:val="20"/>
        </w:rPr>
        <w:t>about</w:t>
      </w:r>
      <w:r>
        <w:rPr>
          <w:i/>
          <w:spacing w:val="-14"/>
          <w:w w:val="115"/>
          <w:sz w:val="20"/>
        </w:rPr>
        <w:t> </w:t>
      </w:r>
      <w:r>
        <w:rPr>
          <w:i/>
          <w:w w:val="115"/>
          <w:sz w:val="20"/>
        </w:rPr>
        <w:t>the</w:t>
      </w:r>
      <w:r>
        <w:rPr>
          <w:i/>
          <w:spacing w:val="-14"/>
          <w:w w:val="115"/>
          <w:sz w:val="20"/>
        </w:rPr>
        <w:t> </w:t>
      </w:r>
      <w:r>
        <w:rPr>
          <w:i/>
          <w:w w:val="115"/>
          <w:sz w:val="20"/>
        </w:rPr>
        <w:t>difficulties</w:t>
      </w:r>
      <w:r>
        <w:rPr>
          <w:i/>
          <w:spacing w:val="-13"/>
          <w:w w:val="115"/>
          <w:sz w:val="20"/>
        </w:rPr>
        <w:t> </w:t>
      </w:r>
      <w:r>
        <w:rPr>
          <w:i/>
          <w:w w:val="115"/>
          <w:sz w:val="20"/>
        </w:rPr>
        <w:t>in</w:t>
      </w:r>
      <w:r>
        <w:rPr>
          <w:i/>
          <w:spacing w:val="-14"/>
          <w:w w:val="115"/>
          <w:sz w:val="20"/>
        </w:rPr>
        <w:t> </w:t>
      </w:r>
      <w:r>
        <w:rPr>
          <w:i/>
          <w:w w:val="115"/>
          <w:sz w:val="20"/>
        </w:rPr>
        <w:t>reaching</w:t>
      </w:r>
      <w:r>
        <w:rPr>
          <w:i/>
          <w:spacing w:val="-14"/>
          <w:w w:val="115"/>
          <w:sz w:val="20"/>
        </w:rPr>
        <w:t> </w:t>
      </w:r>
      <w:r>
        <w:rPr>
          <w:i/>
          <w:w w:val="115"/>
          <w:sz w:val="20"/>
        </w:rPr>
        <w:t>a</w:t>
      </w:r>
      <w:r>
        <w:rPr>
          <w:i/>
          <w:spacing w:val="-14"/>
          <w:w w:val="115"/>
          <w:sz w:val="20"/>
        </w:rPr>
        <w:t> </w:t>
      </w:r>
      <w:r>
        <w:rPr>
          <w:i/>
          <w:w w:val="115"/>
          <w:sz w:val="20"/>
        </w:rPr>
        <w:t>potential</w:t>
      </w:r>
      <w:r>
        <w:rPr>
          <w:i/>
          <w:spacing w:val="-13"/>
          <w:w w:val="115"/>
          <w:sz w:val="20"/>
        </w:rPr>
        <w:t> </w:t>
      </w:r>
      <w:r>
        <w:rPr>
          <w:i/>
          <w:w w:val="115"/>
          <w:sz w:val="20"/>
        </w:rPr>
        <w:t>concord. If</w:t>
      </w:r>
      <w:r>
        <w:rPr>
          <w:i/>
          <w:spacing w:val="-15"/>
          <w:w w:val="115"/>
          <w:sz w:val="20"/>
        </w:rPr>
        <w:t> </w:t>
      </w:r>
      <w:r>
        <w:rPr>
          <w:i/>
          <w:w w:val="115"/>
          <w:sz w:val="20"/>
        </w:rPr>
        <w:t>you</w:t>
      </w:r>
      <w:r>
        <w:rPr>
          <w:i/>
          <w:spacing w:val="-14"/>
          <w:w w:val="115"/>
          <w:sz w:val="20"/>
        </w:rPr>
        <w:t> </w:t>
      </w:r>
      <w:r>
        <w:rPr>
          <w:i/>
          <w:w w:val="115"/>
          <w:sz w:val="20"/>
        </w:rPr>
        <w:t>are</w:t>
      </w:r>
      <w:r>
        <w:rPr>
          <w:i/>
          <w:spacing w:val="-15"/>
          <w:w w:val="115"/>
          <w:sz w:val="20"/>
        </w:rPr>
        <w:t> </w:t>
      </w:r>
      <w:r>
        <w:rPr>
          <w:i/>
          <w:w w:val="115"/>
          <w:sz w:val="20"/>
        </w:rPr>
        <w:t>able</w:t>
      </w:r>
      <w:r>
        <w:rPr>
          <w:i/>
          <w:spacing w:val="-14"/>
          <w:w w:val="115"/>
          <w:sz w:val="20"/>
        </w:rPr>
        <w:t> </w:t>
      </w:r>
      <w:r>
        <w:rPr>
          <w:i/>
          <w:w w:val="115"/>
          <w:sz w:val="20"/>
        </w:rPr>
        <w:t>to</w:t>
      </w:r>
      <w:r>
        <w:rPr>
          <w:i/>
          <w:spacing w:val="-14"/>
          <w:w w:val="115"/>
          <w:sz w:val="20"/>
        </w:rPr>
        <w:t> </w:t>
      </w:r>
      <w:r>
        <w:rPr>
          <w:i/>
          <w:w w:val="115"/>
          <w:sz w:val="20"/>
        </w:rPr>
        <w:t>reach</w:t>
      </w:r>
      <w:r>
        <w:rPr>
          <w:i/>
          <w:spacing w:val="-15"/>
          <w:w w:val="115"/>
          <w:sz w:val="20"/>
        </w:rPr>
        <w:t> </w:t>
      </w:r>
      <w:r>
        <w:rPr>
          <w:i/>
          <w:w w:val="115"/>
          <w:sz w:val="20"/>
        </w:rPr>
        <w:t>a</w:t>
      </w:r>
      <w:r>
        <w:rPr>
          <w:i/>
          <w:spacing w:val="-14"/>
          <w:w w:val="115"/>
          <w:sz w:val="20"/>
        </w:rPr>
        <w:t> </w:t>
      </w:r>
      <w:r>
        <w:rPr>
          <w:i/>
          <w:w w:val="115"/>
          <w:sz w:val="20"/>
        </w:rPr>
        <w:t>genuine</w:t>
      </w:r>
      <w:r>
        <w:rPr>
          <w:i/>
          <w:spacing w:val="-14"/>
          <w:w w:val="115"/>
          <w:sz w:val="20"/>
        </w:rPr>
        <w:t> </w:t>
      </w:r>
      <w:r>
        <w:rPr>
          <w:i/>
          <w:w w:val="115"/>
          <w:sz w:val="20"/>
        </w:rPr>
        <w:t>agreement</w:t>
      </w:r>
      <w:r>
        <w:rPr>
          <w:i/>
          <w:spacing w:val="-15"/>
          <w:w w:val="115"/>
          <w:sz w:val="20"/>
        </w:rPr>
        <w:t> </w:t>
      </w:r>
      <w:r>
        <w:rPr>
          <w:i/>
          <w:w w:val="115"/>
          <w:sz w:val="20"/>
        </w:rPr>
        <w:t>with</w:t>
      </w:r>
      <w:r>
        <w:rPr>
          <w:i/>
          <w:spacing w:val="-14"/>
          <w:w w:val="115"/>
          <w:sz w:val="20"/>
        </w:rPr>
        <w:t> </w:t>
      </w:r>
      <w:r>
        <w:rPr>
          <w:i/>
          <w:w w:val="115"/>
          <w:sz w:val="20"/>
        </w:rPr>
        <w:t>integrity</w:t>
      </w:r>
      <w:r>
        <w:rPr>
          <w:i/>
          <w:spacing w:val="-14"/>
          <w:w w:val="115"/>
          <w:sz w:val="20"/>
        </w:rPr>
        <w:t> </w:t>
      </w:r>
      <w:r>
        <w:rPr>
          <w:i/>
          <w:w w:val="115"/>
          <w:sz w:val="20"/>
        </w:rPr>
        <w:t>we</w:t>
      </w:r>
      <w:r>
        <w:rPr>
          <w:i/>
          <w:spacing w:val="-15"/>
          <w:w w:val="115"/>
          <w:sz w:val="20"/>
        </w:rPr>
        <w:t> </w:t>
      </w:r>
      <w:r>
        <w:rPr>
          <w:i/>
          <w:w w:val="115"/>
          <w:sz w:val="20"/>
        </w:rPr>
        <w:t>would</w:t>
      </w:r>
      <w:r>
        <w:rPr>
          <w:i/>
          <w:spacing w:val="-14"/>
          <w:w w:val="115"/>
          <w:sz w:val="20"/>
        </w:rPr>
        <w:t> </w:t>
      </w:r>
      <w:r>
        <w:rPr>
          <w:i/>
          <w:w w:val="115"/>
          <w:sz w:val="20"/>
        </w:rPr>
        <w:t>wish</w:t>
      </w:r>
      <w:r>
        <w:rPr>
          <w:i/>
          <w:spacing w:val="-14"/>
          <w:w w:val="115"/>
          <w:sz w:val="20"/>
        </w:rPr>
        <w:t> </w:t>
      </w:r>
      <w:r>
        <w:rPr>
          <w:i/>
          <w:w w:val="115"/>
          <w:sz w:val="20"/>
        </w:rPr>
        <w:t>to</w:t>
      </w:r>
      <w:r>
        <w:rPr>
          <w:i/>
          <w:spacing w:val="-15"/>
          <w:w w:val="115"/>
          <w:sz w:val="20"/>
        </w:rPr>
        <w:t> </w:t>
      </w:r>
      <w:r>
        <w:rPr>
          <w:i/>
          <w:w w:val="115"/>
          <w:sz w:val="20"/>
        </w:rPr>
        <w:t>celebrate with</w:t>
      </w:r>
      <w:r>
        <w:rPr>
          <w:i/>
          <w:spacing w:val="1"/>
          <w:w w:val="115"/>
          <w:sz w:val="20"/>
        </w:rPr>
        <w:t> </w:t>
      </w:r>
      <w:r>
        <w:rPr>
          <w:i/>
          <w:w w:val="115"/>
          <w:sz w:val="20"/>
        </w:rPr>
        <w:t>you.</w:t>
      </w:r>
    </w:p>
    <w:p>
      <w:pPr>
        <w:pStyle w:val="BodyText"/>
        <w:spacing w:before="11"/>
        <w:rPr>
          <w:i/>
          <w:sz w:val="19"/>
        </w:rPr>
      </w:pPr>
    </w:p>
    <w:p>
      <w:pPr>
        <w:spacing w:line="235" w:lineRule="auto" w:before="0"/>
        <w:ind w:left="2244" w:right="1169" w:firstLine="0"/>
        <w:jc w:val="left"/>
        <w:rPr>
          <w:i/>
          <w:sz w:val="20"/>
        </w:rPr>
      </w:pPr>
      <w:r>
        <w:rPr>
          <w:i/>
          <w:w w:val="110"/>
          <w:sz w:val="20"/>
        </w:rPr>
        <w:t>The United Reformed Church does not see that such an agreement would create any </w:t>
      </w:r>
      <w:r>
        <w:rPr>
          <w:i/>
          <w:w w:val="110"/>
          <w:sz w:val="20"/>
        </w:rPr>
        <w:t>new obstacles for our ongoing ecumenical relationships with the Church of England and Methodist Church. Indeed, we would welcome the opportunity to engage in developing ‘Mission and Ministry in Covenant’ to other partner denominations.</w:t>
      </w:r>
    </w:p>
    <w:p>
      <w:pPr>
        <w:spacing w:line="235" w:lineRule="auto" w:before="3"/>
        <w:ind w:left="2244" w:right="923" w:firstLine="0"/>
        <w:jc w:val="left"/>
        <w:rPr>
          <w:i/>
          <w:sz w:val="20"/>
        </w:rPr>
      </w:pPr>
      <w:r>
        <w:rPr>
          <w:i/>
          <w:w w:val="110"/>
          <w:sz w:val="20"/>
        </w:rPr>
        <w:t>With this in mind, we have been reflecting on our understanding of episcope and its </w:t>
      </w:r>
      <w:r>
        <w:rPr>
          <w:i/>
          <w:w w:val="110"/>
          <w:sz w:val="20"/>
        </w:rPr>
        <w:t>expression for us in a conciliar form. We offer our prayers for your discussions and look forward to our future involvement whether that be as supportive friend or participant.</w:t>
      </w:r>
    </w:p>
    <w:p>
      <w:pPr>
        <w:pStyle w:val="BodyText"/>
        <w:spacing w:before="10"/>
        <w:rPr>
          <w:i/>
          <w:sz w:val="19"/>
        </w:rPr>
      </w:pPr>
    </w:p>
    <w:p>
      <w:pPr>
        <w:pStyle w:val="ListParagraph"/>
        <w:numPr>
          <w:ilvl w:val="1"/>
          <w:numId w:val="77"/>
        </w:numPr>
        <w:tabs>
          <w:tab w:pos="2244" w:val="left" w:leader="none"/>
          <w:tab w:pos="2245" w:val="left" w:leader="none"/>
        </w:tabs>
        <w:spacing w:line="235" w:lineRule="auto" w:before="0" w:after="0"/>
        <w:ind w:left="1564" w:right="1235" w:firstLine="0"/>
        <w:jc w:val="left"/>
        <w:rPr>
          <w:sz w:val="20"/>
        </w:rPr>
      </w:pPr>
      <w:r>
        <w:rPr>
          <w:w w:val="120"/>
          <w:sz w:val="20"/>
        </w:rPr>
        <w:t>Much of the discussion between these two churches has to do with the place and meaning of episcopacy. </w:t>
      </w:r>
      <w:r>
        <w:rPr>
          <w:spacing w:val="3"/>
          <w:w w:val="120"/>
          <w:sz w:val="20"/>
        </w:rPr>
        <w:t>As </w:t>
      </w:r>
      <w:r>
        <w:rPr>
          <w:w w:val="120"/>
          <w:sz w:val="20"/>
        </w:rPr>
        <w:t>the possibility of any future interchange of ministry between the URC and Church of England will clearly depend to some extent on the issues of episcopacy we have begun to reflect on a URC understanding of the role of episcopacy in relation to our commitment to</w:t>
      </w:r>
      <w:r>
        <w:rPr>
          <w:spacing w:val="15"/>
          <w:w w:val="120"/>
          <w:sz w:val="20"/>
        </w:rPr>
        <w:t> </w:t>
      </w:r>
      <w:r>
        <w:rPr>
          <w:w w:val="120"/>
          <w:sz w:val="20"/>
        </w:rPr>
        <w:t>conciliarity.</w:t>
      </w:r>
    </w:p>
    <w:p>
      <w:pPr>
        <w:pStyle w:val="BodyText"/>
        <w:spacing w:before="5"/>
        <w:rPr>
          <w:sz w:val="22"/>
        </w:rPr>
      </w:pPr>
    </w:p>
    <w:p>
      <w:pPr>
        <w:pStyle w:val="Heading4"/>
        <w:numPr>
          <w:ilvl w:val="0"/>
          <w:numId w:val="77"/>
        </w:numPr>
        <w:tabs>
          <w:tab w:pos="2244" w:val="left" w:leader="none"/>
          <w:tab w:pos="2245" w:val="left" w:leader="none"/>
        </w:tabs>
        <w:spacing w:line="240" w:lineRule="auto" w:before="0" w:after="0"/>
        <w:ind w:left="2244" w:right="0" w:hanging="681"/>
        <w:jc w:val="left"/>
      </w:pPr>
      <w:r>
        <w:rPr>
          <w:spacing w:val="4"/>
          <w:w w:val="110"/>
        </w:rPr>
        <w:t>The </w:t>
      </w:r>
      <w:r>
        <w:rPr>
          <w:spacing w:val="3"/>
          <w:w w:val="110"/>
        </w:rPr>
        <w:t>role </w:t>
      </w:r>
      <w:r>
        <w:rPr>
          <w:w w:val="110"/>
        </w:rPr>
        <w:t>of </w:t>
      </w:r>
      <w:r>
        <w:rPr>
          <w:spacing w:val="3"/>
          <w:w w:val="110"/>
        </w:rPr>
        <w:t>scriptures </w:t>
      </w:r>
      <w:r>
        <w:rPr>
          <w:w w:val="110"/>
        </w:rPr>
        <w:t>in </w:t>
      </w:r>
      <w:r>
        <w:rPr>
          <w:spacing w:val="2"/>
          <w:w w:val="110"/>
        </w:rPr>
        <w:t>the</w:t>
      </w:r>
      <w:r>
        <w:rPr>
          <w:spacing w:val="67"/>
          <w:w w:val="110"/>
        </w:rPr>
        <w:t> </w:t>
      </w:r>
      <w:r>
        <w:rPr>
          <w:spacing w:val="3"/>
          <w:w w:val="110"/>
        </w:rPr>
        <w:t>URC</w:t>
      </w:r>
    </w:p>
    <w:p>
      <w:pPr>
        <w:pStyle w:val="BodyText"/>
        <w:spacing w:line="235" w:lineRule="auto" w:before="69"/>
        <w:ind w:left="1564" w:right="1169"/>
      </w:pPr>
      <w:r>
        <w:rPr>
          <w:w w:val="120"/>
        </w:rPr>
        <w:t>When, some three years ago, questions were being asked about what role the Scriptures played in the decisions of our church, faith and order asked four of its members to write papers on the matter. The committee has recently sought to shape those papers into a coherent argument and to propose a way forward. A paper was presented to the Mission Council in March 2018 for discussion and the following extracts are provided:</w:t>
      </w:r>
    </w:p>
    <w:p>
      <w:pPr>
        <w:pStyle w:val="BodyText"/>
        <w:spacing w:before="2"/>
        <w:rPr>
          <w:sz w:val="19"/>
        </w:rPr>
      </w:pPr>
    </w:p>
    <w:p>
      <w:pPr>
        <w:pStyle w:val="Heading6"/>
        <w:ind w:left="1564"/>
      </w:pPr>
      <w:r>
        <w:rPr>
          <w:w w:val="110"/>
        </w:rPr>
        <w:t>Scripture in the URC</w:t>
      </w:r>
    </w:p>
    <w:p>
      <w:pPr>
        <w:pStyle w:val="ListParagraph"/>
        <w:numPr>
          <w:ilvl w:val="1"/>
          <w:numId w:val="77"/>
        </w:numPr>
        <w:tabs>
          <w:tab w:pos="2244" w:val="left" w:leader="none"/>
          <w:tab w:pos="2245" w:val="left" w:leader="none"/>
        </w:tabs>
        <w:spacing w:line="235" w:lineRule="auto" w:before="83" w:after="0"/>
        <w:ind w:left="1564" w:right="1519" w:firstLine="0"/>
        <w:jc w:val="left"/>
        <w:rPr>
          <w:sz w:val="20"/>
        </w:rPr>
      </w:pPr>
      <w:r>
        <w:rPr>
          <w:w w:val="120"/>
          <w:sz w:val="20"/>
        </w:rPr>
        <w:t>This presentation is the outcome of the committee’s reflection on papers by</w:t>
      </w:r>
      <w:r>
        <w:rPr>
          <w:spacing w:val="-4"/>
          <w:w w:val="120"/>
          <w:sz w:val="20"/>
        </w:rPr>
        <w:t> </w:t>
      </w:r>
      <w:r>
        <w:rPr>
          <w:w w:val="120"/>
          <w:sz w:val="20"/>
        </w:rPr>
        <w:t>Augur</w:t>
      </w:r>
      <w:r>
        <w:rPr>
          <w:spacing w:val="-3"/>
          <w:w w:val="120"/>
          <w:sz w:val="20"/>
        </w:rPr>
        <w:t> </w:t>
      </w:r>
      <w:r>
        <w:rPr>
          <w:w w:val="120"/>
          <w:sz w:val="20"/>
        </w:rPr>
        <w:t>Price,</w:t>
      </w:r>
      <w:r>
        <w:rPr>
          <w:spacing w:val="-4"/>
          <w:w w:val="120"/>
          <w:sz w:val="20"/>
        </w:rPr>
        <w:t> </w:t>
      </w:r>
      <w:r>
        <w:rPr>
          <w:w w:val="120"/>
          <w:sz w:val="20"/>
        </w:rPr>
        <w:t>Romilly</w:t>
      </w:r>
      <w:r>
        <w:rPr>
          <w:spacing w:val="-3"/>
          <w:w w:val="120"/>
          <w:sz w:val="20"/>
        </w:rPr>
        <w:t> </w:t>
      </w:r>
      <w:r>
        <w:rPr>
          <w:w w:val="120"/>
          <w:sz w:val="20"/>
        </w:rPr>
        <w:t>Micklem,</w:t>
      </w:r>
      <w:r>
        <w:rPr>
          <w:spacing w:val="-3"/>
          <w:w w:val="120"/>
          <w:sz w:val="20"/>
        </w:rPr>
        <w:t> </w:t>
      </w:r>
      <w:r>
        <w:rPr>
          <w:w w:val="120"/>
          <w:sz w:val="20"/>
        </w:rPr>
        <w:t>Sarah</w:t>
      </w:r>
      <w:r>
        <w:rPr>
          <w:spacing w:val="-4"/>
          <w:w w:val="120"/>
          <w:sz w:val="20"/>
        </w:rPr>
        <w:t> </w:t>
      </w:r>
      <w:r>
        <w:rPr>
          <w:w w:val="120"/>
          <w:sz w:val="20"/>
        </w:rPr>
        <w:t>Hall</w:t>
      </w:r>
      <w:r>
        <w:rPr>
          <w:spacing w:val="-3"/>
          <w:w w:val="120"/>
          <w:sz w:val="20"/>
        </w:rPr>
        <w:t> </w:t>
      </w:r>
      <w:r>
        <w:rPr>
          <w:w w:val="120"/>
          <w:sz w:val="20"/>
        </w:rPr>
        <w:t>and</w:t>
      </w:r>
      <w:r>
        <w:rPr>
          <w:spacing w:val="-3"/>
          <w:w w:val="120"/>
          <w:sz w:val="20"/>
        </w:rPr>
        <w:t> </w:t>
      </w:r>
      <w:r>
        <w:rPr>
          <w:w w:val="120"/>
          <w:sz w:val="20"/>
        </w:rPr>
        <w:t>John</w:t>
      </w:r>
      <w:r>
        <w:rPr>
          <w:spacing w:val="-4"/>
          <w:w w:val="120"/>
          <w:sz w:val="20"/>
        </w:rPr>
        <w:t> </w:t>
      </w:r>
      <w:r>
        <w:rPr>
          <w:w w:val="120"/>
          <w:sz w:val="20"/>
        </w:rPr>
        <w:t>Proctor</w:t>
      </w:r>
      <w:r>
        <w:rPr>
          <w:spacing w:val="-3"/>
          <w:w w:val="120"/>
          <w:sz w:val="20"/>
        </w:rPr>
        <w:t> </w:t>
      </w:r>
      <w:r>
        <w:rPr>
          <w:w w:val="120"/>
          <w:sz w:val="20"/>
        </w:rPr>
        <w:t>on</w:t>
      </w:r>
      <w:r>
        <w:rPr>
          <w:spacing w:val="-6"/>
          <w:w w:val="120"/>
          <w:sz w:val="20"/>
        </w:rPr>
        <w:t> </w:t>
      </w:r>
      <w:r>
        <w:rPr>
          <w:i/>
          <w:w w:val="120"/>
          <w:sz w:val="20"/>
        </w:rPr>
        <w:t>sola</w:t>
      </w:r>
      <w:r>
        <w:rPr>
          <w:i/>
          <w:spacing w:val="-6"/>
          <w:w w:val="120"/>
          <w:sz w:val="20"/>
        </w:rPr>
        <w:t> </w:t>
      </w:r>
      <w:r>
        <w:rPr>
          <w:i/>
          <w:w w:val="120"/>
          <w:sz w:val="20"/>
        </w:rPr>
        <w:t>scriptura</w:t>
      </w:r>
      <w:r>
        <w:rPr>
          <w:i/>
          <w:spacing w:val="-4"/>
          <w:w w:val="120"/>
          <w:sz w:val="20"/>
        </w:rPr>
        <w:t> </w:t>
      </w:r>
      <w:r>
        <w:rPr>
          <w:w w:val="120"/>
          <w:sz w:val="20"/>
        </w:rPr>
        <w:t>and</w:t>
      </w:r>
    </w:p>
    <w:p>
      <w:pPr>
        <w:pStyle w:val="BodyText"/>
        <w:spacing w:line="235" w:lineRule="auto" w:before="1"/>
        <w:ind w:left="1564" w:right="923"/>
      </w:pPr>
      <w:r>
        <w:rPr>
          <w:w w:val="120"/>
        </w:rPr>
        <w:t>to propose a way forward for our Church on how we might better engage with the scriptures.</w:t>
      </w:r>
    </w:p>
    <w:p>
      <w:pPr>
        <w:pStyle w:val="BodyText"/>
        <w:spacing w:before="11"/>
        <w:rPr>
          <w:sz w:val="18"/>
        </w:rPr>
      </w:pPr>
    </w:p>
    <w:p>
      <w:pPr>
        <w:pStyle w:val="Heading6"/>
        <w:ind w:left="1564"/>
      </w:pPr>
      <w:r>
        <w:rPr>
          <w:w w:val="110"/>
        </w:rPr>
        <w:t>Our family tree</w:t>
      </w:r>
    </w:p>
    <w:p>
      <w:pPr>
        <w:pStyle w:val="ListParagraph"/>
        <w:numPr>
          <w:ilvl w:val="1"/>
          <w:numId w:val="77"/>
        </w:numPr>
        <w:tabs>
          <w:tab w:pos="2244" w:val="left" w:leader="none"/>
          <w:tab w:pos="2245" w:val="left" w:leader="none"/>
        </w:tabs>
        <w:spacing w:line="235" w:lineRule="auto" w:before="83" w:after="0"/>
        <w:ind w:left="1564" w:right="1101" w:firstLine="0"/>
        <w:jc w:val="left"/>
        <w:rPr>
          <w:sz w:val="20"/>
        </w:rPr>
      </w:pPr>
      <w:r>
        <w:rPr>
          <w:w w:val="120"/>
          <w:sz w:val="20"/>
        </w:rPr>
        <w:t>Here is the argument in brief. How we use the Scriptures is to a large extent shaped by our traditions. Our Church traces its ancestral line through Disciples of Christ, Presbyterians, Congregationalists, through theologians like Lesslie Newbigin,  PT Forsyth, Philip Doddridge, Isaac Watts, Richard Baxter and John Owen. They in   turn understood their roots to lie in the Reformation theology of Calvin, Bucer and Knox, itself dependent on the revolutionary genius of Martin Luther. These</w:t>
      </w:r>
      <w:r>
        <w:rPr>
          <w:spacing w:val="32"/>
          <w:w w:val="120"/>
          <w:sz w:val="20"/>
        </w:rPr>
        <w:t> </w:t>
      </w:r>
      <w:r>
        <w:rPr>
          <w:w w:val="120"/>
          <w:sz w:val="20"/>
        </w:rPr>
        <w:t>Reformers</w:t>
      </w:r>
    </w:p>
    <w:p>
      <w:pPr>
        <w:spacing w:after="0" w:line="235" w:lineRule="auto"/>
        <w:jc w:val="left"/>
        <w:rPr>
          <w:sz w:val="20"/>
        </w:rPr>
        <w:sectPr>
          <w:headerReference w:type="default" r:id="rId326"/>
          <w:pgSz w:w="11910" w:h="16840"/>
          <w:pgMar w:header="0" w:footer="647" w:top="0" w:bottom="840" w:left="420" w:right="380"/>
        </w:sectPr>
      </w:pPr>
    </w:p>
    <w:p>
      <w:pPr>
        <w:pStyle w:val="BodyText"/>
      </w:pPr>
      <w:r>
        <w:rPr/>
        <w:drawing>
          <wp:anchor distT="0" distB="0" distL="0" distR="0" allowOverlap="1" layoutInCell="1" locked="0" behindDoc="1" simplePos="0" relativeHeight="235992064">
            <wp:simplePos x="0" y="0"/>
            <wp:positionH relativeFrom="page">
              <wp:posOffset>0</wp:posOffset>
            </wp:positionH>
            <wp:positionV relativeFrom="page">
              <wp:posOffset>0</wp:posOffset>
            </wp:positionV>
            <wp:extent cx="594067" cy="10692003"/>
            <wp:effectExtent l="0" t="0" r="0" b="0"/>
            <wp:wrapNone/>
            <wp:docPr id="217" name="image70.png"/>
            <wp:cNvGraphicFramePr>
              <a:graphicFrameLocks noChangeAspect="1"/>
            </wp:cNvGraphicFramePr>
            <a:graphic>
              <a:graphicData uri="http://schemas.openxmlformats.org/drawingml/2006/picture">
                <pic:pic>
                  <pic:nvPicPr>
                    <pic:cNvPr id="21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pPr>
    </w:p>
    <w:p>
      <w:pPr>
        <w:pStyle w:val="BodyText"/>
      </w:pPr>
    </w:p>
    <w:p>
      <w:pPr>
        <w:pStyle w:val="BodyText"/>
        <w:spacing w:before="11"/>
        <w:rPr>
          <w:sz w:val="25"/>
        </w:rPr>
      </w:pPr>
    </w:p>
    <w:p>
      <w:pPr>
        <w:pStyle w:val="BodyText"/>
        <w:spacing w:line="235" w:lineRule="auto" w:before="104"/>
        <w:ind w:left="827" w:right="2126"/>
      </w:pPr>
      <w:r>
        <w:rPr/>
        <w:pict>
          <v:shape style="position:absolute;margin-left:20.519100pt;margin-top:-4.437024pt;width:26pt;height:159.65pt;mso-position-horizontal-relative:page;mso-position-vertical-relative:paragraph;z-index:251960320"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r>
        <w:rPr>
          <w:w w:val="120"/>
        </w:rPr>
        <w:t>were in turn all trained in Catholic institutions shaped by Thomas Aquinas, Anselm of Canterbury and most significantly Augustine of Hippo. That tradition is also our heritage. Yet we are still far from the beginning. Our line passes back to fourth- century thinkers of the Eastern Church like Basil of Caesarea, Gregory of Nyssa,</w:t>
      </w:r>
    </w:p>
    <w:p>
      <w:pPr>
        <w:pStyle w:val="BodyText"/>
        <w:spacing w:line="235" w:lineRule="auto" w:before="3"/>
        <w:ind w:left="827" w:right="1882"/>
        <w:jc w:val="both"/>
      </w:pPr>
      <w:r>
        <w:rPr>
          <w:w w:val="120"/>
        </w:rPr>
        <w:t>Gregory of Nazianzus and Athanasius, whose intellect contributed to our creeds. And it goes further back to the Jewish community of the Way who gathered on the day of Pentecost. All existing churches are cousins linked in one family tree.</w:t>
      </w:r>
    </w:p>
    <w:p>
      <w:pPr>
        <w:pStyle w:val="BodyText"/>
        <w:spacing w:before="12"/>
        <w:rPr>
          <w:sz w:val="18"/>
        </w:rPr>
      </w:pPr>
    </w:p>
    <w:p>
      <w:pPr>
        <w:pStyle w:val="Heading6"/>
      </w:pPr>
      <w:r>
        <w:rPr>
          <w:w w:val="110"/>
        </w:rPr>
        <w:t>Held together by the scriptures</w:t>
      </w:r>
    </w:p>
    <w:p>
      <w:pPr>
        <w:pStyle w:val="BodyText"/>
        <w:tabs>
          <w:tab w:pos="1507" w:val="left" w:leader="none"/>
        </w:tabs>
        <w:spacing w:line="235" w:lineRule="auto" w:before="82"/>
        <w:ind w:left="827" w:right="1735"/>
      </w:pPr>
      <w:r>
        <w:rPr>
          <w:spacing w:val="-3"/>
          <w:w w:val="120"/>
        </w:rPr>
        <w:t>4.3.</w:t>
        <w:tab/>
      </w:r>
      <w:r>
        <w:rPr>
          <w:w w:val="120"/>
        </w:rPr>
        <w:t>One strand that unites these outwardly disparate communities is the content of their faith, determined as it has been by our common scriptures. In the debates that have shaped the doctrines, creeds and confessions that brought our churches to where we are </w:t>
      </w:r>
      <w:r>
        <w:rPr>
          <w:spacing w:val="-3"/>
          <w:w w:val="120"/>
        </w:rPr>
        <w:t>today, </w:t>
      </w:r>
      <w:r>
        <w:rPr>
          <w:w w:val="120"/>
        </w:rPr>
        <w:t>the Bible has always played a decisive</w:t>
      </w:r>
      <w:r>
        <w:rPr>
          <w:spacing w:val="20"/>
          <w:w w:val="120"/>
        </w:rPr>
        <w:t> </w:t>
      </w:r>
      <w:r>
        <w:rPr>
          <w:w w:val="120"/>
        </w:rPr>
        <w:t>role.</w:t>
      </w:r>
    </w:p>
    <w:p>
      <w:pPr>
        <w:pStyle w:val="BodyText"/>
        <w:spacing w:before="1"/>
        <w:rPr>
          <w:sz w:val="19"/>
        </w:rPr>
      </w:pPr>
    </w:p>
    <w:p>
      <w:pPr>
        <w:pStyle w:val="Heading6"/>
      </w:pPr>
      <w:r>
        <w:rPr>
          <w:w w:val="110"/>
        </w:rPr>
        <w:t>The use of Scripture</w:t>
      </w:r>
    </w:p>
    <w:p>
      <w:pPr>
        <w:pStyle w:val="ListParagraph"/>
        <w:numPr>
          <w:ilvl w:val="1"/>
          <w:numId w:val="78"/>
        </w:numPr>
        <w:tabs>
          <w:tab w:pos="1507" w:val="left" w:leader="none"/>
          <w:tab w:pos="1508" w:val="left" w:leader="none"/>
        </w:tabs>
        <w:spacing w:line="235" w:lineRule="auto" w:before="83" w:after="0"/>
        <w:ind w:left="827" w:right="1645" w:firstLine="0"/>
        <w:jc w:val="left"/>
        <w:rPr>
          <w:sz w:val="20"/>
        </w:rPr>
      </w:pPr>
      <w:r>
        <w:rPr>
          <w:w w:val="120"/>
          <w:sz w:val="20"/>
        </w:rPr>
        <w:t>Being shaped by the scriptures does not mean that the wider church has felt limited or constrained to stick to the wording of the Bible. For instance, scholars in the fourth century found it necessary to introduce a non-biblical word </w:t>
      </w:r>
      <w:r>
        <w:rPr>
          <w:i/>
          <w:w w:val="120"/>
          <w:sz w:val="20"/>
        </w:rPr>
        <w:t>homoousion </w:t>
      </w:r>
      <w:r>
        <w:rPr>
          <w:spacing w:val="-6"/>
          <w:w w:val="120"/>
          <w:sz w:val="20"/>
        </w:rPr>
        <w:t>(of </w:t>
      </w:r>
      <w:r>
        <w:rPr>
          <w:w w:val="120"/>
          <w:sz w:val="20"/>
        </w:rPr>
        <w:t>one substance) to describe the relation of Jesus to God in the face of subtle Arian arguments that undermined his divine status. Similarly, the term </w:t>
      </w:r>
      <w:r>
        <w:rPr>
          <w:spacing w:val="-3"/>
          <w:w w:val="120"/>
          <w:sz w:val="20"/>
        </w:rPr>
        <w:t>‘Trinity’, </w:t>
      </w:r>
      <w:r>
        <w:rPr>
          <w:w w:val="120"/>
          <w:sz w:val="20"/>
        </w:rPr>
        <w:t>to explain the nature of the God who is made known in the life of Jesus and the dynamic experience of the Holy Spirit was quite</w:t>
      </w:r>
      <w:r>
        <w:rPr>
          <w:spacing w:val="5"/>
          <w:w w:val="120"/>
          <w:sz w:val="20"/>
        </w:rPr>
        <w:t> </w:t>
      </w:r>
      <w:r>
        <w:rPr>
          <w:w w:val="120"/>
          <w:sz w:val="20"/>
        </w:rPr>
        <w:t>novel.</w:t>
      </w:r>
    </w:p>
    <w:p>
      <w:pPr>
        <w:pStyle w:val="BodyText"/>
      </w:pPr>
    </w:p>
    <w:p>
      <w:pPr>
        <w:pStyle w:val="ListParagraph"/>
        <w:numPr>
          <w:ilvl w:val="1"/>
          <w:numId w:val="78"/>
        </w:numPr>
        <w:tabs>
          <w:tab w:pos="1507" w:val="left" w:leader="none"/>
          <w:tab w:pos="1508" w:val="left" w:leader="none"/>
        </w:tabs>
        <w:spacing w:line="235" w:lineRule="auto" w:before="0" w:after="0"/>
        <w:ind w:left="827" w:right="1832" w:firstLine="0"/>
        <w:jc w:val="left"/>
        <w:rPr>
          <w:sz w:val="20"/>
        </w:rPr>
      </w:pPr>
      <w:r>
        <w:rPr>
          <w:w w:val="120"/>
          <w:sz w:val="20"/>
        </w:rPr>
        <w:t>Further it was generally recognised that there is a spiritual dynamic in properly understanding and interpreting the scriptures. Paul wrote: ‘God has made us competent as ministers of a new covenant – not of the letter but of the Spirit; for the letter kills but the Spirit gives life’ </w:t>
      </w:r>
      <w:r>
        <w:rPr>
          <w:spacing w:val="-6"/>
          <w:w w:val="120"/>
          <w:sz w:val="20"/>
        </w:rPr>
        <w:t>(2 </w:t>
      </w:r>
      <w:r>
        <w:rPr>
          <w:w w:val="120"/>
          <w:sz w:val="20"/>
        </w:rPr>
        <w:t>Corinthians </w:t>
      </w:r>
      <w:r>
        <w:rPr>
          <w:spacing w:val="-4"/>
          <w:w w:val="120"/>
          <w:sz w:val="20"/>
        </w:rPr>
        <w:t>3:6). </w:t>
      </w:r>
      <w:r>
        <w:rPr>
          <w:spacing w:val="-3"/>
          <w:w w:val="120"/>
          <w:sz w:val="20"/>
        </w:rPr>
        <w:t>True </w:t>
      </w:r>
      <w:r>
        <w:rPr>
          <w:w w:val="120"/>
          <w:sz w:val="20"/>
        </w:rPr>
        <w:t>understanding requires spiritual enlightenment. ‘I believe so that I may understand,’ was the insightful maxim of Anselm of</w:t>
      </w:r>
      <w:r>
        <w:rPr>
          <w:spacing w:val="5"/>
          <w:w w:val="120"/>
          <w:sz w:val="20"/>
        </w:rPr>
        <w:t> </w:t>
      </w:r>
      <w:r>
        <w:rPr>
          <w:w w:val="120"/>
          <w:sz w:val="20"/>
        </w:rPr>
        <w:t>Canterbury.</w:t>
      </w:r>
    </w:p>
    <w:p>
      <w:pPr>
        <w:pStyle w:val="BodyText"/>
      </w:pPr>
    </w:p>
    <w:p>
      <w:pPr>
        <w:pStyle w:val="ListParagraph"/>
        <w:numPr>
          <w:ilvl w:val="1"/>
          <w:numId w:val="78"/>
        </w:numPr>
        <w:tabs>
          <w:tab w:pos="1507" w:val="left" w:leader="none"/>
          <w:tab w:pos="1508" w:val="left" w:leader="none"/>
        </w:tabs>
        <w:spacing w:line="235" w:lineRule="auto" w:before="1" w:after="0"/>
        <w:ind w:left="827" w:right="1651" w:firstLine="0"/>
        <w:jc w:val="left"/>
        <w:rPr>
          <w:sz w:val="20"/>
        </w:rPr>
      </w:pPr>
      <w:r>
        <w:rPr>
          <w:w w:val="120"/>
          <w:sz w:val="20"/>
        </w:rPr>
        <w:t>Sometimes the implications of the Bible message have remained hidden in its pages for centuries. It was William Wilberforce, a British politician in the </w:t>
      </w:r>
      <w:r>
        <w:rPr>
          <w:spacing w:val="-4"/>
          <w:w w:val="120"/>
          <w:sz w:val="20"/>
        </w:rPr>
        <w:t>18th </w:t>
      </w:r>
      <w:r>
        <w:rPr>
          <w:w w:val="120"/>
          <w:sz w:val="20"/>
        </w:rPr>
        <w:t>century, who helped us to see that a gospel of genuine freedom requires the abolition of slavery even though the text may not appear to explicitly demand it. Secular feminists have enabled Christians to understand that the logic of equality before God as divine image- bearers encourages women in the modern world to go to university if they so</w:t>
      </w:r>
      <w:r>
        <w:rPr>
          <w:spacing w:val="3"/>
          <w:w w:val="120"/>
          <w:sz w:val="20"/>
        </w:rPr>
        <w:t> </w:t>
      </w:r>
      <w:r>
        <w:rPr>
          <w:w w:val="120"/>
          <w:sz w:val="20"/>
        </w:rPr>
        <w:t>wish,</w:t>
      </w:r>
    </w:p>
    <w:p>
      <w:pPr>
        <w:pStyle w:val="BodyText"/>
        <w:spacing w:line="235" w:lineRule="auto" w:before="4"/>
        <w:ind w:left="827" w:right="1528"/>
      </w:pPr>
      <w:r>
        <w:rPr>
          <w:w w:val="120"/>
        </w:rPr>
        <w:t>to vote, and to receive the same salaries as their male counterparts. Marxist liberation theologians have opened our eyes to God’s concern for justice for the poor, the dispossessed and the powerless. This divine mindfulness for the cause of the oppressed was always present in the text but the Church sometimes failed to give it due attention. Environmentalists have made us more aware of our biblical duty before God to take proper care of the earth.</w:t>
      </w:r>
    </w:p>
    <w:p>
      <w:pPr>
        <w:pStyle w:val="BodyText"/>
        <w:spacing w:before="2"/>
        <w:rPr>
          <w:sz w:val="19"/>
        </w:rPr>
      </w:pPr>
    </w:p>
    <w:p>
      <w:pPr>
        <w:pStyle w:val="Heading6"/>
      </w:pPr>
      <w:r>
        <w:rPr>
          <w:w w:val="110"/>
        </w:rPr>
        <w:t>Our founding documents</w:t>
      </w:r>
    </w:p>
    <w:p>
      <w:pPr>
        <w:pStyle w:val="ListParagraph"/>
        <w:numPr>
          <w:ilvl w:val="1"/>
          <w:numId w:val="78"/>
        </w:numPr>
        <w:tabs>
          <w:tab w:pos="1508" w:val="left" w:leader="none"/>
        </w:tabs>
        <w:spacing w:line="235" w:lineRule="auto" w:before="83" w:after="0"/>
        <w:ind w:left="827" w:right="1949" w:firstLine="0"/>
        <w:jc w:val="both"/>
        <w:rPr>
          <w:sz w:val="20"/>
        </w:rPr>
      </w:pPr>
      <w:r>
        <w:rPr>
          <w:w w:val="120"/>
          <w:sz w:val="20"/>
        </w:rPr>
        <w:t>The URC shares in this rich biblical heritage with other Christian communities and has affirmed the determining role that the scriptures play in the expression of its own faith. Augur Pearce reminds us of some of our formal</w:t>
      </w:r>
      <w:r>
        <w:rPr>
          <w:spacing w:val="6"/>
          <w:w w:val="120"/>
          <w:sz w:val="20"/>
        </w:rPr>
        <w:t> </w:t>
      </w:r>
      <w:r>
        <w:rPr>
          <w:w w:val="120"/>
          <w:sz w:val="20"/>
        </w:rPr>
        <w:t>statements.</w:t>
      </w:r>
    </w:p>
    <w:p>
      <w:pPr>
        <w:pStyle w:val="BodyText"/>
        <w:spacing w:before="10"/>
        <w:rPr>
          <w:sz w:val="19"/>
        </w:rPr>
      </w:pPr>
    </w:p>
    <w:p>
      <w:pPr>
        <w:pStyle w:val="ListParagraph"/>
        <w:numPr>
          <w:ilvl w:val="1"/>
          <w:numId w:val="78"/>
        </w:numPr>
        <w:tabs>
          <w:tab w:pos="1507" w:val="left" w:leader="none"/>
          <w:tab w:pos="1508" w:val="left" w:leader="none"/>
        </w:tabs>
        <w:spacing w:line="235" w:lineRule="auto" w:before="0" w:after="0"/>
        <w:ind w:left="827" w:right="1651" w:firstLine="0"/>
        <w:jc w:val="left"/>
        <w:rPr>
          <w:sz w:val="20"/>
        </w:rPr>
      </w:pPr>
      <w:r>
        <w:rPr>
          <w:w w:val="120"/>
          <w:sz w:val="20"/>
        </w:rPr>
        <w:t>We ‘acknowledge the Word of God in the Old and New Testaments, discerned under the guidance of the Holy Spirit, as the supreme authority for the faith and conduct of all God’s </w:t>
      </w:r>
      <w:r>
        <w:rPr>
          <w:spacing w:val="-3"/>
          <w:w w:val="120"/>
          <w:sz w:val="20"/>
        </w:rPr>
        <w:t>people’. </w:t>
      </w:r>
      <w:r>
        <w:rPr>
          <w:w w:val="120"/>
          <w:sz w:val="20"/>
        </w:rPr>
        <w:t>We also assert that the </w:t>
      </w:r>
      <w:r>
        <w:rPr>
          <w:spacing w:val="-3"/>
          <w:w w:val="120"/>
          <w:sz w:val="20"/>
        </w:rPr>
        <w:t>Church’s </w:t>
      </w:r>
      <w:r>
        <w:rPr>
          <w:w w:val="120"/>
          <w:sz w:val="20"/>
        </w:rPr>
        <w:t>life ‘must ever be  renewed and reformed according to the scriptures, under the guidance of the Holy Spirit’, and that study of the scriptures is one of the ways through which ‘God makes known</w:t>
      </w:r>
      <w:r>
        <w:rPr>
          <w:spacing w:val="6"/>
          <w:w w:val="120"/>
          <w:sz w:val="20"/>
        </w:rPr>
        <w:t> </w:t>
      </w:r>
      <w:r>
        <w:rPr>
          <w:w w:val="120"/>
          <w:sz w:val="20"/>
        </w:rPr>
        <w:t>in</w:t>
      </w:r>
      <w:r>
        <w:rPr>
          <w:spacing w:val="6"/>
          <w:w w:val="120"/>
          <w:sz w:val="20"/>
        </w:rPr>
        <w:t> </w:t>
      </w:r>
      <w:r>
        <w:rPr>
          <w:w w:val="120"/>
          <w:sz w:val="20"/>
        </w:rPr>
        <w:t>each</w:t>
      </w:r>
      <w:r>
        <w:rPr>
          <w:spacing w:val="6"/>
          <w:w w:val="120"/>
          <w:sz w:val="20"/>
        </w:rPr>
        <w:t> </w:t>
      </w:r>
      <w:r>
        <w:rPr>
          <w:w w:val="120"/>
          <w:sz w:val="20"/>
        </w:rPr>
        <w:t>age</w:t>
      </w:r>
      <w:r>
        <w:rPr>
          <w:spacing w:val="6"/>
          <w:w w:val="120"/>
          <w:sz w:val="20"/>
        </w:rPr>
        <w:t> </w:t>
      </w:r>
      <w:r>
        <w:rPr>
          <w:w w:val="120"/>
          <w:sz w:val="20"/>
        </w:rPr>
        <w:t>his</w:t>
      </w:r>
      <w:r>
        <w:rPr>
          <w:spacing w:val="6"/>
          <w:w w:val="120"/>
          <w:sz w:val="20"/>
        </w:rPr>
        <w:t> </w:t>
      </w:r>
      <w:r>
        <w:rPr>
          <w:w w:val="120"/>
          <w:sz w:val="20"/>
        </w:rPr>
        <w:t>saving</w:t>
      </w:r>
      <w:r>
        <w:rPr>
          <w:spacing w:val="6"/>
          <w:w w:val="120"/>
          <w:sz w:val="20"/>
        </w:rPr>
        <w:t> </w:t>
      </w:r>
      <w:r>
        <w:rPr>
          <w:w w:val="120"/>
          <w:sz w:val="20"/>
        </w:rPr>
        <w:t>love,</w:t>
      </w:r>
      <w:r>
        <w:rPr>
          <w:spacing w:val="6"/>
          <w:w w:val="120"/>
          <w:sz w:val="20"/>
        </w:rPr>
        <w:t> </w:t>
      </w:r>
      <w:r>
        <w:rPr>
          <w:w w:val="120"/>
          <w:sz w:val="20"/>
        </w:rPr>
        <w:t>his</w:t>
      </w:r>
      <w:r>
        <w:rPr>
          <w:spacing w:val="6"/>
          <w:w w:val="120"/>
          <w:sz w:val="20"/>
        </w:rPr>
        <w:t> </w:t>
      </w:r>
      <w:r>
        <w:rPr>
          <w:w w:val="120"/>
          <w:sz w:val="20"/>
        </w:rPr>
        <w:t>will</w:t>
      </w:r>
      <w:r>
        <w:rPr>
          <w:spacing w:val="6"/>
          <w:w w:val="120"/>
          <w:sz w:val="20"/>
        </w:rPr>
        <w:t> </w:t>
      </w:r>
      <w:r>
        <w:rPr>
          <w:w w:val="120"/>
          <w:sz w:val="20"/>
        </w:rPr>
        <w:t>for</w:t>
      </w:r>
      <w:r>
        <w:rPr>
          <w:spacing w:val="6"/>
          <w:w w:val="120"/>
          <w:sz w:val="20"/>
        </w:rPr>
        <w:t> </w:t>
      </w:r>
      <w:r>
        <w:rPr>
          <w:w w:val="120"/>
          <w:sz w:val="20"/>
        </w:rPr>
        <w:t>his</w:t>
      </w:r>
      <w:r>
        <w:rPr>
          <w:spacing w:val="6"/>
          <w:w w:val="120"/>
          <w:sz w:val="20"/>
        </w:rPr>
        <w:t> </w:t>
      </w:r>
      <w:r>
        <w:rPr>
          <w:w w:val="120"/>
          <w:sz w:val="20"/>
        </w:rPr>
        <w:t>people</w:t>
      </w:r>
      <w:r>
        <w:rPr>
          <w:spacing w:val="6"/>
          <w:w w:val="120"/>
          <w:sz w:val="20"/>
        </w:rPr>
        <w:t> </w:t>
      </w:r>
      <w:r>
        <w:rPr>
          <w:w w:val="120"/>
          <w:sz w:val="20"/>
        </w:rPr>
        <w:t>and</w:t>
      </w:r>
      <w:r>
        <w:rPr>
          <w:spacing w:val="6"/>
          <w:w w:val="120"/>
          <w:sz w:val="20"/>
        </w:rPr>
        <w:t> </w:t>
      </w:r>
      <w:r>
        <w:rPr>
          <w:w w:val="120"/>
          <w:sz w:val="20"/>
        </w:rPr>
        <w:t>his</w:t>
      </w:r>
      <w:r>
        <w:rPr>
          <w:spacing w:val="6"/>
          <w:w w:val="120"/>
          <w:sz w:val="20"/>
        </w:rPr>
        <w:t> </w:t>
      </w:r>
      <w:r>
        <w:rPr>
          <w:w w:val="120"/>
          <w:sz w:val="20"/>
        </w:rPr>
        <w:t>purpose</w:t>
      </w:r>
      <w:r>
        <w:rPr>
          <w:spacing w:val="6"/>
          <w:w w:val="120"/>
          <w:sz w:val="20"/>
        </w:rPr>
        <w:t> </w:t>
      </w:r>
      <w:r>
        <w:rPr>
          <w:w w:val="120"/>
          <w:sz w:val="20"/>
        </w:rPr>
        <w:t>for</w:t>
      </w:r>
      <w:r>
        <w:rPr>
          <w:spacing w:val="6"/>
          <w:w w:val="120"/>
          <w:sz w:val="20"/>
        </w:rPr>
        <w:t> </w:t>
      </w:r>
      <w:r>
        <w:rPr>
          <w:w w:val="120"/>
          <w:sz w:val="20"/>
        </w:rPr>
        <w:t>the</w:t>
      </w:r>
      <w:r>
        <w:rPr>
          <w:spacing w:val="6"/>
          <w:w w:val="120"/>
          <w:sz w:val="20"/>
        </w:rPr>
        <w:t> </w:t>
      </w:r>
      <w:r>
        <w:rPr>
          <w:spacing w:val="-3"/>
          <w:w w:val="120"/>
          <w:sz w:val="20"/>
        </w:rPr>
        <w:t>world’.</w:t>
      </w:r>
    </w:p>
    <w:p>
      <w:pPr>
        <w:spacing w:after="0" w:line="235" w:lineRule="auto"/>
        <w:jc w:val="left"/>
        <w:rPr>
          <w:sz w:val="20"/>
        </w:rPr>
        <w:sectPr>
          <w:headerReference w:type="even" r:id="rId328"/>
          <w:footerReference w:type="even" r:id="rId329"/>
          <w:footerReference w:type="default" r:id="rId330"/>
          <w:pgSz w:w="11910" w:h="16840"/>
          <w:pgMar w:header="0" w:footer="647" w:top="0" w:bottom="840" w:left="420" w:right="380"/>
          <w:pgNumType w:start="114"/>
        </w:sectPr>
      </w:pPr>
    </w:p>
    <w:p>
      <w:pPr>
        <w:pStyle w:val="BodyText"/>
      </w:pPr>
      <w:r>
        <w:rPr/>
        <w:drawing>
          <wp:anchor distT="0" distB="0" distL="0" distR="0" allowOverlap="1" layoutInCell="1" locked="0" behindDoc="0" simplePos="0" relativeHeight="251961344">
            <wp:simplePos x="0" y="0"/>
            <wp:positionH relativeFrom="page">
              <wp:posOffset>6974928</wp:posOffset>
            </wp:positionH>
            <wp:positionV relativeFrom="page">
              <wp:posOffset>0</wp:posOffset>
            </wp:positionV>
            <wp:extent cx="585063" cy="10692003"/>
            <wp:effectExtent l="0" t="0" r="0" b="0"/>
            <wp:wrapNone/>
            <wp:docPr id="219" name="image57.png"/>
            <wp:cNvGraphicFramePr>
              <a:graphicFrameLocks noChangeAspect="1"/>
            </wp:cNvGraphicFramePr>
            <a:graphic>
              <a:graphicData uri="http://schemas.openxmlformats.org/drawingml/2006/picture">
                <pic:pic>
                  <pic:nvPicPr>
                    <pic:cNvPr id="22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1"/>
        <w:rPr>
          <w:sz w:val="26"/>
        </w:rPr>
      </w:pPr>
    </w:p>
    <w:p>
      <w:pPr>
        <w:pStyle w:val="Heading6"/>
        <w:spacing w:before="95"/>
        <w:ind w:left="1550"/>
      </w:pPr>
      <w:r>
        <w:rPr/>
        <w:pict>
          <v:shape style="position:absolute;margin-left:554.141174pt;margin-top:-4.575623pt;width:26pt;height:159.65pt;mso-position-horizontal-relative:page;mso-position-vertical-relative:paragraph;z-index:251962368"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r>
        <w:rPr>
          <w:w w:val="110"/>
        </w:rPr>
        <w:t>The problem</w:t>
      </w:r>
    </w:p>
    <w:p>
      <w:pPr>
        <w:pStyle w:val="ListParagraph"/>
        <w:numPr>
          <w:ilvl w:val="1"/>
          <w:numId w:val="78"/>
        </w:numPr>
        <w:tabs>
          <w:tab w:pos="2230" w:val="left" w:leader="none"/>
          <w:tab w:pos="2231" w:val="left" w:leader="none"/>
        </w:tabs>
        <w:spacing w:line="235" w:lineRule="auto" w:before="83" w:after="0"/>
        <w:ind w:left="1550" w:right="934" w:firstLine="0"/>
        <w:jc w:val="left"/>
        <w:rPr>
          <w:sz w:val="20"/>
        </w:rPr>
      </w:pPr>
      <w:r>
        <w:rPr>
          <w:w w:val="120"/>
          <w:sz w:val="20"/>
        </w:rPr>
        <w:t>In practice, </w:t>
      </w:r>
      <w:r>
        <w:rPr>
          <w:spacing w:val="-3"/>
          <w:w w:val="120"/>
          <w:sz w:val="20"/>
        </w:rPr>
        <w:t>however, </w:t>
      </w:r>
      <w:r>
        <w:rPr>
          <w:w w:val="120"/>
          <w:sz w:val="20"/>
        </w:rPr>
        <w:t>we in the councils of the United Reformed Church have sometimes struggled to determine theological, moral and social questions by reference to the scriptures. Further, we are generally reluctant to exercise any form of constraint over those among us who write or speak publicly against the central articles of our  faith, however damaging such views might appear to be to the unity of the church.   Why is</w:t>
      </w:r>
      <w:r>
        <w:rPr>
          <w:spacing w:val="3"/>
          <w:w w:val="120"/>
          <w:sz w:val="20"/>
        </w:rPr>
        <w:t> </w:t>
      </w:r>
      <w:r>
        <w:rPr>
          <w:spacing w:val="-3"/>
          <w:w w:val="120"/>
          <w:sz w:val="20"/>
        </w:rPr>
        <w:t>this?</w:t>
      </w:r>
    </w:p>
    <w:p>
      <w:pPr>
        <w:pStyle w:val="BodyText"/>
      </w:pPr>
    </w:p>
    <w:p>
      <w:pPr>
        <w:pStyle w:val="ListParagraph"/>
        <w:numPr>
          <w:ilvl w:val="1"/>
          <w:numId w:val="78"/>
        </w:numPr>
        <w:tabs>
          <w:tab w:pos="2230" w:val="left" w:leader="none"/>
          <w:tab w:pos="2231" w:val="left" w:leader="none"/>
        </w:tabs>
        <w:spacing w:line="235" w:lineRule="auto" w:before="0" w:after="0"/>
        <w:ind w:left="1550" w:right="886" w:firstLine="0"/>
        <w:jc w:val="left"/>
        <w:rPr>
          <w:sz w:val="20"/>
        </w:rPr>
      </w:pPr>
      <w:r>
        <w:rPr>
          <w:w w:val="120"/>
          <w:sz w:val="20"/>
        </w:rPr>
        <w:t>From his doctoral thesis Romilly Micklem argues that we have in the United Reformed Church a supreme source of authority for our life of faith, and a separate conciliar</w:t>
      </w:r>
      <w:r>
        <w:rPr>
          <w:spacing w:val="-4"/>
          <w:w w:val="120"/>
          <w:sz w:val="20"/>
        </w:rPr>
        <w:t> </w:t>
      </w:r>
      <w:r>
        <w:rPr>
          <w:w w:val="120"/>
          <w:sz w:val="20"/>
        </w:rPr>
        <w:t>structure</w:t>
      </w:r>
      <w:r>
        <w:rPr>
          <w:spacing w:val="-3"/>
          <w:w w:val="120"/>
          <w:sz w:val="20"/>
        </w:rPr>
        <w:t> </w:t>
      </w:r>
      <w:r>
        <w:rPr>
          <w:w w:val="120"/>
          <w:sz w:val="20"/>
        </w:rPr>
        <w:t>for</w:t>
      </w:r>
      <w:r>
        <w:rPr>
          <w:spacing w:val="-3"/>
          <w:w w:val="120"/>
          <w:sz w:val="20"/>
        </w:rPr>
        <w:t> </w:t>
      </w:r>
      <w:r>
        <w:rPr>
          <w:w w:val="120"/>
          <w:sz w:val="20"/>
        </w:rPr>
        <w:t>managerial</w:t>
      </w:r>
      <w:r>
        <w:rPr>
          <w:spacing w:val="-4"/>
          <w:w w:val="120"/>
          <w:sz w:val="20"/>
        </w:rPr>
        <w:t> </w:t>
      </w:r>
      <w:r>
        <w:rPr>
          <w:w w:val="120"/>
          <w:sz w:val="20"/>
        </w:rPr>
        <w:t>authority,</w:t>
      </w:r>
      <w:r>
        <w:rPr>
          <w:spacing w:val="-3"/>
          <w:w w:val="120"/>
          <w:sz w:val="20"/>
        </w:rPr>
        <w:t> </w:t>
      </w:r>
      <w:r>
        <w:rPr>
          <w:w w:val="120"/>
          <w:sz w:val="20"/>
        </w:rPr>
        <w:t>which</w:t>
      </w:r>
      <w:r>
        <w:rPr>
          <w:spacing w:val="-3"/>
          <w:w w:val="120"/>
          <w:sz w:val="20"/>
        </w:rPr>
        <w:t> </w:t>
      </w:r>
      <w:r>
        <w:rPr>
          <w:w w:val="120"/>
          <w:sz w:val="20"/>
        </w:rPr>
        <w:t>is</w:t>
      </w:r>
      <w:r>
        <w:rPr>
          <w:spacing w:val="-3"/>
          <w:w w:val="120"/>
          <w:sz w:val="20"/>
        </w:rPr>
        <w:t> </w:t>
      </w:r>
      <w:r>
        <w:rPr>
          <w:w w:val="120"/>
          <w:sz w:val="20"/>
        </w:rPr>
        <w:t>neither</w:t>
      </w:r>
      <w:r>
        <w:rPr>
          <w:spacing w:val="-4"/>
          <w:w w:val="120"/>
          <w:sz w:val="20"/>
        </w:rPr>
        <w:t> </w:t>
      </w:r>
      <w:r>
        <w:rPr>
          <w:w w:val="120"/>
          <w:sz w:val="20"/>
        </w:rPr>
        <w:t>constituted</w:t>
      </w:r>
      <w:r>
        <w:rPr>
          <w:spacing w:val="-3"/>
          <w:w w:val="120"/>
          <w:sz w:val="20"/>
        </w:rPr>
        <w:t> </w:t>
      </w:r>
      <w:r>
        <w:rPr>
          <w:w w:val="120"/>
          <w:sz w:val="20"/>
        </w:rPr>
        <w:t>nor</w:t>
      </w:r>
      <w:r>
        <w:rPr>
          <w:spacing w:val="-3"/>
          <w:w w:val="120"/>
          <w:sz w:val="20"/>
        </w:rPr>
        <w:t> </w:t>
      </w:r>
      <w:r>
        <w:rPr>
          <w:w w:val="120"/>
          <w:sz w:val="20"/>
        </w:rPr>
        <w:t>in</w:t>
      </w:r>
      <w:r>
        <w:rPr>
          <w:spacing w:val="-4"/>
          <w:w w:val="120"/>
          <w:sz w:val="20"/>
        </w:rPr>
        <w:t> </w:t>
      </w:r>
      <w:r>
        <w:rPr>
          <w:w w:val="120"/>
          <w:sz w:val="20"/>
        </w:rPr>
        <w:t>a</w:t>
      </w:r>
      <w:r>
        <w:rPr>
          <w:spacing w:val="-3"/>
          <w:w w:val="120"/>
          <w:sz w:val="20"/>
        </w:rPr>
        <w:t> </w:t>
      </w:r>
      <w:r>
        <w:rPr>
          <w:i/>
          <w:w w:val="120"/>
          <w:sz w:val="20"/>
        </w:rPr>
        <w:t>de</w:t>
      </w:r>
      <w:r>
        <w:rPr>
          <w:i/>
          <w:spacing w:val="-6"/>
          <w:w w:val="120"/>
          <w:sz w:val="20"/>
        </w:rPr>
        <w:t> </w:t>
      </w:r>
      <w:r>
        <w:rPr>
          <w:i/>
          <w:w w:val="120"/>
          <w:sz w:val="20"/>
        </w:rPr>
        <w:t>facto </w:t>
      </w:r>
      <w:r>
        <w:rPr>
          <w:w w:val="120"/>
          <w:sz w:val="20"/>
        </w:rPr>
        <w:t>position to determine the validity or otherwise of specific readings of</w:t>
      </w:r>
      <w:r>
        <w:rPr>
          <w:spacing w:val="30"/>
          <w:w w:val="120"/>
          <w:sz w:val="20"/>
        </w:rPr>
        <w:t> </w:t>
      </w:r>
      <w:r>
        <w:rPr>
          <w:w w:val="120"/>
          <w:sz w:val="20"/>
        </w:rPr>
        <w:t>scripture.</w:t>
      </w:r>
    </w:p>
    <w:p>
      <w:pPr>
        <w:pStyle w:val="BodyText"/>
        <w:spacing w:before="11"/>
        <w:rPr>
          <w:sz w:val="19"/>
        </w:rPr>
      </w:pPr>
    </w:p>
    <w:p>
      <w:pPr>
        <w:pStyle w:val="ListParagraph"/>
        <w:numPr>
          <w:ilvl w:val="1"/>
          <w:numId w:val="78"/>
        </w:numPr>
        <w:tabs>
          <w:tab w:pos="2230" w:val="left" w:leader="none"/>
          <w:tab w:pos="2231" w:val="left" w:leader="none"/>
        </w:tabs>
        <w:spacing w:line="235" w:lineRule="auto" w:before="0" w:after="0"/>
        <w:ind w:left="1550" w:right="879" w:firstLine="0"/>
        <w:jc w:val="left"/>
        <w:rPr>
          <w:sz w:val="20"/>
        </w:rPr>
      </w:pPr>
      <w:r>
        <w:rPr>
          <w:w w:val="120"/>
          <w:sz w:val="20"/>
        </w:rPr>
        <w:t>The reasons for this are complex but have much to do with the lack of shared traditions of interpretation. Put bluntly, Micklem holds that the URC does not have enough of a common framework or shared tradition for the interpretation of scripture  to be carried out meaningfully as a collective enterprise. This makes for rich diversity, but it also makes for insular bodies or silos of interpretation, between which interpreters cannot collaborate, because they do not have enough common ground. Let us consider more closely how these ways of interpretation have come</w:t>
      </w:r>
      <w:r>
        <w:rPr>
          <w:spacing w:val="14"/>
          <w:w w:val="120"/>
          <w:sz w:val="20"/>
        </w:rPr>
        <w:t> </w:t>
      </w:r>
      <w:r>
        <w:rPr>
          <w:w w:val="120"/>
          <w:sz w:val="20"/>
        </w:rPr>
        <w:t>about.</w:t>
      </w:r>
    </w:p>
    <w:p>
      <w:pPr>
        <w:pStyle w:val="BodyText"/>
        <w:spacing w:before="3"/>
        <w:rPr>
          <w:sz w:val="19"/>
        </w:rPr>
      </w:pPr>
    </w:p>
    <w:p>
      <w:pPr>
        <w:pStyle w:val="Heading6"/>
        <w:ind w:left="1550"/>
      </w:pPr>
      <w:r>
        <w:rPr>
          <w:w w:val="110"/>
        </w:rPr>
        <w:t>Ways of interpretation</w:t>
      </w:r>
    </w:p>
    <w:p>
      <w:pPr>
        <w:pStyle w:val="ListParagraph"/>
        <w:numPr>
          <w:ilvl w:val="1"/>
          <w:numId w:val="78"/>
        </w:numPr>
        <w:tabs>
          <w:tab w:pos="2230" w:val="left" w:leader="none"/>
          <w:tab w:pos="2231" w:val="left" w:leader="none"/>
        </w:tabs>
        <w:spacing w:line="235" w:lineRule="auto" w:before="83" w:after="0"/>
        <w:ind w:left="1550" w:right="1042" w:firstLine="0"/>
        <w:jc w:val="left"/>
        <w:rPr>
          <w:sz w:val="20"/>
        </w:rPr>
      </w:pPr>
      <w:r>
        <w:rPr>
          <w:w w:val="120"/>
          <w:sz w:val="20"/>
        </w:rPr>
        <w:t>Everyone approaches the scriptures with their own interpretive framework, whether or not they recognise it. There is no neutral space or value-free position from which we study the Bible. We all bring to the text our own particular worldview which has been shaped by our intellectual history, our religious experience and our</w:t>
      </w:r>
      <w:r>
        <w:rPr>
          <w:spacing w:val="1"/>
          <w:w w:val="120"/>
          <w:sz w:val="20"/>
        </w:rPr>
        <w:t> </w:t>
      </w:r>
      <w:r>
        <w:rPr>
          <w:w w:val="120"/>
          <w:sz w:val="20"/>
        </w:rPr>
        <w:t>cultures.</w:t>
      </w:r>
    </w:p>
    <w:p>
      <w:pPr>
        <w:pStyle w:val="BodyText"/>
        <w:spacing w:before="10"/>
        <w:rPr>
          <w:sz w:val="19"/>
        </w:rPr>
      </w:pPr>
    </w:p>
    <w:p>
      <w:pPr>
        <w:pStyle w:val="ListParagraph"/>
        <w:numPr>
          <w:ilvl w:val="1"/>
          <w:numId w:val="78"/>
        </w:numPr>
        <w:tabs>
          <w:tab w:pos="2230" w:val="left" w:leader="none"/>
          <w:tab w:pos="2231" w:val="left" w:leader="none"/>
        </w:tabs>
        <w:spacing w:line="235" w:lineRule="auto" w:before="1" w:after="0"/>
        <w:ind w:left="1550" w:right="1069" w:firstLine="0"/>
        <w:jc w:val="left"/>
        <w:rPr>
          <w:sz w:val="20"/>
        </w:rPr>
      </w:pPr>
      <w:r>
        <w:rPr>
          <w:w w:val="120"/>
          <w:sz w:val="20"/>
        </w:rPr>
        <w:t>This was the case from the beginning. The first Christians, transformed by experience of divine salvation in Jesus, read the Jewish Scriptures as a Christian text. They believed its pages were inspired by the Spirit of Christ and saw them as referring to him and the events of his life almost everywhere. This way of interpreting</w:t>
      </w:r>
      <w:r>
        <w:rPr>
          <w:spacing w:val="21"/>
          <w:w w:val="120"/>
          <w:sz w:val="20"/>
        </w:rPr>
        <w:t> </w:t>
      </w:r>
      <w:r>
        <w:rPr>
          <w:w w:val="120"/>
          <w:sz w:val="20"/>
        </w:rPr>
        <w:t>the</w:t>
      </w:r>
    </w:p>
    <w:p>
      <w:pPr>
        <w:pStyle w:val="BodyText"/>
        <w:spacing w:line="235" w:lineRule="auto" w:before="2"/>
        <w:ind w:left="1550" w:right="923"/>
      </w:pPr>
      <w:r>
        <w:rPr>
          <w:w w:val="120"/>
        </w:rPr>
        <w:t>Old Testament is particularly apparent in the book of Hebrews which relativized the significance of Moses and the Jewish cult with the coming of the Messiah.</w:t>
      </w:r>
    </w:p>
    <w:p>
      <w:pPr>
        <w:pStyle w:val="BodyText"/>
        <w:spacing w:before="10"/>
        <w:rPr>
          <w:sz w:val="19"/>
        </w:rPr>
      </w:pPr>
    </w:p>
    <w:p>
      <w:pPr>
        <w:pStyle w:val="ListParagraph"/>
        <w:numPr>
          <w:ilvl w:val="1"/>
          <w:numId w:val="78"/>
        </w:numPr>
        <w:tabs>
          <w:tab w:pos="2230" w:val="left" w:leader="none"/>
          <w:tab w:pos="2231" w:val="left" w:leader="none"/>
        </w:tabs>
        <w:spacing w:line="235" w:lineRule="auto" w:before="0" w:after="0"/>
        <w:ind w:left="1550" w:right="943" w:firstLine="0"/>
        <w:jc w:val="left"/>
        <w:rPr>
          <w:sz w:val="20"/>
        </w:rPr>
      </w:pPr>
      <w:r>
        <w:rPr>
          <w:w w:val="120"/>
          <w:sz w:val="20"/>
        </w:rPr>
        <w:t>A rather different interpretive key was the distinction Paul made between grace and </w:t>
      </w:r>
      <w:r>
        <w:rPr>
          <w:spacing w:val="-3"/>
          <w:w w:val="120"/>
          <w:sz w:val="20"/>
        </w:rPr>
        <w:t>law, </w:t>
      </w:r>
      <w:r>
        <w:rPr>
          <w:w w:val="120"/>
          <w:sz w:val="20"/>
        </w:rPr>
        <w:t>or faith and works, in the redemptive process. In the unfolding history of salvation the giving of the law through Moses was viewed by him as no more than a temporary measure; in due course living under Torah was to be superseded for people of faith by the coming of Christ. Consequently early Christians did not believe that civic and ceremonial laws in the Old Testament applied directly to them. </w:t>
      </w:r>
      <w:r>
        <w:rPr>
          <w:spacing w:val="3"/>
          <w:w w:val="120"/>
          <w:sz w:val="20"/>
        </w:rPr>
        <w:t>As </w:t>
      </w:r>
      <w:r>
        <w:rPr>
          <w:w w:val="120"/>
          <w:sz w:val="20"/>
        </w:rPr>
        <w:t>to the moral law their interpretive key was</w:t>
      </w:r>
      <w:r>
        <w:rPr>
          <w:spacing w:val="6"/>
          <w:w w:val="120"/>
          <w:sz w:val="20"/>
        </w:rPr>
        <w:t> </w:t>
      </w:r>
      <w:r>
        <w:rPr>
          <w:w w:val="120"/>
          <w:sz w:val="20"/>
        </w:rPr>
        <w:t>love.</w:t>
      </w:r>
    </w:p>
    <w:p>
      <w:pPr>
        <w:pStyle w:val="BodyText"/>
        <w:spacing w:before="1"/>
      </w:pPr>
    </w:p>
    <w:p>
      <w:pPr>
        <w:pStyle w:val="ListParagraph"/>
        <w:numPr>
          <w:ilvl w:val="1"/>
          <w:numId w:val="78"/>
        </w:numPr>
        <w:tabs>
          <w:tab w:pos="2230" w:val="left" w:leader="none"/>
          <w:tab w:pos="2231" w:val="left" w:leader="none"/>
        </w:tabs>
        <w:spacing w:line="235" w:lineRule="auto" w:before="0" w:after="0"/>
        <w:ind w:left="1550" w:right="878" w:firstLine="0"/>
        <w:jc w:val="left"/>
        <w:rPr>
          <w:sz w:val="20"/>
        </w:rPr>
      </w:pPr>
      <w:r>
        <w:rPr>
          <w:w w:val="120"/>
          <w:sz w:val="20"/>
        </w:rPr>
        <w:t>It was not long before different ways of interpretation emerged in the new Christian communities. In the face of the speculative theories of Christian Gnostics, Irenaeus spoke of the ‘rule of faith’ </w:t>
      </w:r>
      <w:r>
        <w:rPr>
          <w:spacing w:val="-9"/>
          <w:w w:val="120"/>
          <w:sz w:val="20"/>
        </w:rPr>
        <w:t>(a </w:t>
      </w:r>
      <w:r>
        <w:rPr>
          <w:w w:val="120"/>
          <w:sz w:val="20"/>
        </w:rPr>
        <w:t>core set of Christian beliefs) and the </w:t>
      </w:r>
      <w:r>
        <w:rPr>
          <w:spacing w:val="-3"/>
          <w:w w:val="120"/>
          <w:sz w:val="20"/>
        </w:rPr>
        <w:t>(unwritten) </w:t>
      </w:r>
      <w:r>
        <w:rPr>
          <w:w w:val="120"/>
          <w:sz w:val="20"/>
        </w:rPr>
        <w:t>apostolic tradition as interpretive safeguards to counter unrestrained speculation. In the city of Alexandria, initially through the person of Origen, a way of reading the scriptures developed which favoured allegorical reading and sought to discover in the text three levels of meaning: the literal, the moral and the spiritual. Somewhat in conflict</w:t>
      </w:r>
      <w:r>
        <w:rPr>
          <w:spacing w:val="26"/>
          <w:w w:val="120"/>
          <w:sz w:val="20"/>
        </w:rPr>
        <w:t> </w:t>
      </w:r>
      <w:r>
        <w:rPr>
          <w:w w:val="120"/>
          <w:sz w:val="20"/>
        </w:rPr>
        <w:t>with</w:t>
      </w:r>
    </w:p>
    <w:p>
      <w:pPr>
        <w:pStyle w:val="BodyText"/>
        <w:spacing w:line="235" w:lineRule="auto" w:before="5"/>
        <w:ind w:left="1550" w:right="923"/>
      </w:pPr>
      <w:r>
        <w:rPr>
          <w:w w:val="120"/>
        </w:rPr>
        <w:t>this was a group of theologians living in Antioch who emphasised literal, historical and linguistic approaches to the text.</w:t>
      </w:r>
    </w:p>
    <w:p>
      <w:pPr>
        <w:pStyle w:val="BodyText"/>
        <w:spacing w:before="9"/>
        <w:rPr>
          <w:sz w:val="19"/>
        </w:rPr>
      </w:pPr>
    </w:p>
    <w:p>
      <w:pPr>
        <w:pStyle w:val="ListParagraph"/>
        <w:numPr>
          <w:ilvl w:val="1"/>
          <w:numId w:val="78"/>
        </w:numPr>
        <w:tabs>
          <w:tab w:pos="2230" w:val="left" w:leader="none"/>
          <w:tab w:pos="2231" w:val="left" w:leader="none"/>
        </w:tabs>
        <w:spacing w:line="235" w:lineRule="auto" w:before="0" w:after="0"/>
        <w:ind w:left="1550" w:right="893" w:firstLine="0"/>
        <w:jc w:val="left"/>
        <w:rPr>
          <w:sz w:val="20"/>
        </w:rPr>
      </w:pPr>
      <w:r>
        <w:rPr>
          <w:w w:val="120"/>
          <w:sz w:val="20"/>
        </w:rPr>
        <w:t>For Luther the interpretive key was the doctrine of justification. We would not be far from him if we spoke of the Gospel in this </w:t>
      </w:r>
      <w:r>
        <w:rPr>
          <w:spacing w:val="-4"/>
          <w:w w:val="120"/>
          <w:sz w:val="20"/>
        </w:rPr>
        <w:t>way. </w:t>
      </w:r>
      <w:r>
        <w:rPr>
          <w:w w:val="120"/>
          <w:sz w:val="20"/>
        </w:rPr>
        <w:t>It is through the lens of the Gospel that we properly understand the meaning of the</w:t>
      </w:r>
      <w:r>
        <w:rPr>
          <w:spacing w:val="19"/>
          <w:w w:val="120"/>
          <w:sz w:val="20"/>
        </w:rPr>
        <w:t> </w:t>
      </w:r>
      <w:r>
        <w:rPr>
          <w:w w:val="120"/>
          <w:sz w:val="20"/>
        </w:rPr>
        <w:t>scriptures.</w:t>
      </w:r>
    </w:p>
    <w:p>
      <w:pPr>
        <w:pStyle w:val="BodyText"/>
        <w:spacing w:before="10"/>
        <w:rPr>
          <w:sz w:val="19"/>
        </w:rPr>
      </w:pPr>
    </w:p>
    <w:p>
      <w:pPr>
        <w:pStyle w:val="ListParagraph"/>
        <w:numPr>
          <w:ilvl w:val="1"/>
          <w:numId w:val="78"/>
        </w:numPr>
        <w:tabs>
          <w:tab w:pos="2230" w:val="left" w:leader="none"/>
          <w:tab w:pos="2231" w:val="left" w:leader="none"/>
        </w:tabs>
        <w:spacing w:line="235" w:lineRule="auto" w:before="0" w:after="0"/>
        <w:ind w:left="1550" w:right="1489" w:firstLine="0"/>
        <w:jc w:val="left"/>
        <w:rPr>
          <w:sz w:val="20"/>
        </w:rPr>
      </w:pPr>
      <w:r>
        <w:rPr>
          <w:w w:val="120"/>
          <w:sz w:val="20"/>
        </w:rPr>
        <w:t>The Enlightenment introduced a world-view committed to apply scientific method to every area of intellectual enquiry. Textual, historical and literary</w:t>
      </w:r>
      <w:r>
        <w:rPr>
          <w:spacing w:val="3"/>
          <w:w w:val="120"/>
          <w:sz w:val="20"/>
        </w:rPr>
        <w:t> </w:t>
      </w:r>
      <w:r>
        <w:rPr>
          <w:w w:val="120"/>
          <w:sz w:val="20"/>
        </w:rPr>
        <w:t>critical</w:t>
      </w:r>
    </w:p>
    <w:p>
      <w:pPr>
        <w:spacing w:after="0" w:line="235" w:lineRule="auto"/>
        <w:jc w:val="left"/>
        <w:rPr>
          <w:sz w:val="20"/>
        </w:rPr>
        <w:sectPr>
          <w:headerReference w:type="default" r:id="rId331"/>
          <w:pgSz w:w="11910" w:h="16840"/>
          <w:pgMar w:header="0" w:footer="647" w:top="0" w:bottom="840" w:left="420" w:right="380"/>
        </w:sectPr>
      </w:pPr>
    </w:p>
    <w:p>
      <w:pPr>
        <w:pStyle w:val="BodyText"/>
      </w:pPr>
      <w:r>
        <w:rPr/>
        <w:drawing>
          <wp:anchor distT="0" distB="0" distL="0" distR="0" allowOverlap="1" layoutInCell="1" locked="0" behindDoc="1" simplePos="0" relativeHeight="235996160">
            <wp:simplePos x="0" y="0"/>
            <wp:positionH relativeFrom="page">
              <wp:posOffset>0</wp:posOffset>
            </wp:positionH>
            <wp:positionV relativeFrom="page">
              <wp:posOffset>0</wp:posOffset>
            </wp:positionV>
            <wp:extent cx="594067" cy="10692003"/>
            <wp:effectExtent l="0" t="0" r="0" b="0"/>
            <wp:wrapNone/>
            <wp:docPr id="221" name="image70.png"/>
            <wp:cNvGraphicFramePr>
              <a:graphicFrameLocks noChangeAspect="1"/>
            </wp:cNvGraphicFramePr>
            <a:graphic>
              <a:graphicData uri="http://schemas.openxmlformats.org/drawingml/2006/picture">
                <pic:pic>
                  <pic:nvPicPr>
                    <pic:cNvPr id="22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20.519100pt;margin-top:22.693945pt;width:26pt;height:159.65pt;mso-position-horizontal-relative:page;mso-position-vertical-relative:paragraph;z-index:251964416" type="#_x0000_t202" filled="false" stroked="false">
            <v:textbox inset="0,0,0,0" style="layout-flow:vertical">
              <w:txbxContent>
                <w:p>
                  <w:pPr>
                    <w:spacing w:before="29"/>
                    <w:ind w:left="20" w:right="0" w:firstLine="0"/>
                    <w:jc w:val="left"/>
                    <w:rPr>
                      <w:sz w:val="39"/>
                    </w:rPr>
                  </w:pPr>
                  <w:r>
                    <w:rPr>
                      <w:color w:val="FFFFFF"/>
                      <w:w w:val="125"/>
                      <w:sz w:val="39"/>
                    </w:rPr>
                    <w:t>Faith and order</w:t>
                  </w:r>
                </w:p>
              </w:txbxContent>
            </v:textbox>
            <w10:wrap type="none"/>
          </v:shape>
        </w:pict>
      </w:r>
      <w:r>
        <w:rPr>
          <w:color w:val="7EAABF"/>
          <w:w w:val="115"/>
          <w:sz w:val="26"/>
        </w:rPr>
        <w:t>Faith and order</w:t>
      </w:r>
    </w:p>
    <w:p>
      <w:pPr>
        <w:pStyle w:val="BodyText"/>
        <w:spacing w:line="235" w:lineRule="auto" w:before="222"/>
        <w:ind w:left="827" w:right="1528"/>
      </w:pPr>
      <w:r>
        <w:rPr>
          <w:w w:val="120"/>
        </w:rPr>
        <w:t>methods were soon applied to the study of the Bible which appeared to many to undermine both its authority and meaning. There was an aridity about biblical study.</w:t>
      </w:r>
    </w:p>
    <w:p>
      <w:pPr>
        <w:pStyle w:val="BodyText"/>
        <w:spacing w:before="9"/>
        <w:rPr>
          <w:sz w:val="19"/>
        </w:rPr>
      </w:pPr>
    </w:p>
    <w:p>
      <w:pPr>
        <w:pStyle w:val="ListParagraph"/>
        <w:numPr>
          <w:ilvl w:val="1"/>
          <w:numId w:val="78"/>
        </w:numPr>
        <w:tabs>
          <w:tab w:pos="1507" w:val="left" w:leader="none"/>
          <w:tab w:pos="1508" w:val="left" w:leader="none"/>
        </w:tabs>
        <w:spacing w:line="235" w:lineRule="auto" w:before="0" w:after="0"/>
        <w:ind w:left="827" w:right="1970" w:firstLine="0"/>
        <w:jc w:val="left"/>
        <w:rPr>
          <w:sz w:val="20"/>
        </w:rPr>
      </w:pPr>
      <w:r>
        <w:rPr>
          <w:spacing w:val="3"/>
          <w:w w:val="120"/>
          <w:sz w:val="20"/>
        </w:rPr>
        <w:t>As </w:t>
      </w:r>
      <w:r>
        <w:rPr>
          <w:w w:val="120"/>
          <w:sz w:val="20"/>
        </w:rPr>
        <w:t>a response to the religious cynicism initially fostered by the use of these scientific methods Friedrich Schleiermacher encouraged us to think of theology not as a study of God as such but as a study of human spirituality or piety. In particular, he viewed it as testimony to our sense of absolute dependence on God. In his classic work </w:t>
      </w:r>
      <w:r>
        <w:rPr>
          <w:i/>
          <w:w w:val="120"/>
          <w:sz w:val="20"/>
        </w:rPr>
        <w:t>The Christian Faith </w:t>
      </w:r>
      <w:r>
        <w:rPr>
          <w:w w:val="120"/>
          <w:sz w:val="20"/>
        </w:rPr>
        <w:t>Schleiermacher transposed classical Lutheran dogmatics into a systematic theology based on the shared phenomenon of human</w:t>
      </w:r>
      <w:r>
        <w:rPr>
          <w:spacing w:val="37"/>
          <w:w w:val="120"/>
          <w:sz w:val="20"/>
        </w:rPr>
        <w:t> </w:t>
      </w:r>
      <w:r>
        <w:rPr>
          <w:w w:val="120"/>
          <w:sz w:val="20"/>
        </w:rPr>
        <w:t>spirituality.</w:t>
      </w:r>
    </w:p>
    <w:p>
      <w:pPr>
        <w:pStyle w:val="BodyText"/>
        <w:spacing w:line="235" w:lineRule="auto" w:before="4"/>
        <w:ind w:left="827" w:right="1735"/>
      </w:pPr>
      <w:r>
        <w:rPr>
          <w:w w:val="120"/>
        </w:rPr>
        <w:t>Celebrated as the father of liberal theology Schleiermacher has influenced the way many now approach the Bible. They understand it as speaking about our experience of God rather than about the objective reality of God. Theological truth is consequently viewed as a subjective construct rather than as an external reality that exists independently of human experience.</w:t>
      </w:r>
    </w:p>
    <w:p>
      <w:pPr>
        <w:pStyle w:val="BodyText"/>
      </w:pPr>
    </w:p>
    <w:p>
      <w:pPr>
        <w:pStyle w:val="ListParagraph"/>
        <w:numPr>
          <w:ilvl w:val="1"/>
          <w:numId w:val="78"/>
        </w:numPr>
        <w:tabs>
          <w:tab w:pos="1507" w:val="left" w:leader="none"/>
          <w:tab w:pos="1508" w:val="left" w:leader="none"/>
        </w:tabs>
        <w:spacing w:line="235" w:lineRule="auto" w:before="0" w:after="0"/>
        <w:ind w:left="827" w:right="1648" w:firstLine="0"/>
        <w:jc w:val="left"/>
        <w:rPr>
          <w:sz w:val="20"/>
        </w:rPr>
      </w:pPr>
      <w:r>
        <w:rPr>
          <w:w w:val="120"/>
          <w:sz w:val="20"/>
        </w:rPr>
        <w:t>The Reformed theologian Karl </w:t>
      </w:r>
      <w:r>
        <w:rPr>
          <w:spacing w:val="2"/>
          <w:w w:val="120"/>
          <w:sz w:val="20"/>
        </w:rPr>
        <w:t>Barth </w:t>
      </w:r>
      <w:r>
        <w:rPr>
          <w:w w:val="120"/>
          <w:sz w:val="20"/>
        </w:rPr>
        <w:t>was deeply distressed that his liberal German theological professors colluded with the rise of German nationalisation and militarisation. He believed that an interpretive method that said nothing about injustice was deeply flawed. He went on to construct his theological masterpiece </w:t>
      </w:r>
      <w:r>
        <w:rPr>
          <w:i/>
          <w:w w:val="120"/>
          <w:sz w:val="20"/>
        </w:rPr>
        <w:t>The Church </w:t>
      </w:r>
      <w:r>
        <w:rPr>
          <w:i/>
          <w:w w:val="120"/>
          <w:sz w:val="20"/>
        </w:rPr>
        <w:t>Dogmatics </w:t>
      </w:r>
      <w:r>
        <w:rPr>
          <w:w w:val="120"/>
          <w:sz w:val="20"/>
        </w:rPr>
        <w:t>around the concept of divine revelation. </w:t>
      </w:r>
      <w:r>
        <w:rPr>
          <w:spacing w:val="2"/>
          <w:w w:val="120"/>
          <w:sz w:val="20"/>
        </w:rPr>
        <w:t>Barth </w:t>
      </w:r>
      <w:r>
        <w:rPr>
          <w:w w:val="120"/>
          <w:sz w:val="20"/>
        </w:rPr>
        <w:t>summarised the Gospel as ‘God speaks to humanity, God enables humanity to hear him speak.’ Central to this way of approaching the scriptures is his emphasis that Jesus as the ‘Word of God’ is in effect the dynamic act of divine self-communication. </w:t>
      </w:r>
      <w:r>
        <w:rPr>
          <w:spacing w:val="2"/>
          <w:w w:val="120"/>
          <w:sz w:val="20"/>
        </w:rPr>
        <w:t>Apart </w:t>
      </w:r>
      <w:r>
        <w:rPr>
          <w:w w:val="120"/>
          <w:sz w:val="20"/>
        </w:rPr>
        <w:t>from this speech-act of God all human spirituality is, according to Barth, empty and</w:t>
      </w:r>
      <w:r>
        <w:rPr>
          <w:spacing w:val="21"/>
          <w:w w:val="120"/>
          <w:sz w:val="20"/>
        </w:rPr>
        <w:t> </w:t>
      </w:r>
      <w:r>
        <w:rPr>
          <w:w w:val="120"/>
          <w:sz w:val="20"/>
        </w:rPr>
        <w:t>hollow.</w:t>
      </w:r>
    </w:p>
    <w:p>
      <w:pPr>
        <w:pStyle w:val="BodyText"/>
        <w:spacing w:before="4"/>
        <w:rPr>
          <w:sz w:val="19"/>
        </w:rPr>
      </w:pPr>
    </w:p>
    <w:p>
      <w:pPr>
        <w:spacing w:before="0"/>
        <w:ind w:left="827" w:right="0" w:firstLine="0"/>
        <w:jc w:val="left"/>
        <w:rPr>
          <w:rFonts w:ascii="Stone Sans II ITC Std Bk"/>
          <w:b/>
          <w:sz w:val="25"/>
        </w:rPr>
      </w:pPr>
      <w:r>
        <w:rPr>
          <w:rFonts w:ascii="Stone Sans II ITC Std Bk"/>
          <w:b/>
          <w:i/>
          <w:w w:val="110"/>
          <w:sz w:val="25"/>
        </w:rPr>
        <w:t>Sola scriptura </w:t>
      </w:r>
      <w:r>
        <w:rPr>
          <w:rFonts w:ascii="Stone Sans II ITC Std Bk"/>
          <w:b/>
          <w:w w:val="110"/>
          <w:sz w:val="25"/>
        </w:rPr>
        <w:t>and tradition</w:t>
      </w:r>
    </w:p>
    <w:p>
      <w:pPr>
        <w:pStyle w:val="ListParagraph"/>
        <w:numPr>
          <w:ilvl w:val="1"/>
          <w:numId w:val="78"/>
        </w:numPr>
        <w:tabs>
          <w:tab w:pos="1507" w:val="left" w:leader="none"/>
          <w:tab w:pos="1508" w:val="left" w:leader="none"/>
        </w:tabs>
        <w:spacing w:line="235" w:lineRule="auto" w:before="83" w:after="0"/>
        <w:ind w:left="827" w:right="1974" w:firstLine="0"/>
        <w:jc w:val="left"/>
        <w:rPr>
          <w:sz w:val="20"/>
        </w:rPr>
      </w:pPr>
      <w:r>
        <w:rPr>
          <w:i/>
          <w:w w:val="120"/>
          <w:sz w:val="20"/>
        </w:rPr>
        <w:t>Sola</w:t>
      </w:r>
      <w:r>
        <w:rPr>
          <w:i/>
          <w:spacing w:val="-9"/>
          <w:w w:val="120"/>
          <w:sz w:val="20"/>
        </w:rPr>
        <w:t> </w:t>
      </w:r>
      <w:r>
        <w:rPr>
          <w:i/>
          <w:w w:val="120"/>
          <w:sz w:val="20"/>
        </w:rPr>
        <w:t>scriptura</w:t>
      </w:r>
      <w:r>
        <w:rPr>
          <w:i/>
          <w:spacing w:val="-9"/>
          <w:w w:val="120"/>
          <w:sz w:val="20"/>
        </w:rPr>
        <w:t> </w:t>
      </w:r>
      <w:r>
        <w:rPr>
          <w:w w:val="120"/>
          <w:sz w:val="20"/>
        </w:rPr>
        <w:t>is</w:t>
      </w:r>
      <w:r>
        <w:rPr>
          <w:spacing w:val="-6"/>
          <w:w w:val="120"/>
          <w:sz w:val="20"/>
        </w:rPr>
        <w:t> </w:t>
      </w:r>
      <w:r>
        <w:rPr>
          <w:w w:val="120"/>
          <w:sz w:val="20"/>
        </w:rPr>
        <w:t>not</w:t>
      </w:r>
      <w:r>
        <w:rPr>
          <w:spacing w:val="-7"/>
          <w:w w:val="120"/>
          <w:sz w:val="20"/>
        </w:rPr>
        <w:t> </w:t>
      </w:r>
      <w:r>
        <w:rPr>
          <w:w w:val="120"/>
          <w:sz w:val="20"/>
        </w:rPr>
        <w:t>a</w:t>
      </w:r>
      <w:r>
        <w:rPr>
          <w:spacing w:val="-6"/>
          <w:w w:val="120"/>
          <w:sz w:val="20"/>
        </w:rPr>
        <w:t> </w:t>
      </w:r>
      <w:r>
        <w:rPr>
          <w:w w:val="120"/>
          <w:sz w:val="20"/>
        </w:rPr>
        <w:t>claim</w:t>
      </w:r>
      <w:r>
        <w:rPr>
          <w:spacing w:val="-6"/>
          <w:w w:val="120"/>
          <w:sz w:val="20"/>
        </w:rPr>
        <w:t> </w:t>
      </w:r>
      <w:r>
        <w:rPr>
          <w:w w:val="120"/>
          <w:sz w:val="20"/>
        </w:rPr>
        <w:t>that</w:t>
      </w:r>
      <w:r>
        <w:rPr>
          <w:spacing w:val="-7"/>
          <w:w w:val="120"/>
          <w:sz w:val="20"/>
        </w:rPr>
        <w:t> </w:t>
      </w:r>
      <w:r>
        <w:rPr>
          <w:w w:val="120"/>
          <w:sz w:val="20"/>
        </w:rPr>
        <w:t>we</w:t>
      </w:r>
      <w:r>
        <w:rPr>
          <w:spacing w:val="-6"/>
          <w:w w:val="120"/>
          <w:sz w:val="20"/>
        </w:rPr>
        <w:t> </w:t>
      </w:r>
      <w:r>
        <w:rPr>
          <w:w w:val="120"/>
          <w:sz w:val="20"/>
        </w:rPr>
        <w:t>can</w:t>
      </w:r>
      <w:r>
        <w:rPr>
          <w:spacing w:val="-6"/>
          <w:w w:val="120"/>
          <w:sz w:val="20"/>
        </w:rPr>
        <w:t> </w:t>
      </w:r>
      <w:r>
        <w:rPr>
          <w:w w:val="120"/>
          <w:sz w:val="20"/>
        </w:rPr>
        <w:t>read</w:t>
      </w:r>
      <w:r>
        <w:rPr>
          <w:spacing w:val="-6"/>
          <w:w w:val="120"/>
          <w:sz w:val="20"/>
        </w:rPr>
        <w:t> </w:t>
      </w:r>
      <w:r>
        <w:rPr>
          <w:w w:val="120"/>
          <w:sz w:val="20"/>
        </w:rPr>
        <w:t>the</w:t>
      </w:r>
      <w:r>
        <w:rPr>
          <w:spacing w:val="-7"/>
          <w:w w:val="120"/>
          <w:sz w:val="20"/>
        </w:rPr>
        <w:t> </w:t>
      </w:r>
      <w:r>
        <w:rPr>
          <w:w w:val="120"/>
          <w:sz w:val="20"/>
        </w:rPr>
        <w:t>Bible</w:t>
      </w:r>
      <w:r>
        <w:rPr>
          <w:spacing w:val="-6"/>
          <w:w w:val="120"/>
          <w:sz w:val="20"/>
        </w:rPr>
        <w:t> </w:t>
      </w:r>
      <w:r>
        <w:rPr>
          <w:w w:val="120"/>
          <w:sz w:val="20"/>
        </w:rPr>
        <w:t>without</w:t>
      </w:r>
      <w:r>
        <w:rPr>
          <w:spacing w:val="-6"/>
          <w:w w:val="120"/>
          <w:sz w:val="20"/>
        </w:rPr>
        <w:t> </w:t>
      </w:r>
      <w:r>
        <w:rPr>
          <w:w w:val="120"/>
          <w:sz w:val="20"/>
        </w:rPr>
        <w:t>the</w:t>
      </w:r>
      <w:r>
        <w:rPr>
          <w:spacing w:val="-6"/>
          <w:w w:val="120"/>
          <w:sz w:val="20"/>
        </w:rPr>
        <w:t> </w:t>
      </w:r>
      <w:r>
        <w:rPr>
          <w:w w:val="120"/>
          <w:sz w:val="20"/>
        </w:rPr>
        <w:t>interpretive frameworks that developed in history. Rather it is the view that all our theology, and creeds, confessions and statements of faith are themselves subject to the critique of the</w:t>
      </w:r>
      <w:r>
        <w:rPr>
          <w:spacing w:val="1"/>
          <w:w w:val="120"/>
          <w:sz w:val="20"/>
        </w:rPr>
        <w:t> </w:t>
      </w:r>
      <w:r>
        <w:rPr>
          <w:w w:val="120"/>
          <w:sz w:val="20"/>
        </w:rPr>
        <w:t>scriptures.</w:t>
      </w:r>
    </w:p>
    <w:p>
      <w:pPr>
        <w:pStyle w:val="BodyText"/>
        <w:spacing w:before="11"/>
        <w:rPr>
          <w:sz w:val="19"/>
        </w:rPr>
      </w:pPr>
    </w:p>
    <w:p>
      <w:pPr>
        <w:pStyle w:val="ListParagraph"/>
        <w:numPr>
          <w:ilvl w:val="1"/>
          <w:numId w:val="78"/>
        </w:numPr>
        <w:tabs>
          <w:tab w:pos="1507" w:val="left" w:leader="none"/>
          <w:tab w:pos="1508" w:val="left" w:leader="none"/>
        </w:tabs>
        <w:spacing w:line="235" w:lineRule="auto" w:before="0" w:after="0"/>
        <w:ind w:left="827" w:right="2182" w:firstLine="0"/>
        <w:jc w:val="left"/>
        <w:rPr>
          <w:sz w:val="20"/>
        </w:rPr>
      </w:pPr>
      <w:r>
        <w:rPr>
          <w:w w:val="120"/>
          <w:sz w:val="20"/>
        </w:rPr>
        <w:t>So we have an interpretive circle. The scriptures critique our religious formulations, but it is these formulations which shape the framework by which we interpret the Scriptures. How do we break out of our closed interpretive</w:t>
      </w:r>
      <w:r>
        <w:rPr>
          <w:spacing w:val="21"/>
          <w:w w:val="120"/>
          <w:sz w:val="20"/>
        </w:rPr>
        <w:t> </w:t>
      </w:r>
      <w:r>
        <w:rPr>
          <w:w w:val="120"/>
          <w:sz w:val="20"/>
        </w:rPr>
        <w:t>schemes?</w:t>
      </w:r>
    </w:p>
    <w:p>
      <w:pPr>
        <w:pStyle w:val="BodyText"/>
        <w:rPr>
          <w:sz w:val="19"/>
        </w:rPr>
      </w:pPr>
    </w:p>
    <w:p>
      <w:pPr>
        <w:pStyle w:val="Heading6"/>
      </w:pPr>
      <w:r>
        <w:rPr>
          <w:w w:val="110"/>
        </w:rPr>
        <w:t>Engagement</w:t>
      </w:r>
    </w:p>
    <w:p>
      <w:pPr>
        <w:pStyle w:val="ListParagraph"/>
        <w:numPr>
          <w:ilvl w:val="1"/>
          <w:numId w:val="78"/>
        </w:numPr>
        <w:tabs>
          <w:tab w:pos="1507" w:val="left" w:leader="none"/>
          <w:tab w:pos="1508" w:val="left" w:leader="none"/>
        </w:tabs>
        <w:spacing w:line="235" w:lineRule="auto" w:before="82" w:after="0"/>
        <w:ind w:left="827" w:right="1622" w:firstLine="0"/>
        <w:jc w:val="left"/>
        <w:rPr>
          <w:sz w:val="20"/>
        </w:rPr>
      </w:pPr>
      <w:r>
        <w:rPr>
          <w:w w:val="120"/>
          <w:sz w:val="20"/>
        </w:rPr>
        <w:t>We do so by dialogue with other Christians, other Churches, other traditions and by engagement with the shared theological history of the Church, and indeed through openness to the world. The Holy Spirit is given to the church as community so that we might come to the truth together. A dialogue of spiritual openness is essential. One of the most divisive debates in the Christian Church was that between Luther and Rome over the nature of justification. </w:t>
      </w:r>
      <w:r>
        <w:rPr>
          <w:spacing w:val="-5"/>
          <w:w w:val="120"/>
          <w:sz w:val="20"/>
        </w:rPr>
        <w:t>Yet </w:t>
      </w:r>
      <w:r>
        <w:rPr>
          <w:w w:val="120"/>
          <w:sz w:val="20"/>
        </w:rPr>
        <w:t>recent discussions between Lutherans and Catholics have led to a nuanced joint declaration with little that still separates the two</w:t>
      </w:r>
      <w:r>
        <w:rPr>
          <w:spacing w:val="8"/>
          <w:w w:val="120"/>
          <w:sz w:val="20"/>
        </w:rPr>
        <w:t> </w:t>
      </w:r>
      <w:r>
        <w:rPr>
          <w:w w:val="120"/>
          <w:sz w:val="20"/>
        </w:rPr>
        <w:t>parties</w:t>
      </w:r>
    </w:p>
    <w:p>
      <w:pPr>
        <w:pStyle w:val="BodyText"/>
        <w:spacing w:line="235" w:lineRule="auto" w:before="5"/>
        <w:ind w:left="827" w:right="1528"/>
      </w:pPr>
      <w:r>
        <w:rPr>
          <w:w w:val="120"/>
        </w:rPr>
        <w:t>on this matter. The Holy Spirit can and does enable the people of God in humility and openness to come to a shared understanding of the mind of the scriptures.</w:t>
      </w:r>
    </w:p>
    <w:p>
      <w:pPr>
        <w:pStyle w:val="BodyText"/>
        <w:spacing w:before="10"/>
        <w:rPr>
          <w:sz w:val="19"/>
        </w:rPr>
      </w:pPr>
    </w:p>
    <w:p>
      <w:pPr>
        <w:pStyle w:val="ListParagraph"/>
        <w:numPr>
          <w:ilvl w:val="1"/>
          <w:numId w:val="78"/>
        </w:numPr>
        <w:tabs>
          <w:tab w:pos="1507" w:val="left" w:leader="none"/>
          <w:tab w:pos="1508" w:val="left" w:leader="none"/>
        </w:tabs>
        <w:spacing w:line="235" w:lineRule="auto" w:before="0" w:after="0"/>
        <w:ind w:left="827" w:right="1639" w:firstLine="0"/>
        <w:jc w:val="left"/>
        <w:rPr>
          <w:sz w:val="20"/>
        </w:rPr>
      </w:pPr>
      <w:r>
        <w:rPr>
          <w:w w:val="120"/>
          <w:sz w:val="20"/>
        </w:rPr>
        <w:t>Those who study in an ecumenical context believe they are better theologians  for it. Those who serve on sexuality committees generally express appreciation for what they have learned from opposing views. We need to encourage engagement. Imagine the outcome of Gear and Free to Believe hosting a joint conference on ‘What is the Good</w:t>
      </w:r>
      <w:r>
        <w:rPr>
          <w:spacing w:val="2"/>
          <w:w w:val="120"/>
          <w:sz w:val="20"/>
        </w:rPr>
        <w:t> </w:t>
      </w:r>
      <w:r>
        <w:rPr>
          <w:w w:val="120"/>
          <w:sz w:val="20"/>
        </w:rPr>
        <w:t>News?’</w:t>
      </w:r>
    </w:p>
    <w:p>
      <w:pPr>
        <w:pStyle w:val="BodyText"/>
        <w:spacing w:before="11"/>
        <w:rPr>
          <w:sz w:val="19"/>
        </w:rPr>
      </w:pPr>
    </w:p>
    <w:p>
      <w:pPr>
        <w:pStyle w:val="ListParagraph"/>
        <w:numPr>
          <w:ilvl w:val="1"/>
          <w:numId w:val="78"/>
        </w:numPr>
        <w:tabs>
          <w:tab w:pos="1507" w:val="left" w:leader="none"/>
          <w:tab w:pos="1508" w:val="left" w:leader="none"/>
        </w:tabs>
        <w:spacing w:line="235" w:lineRule="auto" w:before="1" w:after="0"/>
        <w:ind w:left="827" w:right="1760" w:firstLine="0"/>
        <w:jc w:val="left"/>
        <w:rPr>
          <w:sz w:val="20"/>
        </w:rPr>
      </w:pPr>
      <w:r>
        <w:rPr>
          <w:w w:val="120"/>
          <w:sz w:val="20"/>
        </w:rPr>
        <w:t>One caveat if we are to embark on such an exercise: we do so not to enhance ecumenical relations, although that will surely happen; we do so not to show the love of Christ, although to respect and engage with the views of others is a loving act; we  do so because we are seekers of the truth. Jesus said to his disciples: ‘If you continue in my word you will know the truth and the truth will set you</w:t>
      </w:r>
      <w:r>
        <w:rPr>
          <w:spacing w:val="29"/>
          <w:w w:val="120"/>
          <w:sz w:val="20"/>
        </w:rPr>
        <w:t> </w:t>
      </w:r>
      <w:r>
        <w:rPr>
          <w:spacing w:val="-3"/>
          <w:w w:val="120"/>
          <w:sz w:val="20"/>
        </w:rPr>
        <w:t>free.’</w:t>
      </w:r>
    </w:p>
    <w:p>
      <w:pPr>
        <w:spacing w:after="0" w:line="235" w:lineRule="auto"/>
        <w:jc w:val="left"/>
        <w:rPr>
          <w:sz w:val="20"/>
        </w:rPr>
        <w:sectPr>
          <w:headerReference w:type="even" r:id="rId332"/>
          <w:footerReference w:type="even" r:id="rId333"/>
          <w:footerReference w:type="default" r:id="rId334"/>
          <w:pgSz w:w="11910" w:h="16840"/>
          <w:pgMar w:header="0" w:footer="647" w:top="0" w:bottom="840" w:left="420" w:right="380"/>
          <w:pgNumType w:start="116"/>
        </w:sectPr>
      </w:pPr>
    </w:p>
    <w:p>
      <w:pPr>
        <w:pStyle w:val="BodyText"/>
      </w:pPr>
      <w:r>
        <w:rPr/>
        <w:drawing>
          <wp:anchor distT="0" distB="0" distL="0" distR="0" allowOverlap="1" layoutInCell="1" locked="0" behindDoc="0" simplePos="0" relativeHeight="251965440">
            <wp:simplePos x="0" y="0"/>
            <wp:positionH relativeFrom="page">
              <wp:posOffset>6974928</wp:posOffset>
            </wp:positionH>
            <wp:positionV relativeFrom="page">
              <wp:posOffset>0</wp:posOffset>
            </wp:positionV>
            <wp:extent cx="585063" cy="10692003"/>
            <wp:effectExtent l="0" t="0" r="0" b="0"/>
            <wp:wrapNone/>
            <wp:docPr id="223" name="image57.png"/>
            <wp:cNvGraphicFramePr>
              <a:graphicFrameLocks noChangeAspect="1"/>
            </wp:cNvGraphicFramePr>
            <a:graphic>
              <a:graphicData uri="http://schemas.openxmlformats.org/drawingml/2006/picture">
                <pic:pic>
                  <pic:nvPicPr>
                    <pic:cNvPr id="22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638" w:lineRule="exact" w:before="97"/>
        <w:ind w:left="1309"/>
        <w:rPr>
          <w:b/>
        </w:rPr>
      </w:pPr>
      <w:r>
        <w:rPr/>
        <w:pict>
          <v:shape style="position:absolute;margin-left:554.141174pt;margin-top:-5.998084pt;width:26pt;height:80.6pt;mso-position-horizontal-relative:page;mso-position-vertical-relative:paragraph;z-index:251969536" type="#_x0000_t202" filled="false" stroked="false">
            <v:textbox inset="0,0,0,0" style="layout-flow:vertical">
              <w:txbxContent>
                <w:p>
                  <w:pPr>
                    <w:spacing w:before="29"/>
                    <w:ind w:left="20" w:right="0" w:firstLine="0"/>
                    <w:jc w:val="left"/>
                    <w:rPr>
                      <w:sz w:val="39"/>
                    </w:rPr>
                  </w:pPr>
                  <w:r>
                    <w:rPr>
                      <w:color w:val="FFFFFF"/>
                      <w:w w:val="120"/>
                      <w:sz w:val="39"/>
                    </w:rPr>
                    <w:t>Finance</w:t>
                  </w:r>
                </w:p>
              </w:txbxContent>
            </v:textbox>
            <w10:wrap type="none"/>
          </v:shape>
        </w:pict>
      </w:r>
      <w:bookmarkStart w:name="_bookmark20" w:id="26"/>
      <w:bookmarkEnd w:id="26"/>
      <w:r>
        <w:rPr>
          <w:b w:val="0"/>
        </w:rPr>
      </w:r>
      <w:r>
        <w:rPr>
          <w:b/>
          <w:color w:val="0090D4"/>
          <w:w w:val="110"/>
        </w:rPr>
        <w:t>Finance committee</w:t>
      </w:r>
    </w:p>
    <w:p>
      <w:pPr>
        <w:spacing w:line="638" w:lineRule="exact" w:before="0"/>
        <w:ind w:left="1309" w:right="0" w:firstLine="0"/>
        <w:jc w:val="left"/>
        <w:rPr>
          <w:rFonts w:ascii="Stone Sans II ITC Std X Bd"/>
          <w:b/>
          <w:sz w:val="50"/>
        </w:rPr>
      </w:pPr>
      <w:r>
        <w:rPr>
          <w:rFonts w:ascii="Stone Sans II ITC Std X Bd"/>
          <w:b/>
          <w:spacing w:val="-9"/>
          <w:w w:val="110"/>
          <w:sz w:val="50"/>
        </w:rPr>
        <w:t>General </w:t>
      </w:r>
      <w:r>
        <w:rPr>
          <w:rFonts w:ascii="Stone Sans II ITC Std X Bd"/>
          <w:b/>
          <w:spacing w:val="-6"/>
          <w:w w:val="110"/>
          <w:sz w:val="50"/>
        </w:rPr>
        <w:t>report </w:t>
      </w:r>
      <w:r>
        <w:rPr>
          <w:rFonts w:ascii="Stone Sans II ITC Std X Bd"/>
          <w:b/>
          <w:spacing w:val="-22"/>
          <w:w w:val="110"/>
          <w:sz w:val="50"/>
        </w:rPr>
        <w:t>2016 </w:t>
      </w:r>
      <w:r>
        <w:rPr>
          <w:rFonts w:ascii="Stone Sans II ITC Std X Bd"/>
          <w:b/>
          <w:spacing w:val="-10"/>
          <w:w w:val="110"/>
          <w:sz w:val="50"/>
        </w:rPr>
        <w:t>to </w:t>
      </w:r>
      <w:r>
        <w:rPr>
          <w:rFonts w:ascii="Stone Sans II ITC Std X Bd"/>
          <w:b/>
          <w:spacing w:val="-22"/>
          <w:w w:val="110"/>
          <w:sz w:val="50"/>
        </w:rPr>
        <w:t>2018</w:t>
      </w:r>
    </w:p>
    <w:p>
      <w:pPr>
        <w:spacing w:before="339" w:after="10"/>
        <w:ind w:left="1309" w:right="0" w:firstLine="0"/>
        <w:jc w:val="left"/>
        <w:rPr>
          <w:rFonts w:ascii="Stone Sans II ITC Std Bk"/>
          <w:b/>
          <w:sz w:val="21"/>
        </w:rPr>
      </w:pPr>
      <w:r>
        <w:rPr/>
        <w:pict>
          <v:shape style="position:absolute;margin-left:86.707001pt;margin-top:31.857384pt;width:462.1pt;height:74.55pt;mso-position-horizontal-relative:page;mso-position-vertical-relative:paragraph;z-index:-267317248" coordorigin="1734,637" coordsize="9242,1491" path="m10976,1711l4394,1711,1734,1711,1734,2127,4394,2127,10976,2127,10976,1711m10976,637l4394,637,1734,637,1734,1711,4394,1711,10976,1711,10976,637e" filled="true" fillcolor="#ffffff" stroked="false">
            <v:path arrowok="t"/>
            <v:fill type="solid"/>
            <w10:wrap type="none"/>
          </v:shape>
        </w:pict>
      </w:r>
      <w:r>
        <w:rPr>
          <w:rFonts w:ascii="Stone Sans II ITC Std Bk"/>
          <w:b/>
          <w:color w:val="707172"/>
          <w:w w:val="115"/>
          <w:sz w:val="21"/>
        </w:rPr>
        <w:t>Basic Information</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tcPr>
          <w:p>
            <w:pPr>
              <w:pStyle w:val="TableParagraph"/>
              <w:spacing w:before="108"/>
              <w:ind w:left="80"/>
              <w:rPr>
                <w:sz w:val="20"/>
              </w:rPr>
            </w:pPr>
            <w:r>
              <w:rPr>
                <w:w w:val="120"/>
                <w:sz w:val="20"/>
              </w:rPr>
              <w:t>Ian Hardie, Treasurer: </w:t>
            </w:r>
            <w:hyperlink r:id="rId336">
              <w:r>
                <w:rPr>
                  <w:color w:val="006AB3"/>
                  <w:w w:val="120"/>
                  <w:sz w:val="20"/>
                </w:rPr>
                <w:t>ianzhardie@googlemail.com</w:t>
              </w:r>
            </w:hyperlink>
          </w:p>
        </w:tc>
      </w:tr>
      <w:tr>
        <w:trPr>
          <w:trHeight w:val="406" w:hRule="atLeast"/>
        </w:trPr>
        <w:tc>
          <w:tcPr>
            <w:tcW w:w="2660" w:type="dxa"/>
          </w:tcPr>
          <w:p>
            <w:pPr>
              <w:pStyle w:val="TableParagraph"/>
              <w:spacing w:before="95"/>
              <w:ind w:left="79"/>
              <w:rPr>
                <w:rFonts w:ascii="Stone Sans II ITC Std Bk"/>
                <w:b/>
                <w:sz w:val="20"/>
              </w:rPr>
            </w:pPr>
            <w:r>
              <w:rPr>
                <w:rFonts w:ascii="Stone Sans II ITC Std Bk"/>
                <w:b/>
                <w:w w:val="110"/>
                <w:sz w:val="20"/>
              </w:rPr>
              <w:t>Action required</w:t>
            </w:r>
          </w:p>
        </w:tc>
        <w:tc>
          <w:tcPr>
            <w:tcW w:w="6582" w:type="dxa"/>
          </w:tcPr>
          <w:p>
            <w:pPr>
              <w:pStyle w:val="TableParagraph"/>
              <w:spacing w:before="108"/>
              <w:ind w:left="80"/>
              <w:rPr>
                <w:sz w:val="20"/>
              </w:rPr>
            </w:pPr>
            <w:r>
              <w:rPr>
                <w:w w:val="120"/>
                <w:sz w:val="20"/>
              </w:rPr>
              <w:t>For information.</w:t>
            </w:r>
          </w:p>
        </w:tc>
      </w:tr>
      <w:tr>
        <w:trPr>
          <w:trHeight w:val="406" w:hRule="atLeast"/>
        </w:trPr>
        <w:tc>
          <w:tcPr>
            <w:tcW w:w="2660" w:type="dxa"/>
          </w:tcPr>
          <w:p>
            <w:pPr>
              <w:pStyle w:val="TableParagraph"/>
              <w:spacing w:before="95"/>
              <w:ind w:left="79"/>
              <w:rPr>
                <w:rFonts w:ascii="Stone Sans II ITC Std Bk"/>
                <w:b/>
                <w:sz w:val="20"/>
              </w:rPr>
            </w:pPr>
            <w:r>
              <w:rPr>
                <w:rFonts w:ascii="Stone Sans II ITC Std Bk"/>
                <w:b/>
                <w:w w:val="110"/>
                <w:sz w:val="20"/>
              </w:rPr>
              <w:t>Draft resolution(s)</w:t>
            </w:r>
          </w:p>
        </w:tc>
        <w:tc>
          <w:tcPr>
            <w:tcW w:w="6582" w:type="dxa"/>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1309" w:right="0" w:firstLine="0"/>
        <w:jc w:val="left"/>
        <w:rPr>
          <w:rFonts w:ascii="Stone Sans II ITC Std Bk"/>
          <w:b/>
          <w:sz w:val="21"/>
        </w:rPr>
      </w:pPr>
      <w:r>
        <w:rPr/>
        <w:pict>
          <v:shape style="position:absolute;margin-left:86.707001pt;margin-top:24.25746pt;width:462.1pt;height:299.350pt;mso-position-horizontal-relative:page;mso-position-vertical-relative:paragraph;z-index:-267316224" coordorigin="1734,485" coordsize="9242,5987" path="m10976,4679l4394,4679,1734,4679,1734,6472,4394,6472,10976,6472,10976,4679m10976,485l4394,485,1734,485,1734,4679,4394,4679,10976,4679,10976,485e" filled="true" fillcolor="#ffffff" stroked="false">
            <v:path arrowok="t"/>
            <v:fill type="solid"/>
            <w10:wrap type="none"/>
          </v:shape>
        </w:pict>
      </w:r>
      <w:r>
        <w:rPr>
          <w:rFonts w:ascii="Stone Sans II ITC Std Bk"/>
          <w:b/>
          <w:color w:val="707172"/>
          <w:w w:val="115"/>
          <w:sz w:val="21"/>
        </w:rPr>
        <w:t>Summary of Content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tcPr>
          <w:p>
            <w:pPr>
              <w:pStyle w:val="TableParagraph"/>
              <w:spacing w:line="235" w:lineRule="auto" w:before="111"/>
              <w:ind w:left="80"/>
              <w:rPr>
                <w:sz w:val="20"/>
              </w:rPr>
            </w:pPr>
            <w:r>
              <w:rPr>
                <w:w w:val="120"/>
                <w:sz w:val="20"/>
              </w:rPr>
              <w:t>To report on the central budgets and other major finance-related areas of work over the past two years.</w:t>
            </w:r>
          </w:p>
        </w:tc>
      </w:tr>
      <w:tr>
        <w:trPr>
          <w:trHeight w:val="3526" w:hRule="atLeast"/>
        </w:trPr>
        <w:tc>
          <w:tcPr>
            <w:tcW w:w="2660" w:type="dxa"/>
          </w:tcPr>
          <w:p>
            <w:pPr>
              <w:pStyle w:val="TableParagraph"/>
              <w:spacing w:before="95"/>
              <w:ind w:left="80"/>
              <w:rPr>
                <w:rFonts w:ascii="Stone Sans II ITC Std Bk"/>
                <w:b/>
                <w:sz w:val="20"/>
              </w:rPr>
            </w:pPr>
            <w:r>
              <w:rPr>
                <w:rFonts w:ascii="Stone Sans II ITC Std Bk"/>
                <w:b/>
                <w:w w:val="110"/>
                <w:sz w:val="20"/>
              </w:rPr>
              <w:t>Main points</w:t>
            </w:r>
          </w:p>
        </w:tc>
        <w:tc>
          <w:tcPr>
            <w:tcW w:w="6582" w:type="dxa"/>
          </w:tcPr>
          <w:p>
            <w:pPr>
              <w:pStyle w:val="TableParagraph"/>
              <w:numPr>
                <w:ilvl w:val="0"/>
                <w:numId w:val="79"/>
              </w:numPr>
              <w:tabs>
                <w:tab w:pos="760" w:val="left" w:leader="none"/>
                <w:tab w:pos="761" w:val="left" w:leader="none"/>
              </w:tabs>
              <w:spacing w:line="235" w:lineRule="auto" w:before="101" w:after="0"/>
              <w:ind w:left="760" w:right="254" w:hanging="681"/>
              <w:jc w:val="left"/>
              <w:rPr>
                <w:sz w:val="20"/>
              </w:rPr>
            </w:pPr>
            <w:r>
              <w:rPr>
                <w:w w:val="120"/>
                <w:sz w:val="20"/>
              </w:rPr>
              <w:t>Central budgeted funds were in financial surplus in both </w:t>
            </w:r>
            <w:r>
              <w:rPr>
                <w:spacing w:val="-7"/>
                <w:w w:val="120"/>
                <w:sz w:val="20"/>
              </w:rPr>
              <w:t>2016 </w:t>
            </w:r>
            <w:r>
              <w:rPr>
                <w:w w:val="120"/>
                <w:sz w:val="20"/>
              </w:rPr>
              <w:t>and</w:t>
            </w:r>
            <w:r>
              <w:rPr>
                <w:spacing w:val="12"/>
                <w:w w:val="120"/>
                <w:sz w:val="20"/>
              </w:rPr>
              <w:t> </w:t>
            </w:r>
            <w:r>
              <w:rPr>
                <w:spacing w:val="-9"/>
                <w:w w:val="120"/>
                <w:sz w:val="20"/>
              </w:rPr>
              <w:t>2017;</w:t>
            </w:r>
          </w:p>
          <w:p>
            <w:pPr>
              <w:pStyle w:val="TableParagraph"/>
              <w:numPr>
                <w:ilvl w:val="0"/>
                <w:numId w:val="79"/>
              </w:numPr>
              <w:tabs>
                <w:tab w:pos="760" w:val="left" w:leader="none"/>
                <w:tab w:pos="761" w:val="left" w:leader="none"/>
              </w:tabs>
              <w:spacing w:line="235" w:lineRule="auto" w:before="0" w:after="0"/>
              <w:ind w:left="760" w:right="652" w:hanging="681"/>
              <w:jc w:val="left"/>
              <w:rPr>
                <w:sz w:val="20"/>
              </w:rPr>
            </w:pPr>
            <w:r>
              <w:rPr>
                <w:w w:val="120"/>
                <w:sz w:val="20"/>
              </w:rPr>
              <w:t>The financial aspects of the refurbishment of Church House and the operation of the legacy and church building funds have gone</w:t>
            </w:r>
            <w:r>
              <w:rPr>
                <w:spacing w:val="13"/>
                <w:w w:val="120"/>
                <w:sz w:val="20"/>
              </w:rPr>
              <w:t> </w:t>
            </w:r>
            <w:r>
              <w:rPr>
                <w:w w:val="120"/>
                <w:sz w:val="20"/>
              </w:rPr>
              <w:t>well;</w:t>
            </w:r>
          </w:p>
          <w:p>
            <w:pPr>
              <w:pStyle w:val="TableParagraph"/>
              <w:numPr>
                <w:ilvl w:val="0"/>
                <w:numId w:val="79"/>
              </w:numPr>
              <w:tabs>
                <w:tab w:pos="760" w:val="left" w:leader="none"/>
                <w:tab w:pos="761" w:val="left" w:leader="none"/>
              </w:tabs>
              <w:spacing w:line="235" w:lineRule="auto" w:before="0" w:after="0"/>
              <w:ind w:left="760" w:right="340" w:hanging="681"/>
              <w:jc w:val="left"/>
              <w:rPr>
                <w:sz w:val="20"/>
              </w:rPr>
            </w:pPr>
            <w:r>
              <w:rPr>
                <w:w w:val="120"/>
                <w:sz w:val="20"/>
              </w:rPr>
              <w:t>A challenge posed by the needs of the Lay Staff Pension Scheme has been satisfactorily</w:t>
            </w:r>
            <w:r>
              <w:rPr>
                <w:spacing w:val="6"/>
                <w:w w:val="120"/>
                <w:sz w:val="20"/>
              </w:rPr>
              <w:t> </w:t>
            </w:r>
            <w:r>
              <w:rPr>
                <w:w w:val="120"/>
                <w:sz w:val="20"/>
              </w:rPr>
              <w:t>addressed;</w:t>
            </w:r>
          </w:p>
          <w:p>
            <w:pPr>
              <w:pStyle w:val="TableParagraph"/>
              <w:numPr>
                <w:ilvl w:val="0"/>
                <w:numId w:val="79"/>
              </w:numPr>
              <w:tabs>
                <w:tab w:pos="760" w:val="left" w:leader="none"/>
                <w:tab w:pos="761" w:val="left" w:leader="none"/>
              </w:tabs>
              <w:spacing w:line="235" w:lineRule="auto" w:before="0" w:after="0"/>
              <w:ind w:left="760" w:right="532" w:hanging="681"/>
              <w:jc w:val="left"/>
              <w:rPr>
                <w:sz w:val="20"/>
              </w:rPr>
            </w:pPr>
            <w:r>
              <w:rPr>
                <w:w w:val="120"/>
                <w:sz w:val="20"/>
              </w:rPr>
              <w:t>The Minister’s Pension Fund has reorganised its investments; but there will be a need to increase URC contributions from January</w:t>
            </w:r>
            <w:r>
              <w:rPr>
                <w:spacing w:val="6"/>
                <w:w w:val="120"/>
                <w:sz w:val="20"/>
              </w:rPr>
              <w:t> </w:t>
            </w:r>
            <w:r>
              <w:rPr>
                <w:spacing w:val="-6"/>
                <w:w w:val="120"/>
                <w:sz w:val="20"/>
              </w:rPr>
              <w:t>2019;</w:t>
            </w:r>
          </w:p>
          <w:p>
            <w:pPr>
              <w:pStyle w:val="TableParagraph"/>
              <w:numPr>
                <w:ilvl w:val="0"/>
                <w:numId w:val="79"/>
              </w:numPr>
              <w:tabs>
                <w:tab w:pos="760" w:val="left" w:leader="none"/>
                <w:tab w:pos="761" w:val="left" w:leader="none"/>
              </w:tabs>
              <w:spacing w:line="235" w:lineRule="auto" w:before="0" w:after="0"/>
              <w:ind w:left="760" w:right="681" w:hanging="681"/>
              <w:jc w:val="left"/>
              <w:rPr>
                <w:sz w:val="20"/>
              </w:rPr>
            </w:pPr>
            <w:r>
              <w:rPr>
                <w:w w:val="120"/>
                <w:sz w:val="20"/>
              </w:rPr>
              <w:t>That will be a focus for finance committee activity in the next </w:t>
            </w:r>
            <w:r>
              <w:rPr>
                <w:spacing w:val="-4"/>
                <w:w w:val="120"/>
                <w:sz w:val="20"/>
              </w:rPr>
              <w:t>year, </w:t>
            </w:r>
            <w:r>
              <w:rPr>
                <w:w w:val="120"/>
                <w:sz w:val="20"/>
              </w:rPr>
              <w:t>as will assisting others to establish</w:t>
            </w:r>
            <w:r>
              <w:rPr>
                <w:spacing w:val="2"/>
                <w:w w:val="120"/>
                <w:sz w:val="20"/>
              </w:rPr>
              <w:t> </w:t>
            </w:r>
            <w:r>
              <w:rPr>
                <w:w w:val="120"/>
                <w:sz w:val="20"/>
              </w:rPr>
              <w:t>a</w:t>
            </w:r>
          </w:p>
          <w:p>
            <w:pPr>
              <w:pStyle w:val="TableParagraph"/>
              <w:spacing w:line="235" w:lineRule="auto"/>
              <w:ind w:left="760"/>
              <w:rPr>
                <w:sz w:val="20"/>
              </w:rPr>
            </w:pPr>
            <w:r>
              <w:rPr>
                <w:w w:val="120"/>
                <w:sz w:val="20"/>
              </w:rPr>
              <w:t>Discipleship Development Fund to support training and development for all URC people.</w:t>
            </w:r>
          </w:p>
        </w:tc>
      </w:tr>
      <w:tr>
        <w:trPr>
          <w:trHeight w:val="646" w:hRule="atLeast"/>
        </w:trPr>
        <w:tc>
          <w:tcPr>
            <w:tcW w:w="2660" w:type="dxa"/>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tcPr>
          <w:p>
            <w:pPr>
              <w:pStyle w:val="TableParagraph"/>
              <w:spacing w:before="107"/>
              <w:ind w:left="80"/>
              <w:rPr>
                <w:sz w:val="20"/>
              </w:rPr>
            </w:pPr>
            <w:r>
              <w:rPr>
                <w:w w:val="120"/>
                <w:sz w:val="20"/>
              </w:rPr>
              <w:t>Finance committee paper for General Assembly 2016.</w:t>
            </w:r>
          </w:p>
        </w:tc>
      </w:tr>
      <w:tr>
        <w:trPr>
          <w:trHeight w:val="1126" w:hRule="atLeast"/>
        </w:trPr>
        <w:tc>
          <w:tcPr>
            <w:tcW w:w="2660" w:type="dxa"/>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tcPr>
          <w:p>
            <w:pPr>
              <w:pStyle w:val="TableParagraph"/>
              <w:spacing w:line="235" w:lineRule="auto" w:before="111"/>
              <w:ind w:left="80" w:right="395"/>
              <w:rPr>
                <w:sz w:val="20"/>
              </w:rPr>
            </w:pPr>
            <w:r>
              <w:rPr>
                <w:w w:val="120"/>
                <w:sz w:val="20"/>
              </w:rPr>
              <w:t>Most synods and Northern College who are employers within the lay staff pension scheme (paragraphs 7 and 8).</w:t>
            </w:r>
          </w:p>
          <w:p>
            <w:pPr>
              <w:pStyle w:val="TableParagraph"/>
              <w:spacing w:line="235" w:lineRule="auto" w:before="2"/>
              <w:ind w:left="80" w:right="395"/>
              <w:rPr>
                <w:sz w:val="20"/>
              </w:rPr>
            </w:pPr>
            <w:r>
              <w:rPr>
                <w:w w:val="120"/>
                <w:sz w:val="20"/>
              </w:rPr>
              <w:t>Some synods and the URC Retired Ministers’ Housing Society re the URC Ministers’ pension fund (paragraphs 16 and 17).</w:t>
            </w:r>
          </w:p>
        </w:tc>
      </w:tr>
    </w:tbl>
    <w:p>
      <w:pPr>
        <w:spacing w:before="187" w:after="9"/>
        <w:ind w:left="1309" w:right="0" w:firstLine="0"/>
        <w:jc w:val="left"/>
        <w:rPr>
          <w:rFonts w:ascii="Stone Sans II ITC Std Bk"/>
          <w:b/>
          <w:sz w:val="21"/>
        </w:rPr>
      </w:pPr>
      <w:r>
        <w:rPr/>
        <w:pict>
          <v:shape style="position:absolute;margin-left:86.707001pt;margin-top:24.2575pt;width:462.1pt;height:53.7pt;mso-position-horizontal-relative:page;mso-position-vertical-relative:paragraph;z-index:-267315200" coordorigin="1734,485" coordsize="9242,1074" path="m10976,485l4394,485,1734,485,1734,1559,4394,1559,10976,1559,10976,485e" filled="true" fillcolor="#ffffff" stroked="false">
            <v:path arrowok="t"/>
            <v:fill type="solid"/>
            <w10:wrap type="none"/>
          </v:shape>
        </w:pict>
      </w:r>
      <w:r>
        <w:rPr>
          <w:rFonts w:ascii="Stone Sans II ITC Std Bk"/>
          <w:b/>
          <w:color w:val="707172"/>
          <w:w w:val="115"/>
          <w:sz w:val="21"/>
        </w:rPr>
        <w:t>Summary of Impact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tcPr>
          <w:p>
            <w:pPr>
              <w:pStyle w:val="TableParagraph"/>
              <w:spacing w:before="95"/>
              <w:ind w:left="80"/>
              <w:rPr>
                <w:rFonts w:ascii="Stone Sans II ITC Std Bk"/>
                <w:b/>
                <w:sz w:val="20"/>
              </w:rPr>
            </w:pPr>
            <w:r>
              <w:rPr>
                <w:rFonts w:ascii="Stone Sans II ITC Std Bk"/>
                <w:b/>
                <w:w w:val="110"/>
                <w:sz w:val="20"/>
              </w:rPr>
              <w:t>Financial</w:t>
            </w:r>
          </w:p>
        </w:tc>
        <w:tc>
          <w:tcPr>
            <w:tcW w:w="6582" w:type="dxa"/>
          </w:tcPr>
          <w:p>
            <w:pPr>
              <w:pStyle w:val="TableParagraph"/>
              <w:spacing w:before="108"/>
              <w:ind w:left="80"/>
              <w:rPr>
                <w:sz w:val="20"/>
              </w:rPr>
            </w:pPr>
            <w:r>
              <w:rPr>
                <w:w w:val="120"/>
                <w:sz w:val="20"/>
              </w:rPr>
              <w:t>Nothing new in the report itself.</w:t>
            </w:r>
          </w:p>
        </w:tc>
      </w:tr>
      <w:tr>
        <w:trPr>
          <w:trHeight w:val="646" w:hRule="atLeast"/>
        </w:trPr>
        <w:tc>
          <w:tcPr>
            <w:tcW w:w="2660" w:type="dxa"/>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tcPr>
          <w:p>
            <w:pPr>
              <w:pStyle w:val="TableParagraph"/>
              <w:spacing w:before="108"/>
              <w:ind w:left="80"/>
              <w:rPr>
                <w:sz w:val="20"/>
              </w:rPr>
            </w:pPr>
            <w:r>
              <w:rPr>
                <w:w w:val="125"/>
                <w:sz w:val="20"/>
              </w:rPr>
              <w:t>None.</w:t>
            </w:r>
          </w:p>
        </w:tc>
      </w:tr>
    </w:tbl>
    <w:p>
      <w:pPr>
        <w:spacing w:after="0"/>
        <w:rPr>
          <w:sz w:val="20"/>
        </w:rPr>
        <w:sectPr>
          <w:headerReference w:type="default" r:id="rId335"/>
          <w:pgSz w:w="11910" w:h="16840"/>
          <w:pgMar w:header="0" w:footer="647" w:top="0" w:bottom="840" w:left="420" w:right="380"/>
        </w:sectPr>
      </w:pPr>
    </w:p>
    <w:p>
      <w:pPr>
        <w:pStyle w:val="BodyText"/>
        <w:rPr>
          <w:rFonts w:ascii="Stone Sans II ITC Std Bk"/>
          <w:b/>
        </w:rPr>
      </w:pPr>
      <w:r>
        <w:rPr/>
        <w:drawing>
          <wp:anchor distT="0" distB="0" distL="0" distR="0" allowOverlap="1" layoutInCell="1" locked="0" behindDoc="1" simplePos="0" relativeHeight="236003328">
            <wp:simplePos x="0" y="0"/>
            <wp:positionH relativeFrom="page">
              <wp:posOffset>0</wp:posOffset>
            </wp:positionH>
            <wp:positionV relativeFrom="page">
              <wp:posOffset>0</wp:posOffset>
            </wp:positionV>
            <wp:extent cx="594067" cy="10692003"/>
            <wp:effectExtent l="0" t="0" r="0" b="0"/>
            <wp:wrapNone/>
            <wp:docPr id="225" name="image70.png"/>
            <wp:cNvGraphicFramePr>
              <a:graphicFrameLocks noChangeAspect="1"/>
            </wp:cNvGraphicFramePr>
            <a:graphic>
              <a:graphicData uri="http://schemas.openxmlformats.org/drawingml/2006/picture">
                <pic:pic>
                  <pic:nvPicPr>
                    <pic:cNvPr id="22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Bk"/>
          <w:b/>
        </w:rPr>
      </w:pPr>
    </w:p>
    <w:p>
      <w:pPr>
        <w:pStyle w:val="BodyText"/>
        <w:rPr>
          <w:rFonts w:ascii="Stone Sans II ITC Std Bk"/>
          <w:b/>
        </w:rPr>
      </w:pPr>
    </w:p>
    <w:p>
      <w:pPr>
        <w:pStyle w:val="BodyText"/>
        <w:spacing w:before="11"/>
        <w:rPr>
          <w:rFonts w:ascii="Stone Sans II ITC Std Bk"/>
          <w:b/>
          <w:sz w:val="19"/>
        </w:rPr>
      </w:pPr>
    </w:p>
    <w:p>
      <w:pPr>
        <w:spacing w:before="98"/>
        <w:ind w:left="392" w:right="1167" w:firstLine="0"/>
        <w:jc w:val="center"/>
        <w:rPr>
          <w:rFonts w:ascii="Stone Sans II ITC Std X Bd"/>
          <w:b/>
          <w:sz w:val="50"/>
        </w:rPr>
      </w:pPr>
      <w:r>
        <w:rPr/>
        <w:pict>
          <v:shape style="position:absolute;margin-left:20.519100pt;margin-top:-5.948083pt;width:26pt;height:80.6pt;mso-position-horizontal-relative:page;mso-position-vertical-relative:paragraph;z-index:251971584" type="#_x0000_t202" filled="false" stroked="false">
            <v:textbox inset="0,0,0,0" style="layout-flow:vertical">
              <w:txbxContent>
                <w:p>
                  <w:pPr>
                    <w:spacing w:before="29"/>
                    <w:ind w:left="20" w:right="0" w:firstLine="0"/>
                    <w:jc w:val="left"/>
                    <w:rPr>
                      <w:sz w:val="39"/>
                    </w:rPr>
                  </w:pPr>
                  <w:r>
                    <w:rPr>
                      <w:color w:val="FFFFFF"/>
                      <w:w w:val="120"/>
                      <w:sz w:val="39"/>
                    </w:rPr>
                    <w:t>Finance</w:t>
                  </w:r>
                </w:p>
              </w:txbxContent>
            </v:textbox>
            <w10:wrap type="none"/>
          </v:shape>
        </w:pict>
      </w:r>
      <w:r>
        <w:rPr>
          <w:rFonts w:ascii="Stone Sans II ITC Std X Bd"/>
          <w:b/>
          <w:spacing w:val="-9"/>
          <w:w w:val="110"/>
          <w:sz w:val="50"/>
        </w:rPr>
        <w:t>General </w:t>
      </w:r>
      <w:r>
        <w:rPr>
          <w:rFonts w:ascii="Stone Sans II ITC Std X Bd"/>
          <w:b/>
          <w:spacing w:val="-6"/>
          <w:w w:val="110"/>
          <w:sz w:val="50"/>
        </w:rPr>
        <w:t>report </w:t>
      </w:r>
      <w:r>
        <w:rPr>
          <w:rFonts w:ascii="Stone Sans II ITC Std X Bd"/>
          <w:b/>
          <w:spacing w:val="-22"/>
          <w:w w:val="110"/>
          <w:sz w:val="50"/>
        </w:rPr>
        <w:t>2016 </w:t>
      </w:r>
      <w:r>
        <w:rPr>
          <w:rFonts w:ascii="Stone Sans II ITC Std X Bd"/>
          <w:b/>
          <w:spacing w:val="-10"/>
          <w:w w:val="110"/>
          <w:sz w:val="50"/>
        </w:rPr>
        <w:t>to</w:t>
      </w:r>
      <w:r>
        <w:rPr>
          <w:rFonts w:ascii="Stone Sans II ITC Std X Bd"/>
          <w:b/>
          <w:spacing w:val="45"/>
          <w:w w:val="110"/>
          <w:sz w:val="50"/>
        </w:rPr>
        <w:t> </w:t>
      </w:r>
      <w:r>
        <w:rPr>
          <w:rFonts w:ascii="Stone Sans II ITC Std X Bd"/>
          <w:b/>
          <w:spacing w:val="-22"/>
          <w:w w:val="110"/>
          <w:sz w:val="50"/>
        </w:rPr>
        <w:t>2018</w:t>
      </w:r>
    </w:p>
    <w:p>
      <w:pPr>
        <w:spacing w:before="393"/>
        <w:ind w:left="827" w:right="0" w:firstLine="0"/>
        <w:jc w:val="left"/>
        <w:rPr>
          <w:rFonts w:ascii="Stone Sans II ITC Std Bk"/>
          <w:b/>
          <w:sz w:val="29"/>
        </w:rPr>
      </w:pPr>
      <w:r>
        <w:rPr>
          <w:rFonts w:ascii="Stone Sans II ITC Std Bk"/>
          <w:b/>
          <w:w w:val="110"/>
          <w:sz w:val="29"/>
        </w:rPr>
        <w:t>Financial results</w:t>
      </w:r>
    </w:p>
    <w:p>
      <w:pPr>
        <w:pStyle w:val="ListParagraph"/>
        <w:numPr>
          <w:ilvl w:val="0"/>
          <w:numId w:val="80"/>
        </w:numPr>
        <w:tabs>
          <w:tab w:pos="1507" w:val="left" w:leader="none"/>
          <w:tab w:pos="1508" w:val="left" w:leader="none"/>
        </w:tabs>
        <w:spacing w:line="235" w:lineRule="auto" w:before="69" w:after="0"/>
        <w:ind w:left="827" w:right="1890" w:firstLine="0"/>
        <w:jc w:val="left"/>
        <w:rPr>
          <w:sz w:val="20"/>
        </w:rPr>
      </w:pPr>
      <w:r>
        <w:rPr>
          <w:w w:val="120"/>
          <w:sz w:val="20"/>
        </w:rPr>
        <w:t>In </w:t>
      </w:r>
      <w:r>
        <w:rPr>
          <w:spacing w:val="-7"/>
          <w:w w:val="120"/>
          <w:sz w:val="20"/>
        </w:rPr>
        <w:t>2016 </w:t>
      </w:r>
      <w:r>
        <w:rPr>
          <w:w w:val="120"/>
          <w:sz w:val="20"/>
        </w:rPr>
        <w:t>the income and expenditure account for the URC central fund showed a surplus of around </w:t>
      </w:r>
      <w:r>
        <w:rPr>
          <w:spacing w:val="-3"/>
          <w:w w:val="120"/>
          <w:sz w:val="20"/>
        </w:rPr>
        <w:t>£150k. </w:t>
      </w:r>
      <w:r>
        <w:rPr>
          <w:w w:val="120"/>
          <w:sz w:val="20"/>
        </w:rPr>
        <w:t>In </w:t>
      </w:r>
      <w:r>
        <w:rPr>
          <w:spacing w:val="-12"/>
          <w:w w:val="120"/>
          <w:sz w:val="20"/>
        </w:rPr>
        <w:t>2017, </w:t>
      </w:r>
      <w:r>
        <w:rPr>
          <w:w w:val="120"/>
          <w:sz w:val="20"/>
        </w:rPr>
        <w:t>the equivalent figure was a surplus of more</w:t>
      </w:r>
      <w:r>
        <w:rPr>
          <w:spacing w:val="21"/>
          <w:w w:val="120"/>
          <w:sz w:val="20"/>
        </w:rPr>
        <w:t> </w:t>
      </w:r>
      <w:r>
        <w:rPr>
          <w:w w:val="120"/>
          <w:sz w:val="20"/>
        </w:rPr>
        <w:t>than</w:t>
      </w:r>
    </w:p>
    <w:p>
      <w:pPr>
        <w:pStyle w:val="BodyText"/>
        <w:spacing w:line="235" w:lineRule="auto" w:before="2"/>
        <w:ind w:left="827" w:right="1528"/>
      </w:pPr>
      <w:r>
        <w:rPr>
          <w:w w:val="120"/>
        </w:rPr>
        <w:t>£850k (partly attributable to some key vacancies arising and taking time to fill, but also because ministerial costs were lower than budget).</w:t>
      </w:r>
    </w:p>
    <w:p>
      <w:pPr>
        <w:pStyle w:val="BodyText"/>
        <w:spacing w:before="9"/>
        <w:rPr>
          <w:sz w:val="19"/>
        </w:rPr>
      </w:pPr>
    </w:p>
    <w:p>
      <w:pPr>
        <w:pStyle w:val="ListParagraph"/>
        <w:numPr>
          <w:ilvl w:val="0"/>
          <w:numId w:val="80"/>
        </w:numPr>
        <w:tabs>
          <w:tab w:pos="1507" w:val="left" w:leader="none"/>
          <w:tab w:pos="1508" w:val="left" w:leader="none"/>
        </w:tabs>
        <w:spacing w:line="235" w:lineRule="auto" w:before="0" w:after="0"/>
        <w:ind w:left="827" w:right="1897" w:firstLine="0"/>
        <w:jc w:val="left"/>
        <w:rPr>
          <w:sz w:val="20"/>
        </w:rPr>
      </w:pPr>
      <w:r>
        <w:rPr>
          <w:w w:val="120"/>
          <w:sz w:val="20"/>
        </w:rPr>
        <w:t>In both years the ministry and mission </w:t>
      </w:r>
      <w:r>
        <w:rPr>
          <w:spacing w:val="-3"/>
          <w:w w:val="120"/>
          <w:sz w:val="20"/>
        </w:rPr>
        <w:t>(M&amp;M) </w:t>
      </w:r>
      <w:r>
        <w:rPr>
          <w:w w:val="120"/>
          <w:sz w:val="20"/>
        </w:rPr>
        <w:t>contributions held up well. The recent trend for </w:t>
      </w:r>
      <w:r>
        <w:rPr>
          <w:spacing w:val="-2"/>
          <w:w w:val="120"/>
          <w:sz w:val="20"/>
        </w:rPr>
        <w:t>M&amp;M </w:t>
      </w:r>
      <w:r>
        <w:rPr>
          <w:w w:val="120"/>
          <w:sz w:val="20"/>
        </w:rPr>
        <w:t>contributions from local churches to reduce by a little over </w:t>
      </w:r>
      <w:r>
        <w:rPr>
          <w:spacing w:val="-7"/>
          <w:w w:val="120"/>
          <w:sz w:val="20"/>
        </w:rPr>
        <w:t>1% </w:t>
      </w:r>
      <w:r>
        <w:rPr>
          <w:w w:val="120"/>
          <w:sz w:val="20"/>
        </w:rPr>
        <w:t>per year continued but, given the decline in URC membership, this still represented increased giving by church members to support the denomination-wide provision of ministers, ministerial education, other mission activity and the support costs of the denomination. We want to express our gratitude for the ongoing commitment of churches giving what they can afford to enable the spiritual needs of all our brothers and sisters in Christ to be</w:t>
      </w:r>
      <w:r>
        <w:rPr>
          <w:spacing w:val="12"/>
          <w:w w:val="120"/>
          <w:sz w:val="20"/>
        </w:rPr>
        <w:t> </w:t>
      </w:r>
      <w:r>
        <w:rPr>
          <w:w w:val="120"/>
          <w:sz w:val="20"/>
        </w:rPr>
        <w:t>met.</w:t>
      </w:r>
    </w:p>
    <w:p>
      <w:pPr>
        <w:pStyle w:val="BodyText"/>
        <w:spacing w:before="7"/>
        <w:rPr>
          <w:sz w:val="22"/>
        </w:rPr>
      </w:pPr>
    </w:p>
    <w:p>
      <w:pPr>
        <w:spacing w:before="0"/>
        <w:ind w:left="827" w:right="0" w:firstLine="0"/>
        <w:jc w:val="left"/>
        <w:rPr>
          <w:rFonts w:ascii="Stone Sans II ITC Std Bk"/>
          <w:b/>
          <w:sz w:val="29"/>
        </w:rPr>
      </w:pPr>
      <w:r>
        <w:rPr>
          <w:rFonts w:ascii="Stone Sans II ITC Std Bk"/>
          <w:b/>
          <w:w w:val="110"/>
          <w:sz w:val="29"/>
        </w:rPr>
        <w:t>Church House refurbishment</w:t>
      </w:r>
    </w:p>
    <w:p>
      <w:pPr>
        <w:pStyle w:val="ListParagraph"/>
        <w:numPr>
          <w:ilvl w:val="0"/>
          <w:numId w:val="80"/>
        </w:numPr>
        <w:tabs>
          <w:tab w:pos="1507" w:val="left" w:leader="none"/>
          <w:tab w:pos="1508" w:val="left" w:leader="none"/>
        </w:tabs>
        <w:spacing w:line="235" w:lineRule="auto" w:before="69" w:after="0"/>
        <w:ind w:left="827" w:right="2145" w:firstLine="0"/>
        <w:jc w:val="left"/>
        <w:rPr>
          <w:sz w:val="20"/>
        </w:rPr>
      </w:pPr>
      <w:r>
        <w:rPr>
          <w:w w:val="120"/>
          <w:sz w:val="20"/>
        </w:rPr>
        <w:t>The URC Trust oversaw the work done during </w:t>
      </w:r>
      <w:r>
        <w:rPr>
          <w:spacing w:val="-9"/>
          <w:w w:val="120"/>
          <w:sz w:val="20"/>
        </w:rPr>
        <w:t>2017 </w:t>
      </w:r>
      <w:r>
        <w:rPr>
          <w:w w:val="120"/>
          <w:sz w:val="20"/>
        </w:rPr>
        <w:t>on refurbishing Church House (referred to elsewhere in the </w:t>
      </w:r>
      <w:r>
        <w:rPr>
          <w:i/>
          <w:w w:val="120"/>
          <w:sz w:val="20"/>
        </w:rPr>
        <w:t>Book of Reports</w:t>
      </w:r>
      <w:r>
        <w:rPr>
          <w:w w:val="120"/>
          <w:sz w:val="20"/>
        </w:rPr>
        <w:t>). The finance committee were delighted that the costs came in slightly below budget and that they will be more- than fully recouped over time as a result of letting the second floor and receiving contributions to our standing costs from our new</w:t>
      </w:r>
      <w:r>
        <w:rPr>
          <w:spacing w:val="18"/>
          <w:w w:val="120"/>
          <w:sz w:val="20"/>
        </w:rPr>
        <w:t> </w:t>
      </w:r>
      <w:r>
        <w:rPr>
          <w:w w:val="120"/>
          <w:sz w:val="20"/>
        </w:rPr>
        <w:t>tenants.</w:t>
      </w:r>
    </w:p>
    <w:p>
      <w:pPr>
        <w:pStyle w:val="BodyText"/>
        <w:spacing w:before="4"/>
        <w:rPr>
          <w:sz w:val="22"/>
        </w:rPr>
      </w:pPr>
    </w:p>
    <w:p>
      <w:pPr>
        <w:pStyle w:val="Heading4"/>
        <w:ind w:firstLine="0"/>
      </w:pPr>
      <w:r>
        <w:rPr>
          <w:w w:val="110"/>
        </w:rPr>
        <w:t>Legacy Fund</w:t>
      </w:r>
    </w:p>
    <w:p>
      <w:pPr>
        <w:pStyle w:val="ListParagraph"/>
        <w:numPr>
          <w:ilvl w:val="0"/>
          <w:numId w:val="80"/>
        </w:numPr>
        <w:tabs>
          <w:tab w:pos="1507" w:val="left" w:leader="none"/>
          <w:tab w:pos="1508" w:val="left" w:leader="none"/>
        </w:tabs>
        <w:spacing w:line="235" w:lineRule="auto" w:before="69" w:after="0"/>
        <w:ind w:left="827" w:right="1873" w:firstLine="0"/>
        <w:jc w:val="left"/>
        <w:rPr>
          <w:sz w:val="20"/>
        </w:rPr>
      </w:pPr>
      <w:r>
        <w:rPr>
          <w:w w:val="120"/>
          <w:sz w:val="20"/>
        </w:rPr>
        <w:t>Bequests to the United Reformed Church which are not specifically earmarked for other purposes are placed in the legacy fund, administered by the finance committee but with the involvement of the Deputy General Secretary </w:t>
      </w:r>
      <w:r>
        <w:rPr>
          <w:spacing w:val="-3"/>
          <w:w w:val="120"/>
          <w:sz w:val="20"/>
        </w:rPr>
        <w:t>(Mission). </w:t>
      </w:r>
      <w:r>
        <w:rPr>
          <w:w w:val="120"/>
          <w:sz w:val="20"/>
        </w:rPr>
        <w:t>Currently the fund is able to make grants totaling around £200,000 a year to support innovative mission projects. For the funding pot to sustain that level of grant-giving going forward requires more legacies to be </w:t>
      </w:r>
      <w:r>
        <w:rPr>
          <w:spacing w:val="2"/>
          <w:w w:val="120"/>
          <w:sz w:val="20"/>
        </w:rPr>
        <w:t>left </w:t>
      </w:r>
      <w:r>
        <w:rPr>
          <w:w w:val="120"/>
          <w:sz w:val="20"/>
        </w:rPr>
        <w:t>to the denomination like the £75,000 one notified towards the end of</w:t>
      </w:r>
      <w:r>
        <w:rPr>
          <w:spacing w:val="13"/>
          <w:w w:val="120"/>
          <w:sz w:val="20"/>
        </w:rPr>
        <w:t> </w:t>
      </w:r>
      <w:r>
        <w:rPr>
          <w:spacing w:val="-12"/>
          <w:w w:val="120"/>
          <w:sz w:val="20"/>
        </w:rPr>
        <w:t>2017.</w:t>
      </w:r>
    </w:p>
    <w:p>
      <w:pPr>
        <w:pStyle w:val="BodyText"/>
        <w:spacing w:before="5"/>
        <w:rPr>
          <w:sz w:val="22"/>
        </w:rPr>
      </w:pPr>
    </w:p>
    <w:p>
      <w:pPr>
        <w:pStyle w:val="Heading4"/>
        <w:spacing w:before="1"/>
        <w:ind w:firstLine="0"/>
      </w:pPr>
      <w:r>
        <w:rPr>
          <w:w w:val="110"/>
        </w:rPr>
        <w:t>Church building fund</w:t>
      </w:r>
    </w:p>
    <w:p>
      <w:pPr>
        <w:pStyle w:val="ListParagraph"/>
        <w:numPr>
          <w:ilvl w:val="0"/>
          <w:numId w:val="80"/>
        </w:numPr>
        <w:tabs>
          <w:tab w:pos="1507" w:val="left" w:leader="none"/>
          <w:tab w:pos="1508" w:val="left" w:leader="none"/>
        </w:tabs>
        <w:spacing w:line="235" w:lineRule="auto" w:before="69" w:after="0"/>
        <w:ind w:left="827" w:right="1807" w:firstLine="0"/>
        <w:jc w:val="left"/>
        <w:rPr>
          <w:sz w:val="20"/>
        </w:rPr>
      </w:pPr>
      <w:r>
        <w:rPr>
          <w:w w:val="120"/>
          <w:sz w:val="20"/>
        </w:rPr>
        <w:t>The Church building fund has given grants totaling more than </w:t>
      </w:r>
      <w:r>
        <w:rPr>
          <w:spacing w:val="-4"/>
          <w:w w:val="120"/>
          <w:sz w:val="20"/>
        </w:rPr>
        <w:t>£150k </w:t>
      </w:r>
      <w:r>
        <w:rPr>
          <w:w w:val="120"/>
          <w:sz w:val="20"/>
        </w:rPr>
        <w:t>in each of the past two years via the inter-synod-resource-sharing process to support churches undertaking certain types of building development of their premises. Loans are also available to support building projects and these are administered by the finance committee</w:t>
      </w:r>
      <w:r>
        <w:rPr>
          <w:spacing w:val="1"/>
          <w:w w:val="120"/>
          <w:sz w:val="20"/>
        </w:rPr>
        <w:t> </w:t>
      </w:r>
      <w:r>
        <w:rPr>
          <w:w w:val="120"/>
          <w:sz w:val="20"/>
        </w:rPr>
        <w:t>directly.</w:t>
      </w:r>
    </w:p>
    <w:p>
      <w:pPr>
        <w:pStyle w:val="BodyText"/>
        <w:spacing w:before="4"/>
        <w:rPr>
          <w:sz w:val="22"/>
        </w:rPr>
      </w:pPr>
    </w:p>
    <w:p>
      <w:pPr>
        <w:pStyle w:val="Heading4"/>
        <w:ind w:firstLine="0"/>
      </w:pPr>
      <w:r>
        <w:rPr>
          <w:w w:val="110"/>
        </w:rPr>
        <w:t>Lay staff pension scheme</w:t>
      </w:r>
    </w:p>
    <w:p>
      <w:pPr>
        <w:pStyle w:val="ListParagraph"/>
        <w:numPr>
          <w:ilvl w:val="0"/>
          <w:numId w:val="80"/>
        </w:numPr>
        <w:tabs>
          <w:tab w:pos="1507" w:val="left" w:leader="none"/>
          <w:tab w:pos="1508" w:val="left" w:leader="none"/>
        </w:tabs>
        <w:spacing w:line="235" w:lineRule="auto" w:before="69" w:after="0"/>
        <w:ind w:left="827" w:right="1602" w:firstLine="0"/>
        <w:jc w:val="left"/>
        <w:rPr>
          <w:sz w:val="20"/>
        </w:rPr>
      </w:pPr>
      <w:r>
        <w:rPr>
          <w:w w:val="120"/>
          <w:sz w:val="20"/>
        </w:rPr>
        <w:t>The lay staff pension scheme is administered by </w:t>
      </w:r>
      <w:r>
        <w:rPr>
          <w:spacing w:val="2"/>
          <w:w w:val="120"/>
          <w:sz w:val="20"/>
        </w:rPr>
        <w:t>TPT </w:t>
      </w:r>
      <w:r>
        <w:rPr>
          <w:w w:val="120"/>
          <w:sz w:val="20"/>
        </w:rPr>
        <w:t>Retirement Solutions (‘the Trustee’) for the </w:t>
      </w:r>
      <w:r>
        <w:rPr>
          <w:spacing w:val="-11"/>
          <w:w w:val="120"/>
          <w:sz w:val="20"/>
        </w:rPr>
        <w:t>13  </w:t>
      </w:r>
      <w:r>
        <w:rPr>
          <w:w w:val="120"/>
          <w:sz w:val="20"/>
        </w:rPr>
        <w:t>participating employers – the URC re Church House and certain other staff, </w:t>
      </w:r>
      <w:r>
        <w:rPr>
          <w:spacing w:val="-11"/>
          <w:w w:val="120"/>
          <w:sz w:val="20"/>
        </w:rPr>
        <w:t>11 </w:t>
      </w:r>
      <w:r>
        <w:rPr>
          <w:w w:val="120"/>
          <w:sz w:val="20"/>
        </w:rPr>
        <w:t>of the synods and </w:t>
      </w:r>
      <w:r>
        <w:rPr>
          <w:spacing w:val="2"/>
          <w:w w:val="120"/>
          <w:sz w:val="20"/>
        </w:rPr>
        <w:t>Northern </w:t>
      </w:r>
      <w:r>
        <w:rPr>
          <w:w w:val="120"/>
          <w:sz w:val="20"/>
        </w:rPr>
        <w:t>College. In August </w:t>
      </w:r>
      <w:r>
        <w:rPr>
          <w:spacing w:val="-9"/>
          <w:w w:val="120"/>
          <w:sz w:val="20"/>
        </w:rPr>
        <w:t>2017 </w:t>
      </w:r>
      <w:r>
        <w:rPr>
          <w:w w:val="120"/>
          <w:sz w:val="20"/>
        </w:rPr>
        <w:t>the Trustee indicated that, following the latest triennial valuation of the Scheme’s assets and liabilities as at September </w:t>
      </w:r>
      <w:r>
        <w:rPr>
          <w:spacing w:val="-6"/>
          <w:w w:val="120"/>
          <w:sz w:val="20"/>
        </w:rPr>
        <w:t>2016, </w:t>
      </w:r>
      <w:r>
        <w:rPr>
          <w:w w:val="120"/>
          <w:sz w:val="20"/>
        </w:rPr>
        <w:t>it would be necessary for the various employers to increase their  deficit recovery contributions to the Scheme from 1 January</w:t>
      </w:r>
      <w:r>
        <w:rPr>
          <w:spacing w:val="22"/>
          <w:w w:val="120"/>
          <w:sz w:val="20"/>
        </w:rPr>
        <w:t> </w:t>
      </w:r>
      <w:r>
        <w:rPr>
          <w:spacing w:val="-5"/>
          <w:w w:val="120"/>
          <w:sz w:val="20"/>
        </w:rPr>
        <w:t>2018.</w:t>
      </w:r>
    </w:p>
    <w:p>
      <w:pPr>
        <w:pStyle w:val="BodyText"/>
      </w:pPr>
    </w:p>
    <w:p>
      <w:pPr>
        <w:pStyle w:val="ListParagraph"/>
        <w:numPr>
          <w:ilvl w:val="0"/>
          <w:numId w:val="80"/>
        </w:numPr>
        <w:tabs>
          <w:tab w:pos="1507" w:val="left" w:leader="none"/>
          <w:tab w:pos="1508" w:val="left" w:leader="none"/>
        </w:tabs>
        <w:spacing w:line="235" w:lineRule="auto" w:before="0" w:after="0"/>
        <w:ind w:left="827" w:right="2079" w:firstLine="0"/>
        <w:jc w:val="left"/>
        <w:rPr>
          <w:sz w:val="20"/>
        </w:rPr>
      </w:pPr>
      <w:r>
        <w:rPr>
          <w:w w:val="120"/>
          <w:sz w:val="20"/>
        </w:rPr>
        <w:t>Following consultation with all the employers, the Pension Executive and  the finance committee negotiated an agreement with the Trustee that, in return for payment</w:t>
      </w:r>
      <w:r>
        <w:rPr>
          <w:spacing w:val="6"/>
          <w:w w:val="120"/>
          <w:sz w:val="20"/>
        </w:rPr>
        <w:t> </w:t>
      </w:r>
      <w:r>
        <w:rPr>
          <w:w w:val="120"/>
          <w:sz w:val="20"/>
        </w:rPr>
        <w:t>of</w:t>
      </w:r>
      <w:r>
        <w:rPr>
          <w:spacing w:val="6"/>
          <w:w w:val="120"/>
          <w:sz w:val="20"/>
        </w:rPr>
        <w:t> </w:t>
      </w:r>
      <w:r>
        <w:rPr>
          <w:w w:val="120"/>
          <w:sz w:val="20"/>
        </w:rPr>
        <w:t>two</w:t>
      </w:r>
      <w:r>
        <w:rPr>
          <w:spacing w:val="6"/>
          <w:w w:val="120"/>
          <w:sz w:val="20"/>
        </w:rPr>
        <w:t> </w:t>
      </w:r>
      <w:r>
        <w:rPr>
          <w:w w:val="120"/>
          <w:sz w:val="20"/>
        </w:rPr>
        <w:t>lump</w:t>
      </w:r>
      <w:r>
        <w:rPr>
          <w:spacing w:val="6"/>
          <w:w w:val="120"/>
          <w:sz w:val="20"/>
        </w:rPr>
        <w:t> </w:t>
      </w:r>
      <w:r>
        <w:rPr>
          <w:w w:val="120"/>
          <w:sz w:val="20"/>
        </w:rPr>
        <w:t>sum</w:t>
      </w:r>
      <w:r>
        <w:rPr>
          <w:spacing w:val="7"/>
          <w:w w:val="120"/>
          <w:sz w:val="20"/>
        </w:rPr>
        <w:t> </w:t>
      </w:r>
      <w:r>
        <w:rPr>
          <w:w w:val="120"/>
          <w:sz w:val="20"/>
        </w:rPr>
        <w:t>capital</w:t>
      </w:r>
      <w:r>
        <w:rPr>
          <w:spacing w:val="6"/>
          <w:w w:val="120"/>
          <w:sz w:val="20"/>
        </w:rPr>
        <w:t> </w:t>
      </w:r>
      <w:r>
        <w:rPr>
          <w:w w:val="120"/>
          <w:sz w:val="20"/>
        </w:rPr>
        <w:t>contributions</w:t>
      </w:r>
      <w:r>
        <w:rPr>
          <w:spacing w:val="6"/>
          <w:w w:val="120"/>
          <w:sz w:val="20"/>
        </w:rPr>
        <w:t> </w:t>
      </w:r>
      <w:r>
        <w:rPr>
          <w:w w:val="120"/>
          <w:sz w:val="20"/>
        </w:rPr>
        <w:t>by</w:t>
      </w:r>
      <w:r>
        <w:rPr>
          <w:spacing w:val="6"/>
          <w:w w:val="120"/>
          <w:sz w:val="20"/>
        </w:rPr>
        <w:t> </w:t>
      </w:r>
      <w:r>
        <w:rPr>
          <w:w w:val="120"/>
          <w:sz w:val="20"/>
        </w:rPr>
        <w:t>30</w:t>
      </w:r>
      <w:r>
        <w:rPr>
          <w:spacing w:val="7"/>
          <w:w w:val="120"/>
          <w:sz w:val="20"/>
        </w:rPr>
        <w:t> </w:t>
      </w:r>
      <w:r>
        <w:rPr>
          <w:w w:val="120"/>
          <w:sz w:val="20"/>
        </w:rPr>
        <w:t>June</w:t>
      </w:r>
      <w:r>
        <w:rPr>
          <w:spacing w:val="6"/>
          <w:w w:val="120"/>
          <w:sz w:val="20"/>
        </w:rPr>
        <w:t> </w:t>
      </w:r>
      <w:r>
        <w:rPr>
          <w:spacing w:val="-5"/>
          <w:w w:val="120"/>
          <w:sz w:val="20"/>
        </w:rPr>
        <w:t>2018,</w:t>
      </w:r>
      <w:r>
        <w:rPr>
          <w:spacing w:val="6"/>
          <w:w w:val="120"/>
          <w:sz w:val="20"/>
        </w:rPr>
        <w:t> </w:t>
      </w:r>
      <w:r>
        <w:rPr>
          <w:w w:val="120"/>
          <w:sz w:val="20"/>
        </w:rPr>
        <w:t>it</w:t>
      </w:r>
      <w:r>
        <w:rPr>
          <w:spacing w:val="6"/>
          <w:w w:val="120"/>
          <w:sz w:val="20"/>
        </w:rPr>
        <w:t> </w:t>
      </w:r>
      <w:r>
        <w:rPr>
          <w:w w:val="120"/>
          <w:sz w:val="20"/>
        </w:rPr>
        <w:t>would</w:t>
      </w:r>
      <w:r>
        <w:rPr>
          <w:spacing w:val="7"/>
          <w:w w:val="120"/>
          <w:sz w:val="20"/>
        </w:rPr>
        <w:t> </w:t>
      </w:r>
      <w:r>
        <w:rPr>
          <w:w w:val="120"/>
          <w:sz w:val="20"/>
        </w:rPr>
        <w:t>not</w:t>
      </w:r>
      <w:r>
        <w:rPr>
          <w:spacing w:val="6"/>
          <w:w w:val="120"/>
          <w:sz w:val="20"/>
        </w:rPr>
        <w:t> </w:t>
      </w:r>
      <w:r>
        <w:rPr>
          <w:w w:val="120"/>
          <w:sz w:val="20"/>
        </w:rPr>
        <w:t>be</w:t>
      </w:r>
    </w:p>
    <w:p>
      <w:pPr>
        <w:pStyle w:val="BodyText"/>
        <w:spacing w:line="235" w:lineRule="auto" w:before="2"/>
        <w:ind w:left="827" w:right="1868"/>
      </w:pPr>
      <w:r>
        <w:rPr>
          <w:w w:val="120"/>
        </w:rPr>
        <w:t>necessary for the regular monthly employer contributions to be increased for at least the next three years.</w:t>
      </w:r>
    </w:p>
    <w:p>
      <w:pPr>
        <w:spacing w:after="0" w:line="235" w:lineRule="auto"/>
        <w:sectPr>
          <w:headerReference w:type="even" r:id="rId337"/>
          <w:footerReference w:type="even" r:id="rId338"/>
          <w:footerReference w:type="default" r:id="rId339"/>
          <w:pgSz w:w="11910" w:h="16840"/>
          <w:pgMar w:header="0" w:footer="647" w:top="0" w:bottom="840" w:left="420" w:right="380"/>
          <w:pgNumType w:start="118"/>
        </w:sectPr>
      </w:pPr>
    </w:p>
    <w:p>
      <w:pPr>
        <w:pStyle w:val="BodyText"/>
      </w:pPr>
      <w:r>
        <w:rPr/>
        <w:drawing>
          <wp:anchor distT="0" distB="0" distL="0" distR="0" allowOverlap="1" layoutInCell="1" locked="0" behindDoc="0" simplePos="0" relativeHeight="251972608">
            <wp:simplePos x="0" y="0"/>
            <wp:positionH relativeFrom="page">
              <wp:posOffset>6974928</wp:posOffset>
            </wp:positionH>
            <wp:positionV relativeFrom="page">
              <wp:posOffset>0</wp:posOffset>
            </wp:positionV>
            <wp:extent cx="585063" cy="10692003"/>
            <wp:effectExtent l="0" t="0" r="0" b="0"/>
            <wp:wrapNone/>
            <wp:docPr id="227" name="image57.png"/>
            <wp:cNvGraphicFramePr>
              <a:graphicFrameLocks noChangeAspect="1"/>
            </wp:cNvGraphicFramePr>
            <a:graphic>
              <a:graphicData uri="http://schemas.openxmlformats.org/drawingml/2006/picture">
                <pic:pic>
                  <pic:nvPicPr>
                    <pic:cNvPr id="22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bookmarkStart w:name="_TOC_250004" w:id="27"/>
      <w:bookmarkEnd w:id="27"/>
      <w:r>
        <w:rPr>
          <w:color w:val="7EAABF"/>
          <w:w w:val="115"/>
        </w:rPr>
        <w:t>Finance</w:t>
      </w:r>
    </w:p>
    <w:p>
      <w:pPr>
        <w:pStyle w:val="BodyText"/>
        <w:spacing w:before="4"/>
        <w:rPr>
          <w:sz w:val="29"/>
        </w:rPr>
      </w:pPr>
    </w:p>
    <w:p>
      <w:pPr>
        <w:pStyle w:val="ListParagraph"/>
        <w:numPr>
          <w:ilvl w:val="0"/>
          <w:numId w:val="80"/>
        </w:numPr>
        <w:tabs>
          <w:tab w:pos="2244" w:val="left" w:leader="none"/>
          <w:tab w:pos="2245" w:val="left" w:leader="none"/>
        </w:tabs>
        <w:spacing w:line="235" w:lineRule="auto" w:before="104" w:after="0"/>
        <w:ind w:left="1564" w:right="962" w:firstLine="0"/>
        <w:jc w:val="left"/>
        <w:rPr>
          <w:sz w:val="20"/>
        </w:rPr>
      </w:pPr>
      <w:r>
        <w:rPr/>
        <w:pict>
          <v:shape style="position:absolute;margin-left:554.141174pt;margin-top:-16.437023pt;width:26pt;height:80.6pt;mso-position-horizontal-relative:page;mso-position-vertical-relative:paragraph;z-index:251973632" type="#_x0000_t202" filled="false" stroked="false">
            <v:textbox inset="0,0,0,0" style="layout-flow:vertical">
              <w:txbxContent>
                <w:p>
                  <w:pPr>
                    <w:spacing w:before="29"/>
                    <w:ind w:left="20" w:right="0" w:firstLine="0"/>
                    <w:jc w:val="left"/>
                    <w:rPr>
                      <w:sz w:val="39"/>
                    </w:rPr>
                  </w:pPr>
                  <w:r>
                    <w:rPr>
                      <w:color w:val="FFFFFF"/>
                      <w:w w:val="120"/>
                      <w:sz w:val="39"/>
                    </w:rPr>
                    <w:t>Finance</w:t>
                  </w:r>
                </w:p>
              </w:txbxContent>
            </v:textbox>
            <w10:wrap type="none"/>
          </v:shape>
        </w:pict>
      </w:r>
      <w:r>
        <w:rPr>
          <w:w w:val="120"/>
          <w:sz w:val="20"/>
        </w:rPr>
        <w:t>This arrangement was the preferred way forward for all the employers involved and we hope to be able to confirm at General Assembly that each of the employers within the Scheme has contributed, proportionately to their share of the deficit, capital sums totaling </w:t>
      </w:r>
      <w:r>
        <w:rPr>
          <w:spacing w:val="-3"/>
          <w:w w:val="120"/>
          <w:sz w:val="20"/>
        </w:rPr>
        <w:t>£3.4m </w:t>
      </w:r>
      <w:r>
        <w:rPr>
          <w:w w:val="120"/>
          <w:sz w:val="20"/>
        </w:rPr>
        <w:t>by 30 June</w:t>
      </w:r>
      <w:r>
        <w:rPr>
          <w:spacing w:val="18"/>
          <w:w w:val="120"/>
          <w:sz w:val="20"/>
        </w:rPr>
        <w:t> </w:t>
      </w:r>
      <w:r>
        <w:rPr>
          <w:spacing w:val="-5"/>
          <w:w w:val="120"/>
          <w:sz w:val="20"/>
        </w:rPr>
        <w:t>2018.</w:t>
      </w:r>
    </w:p>
    <w:p>
      <w:pPr>
        <w:pStyle w:val="BodyText"/>
        <w:spacing w:before="10"/>
        <w:rPr>
          <w:sz w:val="19"/>
        </w:rPr>
      </w:pPr>
    </w:p>
    <w:p>
      <w:pPr>
        <w:pStyle w:val="ListParagraph"/>
        <w:numPr>
          <w:ilvl w:val="0"/>
          <w:numId w:val="80"/>
        </w:numPr>
        <w:tabs>
          <w:tab w:pos="2244" w:val="left" w:leader="none"/>
          <w:tab w:pos="2245" w:val="left" w:leader="none"/>
        </w:tabs>
        <w:spacing w:line="235" w:lineRule="auto" w:before="0" w:after="0"/>
        <w:ind w:left="1564" w:right="894" w:firstLine="0"/>
        <w:jc w:val="left"/>
        <w:rPr>
          <w:sz w:val="20"/>
        </w:rPr>
      </w:pPr>
      <w:r>
        <w:rPr>
          <w:w w:val="120"/>
          <w:sz w:val="20"/>
        </w:rPr>
        <w:t>We are grateful to the employers for the co-operative and constructive approach each took to bring this issue to a satisfactory</w:t>
      </w:r>
      <w:r>
        <w:rPr>
          <w:spacing w:val="15"/>
          <w:w w:val="120"/>
          <w:sz w:val="20"/>
        </w:rPr>
        <w:t> </w:t>
      </w:r>
      <w:r>
        <w:rPr>
          <w:w w:val="120"/>
          <w:sz w:val="20"/>
        </w:rPr>
        <w:t>resolution.</w:t>
      </w:r>
    </w:p>
    <w:p>
      <w:pPr>
        <w:pStyle w:val="BodyText"/>
        <w:spacing w:before="10"/>
        <w:rPr>
          <w:sz w:val="19"/>
        </w:rPr>
      </w:pPr>
    </w:p>
    <w:p>
      <w:pPr>
        <w:pStyle w:val="ListParagraph"/>
        <w:numPr>
          <w:ilvl w:val="0"/>
          <w:numId w:val="80"/>
        </w:numPr>
        <w:tabs>
          <w:tab w:pos="2244" w:val="left" w:leader="none"/>
          <w:tab w:pos="2245" w:val="left" w:leader="none"/>
        </w:tabs>
        <w:spacing w:line="235" w:lineRule="auto" w:before="0" w:after="0"/>
        <w:ind w:left="1564" w:right="1187" w:firstLine="0"/>
        <w:jc w:val="left"/>
        <w:rPr>
          <w:sz w:val="20"/>
        </w:rPr>
      </w:pPr>
      <w:r>
        <w:rPr>
          <w:w w:val="120"/>
          <w:sz w:val="20"/>
        </w:rPr>
        <w:t>The URC investment committee and the URC Pension Executive have also worked hard and successfully recently to encourage the Trustee to follow investment criteria and approaches which sit more comfortably with the </w:t>
      </w:r>
      <w:r>
        <w:rPr>
          <w:spacing w:val="-3"/>
          <w:w w:val="120"/>
          <w:sz w:val="20"/>
        </w:rPr>
        <w:t>URC’s </w:t>
      </w:r>
      <w:r>
        <w:rPr>
          <w:w w:val="120"/>
          <w:sz w:val="20"/>
        </w:rPr>
        <w:t>appetite for acceptable risk and with its ethical investment</w:t>
      </w:r>
      <w:r>
        <w:rPr>
          <w:spacing w:val="13"/>
          <w:w w:val="120"/>
          <w:sz w:val="20"/>
        </w:rPr>
        <w:t> </w:t>
      </w:r>
      <w:r>
        <w:rPr>
          <w:w w:val="120"/>
          <w:sz w:val="20"/>
        </w:rPr>
        <w:t>concerns.</w:t>
      </w:r>
    </w:p>
    <w:p>
      <w:pPr>
        <w:pStyle w:val="BodyText"/>
        <w:spacing w:before="3"/>
        <w:rPr>
          <w:sz w:val="22"/>
        </w:rPr>
      </w:pPr>
    </w:p>
    <w:p>
      <w:pPr>
        <w:pStyle w:val="Heading4"/>
        <w:spacing w:before="1"/>
        <w:ind w:left="1564" w:firstLine="0"/>
      </w:pPr>
      <w:r>
        <w:rPr>
          <w:w w:val="110"/>
        </w:rPr>
        <w:t>URC Ministers’ Pension Fund (URCMPF)</w:t>
      </w:r>
    </w:p>
    <w:p>
      <w:pPr>
        <w:pStyle w:val="ListParagraph"/>
        <w:numPr>
          <w:ilvl w:val="0"/>
          <w:numId w:val="80"/>
        </w:numPr>
        <w:tabs>
          <w:tab w:pos="2244" w:val="left" w:leader="none"/>
          <w:tab w:pos="2245" w:val="left" w:leader="none"/>
        </w:tabs>
        <w:spacing w:line="235" w:lineRule="auto" w:before="69" w:after="0"/>
        <w:ind w:left="1564" w:right="954" w:firstLine="0"/>
        <w:jc w:val="left"/>
        <w:rPr>
          <w:sz w:val="20"/>
        </w:rPr>
      </w:pPr>
      <w:r>
        <w:rPr>
          <w:w w:val="120"/>
          <w:sz w:val="20"/>
        </w:rPr>
        <w:t>The URC investment committee has undertaken a lot of work during the past two years to assist the URCMPF to restructure its portfolio. The objectives underlying this restructuring were to simplify oversight of the </w:t>
      </w:r>
      <w:r>
        <w:rPr>
          <w:spacing w:val="2"/>
          <w:w w:val="120"/>
          <w:sz w:val="20"/>
        </w:rPr>
        <w:t>portfolio </w:t>
      </w:r>
      <w:r>
        <w:rPr>
          <w:w w:val="120"/>
          <w:sz w:val="20"/>
        </w:rPr>
        <w:t>and the demands placed  on those charged with its administration, while reducing fees and other costs as well as preserving an ethical approach to investing the funds of the</w:t>
      </w:r>
      <w:r>
        <w:rPr>
          <w:spacing w:val="29"/>
          <w:w w:val="120"/>
          <w:sz w:val="20"/>
        </w:rPr>
        <w:t> </w:t>
      </w:r>
      <w:r>
        <w:rPr>
          <w:w w:val="120"/>
          <w:sz w:val="20"/>
        </w:rPr>
        <w:t>scheme.</w:t>
      </w:r>
    </w:p>
    <w:p>
      <w:pPr>
        <w:pStyle w:val="BodyText"/>
        <w:spacing w:before="11"/>
        <w:rPr>
          <w:sz w:val="19"/>
        </w:rPr>
      </w:pPr>
    </w:p>
    <w:p>
      <w:pPr>
        <w:pStyle w:val="ListParagraph"/>
        <w:numPr>
          <w:ilvl w:val="0"/>
          <w:numId w:val="80"/>
        </w:numPr>
        <w:tabs>
          <w:tab w:pos="2244" w:val="left" w:leader="none"/>
          <w:tab w:pos="2245" w:val="left" w:leader="none"/>
        </w:tabs>
        <w:spacing w:line="235" w:lineRule="auto" w:before="0" w:after="0"/>
        <w:ind w:left="1564" w:right="920" w:firstLine="0"/>
        <w:jc w:val="left"/>
        <w:rPr>
          <w:sz w:val="20"/>
        </w:rPr>
      </w:pPr>
      <w:r>
        <w:rPr>
          <w:spacing w:val="3"/>
          <w:w w:val="120"/>
          <w:sz w:val="20"/>
        </w:rPr>
        <w:t>As </w:t>
      </w:r>
      <w:r>
        <w:rPr>
          <w:w w:val="120"/>
          <w:sz w:val="20"/>
        </w:rPr>
        <w:t>a result, the substantial assets held in the form of bonds have been moved from an active fund to a cheaper but, over the past few years, just as successful tracker fund. More recently, the fund’s equity holdings have been switched to a pooled fund with Newton Investment Management, their Sustainable Global Equity Fund. Following recent growth in the equity market the opportunity was also taken to rebalance the scheme </w:t>
      </w:r>
      <w:r>
        <w:rPr>
          <w:spacing w:val="2"/>
          <w:w w:val="120"/>
          <w:sz w:val="20"/>
        </w:rPr>
        <w:t>portfolio </w:t>
      </w:r>
      <w:r>
        <w:rPr>
          <w:w w:val="120"/>
          <w:sz w:val="20"/>
        </w:rPr>
        <w:t>by moving some of the gains in equities to increase the weighting of the scheme’s </w:t>
      </w:r>
      <w:r>
        <w:rPr>
          <w:spacing w:val="2"/>
          <w:w w:val="120"/>
          <w:sz w:val="20"/>
        </w:rPr>
        <w:t>property</w:t>
      </w:r>
      <w:r>
        <w:rPr>
          <w:spacing w:val="5"/>
          <w:w w:val="120"/>
          <w:sz w:val="20"/>
        </w:rPr>
        <w:t> </w:t>
      </w:r>
      <w:r>
        <w:rPr>
          <w:w w:val="120"/>
          <w:sz w:val="20"/>
        </w:rPr>
        <w:t>assets.</w:t>
      </w:r>
    </w:p>
    <w:p>
      <w:pPr>
        <w:pStyle w:val="BodyText"/>
        <w:spacing w:before="1"/>
      </w:pPr>
    </w:p>
    <w:p>
      <w:pPr>
        <w:pStyle w:val="ListParagraph"/>
        <w:numPr>
          <w:ilvl w:val="0"/>
          <w:numId w:val="80"/>
        </w:numPr>
        <w:tabs>
          <w:tab w:pos="2244" w:val="left" w:leader="none"/>
          <w:tab w:pos="2245" w:val="left" w:leader="none"/>
        </w:tabs>
        <w:spacing w:line="235" w:lineRule="auto" w:before="0" w:after="0"/>
        <w:ind w:left="1564" w:right="891" w:firstLine="0"/>
        <w:jc w:val="left"/>
        <w:rPr>
          <w:sz w:val="20"/>
        </w:rPr>
      </w:pPr>
      <w:r>
        <w:rPr>
          <w:spacing w:val="-6"/>
          <w:w w:val="120"/>
          <w:sz w:val="20"/>
        </w:rPr>
        <w:t>Taken </w:t>
      </w:r>
      <w:r>
        <w:rPr>
          <w:spacing w:val="-4"/>
          <w:w w:val="120"/>
          <w:sz w:val="20"/>
        </w:rPr>
        <w:t>together, </w:t>
      </w:r>
      <w:r>
        <w:rPr>
          <w:w w:val="120"/>
          <w:sz w:val="20"/>
        </w:rPr>
        <w:t>these changes will </w:t>
      </w:r>
      <w:r>
        <w:rPr>
          <w:spacing w:val="-3"/>
          <w:w w:val="120"/>
          <w:sz w:val="20"/>
        </w:rPr>
        <w:t>reduce </w:t>
      </w:r>
      <w:r>
        <w:rPr>
          <w:w w:val="120"/>
          <w:sz w:val="20"/>
        </w:rPr>
        <w:t>complexity of </w:t>
      </w:r>
      <w:r>
        <w:rPr>
          <w:spacing w:val="-3"/>
          <w:w w:val="120"/>
          <w:sz w:val="20"/>
        </w:rPr>
        <w:t>oversight </w:t>
      </w:r>
      <w:r>
        <w:rPr>
          <w:w w:val="120"/>
          <w:sz w:val="20"/>
        </w:rPr>
        <w:t>of the portfolio, </w:t>
      </w:r>
      <w:r>
        <w:rPr>
          <w:spacing w:val="-3"/>
          <w:w w:val="120"/>
          <w:sz w:val="20"/>
        </w:rPr>
        <w:t>reduce </w:t>
      </w:r>
      <w:r>
        <w:rPr>
          <w:w w:val="120"/>
          <w:sz w:val="20"/>
        </w:rPr>
        <w:t>external costs and </w:t>
      </w:r>
      <w:r>
        <w:rPr>
          <w:spacing w:val="-3"/>
          <w:w w:val="120"/>
          <w:sz w:val="20"/>
        </w:rPr>
        <w:t>ensure </w:t>
      </w:r>
      <w:r>
        <w:rPr>
          <w:w w:val="120"/>
          <w:sz w:val="20"/>
        </w:rPr>
        <w:t>appropriate ethical </w:t>
      </w:r>
      <w:r>
        <w:rPr>
          <w:spacing w:val="-3"/>
          <w:w w:val="120"/>
          <w:sz w:val="20"/>
        </w:rPr>
        <w:t>investment considerations </w:t>
      </w:r>
      <w:r>
        <w:rPr>
          <w:w w:val="120"/>
          <w:sz w:val="20"/>
        </w:rPr>
        <w:t>are fully taken </w:t>
      </w:r>
      <w:r>
        <w:rPr>
          <w:spacing w:val="-3"/>
          <w:w w:val="120"/>
          <w:sz w:val="20"/>
        </w:rPr>
        <w:t>into</w:t>
      </w:r>
      <w:r>
        <w:rPr>
          <w:spacing w:val="-5"/>
          <w:w w:val="120"/>
          <w:sz w:val="20"/>
        </w:rPr>
        <w:t> </w:t>
      </w:r>
      <w:r>
        <w:rPr>
          <w:spacing w:val="-4"/>
          <w:w w:val="120"/>
          <w:sz w:val="20"/>
        </w:rPr>
        <w:t>account.</w:t>
      </w:r>
    </w:p>
    <w:p>
      <w:pPr>
        <w:pStyle w:val="BodyText"/>
        <w:spacing w:before="10"/>
        <w:rPr>
          <w:sz w:val="19"/>
        </w:rPr>
      </w:pPr>
    </w:p>
    <w:p>
      <w:pPr>
        <w:pStyle w:val="ListParagraph"/>
        <w:numPr>
          <w:ilvl w:val="0"/>
          <w:numId w:val="80"/>
        </w:numPr>
        <w:tabs>
          <w:tab w:pos="2244" w:val="left" w:leader="none"/>
          <w:tab w:pos="2245" w:val="left" w:leader="none"/>
        </w:tabs>
        <w:spacing w:line="235" w:lineRule="auto" w:before="0" w:after="0"/>
        <w:ind w:left="1564" w:right="1239" w:firstLine="0"/>
        <w:jc w:val="left"/>
        <w:rPr>
          <w:sz w:val="20"/>
        </w:rPr>
      </w:pPr>
      <w:r>
        <w:rPr>
          <w:w w:val="120"/>
          <w:sz w:val="20"/>
        </w:rPr>
        <w:t>We want to take this opportunity to thank David Martin in particular for all  his </w:t>
      </w:r>
      <w:r>
        <w:rPr>
          <w:spacing w:val="2"/>
          <w:w w:val="120"/>
          <w:sz w:val="20"/>
        </w:rPr>
        <w:t>efforts </w:t>
      </w:r>
      <w:r>
        <w:rPr>
          <w:w w:val="120"/>
          <w:sz w:val="20"/>
        </w:rPr>
        <w:t>in directing the work of the investment committee over recent years as</w:t>
      </w:r>
      <w:r>
        <w:rPr>
          <w:spacing w:val="-27"/>
          <w:w w:val="120"/>
          <w:sz w:val="20"/>
        </w:rPr>
        <w:t> </w:t>
      </w:r>
      <w:r>
        <w:rPr>
          <w:w w:val="120"/>
          <w:sz w:val="20"/>
        </w:rPr>
        <w:t>he</w:t>
      </w:r>
    </w:p>
    <w:p>
      <w:pPr>
        <w:pStyle w:val="BodyText"/>
        <w:spacing w:line="235" w:lineRule="auto" w:before="2"/>
        <w:ind w:left="1564" w:right="881"/>
      </w:pPr>
      <w:r>
        <w:rPr>
          <w:w w:val="120"/>
        </w:rPr>
        <w:t>stands down from the role of convenor; but stays on the committee to continue to offer it his expertise.</w:t>
      </w:r>
    </w:p>
    <w:p>
      <w:pPr>
        <w:pStyle w:val="BodyText"/>
        <w:spacing w:before="9"/>
        <w:rPr>
          <w:sz w:val="19"/>
        </w:rPr>
      </w:pPr>
    </w:p>
    <w:p>
      <w:pPr>
        <w:pStyle w:val="ListParagraph"/>
        <w:numPr>
          <w:ilvl w:val="0"/>
          <w:numId w:val="80"/>
        </w:numPr>
        <w:tabs>
          <w:tab w:pos="2244" w:val="left" w:leader="none"/>
          <w:tab w:pos="2245" w:val="left" w:leader="none"/>
        </w:tabs>
        <w:spacing w:line="235" w:lineRule="auto" w:before="1" w:after="0"/>
        <w:ind w:left="1564" w:right="974" w:firstLine="0"/>
        <w:jc w:val="left"/>
        <w:rPr>
          <w:sz w:val="20"/>
        </w:rPr>
      </w:pPr>
      <w:r>
        <w:rPr>
          <w:w w:val="120"/>
          <w:sz w:val="20"/>
        </w:rPr>
        <w:t>Some very preliminary results of the triennial valuation of the URCMPF’s assets and liabilities as at 1 January </w:t>
      </w:r>
      <w:r>
        <w:rPr>
          <w:spacing w:val="-5"/>
          <w:w w:val="120"/>
          <w:sz w:val="20"/>
        </w:rPr>
        <w:t>2018, </w:t>
      </w:r>
      <w:r>
        <w:rPr>
          <w:w w:val="120"/>
          <w:sz w:val="20"/>
        </w:rPr>
        <w:t>which will determine the contribution levels from next January, were reported by the scheme actuary to the URC Ministers’ Pension Trust in March </w:t>
      </w:r>
      <w:r>
        <w:rPr>
          <w:spacing w:val="-5"/>
          <w:w w:val="120"/>
          <w:sz w:val="20"/>
        </w:rPr>
        <w:t>2018. </w:t>
      </w:r>
      <w:r>
        <w:rPr>
          <w:w w:val="120"/>
          <w:sz w:val="20"/>
        </w:rPr>
        <w:t>While the recent excellent performance of the pension fund assets has led to the deficit recovery position relating to benefits for past service being vastly improved compared with 3 years ago, a substantial increase in employer contribution levels is required to provide for benefits relating to members’ service in the future due to changes in investment</w:t>
      </w:r>
      <w:r>
        <w:rPr>
          <w:spacing w:val="8"/>
          <w:w w:val="120"/>
          <w:sz w:val="20"/>
        </w:rPr>
        <w:t> </w:t>
      </w:r>
      <w:r>
        <w:rPr>
          <w:w w:val="120"/>
          <w:sz w:val="20"/>
        </w:rPr>
        <w:t>conditions.</w:t>
      </w:r>
    </w:p>
    <w:p>
      <w:pPr>
        <w:pStyle w:val="BodyText"/>
        <w:spacing w:before="1"/>
      </w:pPr>
    </w:p>
    <w:p>
      <w:pPr>
        <w:pStyle w:val="ListParagraph"/>
        <w:numPr>
          <w:ilvl w:val="0"/>
          <w:numId w:val="80"/>
        </w:numPr>
        <w:tabs>
          <w:tab w:pos="2244" w:val="left" w:leader="none"/>
          <w:tab w:pos="2245" w:val="left" w:leader="none"/>
        </w:tabs>
        <w:spacing w:line="235" w:lineRule="auto" w:before="0" w:after="0"/>
        <w:ind w:left="1564" w:right="898" w:firstLine="0"/>
        <w:jc w:val="left"/>
        <w:rPr>
          <w:sz w:val="20"/>
        </w:rPr>
      </w:pPr>
      <w:r>
        <w:rPr>
          <w:w w:val="120"/>
          <w:sz w:val="20"/>
        </w:rPr>
        <w:t>Discussions re the recovery plan are ongoing, but the likelihood is that the URC contributions will have to increase by between </w:t>
      </w:r>
      <w:r>
        <w:rPr>
          <w:spacing w:val="2"/>
          <w:w w:val="120"/>
          <w:sz w:val="20"/>
        </w:rPr>
        <w:t>£500k </w:t>
      </w:r>
      <w:r>
        <w:rPr>
          <w:w w:val="120"/>
          <w:sz w:val="20"/>
        </w:rPr>
        <w:t>and </w:t>
      </w:r>
      <w:r>
        <w:rPr>
          <w:spacing w:val="-3"/>
          <w:w w:val="120"/>
          <w:sz w:val="20"/>
        </w:rPr>
        <w:t>£750k. </w:t>
      </w:r>
      <w:r>
        <w:rPr>
          <w:w w:val="120"/>
          <w:sz w:val="20"/>
        </w:rPr>
        <w:t>Finding ways to address this will be a major priority for the finance committee as well as the Ministers’ Pension Trust, over the coming </w:t>
      </w:r>
      <w:r>
        <w:rPr>
          <w:spacing w:val="-4"/>
          <w:w w:val="120"/>
          <w:sz w:val="20"/>
        </w:rPr>
        <w:t>year. </w:t>
      </w:r>
      <w:r>
        <w:rPr>
          <w:w w:val="120"/>
          <w:sz w:val="20"/>
        </w:rPr>
        <w:t>One possibility is that we may seek to ensure that the </w:t>
      </w:r>
      <w:r>
        <w:rPr>
          <w:spacing w:val="2"/>
          <w:w w:val="120"/>
          <w:sz w:val="20"/>
        </w:rPr>
        <w:t>part </w:t>
      </w:r>
      <w:r>
        <w:rPr>
          <w:w w:val="120"/>
          <w:sz w:val="20"/>
        </w:rPr>
        <w:t>of </w:t>
      </w:r>
      <w:r>
        <w:rPr>
          <w:spacing w:val="-2"/>
          <w:w w:val="120"/>
          <w:sz w:val="20"/>
        </w:rPr>
        <w:t>M&amp;M </w:t>
      </w:r>
      <w:r>
        <w:rPr>
          <w:w w:val="120"/>
          <w:sz w:val="20"/>
        </w:rPr>
        <w:t>giving to the scheme is used to meet the ongoing liabilities with other ways being found to tackle the remaining deficit for past</w:t>
      </w:r>
      <w:r>
        <w:rPr>
          <w:spacing w:val="25"/>
          <w:w w:val="120"/>
          <w:sz w:val="20"/>
        </w:rPr>
        <w:t> </w:t>
      </w:r>
      <w:r>
        <w:rPr>
          <w:w w:val="120"/>
          <w:sz w:val="20"/>
        </w:rPr>
        <w:t>service.</w:t>
      </w:r>
    </w:p>
    <w:p>
      <w:pPr>
        <w:pStyle w:val="BodyText"/>
      </w:pPr>
    </w:p>
    <w:p>
      <w:pPr>
        <w:pStyle w:val="ListParagraph"/>
        <w:numPr>
          <w:ilvl w:val="0"/>
          <w:numId w:val="80"/>
        </w:numPr>
        <w:tabs>
          <w:tab w:pos="2244" w:val="left" w:leader="none"/>
          <w:tab w:pos="2245" w:val="left" w:leader="none"/>
        </w:tabs>
        <w:spacing w:line="235" w:lineRule="auto" w:before="0" w:after="0"/>
        <w:ind w:left="1564" w:right="991" w:firstLine="0"/>
        <w:jc w:val="left"/>
        <w:rPr>
          <w:sz w:val="20"/>
        </w:rPr>
      </w:pPr>
      <w:r>
        <w:rPr>
          <w:w w:val="120"/>
          <w:sz w:val="20"/>
        </w:rPr>
        <w:t>During the years </w:t>
      </w:r>
      <w:r>
        <w:rPr>
          <w:spacing w:val="-7"/>
          <w:w w:val="120"/>
          <w:sz w:val="20"/>
        </w:rPr>
        <w:t>2016 </w:t>
      </w:r>
      <w:r>
        <w:rPr>
          <w:w w:val="120"/>
          <w:sz w:val="20"/>
        </w:rPr>
        <w:t>to </w:t>
      </w:r>
      <w:r>
        <w:rPr>
          <w:spacing w:val="-6"/>
          <w:w w:val="120"/>
          <w:sz w:val="20"/>
        </w:rPr>
        <w:t>2018 </w:t>
      </w:r>
      <w:r>
        <w:rPr>
          <w:w w:val="120"/>
          <w:sz w:val="20"/>
        </w:rPr>
        <w:t>no support has been sought from synods for the URCMPF beyond what is offered by local churches via </w:t>
      </w:r>
      <w:r>
        <w:rPr>
          <w:spacing w:val="-2"/>
          <w:w w:val="120"/>
          <w:sz w:val="20"/>
        </w:rPr>
        <w:t>M&amp;M </w:t>
      </w:r>
      <w:r>
        <w:rPr>
          <w:w w:val="120"/>
          <w:sz w:val="20"/>
        </w:rPr>
        <w:t>contributions. However, one synod has continued to give sums to the Pension Fund throughout these years. Moreover, three synods have taken steps to agree to donate a percentage of the proceeds of non-manse </w:t>
      </w:r>
      <w:r>
        <w:rPr>
          <w:spacing w:val="2"/>
          <w:w w:val="120"/>
          <w:sz w:val="20"/>
        </w:rPr>
        <w:t>property </w:t>
      </w:r>
      <w:r>
        <w:rPr>
          <w:w w:val="120"/>
          <w:sz w:val="20"/>
        </w:rPr>
        <w:t>sales to the URCMPF to help in offsetting the forecast increased pension contribution</w:t>
      </w:r>
      <w:r>
        <w:rPr>
          <w:spacing w:val="6"/>
          <w:w w:val="120"/>
          <w:sz w:val="20"/>
        </w:rPr>
        <w:t> </w:t>
      </w:r>
      <w:r>
        <w:rPr>
          <w:w w:val="120"/>
          <w:sz w:val="20"/>
        </w:rPr>
        <w:t>costs.</w:t>
      </w:r>
    </w:p>
    <w:p>
      <w:pPr>
        <w:spacing w:after="0" w:line="235" w:lineRule="auto"/>
        <w:jc w:val="left"/>
        <w:rPr>
          <w:sz w:val="20"/>
        </w:rPr>
        <w:sectPr>
          <w:headerReference w:type="default" r:id="rId340"/>
          <w:pgSz w:w="11910" w:h="16840"/>
          <w:pgMar w:header="0" w:footer="447" w:top="0" w:bottom="640" w:left="420" w:right="380"/>
        </w:sectPr>
      </w:pPr>
    </w:p>
    <w:p>
      <w:pPr>
        <w:pStyle w:val="BodyText"/>
      </w:pPr>
      <w:r>
        <w:rPr/>
        <w:drawing>
          <wp:anchor distT="0" distB="0" distL="0" distR="0" allowOverlap="1" layoutInCell="1" locked="0" behindDoc="1" simplePos="0" relativeHeight="236007424">
            <wp:simplePos x="0" y="0"/>
            <wp:positionH relativeFrom="page">
              <wp:posOffset>0</wp:posOffset>
            </wp:positionH>
            <wp:positionV relativeFrom="page">
              <wp:posOffset>0</wp:posOffset>
            </wp:positionV>
            <wp:extent cx="594067" cy="10692003"/>
            <wp:effectExtent l="0" t="0" r="0" b="0"/>
            <wp:wrapNone/>
            <wp:docPr id="229" name="image70.png"/>
            <wp:cNvGraphicFramePr>
              <a:graphicFrameLocks noChangeAspect="1"/>
            </wp:cNvGraphicFramePr>
            <a:graphic>
              <a:graphicData uri="http://schemas.openxmlformats.org/drawingml/2006/picture">
                <pic:pic>
                  <pic:nvPicPr>
                    <pic:cNvPr id="23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pPr>
    </w:p>
    <w:p>
      <w:pPr>
        <w:pStyle w:val="BodyText"/>
      </w:pPr>
    </w:p>
    <w:p>
      <w:pPr>
        <w:pStyle w:val="BodyText"/>
        <w:spacing w:before="11"/>
        <w:rPr>
          <w:sz w:val="25"/>
        </w:rPr>
      </w:pPr>
    </w:p>
    <w:p>
      <w:pPr>
        <w:pStyle w:val="ListParagraph"/>
        <w:numPr>
          <w:ilvl w:val="0"/>
          <w:numId w:val="80"/>
        </w:numPr>
        <w:tabs>
          <w:tab w:pos="1507" w:val="left" w:leader="none"/>
          <w:tab w:pos="1508" w:val="left" w:leader="none"/>
        </w:tabs>
        <w:spacing w:line="235" w:lineRule="auto" w:before="104" w:after="0"/>
        <w:ind w:left="827" w:right="2361" w:firstLine="0"/>
        <w:jc w:val="left"/>
        <w:rPr>
          <w:sz w:val="20"/>
        </w:rPr>
      </w:pPr>
      <w:r>
        <w:rPr/>
        <w:pict>
          <v:shape style="position:absolute;margin-left:20.519100pt;margin-top:-4.437024pt;width:26pt;height:80.6pt;mso-position-horizontal-relative:page;mso-position-vertical-relative:paragraph;z-index:251975680" type="#_x0000_t202" filled="false" stroked="false">
            <v:textbox inset="0,0,0,0" style="layout-flow:vertical">
              <w:txbxContent>
                <w:p>
                  <w:pPr>
                    <w:spacing w:before="29"/>
                    <w:ind w:left="20" w:right="0" w:firstLine="0"/>
                    <w:jc w:val="left"/>
                    <w:rPr>
                      <w:sz w:val="39"/>
                    </w:rPr>
                  </w:pPr>
                  <w:r>
                    <w:rPr>
                      <w:color w:val="FFFFFF"/>
                      <w:w w:val="120"/>
                      <w:sz w:val="39"/>
                    </w:rPr>
                    <w:t>Finance</w:t>
                  </w:r>
                </w:p>
              </w:txbxContent>
            </v:textbox>
            <w10:wrap type="none"/>
          </v:shape>
        </w:pict>
      </w:r>
      <w:r>
        <w:rPr>
          <w:w w:val="120"/>
          <w:sz w:val="20"/>
        </w:rPr>
        <w:t>At present it is unclear whether any other synods might follow the lead of these</w:t>
      </w:r>
      <w:r>
        <w:rPr>
          <w:spacing w:val="1"/>
          <w:w w:val="120"/>
          <w:sz w:val="20"/>
        </w:rPr>
        <w:t> </w:t>
      </w:r>
      <w:r>
        <w:rPr>
          <w:spacing w:val="-3"/>
          <w:w w:val="120"/>
          <w:sz w:val="20"/>
        </w:rPr>
        <w:t>four.</w:t>
      </w:r>
    </w:p>
    <w:p>
      <w:pPr>
        <w:pStyle w:val="BodyText"/>
        <w:spacing w:before="2"/>
        <w:rPr>
          <w:sz w:val="22"/>
        </w:rPr>
      </w:pPr>
    </w:p>
    <w:p>
      <w:pPr>
        <w:pStyle w:val="Heading4"/>
        <w:ind w:firstLine="0"/>
      </w:pPr>
      <w:r>
        <w:rPr>
          <w:w w:val="110"/>
        </w:rPr>
        <w:t>Discipleship Development Fund</w:t>
      </w:r>
    </w:p>
    <w:p>
      <w:pPr>
        <w:pStyle w:val="ListParagraph"/>
        <w:numPr>
          <w:ilvl w:val="0"/>
          <w:numId w:val="80"/>
        </w:numPr>
        <w:tabs>
          <w:tab w:pos="1507" w:val="left" w:leader="none"/>
          <w:tab w:pos="1508" w:val="left" w:leader="none"/>
        </w:tabs>
        <w:spacing w:line="235" w:lineRule="auto" w:before="69" w:after="0"/>
        <w:ind w:left="827" w:right="1683" w:firstLine="0"/>
        <w:jc w:val="left"/>
        <w:rPr>
          <w:sz w:val="20"/>
        </w:rPr>
      </w:pPr>
      <w:r>
        <w:rPr>
          <w:w w:val="120"/>
          <w:sz w:val="20"/>
        </w:rPr>
        <w:t>When Mission Council decided it was necessary to close the Windermere Centre they were anxious that its </w:t>
      </w:r>
      <w:r>
        <w:rPr>
          <w:spacing w:val="2"/>
          <w:w w:val="120"/>
          <w:sz w:val="20"/>
        </w:rPr>
        <w:t>efforts </w:t>
      </w:r>
      <w:r>
        <w:rPr>
          <w:w w:val="120"/>
          <w:sz w:val="20"/>
        </w:rPr>
        <w:t>to support lay discipleship should be continued in other forms. Provision was made in the </w:t>
      </w:r>
      <w:r>
        <w:rPr>
          <w:spacing w:val="-6"/>
          <w:w w:val="120"/>
          <w:sz w:val="20"/>
        </w:rPr>
        <w:t>2018 </w:t>
      </w:r>
      <w:r>
        <w:rPr>
          <w:w w:val="120"/>
          <w:sz w:val="20"/>
        </w:rPr>
        <w:t>budget for money which might otherwise have been put towards the Windermere Centre instead to go to support iChurch;  online learning; the transition from </w:t>
      </w:r>
      <w:r>
        <w:rPr>
          <w:spacing w:val="2"/>
          <w:w w:val="120"/>
          <w:sz w:val="20"/>
        </w:rPr>
        <w:t>TLS </w:t>
      </w:r>
      <w:r>
        <w:rPr>
          <w:w w:val="120"/>
          <w:sz w:val="20"/>
        </w:rPr>
        <w:t>to Stepwise; and to provide a small pot of money to assist individuals to access training and development</w:t>
      </w:r>
      <w:r>
        <w:rPr>
          <w:spacing w:val="32"/>
          <w:w w:val="120"/>
          <w:sz w:val="20"/>
        </w:rPr>
        <w:t> </w:t>
      </w:r>
      <w:r>
        <w:rPr>
          <w:w w:val="120"/>
          <w:sz w:val="20"/>
        </w:rPr>
        <w:t>opportunities.</w:t>
      </w:r>
    </w:p>
    <w:p>
      <w:pPr>
        <w:pStyle w:val="BodyText"/>
      </w:pPr>
    </w:p>
    <w:p>
      <w:pPr>
        <w:pStyle w:val="ListParagraph"/>
        <w:numPr>
          <w:ilvl w:val="0"/>
          <w:numId w:val="80"/>
        </w:numPr>
        <w:tabs>
          <w:tab w:pos="1507" w:val="left" w:leader="none"/>
          <w:tab w:pos="1508" w:val="left" w:leader="none"/>
        </w:tabs>
        <w:spacing w:line="235" w:lineRule="auto" w:before="0" w:after="0"/>
        <w:ind w:left="827" w:right="1647" w:firstLine="0"/>
        <w:jc w:val="left"/>
        <w:rPr>
          <w:sz w:val="20"/>
        </w:rPr>
      </w:pPr>
      <w:r>
        <w:rPr>
          <w:w w:val="120"/>
          <w:sz w:val="20"/>
        </w:rPr>
        <w:t>Mission Council also asked for proposals to be developed which might utilise the proceeds from the eventual disposal of the Windermere Centre building to establish a Discipleship Development Fund. The finance committee </w:t>
      </w:r>
      <w:r>
        <w:rPr>
          <w:spacing w:val="2"/>
          <w:w w:val="120"/>
          <w:sz w:val="20"/>
        </w:rPr>
        <w:t>expects </w:t>
      </w:r>
      <w:r>
        <w:rPr>
          <w:w w:val="120"/>
          <w:sz w:val="20"/>
        </w:rPr>
        <w:t>to be heavily involved with the education and learning committee, the resource sharing task group and   synods in exploring how this might be done during the coming</w:t>
      </w:r>
      <w:r>
        <w:rPr>
          <w:spacing w:val="4"/>
          <w:w w:val="120"/>
          <w:sz w:val="20"/>
        </w:rPr>
        <w:t> </w:t>
      </w:r>
      <w:r>
        <w:rPr>
          <w:spacing w:val="-4"/>
          <w:w w:val="120"/>
          <w:sz w:val="20"/>
        </w:rPr>
        <w:t>year.</w:t>
      </w:r>
    </w:p>
    <w:p>
      <w:pPr>
        <w:spacing w:after="0" w:line="235" w:lineRule="auto"/>
        <w:jc w:val="left"/>
        <w:rPr>
          <w:sz w:val="20"/>
        </w:rPr>
        <w:sectPr>
          <w:headerReference w:type="even" r:id="rId341"/>
          <w:footerReference w:type="even" r:id="rId342"/>
          <w:pgSz w:w="11910" w:h="16840"/>
          <w:pgMar w:header="0" w:footer="647" w:top="0" w:bottom="840" w:left="420" w:right="380"/>
        </w:sectPr>
      </w:pPr>
    </w:p>
    <w:p>
      <w:pPr>
        <w:pStyle w:val="BodyText"/>
      </w:pPr>
      <w:r>
        <w:rPr/>
        <w:pict>
          <v:rect style="position:absolute;margin-left:0pt;margin-top:.000015pt;width:549.207pt;height:841.89pt;mso-position-horizontal-relative:page;mso-position-vertical-relative:page;z-index:-267307008" filled="true" fillcolor="#d4e9f7" stroked="false">
            <v:fill type="solid"/>
            <w10:wrap type="none"/>
          </v:rect>
        </w:pict>
      </w:r>
      <w:r>
        <w:rPr/>
        <w:drawing>
          <wp:anchor distT="0" distB="0" distL="0" distR="0" allowOverlap="1" layoutInCell="1" locked="0" behindDoc="0" simplePos="0" relativeHeight="251977728">
            <wp:simplePos x="0" y="0"/>
            <wp:positionH relativeFrom="page">
              <wp:posOffset>6974928</wp:posOffset>
            </wp:positionH>
            <wp:positionV relativeFrom="page">
              <wp:posOffset>0</wp:posOffset>
            </wp:positionV>
            <wp:extent cx="585063" cy="10692003"/>
            <wp:effectExtent l="0" t="0" r="0" b="0"/>
            <wp:wrapNone/>
            <wp:docPr id="231" name="image57.png"/>
            <wp:cNvGraphicFramePr>
              <a:graphicFrameLocks noChangeAspect="1"/>
            </wp:cNvGraphicFramePr>
            <a:graphic>
              <a:graphicData uri="http://schemas.openxmlformats.org/drawingml/2006/picture">
                <pic:pic>
                  <pic:nvPicPr>
                    <pic:cNvPr id="23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23" w:right="4507"/>
        <w:rPr>
          <w:b/>
        </w:rPr>
      </w:pPr>
      <w:r>
        <w:rPr/>
        <w:pict>
          <v:shape style="position:absolute;margin-left:554.141174pt;margin-top:-5.989334pt;width:26pt;height:276.55pt;mso-position-horizontal-relative:page;mso-position-vertical-relative:paragraph;z-index:251978752" type="#_x0000_t202" filled="false" stroked="false">
            <v:textbox inset="0,0,0,0" style="layout-flow:vertical">
              <w:txbxContent>
                <w:p>
                  <w:pPr>
                    <w:spacing w:before="29"/>
                    <w:ind w:left="20" w:right="0" w:firstLine="0"/>
                    <w:jc w:val="left"/>
                    <w:rPr>
                      <w:sz w:val="39"/>
                    </w:rPr>
                  </w:pPr>
                  <w:r>
                    <w:rPr>
                      <w:color w:val="FFFFFF"/>
                      <w:w w:val="125"/>
                      <w:sz w:val="39"/>
                    </w:rPr>
                    <w:t>Finance – </w:t>
                  </w:r>
                  <w:r>
                    <w:rPr>
                      <w:w w:val="125"/>
                      <w:sz w:val="39"/>
                    </w:rPr>
                    <w:t>Annual accounts</w:t>
                  </w:r>
                </w:p>
              </w:txbxContent>
            </v:textbox>
            <w10:wrap type="none"/>
          </v:shape>
        </w:pict>
      </w:r>
      <w:bookmarkStart w:name="_bookmark21" w:id="28"/>
      <w:bookmarkEnd w:id="28"/>
      <w:r>
        <w:rPr>
          <w:b w:val="0"/>
        </w:rPr>
      </w:r>
      <w:r>
        <w:rPr>
          <w:b/>
          <w:color w:val="0090D4"/>
          <w:w w:val="110"/>
        </w:rPr>
        <w:t>Finance committee </w:t>
      </w:r>
      <w:r>
        <w:rPr>
          <w:b/>
          <w:w w:val="110"/>
        </w:rPr>
        <w:t>Annual accounts</w:t>
      </w:r>
    </w:p>
    <w:p>
      <w:pPr>
        <w:spacing w:before="356" w:after="9"/>
        <w:ind w:left="1323"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Ian Hardie, Treasurer: </w:t>
            </w:r>
            <w:hyperlink r:id="rId336">
              <w:r>
                <w:rPr>
                  <w:color w:val="006AB3"/>
                  <w:w w:val="120"/>
                  <w:sz w:val="20"/>
                </w:rPr>
                <w:t>ianzhardie@googlemail.com</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None – for information.</w:t>
            </w:r>
          </w:p>
        </w:tc>
      </w:tr>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tabs>
                <w:tab w:pos="760" w:val="left" w:leader="none"/>
              </w:tabs>
              <w:spacing w:line="213" w:lineRule="auto" w:before="117"/>
              <w:ind w:left="80" w:right="111"/>
              <w:rPr>
                <w:rFonts w:ascii="Stone Sans II ITC Std Bk" w:hAnsi="Stone Sans II ITC Std Bk"/>
                <w:b/>
                <w:sz w:val="20"/>
              </w:rPr>
            </w:pPr>
            <w:r>
              <w:rPr>
                <w:rFonts w:ascii="Stone Sans II ITC Std Bk" w:hAnsi="Stone Sans II ITC Std Bk"/>
                <w:b/>
                <w:w w:val="110"/>
                <w:sz w:val="20"/>
              </w:rPr>
              <w:t>26.</w:t>
              <w:tab/>
              <w:t>General Assembly notes the Trustees’ Report and Financial Statements for the year ended </w:t>
            </w:r>
            <w:r>
              <w:rPr>
                <w:rFonts w:ascii="Stone Sans II ITC Std Bk" w:hAnsi="Stone Sans II ITC Std Bk"/>
                <w:b/>
                <w:spacing w:val="-7"/>
                <w:w w:val="110"/>
                <w:sz w:val="20"/>
              </w:rPr>
              <w:t>31 </w:t>
            </w:r>
            <w:r>
              <w:rPr>
                <w:rFonts w:ascii="Stone Sans II ITC Std Bk" w:hAnsi="Stone Sans II ITC Std Bk"/>
                <w:b/>
                <w:w w:val="110"/>
                <w:sz w:val="20"/>
              </w:rPr>
              <w:t>December</w:t>
            </w:r>
            <w:r>
              <w:rPr>
                <w:rFonts w:ascii="Stone Sans II ITC Std Bk" w:hAnsi="Stone Sans II ITC Std Bk"/>
                <w:b/>
                <w:spacing w:val="18"/>
                <w:w w:val="110"/>
                <w:sz w:val="20"/>
              </w:rPr>
              <w:t> </w:t>
            </w:r>
            <w:r>
              <w:rPr>
                <w:rFonts w:ascii="Stone Sans II ITC Std Bk" w:hAnsi="Stone Sans II ITC Std Bk"/>
                <w:b/>
                <w:spacing w:val="-11"/>
                <w:w w:val="110"/>
                <w:sz w:val="20"/>
              </w:rPr>
              <w:t>2017.</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136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148"/>
              <w:rPr>
                <w:sz w:val="20"/>
              </w:rPr>
            </w:pPr>
            <w:r>
              <w:rPr>
                <w:spacing w:val="-7"/>
                <w:w w:val="120"/>
                <w:sz w:val="20"/>
              </w:rPr>
              <w:t>To </w:t>
            </w:r>
            <w:r>
              <w:rPr>
                <w:w w:val="120"/>
                <w:sz w:val="20"/>
              </w:rPr>
              <w:t>draw to General Assembly’s attention the availability of the audited accounts for </w:t>
            </w:r>
            <w:r>
              <w:rPr>
                <w:spacing w:val="-9"/>
                <w:w w:val="120"/>
                <w:sz w:val="20"/>
              </w:rPr>
              <w:t>2017 </w:t>
            </w:r>
            <w:r>
              <w:rPr>
                <w:w w:val="120"/>
                <w:sz w:val="20"/>
              </w:rPr>
              <w:t>and accompanying Trustees’ report. These are available online from the end of May </w:t>
            </w:r>
            <w:r>
              <w:rPr>
                <w:spacing w:val="-6"/>
                <w:w w:val="120"/>
                <w:sz w:val="20"/>
              </w:rPr>
              <w:t>2018 </w:t>
            </w:r>
            <w:r>
              <w:rPr>
                <w:w w:val="120"/>
                <w:sz w:val="20"/>
              </w:rPr>
              <w:t>and, during General Assembly, hard copies of the above will be available from the Assembly</w:t>
            </w:r>
            <w:r>
              <w:rPr>
                <w:spacing w:val="5"/>
                <w:w w:val="120"/>
                <w:sz w:val="20"/>
              </w:rPr>
              <w:t> </w:t>
            </w:r>
            <w:r>
              <w:rPr>
                <w:w w:val="120"/>
                <w:sz w:val="20"/>
              </w:rPr>
              <w:t>office.</w:t>
            </w:r>
          </w:p>
        </w:tc>
      </w:tr>
      <w:tr>
        <w:trPr>
          <w:trHeight w:val="16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148"/>
              <w:rPr>
                <w:sz w:val="20"/>
              </w:rPr>
            </w:pPr>
            <w:r>
              <w:rPr>
                <w:w w:val="120"/>
                <w:sz w:val="20"/>
              </w:rPr>
              <w:t>The United Reformed Church’s central activities are legally accounted for in the name of the URC Trust. With advice from the finance committee, the Trust has received and approved the audited accounts for 2017. Copies of the audited accounts and trustees’ report are now available on the URC website and hard copies will be made available at General Assembly.</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w w:val="120"/>
                <w:sz w:val="20"/>
              </w:rPr>
              <w:t>Audited accounts for 2016 are available on the website.</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0"/>
                <w:sz w:val="20"/>
              </w:rPr>
              <w:t>The URC Trust.</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line="235" w:lineRule="auto" w:before="111"/>
              <w:ind w:left="80"/>
              <w:rPr>
                <w:sz w:val="20"/>
              </w:rPr>
            </w:pPr>
            <w:r>
              <w:rPr>
                <w:w w:val="120"/>
                <w:sz w:val="20"/>
              </w:rPr>
              <w:t>Simply noting the availability of the accounts has no financial impact.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ight="395"/>
              <w:rPr>
                <w:sz w:val="20"/>
              </w:rPr>
            </w:pPr>
            <w:r>
              <w:rPr>
                <w:w w:val="120"/>
                <w:sz w:val="20"/>
              </w:rPr>
              <w:t>The report provides a publicly available summary of the Church’s activities and financial state.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2"/>
        <w:rPr>
          <w:rFonts w:ascii="Stone Sans II ITC Std Bk"/>
          <w:b/>
          <w:sz w:val="24"/>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121</w:t>
      </w:r>
    </w:p>
    <w:p>
      <w:pPr>
        <w:spacing w:after="0"/>
        <w:jc w:val="left"/>
        <w:rPr>
          <w:rFonts w:ascii="Stone Sans II ITC Std X Bd" w:hAnsi="Stone Sans II ITC Std X Bd"/>
          <w:sz w:val="24"/>
        </w:rPr>
        <w:sectPr>
          <w:headerReference w:type="default" r:id="rId343"/>
          <w:footerReference w:type="default" r:id="rId344"/>
          <w:pgSz w:w="11910" w:h="16840"/>
          <w:pgMar w:header="0" w:footer="0" w:top="0" w:bottom="0" w:left="420" w:right="380"/>
        </w:sectPr>
      </w:pPr>
    </w:p>
    <w:p>
      <w:pPr>
        <w:pStyle w:val="BodyText"/>
        <w:rPr>
          <w:rFonts w:ascii="Stone Sans II ITC Std X Bd"/>
          <w:b/>
        </w:rPr>
      </w:pPr>
      <w:r>
        <w:rPr/>
        <w:pict>
          <v:rect style="position:absolute;margin-left:46.777pt;margin-top:.000015pt;width:548.498pt;height:841.89pt;mso-position-horizontal-relative:page;mso-position-vertical-relative:page;z-index:-267303936" filled="true" fillcolor="#d4e9f7" stroked="false">
            <v:fill type="solid"/>
            <w10:wrap type="none"/>
          </v:rect>
        </w:pict>
      </w:r>
      <w:r>
        <w:rPr/>
        <w:drawing>
          <wp:anchor distT="0" distB="0" distL="0" distR="0" allowOverlap="1" layoutInCell="1" locked="0" behindDoc="1" simplePos="0" relativeHeight="236013568">
            <wp:simplePos x="0" y="0"/>
            <wp:positionH relativeFrom="page">
              <wp:posOffset>0</wp:posOffset>
            </wp:positionH>
            <wp:positionV relativeFrom="page">
              <wp:posOffset>0</wp:posOffset>
            </wp:positionV>
            <wp:extent cx="594067" cy="10692003"/>
            <wp:effectExtent l="0" t="0" r="0" b="0"/>
            <wp:wrapNone/>
            <wp:docPr id="233" name="image70.png"/>
            <wp:cNvGraphicFramePr>
              <a:graphicFrameLocks noChangeAspect="1"/>
            </wp:cNvGraphicFramePr>
            <a:graphic>
              <a:graphicData uri="http://schemas.openxmlformats.org/drawingml/2006/picture">
                <pic:pic>
                  <pic:nvPicPr>
                    <pic:cNvPr id="23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line="213" w:lineRule="auto" w:before="153"/>
        <w:ind w:left="827" w:right="4415" w:firstLine="0"/>
        <w:jc w:val="left"/>
        <w:rPr>
          <w:rFonts w:ascii="Stone Sans II ITC Std X Bd"/>
          <w:b/>
          <w:sz w:val="50"/>
        </w:rPr>
      </w:pPr>
      <w:r>
        <w:rPr/>
        <w:pict>
          <v:shape style="position:absolute;margin-left:20.519100pt;margin-top:-5.989334pt;width:26pt;height:102.15pt;mso-position-horizontal-relative:page;mso-position-vertical-relative:paragraph;z-index:251981824" type="#_x0000_t202" filled="false" stroked="false">
            <v:textbox inset="0,0,0,0" style="layout-flow:vertical">
              <w:txbxContent>
                <w:p>
                  <w:pPr>
                    <w:spacing w:before="29"/>
                    <w:ind w:left="20" w:right="0" w:firstLine="0"/>
                    <w:jc w:val="left"/>
                    <w:rPr>
                      <w:sz w:val="39"/>
                    </w:rPr>
                  </w:pPr>
                  <w:r>
                    <w:rPr>
                      <w:color w:val="FFFFFF"/>
                      <w:w w:val="120"/>
                      <w:sz w:val="39"/>
                    </w:rPr>
                    <w:t>Ministries</w:t>
                  </w:r>
                </w:p>
              </w:txbxContent>
            </v:textbox>
            <w10:wrap type="none"/>
          </v:shape>
        </w:pict>
      </w:r>
      <w:bookmarkStart w:name="_bookmark22" w:id="29"/>
      <w:bookmarkEnd w:id="29"/>
      <w:r>
        <w:rPr/>
      </w:r>
      <w:r>
        <w:rPr>
          <w:rFonts w:ascii="Stone Sans II ITC Std X Bd"/>
          <w:b/>
          <w:color w:val="0090D4"/>
          <w:w w:val="110"/>
          <w:sz w:val="50"/>
        </w:rPr>
        <w:t>Ministries committee </w:t>
      </w:r>
      <w:r>
        <w:rPr>
          <w:rFonts w:ascii="Stone Sans II ITC Std X Bd"/>
          <w:b/>
          <w:w w:val="110"/>
          <w:sz w:val="50"/>
        </w:rPr>
        <w:t>General report</w:t>
      </w:r>
    </w:p>
    <w:p>
      <w:pPr>
        <w:spacing w:before="356" w:after="9"/>
        <w:ind w:left="82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Craig Bowman: </w:t>
            </w:r>
            <w:hyperlink r:id="rId347">
              <w:r>
                <w:rPr>
                  <w:color w:val="006AB3"/>
                  <w:w w:val="120"/>
                  <w:sz w:val="20"/>
                </w:rPr>
                <w:t>ministries@urc.org.uk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For information.</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1335"/>
              <w:rPr>
                <w:sz w:val="20"/>
              </w:rPr>
            </w:pPr>
            <w:r>
              <w:rPr>
                <w:w w:val="120"/>
                <w:sz w:val="20"/>
              </w:rPr>
              <w:t>Main area of focus since General Assembly 2016 and subcommittee reports.</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rPr>
                <w:rFonts w:ascii="Times New Roman"/>
                <w:sz w:val="24"/>
              </w:rPr>
            </w:pP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w w:val="120"/>
                <w:sz w:val="20"/>
              </w:rPr>
              <w:t>Ministries report to General Assembly 2016.</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0"/>
                <w:sz w:val="20"/>
              </w:rPr>
              <w:t>Ongoing consultation across the denomination.</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line="235" w:lineRule="auto" w:before="111"/>
              <w:ind w:left="80"/>
              <w:rPr>
                <w:sz w:val="20"/>
              </w:rPr>
            </w:pPr>
            <w:r>
              <w:rPr>
                <w:w w:val="120"/>
                <w:sz w:val="20"/>
              </w:rPr>
              <w:t>Re-allocation of some money from the Ministry and Mission Fund to resource pilot scheme for funding other ministries.</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rPr>
                <w:rFonts w:ascii="Times New Roman"/>
                <w:sz w:val="24"/>
              </w:rPr>
            </w:pP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2"/>
        <w:rPr>
          <w:rFonts w:ascii="Stone Sans II ITC Std Bk"/>
          <w:b/>
          <w:sz w:val="27"/>
        </w:rPr>
      </w:pPr>
    </w:p>
    <w:p>
      <w:pPr>
        <w:spacing w:before="0"/>
        <w:ind w:left="827" w:right="0" w:firstLine="0"/>
        <w:jc w:val="left"/>
        <w:rPr>
          <w:sz w:val="23"/>
        </w:rPr>
      </w:pPr>
      <w:r>
        <w:rPr>
          <w:rFonts w:ascii="Stone Sans II ITC Std X Bd" w:hAnsi="Stone Sans II ITC Std X Bd"/>
          <w:b/>
          <w:w w:val="110"/>
          <w:sz w:val="24"/>
        </w:rPr>
        <w:t>122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345"/>
          <w:footerReference w:type="even" r:id="rId346"/>
          <w:pgSz w:w="11910" w:h="16840"/>
          <w:pgMar w:header="0" w:footer="0" w:top="0" w:bottom="0" w:left="420" w:right="380"/>
        </w:sectPr>
      </w:pPr>
    </w:p>
    <w:p>
      <w:pPr>
        <w:pStyle w:val="BodyText"/>
      </w:pPr>
      <w:r>
        <w:rPr/>
        <w:drawing>
          <wp:anchor distT="0" distB="0" distL="0" distR="0" allowOverlap="1" layoutInCell="1" locked="0" behindDoc="0" simplePos="0" relativeHeight="251982848">
            <wp:simplePos x="0" y="0"/>
            <wp:positionH relativeFrom="page">
              <wp:posOffset>6974928</wp:posOffset>
            </wp:positionH>
            <wp:positionV relativeFrom="page">
              <wp:posOffset>0</wp:posOffset>
            </wp:positionV>
            <wp:extent cx="585063" cy="10692003"/>
            <wp:effectExtent l="0" t="0" r="0" b="0"/>
            <wp:wrapNone/>
            <wp:docPr id="235" name="image57.png"/>
            <wp:cNvGraphicFramePr>
              <a:graphicFrameLocks noChangeAspect="1"/>
            </wp:cNvGraphicFramePr>
            <a:graphic>
              <a:graphicData uri="http://schemas.openxmlformats.org/drawingml/2006/picture">
                <pic:pic>
                  <pic:nvPicPr>
                    <pic:cNvPr id="23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before="97"/>
        <w:ind w:left="1261" w:right="565" w:firstLine="0"/>
        <w:jc w:val="center"/>
        <w:rPr>
          <w:rFonts w:ascii="Stone Sans II ITC Std X Bd"/>
          <w:b/>
          <w:sz w:val="50"/>
        </w:rPr>
      </w:pPr>
      <w:r>
        <w:rPr/>
        <w:pict>
          <v:shape style="position:absolute;margin-left:554.141174pt;margin-top:-5.998084pt;width:26pt;height:102.15pt;mso-position-horizontal-relative:page;mso-position-vertical-relative:paragraph;z-index:251984896" type="#_x0000_t202" filled="false" stroked="false">
            <v:textbox inset="0,0,0,0" style="layout-flow:vertical">
              <w:txbxContent>
                <w:p>
                  <w:pPr>
                    <w:spacing w:before="29"/>
                    <w:ind w:left="20" w:right="0" w:firstLine="0"/>
                    <w:jc w:val="left"/>
                    <w:rPr>
                      <w:sz w:val="39"/>
                    </w:rPr>
                  </w:pPr>
                  <w:r>
                    <w:rPr>
                      <w:color w:val="FFFFFF"/>
                      <w:w w:val="120"/>
                      <w:sz w:val="39"/>
                    </w:rPr>
                    <w:t>Ministries</w:t>
                  </w:r>
                </w:p>
              </w:txbxContent>
            </v:textbox>
            <w10:wrap type="none"/>
          </v:shape>
        </w:pict>
      </w:r>
      <w:r>
        <w:rPr>
          <w:rFonts w:ascii="Stone Sans II ITC Std X Bd"/>
          <w:b/>
          <w:w w:val="110"/>
          <w:sz w:val="50"/>
        </w:rPr>
        <w:t>General report</w:t>
      </w:r>
    </w:p>
    <w:p>
      <w:pPr>
        <w:spacing w:line="261" w:lineRule="auto" w:before="141"/>
        <w:ind w:left="1677" w:right="1316" w:firstLine="0"/>
        <w:jc w:val="left"/>
        <w:rPr>
          <w:sz w:val="18"/>
        </w:rPr>
      </w:pPr>
      <w:r>
        <w:rPr/>
        <w:pict>
          <v:line style="position:absolute;mso-position-horizontal-relative:page;mso-position-vertical-relative:paragraph;z-index:251983872" from="99.212601pt,7.845452pt" to="99.212601pt,243.829452pt" stroked="true" strokeweight="1pt" strokecolor="#0090d4">
            <v:stroke dashstyle="solid"/>
            <w10:wrap type="none"/>
          </v:line>
        </w:pict>
      </w:r>
      <w:r>
        <w:rPr>
          <w:color w:val="707172"/>
          <w:w w:val="120"/>
          <w:sz w:val="18"/>
        </w:rPr>
        <w:t>The committee is responsible for the Ministry of Word and Sacraments, Church Related Community Work, lay preaching and eldership. It is concerned with central care and conditions of service, chaplaincies in industry, higher and </w:t>
      </w:r>
      <w:r>
        <w:rPr>
          <w:color w:val="707172"/>
          <w:spacing w:val="2"/>
          <w:w w:val="120"/>
          <w:sz w:val="18"/>
        </w:rPr>
        <w:t>further </w:t>
      </w:r>
      <w:r>
        <w:rPr>
          <w:color w:val="707172"/>
          <w:w w:val="120"/>
          <w:sz w:val="18"/>
        </w:rPr>
        <w:t>education, prisons and     in the armed forces and ‘special category’ ministry. It has concern for the pastoral support of</w:t>
      </w:r>
      <w:r>
        <w:rPr>
          <w:color w:val="707172"/>
          <w:spacing w:val="15"/>
          <w:w w:val="120"/>
          <w:sz w:val="18"/>
        </w:rPr>
        <w:t> </w:t>
      </w:r>
      <w:r>
        <w:rPr>
          <w:color w:val="707172"/>
          <w:w w:val="120"/>
          <w:sz w:val="18"/>
        </w:rPr>
        <w:t>ministers,</w:t>
      </w:r>
      <w:r>
        <w:rPr>
          <w:color w:val="707172"/>
          <w:spacing w:val="16"/>
          <w:w w:val="120"/>
          <w:sz w:val="18"/>
        </w:rPr>
        <w:t> </w:t>
      </w:r>
      <w:r>
        <w:rPr>
          <w:color w:val="707172"/>
          <w:w w:val="120"/>
          <w:sz w:val="18"/>
        </w:rPr>
        <w:t>church</w:t>
      </w:r>
      <w:r>
        <w:rPr>
          <w:color w:val="707172"/>
          <w:spacing w:val="15"/>
          <w:w w:val="120"/>
          <w:sz w:val="18"/>
        </w:rPr>
        <w:t> </w:t>
      </w:r>
      <w:r>
        <w:rPr>
          <w:color w:val="707172"/>
          <w:w w:val="120"/>
          <w:sz w:val="18"/>
        </w:rPr>
        <w:t>related</w:t>
      </w:r>
      <w:r>
        <w:rPr>
          <w:color w:val="707172"/>
          <w:spacing w:val="16"/>
          <w:w w:val="120"/>
          <w:sz w:val="18"/>
        </w:rPr>
        <w:t> </w:t>
      </w:r>
      <w:r>
        <w:rPr>
          <w:color w:val="707172"/>
          <w:w w:val="120"/>
          <w:sz w:val="18"/>
        </w:rPr>
        <w:t>community</w:t>
      </w:r>
      <w:r>
        <w:rPr>
          <w:color w:val="707172"/>
          <w:spacing w:val="16"/>
          <w:w w:val="120"/>
          <w:sz w:val="18"/>
        </w:rPr>
        <w:t> </w:t>
      </w:r>
      <w:r>
        <w:rPr>
          <w:color w:val="707172"/>
          <w:w w:val="120"/>
          <w:sz w:val="18"/>
        </w:rPr>
        <w:t>workers</w:t>
      </w:r>
      <w:r>
        <w:rPr>
          <w:color w:val="707172"/>
          <w:spacing w:val="15"/>
          <w:w w:val="120"/>
          <w:sz w:val="18"/>
        </w:rPr>
        <w:t> </w:t>
      </w:r>
      <w:r>
        <w:rPr>
          <w:color w:val="707172"/>
          <w:w w:val="120"/>
          <w:sz w:val="18"/>
        </w:rPr>
        <w:t>and</w:t>
      </w:r>
      <w:r>
        <w:rPr>
          <w:color w:val="707172"/>
          <w:spacing w:val="16"/>
          <w:w w:val="120"/>
          <w:sz w:val="18"/>
        </w:rPr>
        <w:t> </w:t>
      </w:r>
      <w:r>
        <w:rPr>
          <w:color w:val="707172"/>
          <w:w w:val="120"/>
          <w:sz w:val="18"/>
        </w:rPr>
        <w:t>lay</w:t>
      </w:r>
      <w:r>
        <w:rPr>
          <w:color w:val="707172"/>
          <w:spacing w:val="16"/>
          <w:w w:val="120"/>
          <w:sz w:val="18"/>
        </w:rPr>
        <w:t> </w:t>
      </w:r>
      <w:r>
        <w:rPr>
          <w:color w:val="707172"/>
          <w:w w:val="120"/>
          <w:sz w:val="18"/>
        </w:rPr>
        <w:t>preachers,</w:t>
      </w:r>
      <w:r>
        <w:rPr>
          <w:color w:val="707172"/>
          <w:spacing w:val="15"/>
          <w:w w:val="120"/>
          <w:sz w:val="18"/>
        </w:rPr>
        <w:t> </w:t>
      </w:r>
      <w:r>
        <w:rPr>
          <w:color w:val="707172"/>
          <w:w w:val="120"/>
          <w:sz w:val="18"/>
        </w:rPr>
        <w:t>including</w:t>
      </w:r>
      <w:r>
        <w:rPr>
          <w:color w:val="707172"/>
          <w:spacing w:val="16"/>
          <w:w w:val="120"/>
          <w:sz w:val="18"/>
        </w:rPr>
        <w:t> </w:t>
      </w:r>
      <w:r>
        <w:rPr>
          <w:color w:val="707172"/>
          <w:w w:val="120"/>
          <w:sz w:val="18"/>
        </w:rPr>
        <w:t>supervision,</w:t>
      </w:r>
    </w:p>
    <w:p>
      <w:pPr>
        <w:spacing w:line="261" w:lineRule="auto" w:before="2"/>
        <w:ind w:left="1677" w:right="1244" w:firstLine="0"/>
        <w:jc w:val="left"/>
        <w:rPr>
          <w:sz w:val="18"/>
        </w:rPr>
      </w:pPr>
      <w:r>
        <w:rPr>
          <w:color w:val="707172"/>
          <w:w w:val="120"/>
          <w:sz w:val="18"/>
        </w:rPr>
        <w:t>appraisal, self-evaluation and counselling. It oversees the work of the Assessment Board and is assisted by four</w:t>
      </w:r>
      <w:r>
        <w:rPr>
          <w:color w:val="707172"/>
          <w:spacing w:val="8"/>
          <w:w w:val="120"/>
          <w:sz w:val="18"/>
        </w:rPr>
        <w:t> </w:t>
      </w:r>
      <w:r>
        <w:rPr>
          <w:color w:val="707172"/>
          <w:w w:val="120"/>
          <w:sz w:val="18"/>
        </w:rPr>
        <w:t>subcommittees.</w:t>
      </w:r>
    </w:p>
    <w:p>
      <w:pPr>
        <w:pStyle w:val="BodyText"/>
        <w:spacing w:before="10"/>
        <w:rPr>
          <w:sz w:val="18"/>
        </w:rPr>
      </w:pPr>
    </w:p>
    <w:p>
      <w:pPr>
        <w:spacing w:before="0"/>
        <w:ind w:left="1677" w:right="0" w:firstLine="0"/>
        <w:jc w:val="left"/>
        <w:rPr>
          <w:rFonts w:ascii="Stone Sans II ITC Std Bk"/>
          <w:b/>
          <w:sz w:val="18"/>
        </w:rPr>
      </w:pPr>
      <w:r>
        <w:rPr>
          <w:rFonts w:ascii="Stone Sans II ITC Std Bk"/>
          <w:b/>
          <w:color w:val="707172"/>
          <w:w w:val="110"/>
          <w:sz w:val="18"/>
        </w:rPr>
        <w:t>Committee members</w:t>
      </w:r>
    </w:p>
    <w:p>
      <w:pPr>
        <w:spacing w:line="261" w:lineRule="auto" w:before="8"/>
        <w:ind w:left="1677" w:right="6147" w:firstLine="0"/>
        <w:jc w:val="left"/>
        <w:rPr>
          <w:sz w:val="18"/>
        </w:rPr>
      </w:pPr>
      <w:r>
        <w:rPr>
          <w:color w:val="707172"/>
          <w:w w:val="125"/>
          <w:sz w:val="18"/>
        </w:rPr>
        <w:t>Convenor: Paul Whittle (from 2016) Secretary: Craig Bowman</w:t>
      </w:r>
    </w:p>
    <w:p>
      <w:pPr>
        <w:spacing w:line="261" w:lineRule="auto" w:before="0"/>
        <w:ind w:left="1677" w:right="1620" w:firstLine="0"/>
        <w:jc w:val="left"/>
        <w:rPr>
          <w:sz w:val="18"/>
        </w:rPr>
      </w:pPr>
      <w:r>
        <w:rPr>
          <w:color w:val="707172"/>
          <w:w w:val="120"/>
          <w:sz w:val="18"/>
        </w:rPr>
        <w:t>Members: Martin Camroux, Allison Claxton, James Coleman (until 2017), Stuart Dew, Sally Thomas, Jane Woods-Scawen (until 2017), Peter Meek (synod moderator), David</w:t>
      </w:r>
    </w:p>
    <w:p>
      <w:pPr>
        <w:spacing w:line="261" w:lineRule="auto" w:before="1"/>
        <w:ind w:left="1677" w:right="1024" w:firstLine="0"/>
        <w:jc w:val="left"/>
        <w:rPr>
          <w:sz w:val="18"/>
        </w:rPr>
      </w:pPr>
      <w:r>
        <w:rPr>
          <w:color w:val="707172"/>
          <w:w w:val="120"/>
          <w:sz w:val="18"/>
        </w:rPr>
        <w:t>Bedford (convenor of the Retired Ministers’ Housing subcommittee until </w:t>
      </w:r>
      <w:r>
        <w:rPr>
          <w:color w:val="707172"/>
          <w:spacing w:val="-6"/>
          <w:w w:val="120"/>
          <w:sz w:val="18"/>
        </w:rPr>
        <w:t>2017), </w:t>
      </w:r>
      <w:r>
        <w:rPr>
          <w:color w:val="707172"/>
          <w:w w:val="120"/>
          <w:sz w:val="18"/>
        </w:rPr>
        <w:t>Anne Bedford (convenor of the Retired Ministers’ Housing subcommittee from </w:t>
      </w:r>
      <w:r>
        <w:rPr>
          <w:color w:val="707172"/>
          <w:spacing w:val="-6"/>
          <w:w w:val="120"/>
          <w:sz w:val="18"/>
        </w:rPr>
        <w:t>2017), </w:t>
      </w:r>
      <w:r>
        <w:rPr>
          <w:color w:val="707172"/>
          <w:w w:val="120"/>
          <w:sz w:val="18"/>
        </w:rPr>
        <w:t>Ewen Harley (convenor  of the Assessment Board), Pamela Ward (convenor of the maintenance of the ministry subcommittee), Frances Ruthven (convenor of the accreditation subcommittee until </w:t>
      </w:r>
      <w:r>
        <w:rPr>
          <w:color w:val="707172"/>
          <w:spacing w:val="-6"/>
          <w:w w:val="120"/>
          <w:sz w:val="18"/>
        </w:rPr>
        <w:t>2017), </w:t>
      </w:r>
      <w:r>
        <w:rPr>
          <w:color w:val="707172"/>
          <w:w w:val="120"/>
          <w:sz w:val="18"/>
        </w:rPr>
        <w:t>Russell Furley-Smith (convenor of the accreditation subcommittee from </w:t>
      </w:r>
      <w:r>
        <w:rPr>
          <w:color w:val="707172"/>
          <w:spacing w:val="-6"/>
          <w:w w:val="120"/>
          <w:sz w:val="18"/>
        </w:rPr>
        <w:t>2017) </w:t>
      </w:r>
      <w:r>
        <w:rPr>
          <w:color w:val="707172"/>
          <w:w w:val="120"/>
          <w:sz w:val="18"/>
        </w:rPr>
        <w:t>Simon Loveitt (convenor of the CRCW programme subcommittee from </w:t>
      </w:r>
      <w:r>
        <w:rPr>
          <w:color w:val="707172"/>
          <w:spacing w:val="-6"/>
          <w:w w:val="120"/>
          <w:sz w:val="18"/>
        </w:rPr>
        <w:t>2017), </w:t>
      </w:r>
      <w:r>
        <w:rPr>
          <w:color w:val="707172"/>
          <w:w w:val="120"/>
          <w:sz w:val="18"/>
        </w:rPr>
        <w:t>Andy Buxton (leadership in worship</w:t>
      </w:r>
      <w:r>
        <w:rPr>
          <w:color w:val="707172"/>
          <w:spacing w:val="11"/>
          <w:w w:val="120"/>
          <w:sz w:val="18"/>
        </w:rPr>
        <w:t> </w:t>
      </w:r>
      <w:r>
        <w:rPr>
          <w:color w:val="707172"/>
          <w:w w:val="120"/>
          <w:sz w:val="18"/>
        </w:rPr>
        <w:t>advocate</w:t>
      </w:r>
      <w:r>
        <w:rPr>
          <w:color w:val="707172"/>
          <w:spacing w:val="12"/>
          <w:w w:val="120"/>
          <w:sz w:val="18"/>
        </w:rPr>
        <w:t> </w:t>
      </w:r>
      <w:r>
        <w:rPr>
          <w:color w:val="707172"/>
          <w:w w:val="120"/>
          <w:sz w:val="18"/>
        </w:rPr>
        <w:t>until</w:t>
      </w:r>
      <w:r>
        <w:rPr>
          <w:color w:val="707172"/>
          <w:spacing w:val="12"/>
          <w:w w:val="120"/>
          <w:sz w:val="18"/>
        </w:rPr>
        <w:t> </w:t>
      </w:r>
      <w:r>
        <w:rPr>
          <w:color w:val="707172"/>
          <w:spacing w:val="-6"/>
          <w:w w:val="120"/>
          <w:sz w:val="18"/>
        </w:rPr>
        <w:t>2017),</w:t>
      </w:r>
      <w:r>
        <w:rPr>
          <w:color w:val="707172"/>
          <w:spacing w:val="12"/>
          <w:w w:val="120"/>
          <w:sz w:val="18"/>
        </w:rPr>
        <w:t> </w:t>
      </w:r>
      <w:r>
        <w:rPr>
          <w:color w:val="707172"/>
          <w:w w:val="120"/>
          <w:sz w:val="18"/>
        </w:rPr>
        <w:t>Jenny</w:t>
      </w:r>
      <w:r>
        <w:rPr>
          <w:color w:val="707172"/>
          <w:spacing w:val="12"/>
          <w:w w:val="120"/>
          <w:sz w:val="18"/>
        </w:rPr>
        <w:t> </w:t>
      </w:r>
      <w:r>
        <w:rPr>
          <w:color w:val="707172"/>
          <w:w w:val="120"/>
          <w:sz w:val="18"/>
        </w:rPr>
        <w:t>Sheehan</w:t>
      </w:r>
      <w:r>
        <w:rPr>
          <w:color w:val="707172"/>
          <w:spacing w:val="11"/>
          <w:w w:val="120"/>
          <w:sz w:val="18"/>
        </w:rPr>
        <w:t> </w:t>
      </w:r>
      <w:r>
        <w:rPr>
          <w:color w:val="707172"/>
          <w:w w:val="120"/>
          <w:sz w:val="18"/>
        </w:rPr>
        <w:t>(leadership</w:t>
      </w:r>
      <w:r>
        <w:rPr>
          <w:color w:val="707172"/>
          <w:spacing w:val="12"/>
          <w:w w:val="120"/>
          <w:sz w:val="18"/>
        </w:rPr>
        <w:t> </w:t>
      </w:r>
      <w:r>
        <w:rPr>
          <w:color w:val="707172"/>
          <w:w w:val="120"/>
          <w:sz w:val="18"/>
        </w:rPr>
        <w:t>in</w:t>
      </w:r>
      <w:r>
        <w:rPr>
          <w:color w:val="707172"/>
          <w:spacing w:val="12"/>
          <w:w w:val="120"/>
          <w:sz w:val="18"/>
        </w:rPr>
        <w:t> </w:t>
      </w:r>
      <w:r>
        <w:rPr>
          <w:color w:val="707172"/>
          <w:w w:val="120"/>
          <w:sz w:val="18"/>
        </w:rPr>
        <w:t>worship</w:t>
      </w:r>
      <w:r>
        <w:rPr>
          <w:color w:val="707172"/>
          <w:spacing w:val="12"/>
          <w:w w:val="120"/>
          <w:sz w:val="18"/>
        </w:rPr>
        <w:t> </w:t>
      </w:r>
      <w:r>
        <w:rPr>
          <w:color w:val="707172"/>
          <w:w w:val="120"/>
          <w:sz w:val="18"/>
        </w:rPr>
        <w:t>advocate</w:t>
      </w:r>
      <w:r>
        <w:rPr>
          <w:color w:val="707172"/>
          <w:spacing w:val="12"/>
          <w:w w:val="120"/>
          <w:sz w:val="18"/>
        </w:rPr>
        <w:t> </w:t>
      </w:r>
      <w:r>
        <w:rPr>
          <w:color w:val="707172"/>
          <w:w w:val="120"/>
          <w:sz w:val="18"/>
        </w:rPr>
        <w:t>from</w:t>
      </w:r>
      <w:r>
        <w:rPr>
          <w:color w:val="707172"/>
          <w:spacing w:val="12"/>
          <w:w w:val="120"/>
          <w:sz w:val="18"/>
        </w:rPr>
        <w:t> </w:t>
      </w:r>
      <w:r>
        <w:rPr>
          <w:color w:val="707172"/>
          <w:spacing w:val="-5"/>
          <w:w w:val="120"/>
          <w:sz w:val="18"/>
        </w:rPr>
        <w:t>2017).</w:t>
      </w:r>
    </w:p>
    <w:p>
      <w:pPr>
        <w:pStyle w:val="BodyText"/>
        <w:rPr>
          <w:sz w:val="22"/>
        </w:rPr>
      </w:pPr>
    </w:p>
    <w:p>
      <w:pPr>
        <w:pStyle w:val="BodyText"/>
        <w:spacing w:before="5"/>
        <w:rPr>
          <w:sz w:val="16"/>
        </w:rPr>
      </w:pPr>
    </w:p>
    <w:p>
      <w:pPr>
        <w:pStyle w:val="ListParagraph"/>
        <w:numPr>
          <w:ilvl w:val="0"/>
          <w:numId w:val="81"/>
        </w:numPr>
        <w:tabs>
          <w:tab w:pos="2244" w:val="left" w:leader="none"/>
          <w:tab w:pos="2245" w:val="left" w:leader="none"/>
        </w:tabs>
        <w:spacing w:line="235" w:lineRule="auto" w:before="0" w:after="0"/>
        <w:ind w:left="1564" w:right="887" w:firstLine="0"/>
        <w:jc w:val="left"/>
        <w:rPr>
          <w:sz w:val="20"/>
        </w:rPr>
      </w:pPr>
      <w:r>
        <w:rPr>
          <w:spacing w:val="-3"/>
          <w:w w:val="120"/>
          <w:sz w:val="20"/>
        </w:rPr>
        <w:t>We continue to </w:t>
      </w:r>
      <w:r>
        <w:rPr>
          <w:w w:val="120"/>
          <w:sz w:val="20"/>
        </w:rPr>
        <w:t>be grateful for the </w:t>
      </w:r>
      <w:r>
        <w:rPr>
          <w:spacing w:val="-3"/>
          <w:w w:val="120"/>
          <w:sz w:val="20"/>
        </w:rPr>
        <w:t>contribution </w:t>
      </w:r>
      <w:r>
        <w:rPr>
          <w:w w:val="120"/>
          <w:sz w:val="20"/>
        </w:rPr>
        <w:t>made </w:t>
      </w:r>
      <w:r>
        <w:rPr>
          <w:spacing w:val="-3"/>
          <w:w w:val="120"/>
          <w:sz w:val="20"/>
        </w:rPr>
        <w:t>to </w:t>
      </w:r>
      <w:r>
        <w:rPr>
          <w:w w:val="120"/>
          <w:sz w:val="20"/>
        </w:rPr>
        <w:t>the support of the variety of</w:t>
      </w:r>
      <w:r>
        <w:rPr>
          <w:spacing w:val="-6"/>
          <w:w w:val="120"/>
          <w:sz w:val="20"/>
        </w:rPr>
        <w:t> </w:t>
      </w:r>
      <w:r>
        <w:rPr>
          <w:w w:val="120"/>
          <w:sz w:val="20"/>
        </w:rPr>
        <w:t>ministries</w:t>
      </w:r>
      <w:r>
        <w:rPr>
          <w:spacing w:val="-6"/>
          <w:w w:val="120"/>
          <w:sz w:val="20"/>
        </w:rPr>
        <w:t> </w:t>
      </w:r>
      <w:r>
        <w:rPr>
          <w:spacing w:val="-3"/>
          <w:w w:val="120"/>
          <w:sz w:val="20"/>
        </w:rPr>
        <w:t>within</w:t>
      </w:r>
      <w:r>
        <w:rPr>
          <w:spacing w:val="-6"/>
          <w:w w:val="120"/>
          <w:sz w:val="20"/>
        </w:rPr>
        <w:t> </w:t>
      </w:r>
      <w:r>
        <w:rPr>
          <w:w w:val="120"/>
          <w:sz w:val="20"/>
        </w:rPr>
        <w:t>the</w:t>
      </w:r>
      <w:r>
        <w:rPr>
          <w:spacing w:val="-6"/>
          <w:w w:val="120"/>
          <w:sz w:val="20"/>
        </w:rPr>
        <w:t> </w:t>
      </w:r>
      <w:r>
        <w:rPr>
          <w:spacing w:val="-3"/>
          <w:w w:val="120"/>
          <w:sz w:val="20"/>
        </w:rPr>
        <w:t>United</w:t>
      </w:r>
      <w:r>
        <w:rPr>
          <w:spacing w:val="-6"/>
          <w:w w:val="120"/>
          <w:sz w:val="20"/>
        </w:rPr>
        <w:t> </w:t>
      </w:r>
      <w:r>
        <w:rPr>
          <w:w w:val="120"/>
          <w:sz w:val="20"/>
        </w:rPr>
        <w:t>Reformed</w:t>
      </w:r>
      <w:r>
        <w:rPr>
          <w:spacing w:val="-6"/>
          <w:w w:val="120"/>
          <w:sz w:val="20"/>
        </w:rPr>
        <w:t> </w:t>
      </w:r>
      <w:r>
        <w:rPr>
          <w:spacing w:val="-3"/>
          <w:w w:val="120"/>
          <w:sz w:val="20"/>
        </w:rPr>
        <w:t>Church</w:t>
      </w:r>
      <w:r>
        <w:rPr>
          <w:spacing w:val="-6"/>
          <w:w w:val="120"/>
          <w:sz w:val="20"/>
        </w:rPr>
        <w:t> </w:t>
      </w:r>
      <w:r>
        <w:rPr>
          <w:w w:val="120"/>
          <w:sz w:val="20"/>
        </w:rPr>
        <w:t>by</w:t>
      </w:r>
      <w:r>
        <w:rPr>
          <w:spacing w:val="-6"/>
          <w:w w:val="120"/>
          <w:sz w:val="20"/>
        </w:rPr>
        <w:t> </w:t>
      </w:r>
      <w:r>
        <w:rPr>
          <w:w w:val="120"/>
          <w:sz w:val="20"/>
        </w:rPr>
        <w:t>members</w:t>
      </w:r>
      <w:r>
        <w:rPr>
          <w:spacing w:val="-6"/>
          <w:w w:val="120"/>
          <w:sz w:val="20"/>
        </w:rPr>
        <w:t> </w:t>
      </w:r>
      <w:r>
        <w:rPr>
          <w:w w:val="120"/>
          <w:sz w:val="20"/>
        </w:rPr>
        <w:t>of</w:t>
      </w:r>
      <w:r>
        <w:rPr>
          <w:spacing w:val="-6"/>
          <w:w w:val="120"/>
          <w:sz w:val="20"/>
        </w:rPr>
        <w:t> </w:t>
      </w:r>
      <w:r>
        <w:rPr>
          <w:w w:val="120"/>
          <w:sz w:val="20"/>
        </w:rPr>
        <w:t>the</w:t>
      </w:r>
      <w:r>
        <w:rPr>
          <w:spacing w:val="-6"/>
          <w:w w:val="120"/>
          <w:sz w:val="20"/>
        </w:rPr>
        <w:t> </w:t>
      </w:r>
      <w:r>
        <w:rPr>
          <w:w w:val="120"/>
          <w:sz w:val="20"/>
        </w:rPr>
        <w:t>ministries</w:t>
      </w:r>
      <w:r>
        <w:rPr>
          <w:spacing w:val="-6"/>
          <w:w w:val="120"/>
          <w:sz w:val="20"/>
        </w:rPr>
        <w:t> </w:t>
      </w:r>
      <w:r>
        <w:rPr>
          <w:spacing w:val="-3"/>
          <w:w w:val="120"/>
          <w:sz w:val="20"/>
        </w:rPr>
        <w:t>committee </w:t>
      </w:r>
      <w:r>
        <w:rPr>
          <w:w w:val="120"/>
          <w:sz w:val="20"/>
        </w:rPr>
        <w:t>and its </w:t>
      </w:r>
      <w:r>
        <w:rPr>
          <w:spacing w:val="-3"/>
          <w:w w:val="120"/>
          <w:sz w:val="20"/>
        </w:rPr>
        <w:t>subcommittees. </w:t>
      </w:r>
      <w:r>
        <w:rPr>
          <w:w w:val="120"/>
          <w:sz w:val="20"/>
        </w:rPr>
        <w:t>As in so </w:t>
      </w:r>
      <w:r>
        <w:rPr>
          <w:spacing w:val="-3"/>
          <w:w w:val="120"/>
          <w:sz w:val="20"/>
        </w:rPr>
        <w:t>many </w:t>
      </w:r>
      <w:r>
        <w:rPr>
          <w:w w:val="120"/>
          <w:sz w:val="20"/>
        </w:rPr>
        <w:t>other areas of the </w:t>
      </w:r>
      <w:r>
        <w:rPr>
          <w:spacing w:val="-5"/>
          <w:w w:val="120"/>
          <w:sz w:val="20"/>
        </w:rPr>
        <w:t>Church’s </w:t>
      </w:r>
      <w:r>
        <w:rPr>
          <w:w w:val="120"/>
          <w:sz w:val="20"/>
        </w:rPr>
        <w:t>life we </w:t>
      </w:r>
      <w:r>
        <w:rPr>
          <w:spacing w:val="-3"/>
          <w:w w:val="120"/>
          <w:sz w:val="20"/>
        </w:rPr>
        <w:t>appreciate </w:t>
      </w:r>
      <w:r>
        <w:rPr>
          <w:w w:val="120"/>
          <w:sz w:val="20"/>
        </w:rPr>
        <w:t>the expertise and </w:t>
      </w:r>
      <w:r>
        <w:rPr>
          <w:spacing w:val="-3"/>
          <w:w w:val="120"/>
          <w:sz w:val="20"/>
        </w:rPr>
        <w:t>commitment </w:t>
      </w:r>
      <w:r>
        <w:rPr>
          <w:w w:val="120"/>
          <w:sz w:val="20"/>
        </w:rPr>
        <w:t>that these </w:t>
      </w:r>
      <w:r>
        <w:rPr>
          <w:spacing w:val="-3"/>
          <w:w w:val="120"/>
          <w:sz w:val="20"/>
        </w:rPr>
        <w:t>many volunteers </w:t>
      </w:r>
      <w:r>
        <w:rPr>
          <w:w w:val="120"/>
          <w:sz w:val="20"/>
        </w:rPr>
        <w:t>bring </w:t>
      </w:r>
      <w:r>
        <w:rPr>
          <w:spacing w:val="-3"/>
          <w:w w:val="120"/>
          <w:sz w:val="20"/>
        </w:rPr>
        <w:t>to this</w:t>
      </w:r>
      <w:r>
        <w:rPr>
          <w:spacing w:val="-12"/>
          <w:w w:val="120"/>
          <w:sz w:val="20"/>
        </w:rPr>
        <w:t> </w:t>
      </w:r>
      <w:r>
        <w:rPr>
          <w:w w:val="120"/>
          <w:sz w:val="20"/>
        </w:rPr>
        <w:t>work.</w:t>
      </w:r>
    </w:p>
    <w:p>
      <w:pPr>
        <w:pStyle w:val="BodyText"/>
        <w:spacing w:before="4"/>
        <w:rPr>
          <w:sz w:val="22"/>
        </w:rPr>
      </w:pPr>
    </w:p>
    <w:p>
      <w:pPr>
        <w:spacing w:before="0"/>
        <w:ind w:left="1564" w:right="0" w:firstLine="0"/>
        <w:jc w:val="left"/>
        <w:rPr>
          <w:rFonts w:ascii="Stone Sans II ITC Std Bk"/>
          <w:b/>
          <w:sz w:val="29"/>
        </w:rPr>
      </w:pPr>
      <w:r>
        <w:rPr>
          <w:rFonts w:ascii="Stone Sans II ITC Std Bk"/>
          <w:b/>
          <w:w w:val="110"/>
          <w:sz w:val="29"/>
        </w:rPr>
        <w:t>Minister numbers</w:t>
      </w:r>
    </w:p>
    <w:p>
      <w:pPr>
        <w:pStyle w:val="ListParagraph"/>
        <w:numPr>
          <w:ilvl w:val="1"/>
          <w:numId w:val="82"/>
        </w:numPr>
        <w:tabs>
          <w:tab w:pos="2244" w:val="left" w:leader="none"/>
          <w:tab w:pos="2245" w:val="left" w:leader="none"/>
        </w:tabs>
        <w:spacing w:line="235" w:lineRule="auto" w:before="69" w:after="0"/>
        <w:ind w:left="1564" w:right="936" w:firstLine="0"/>
        <w:jc w:val="left"/>
        <w:rPr>
          <w:sz w:val="20"/>
        </w:rPr>
      </w:pPr>
      <w:r>
        <w:rPr>
          <w:w w:val="120"/>
          <w:sz w:val="20"/>
        </w:rPr>
        <w:t>Since General Assembly </w:t>
      </w:r>
      <w:r>
        <w:rPr>
          <w:spacing w:val="-7"/>
          <w:w w:val="120"/>
          <w:sz w:val="20"/>
        </w:rPr>
        <w:t>2016 </w:t>
      </w:r>
      <w:r>
        <w:rPr>
          <w:w w:val="120"/>
          <w:sz w:val="20"/>
        </w:rPr>
        <w:t>the committee has continued to consider the number of stipendiary ministers likely to be available to the church and how the valuable resource represented by these committed women and men of faith can best serve our mission. We bring a resolution to Assembly which seeks to remind the church that there is some flexibility in how we ‘deploy’</w:t>
      </w:r>
      <w:r>
        <w:rPr>
          <w:spacing w:val="17"/>
          <w:w w:val="120"/>
          <w:sz w:val="20"/>
        </w:rPr>
        <w:t> </w:t>
      </w:r>
      <w:r>
        <w:rPr>
          <w:w w:val="120"/>
          <w:sz w:val="20"/>
        </w:rPr>
        <w:t>ministers.</w:t>
      </w:r>
    </w:p>
    <w:p>
      <w:pPr>
        <w:pStyle w:val="BodyText"/>
        <w:spacing w:before="11"/>
        <w:rPr>
          <w:sz w:val="19"/>
        </w:rPr>
      </w:pPr>
    </w:p>
    <w:p>
      <w:pPr>
        <w:pStyle w:val="ListParagraph"/>
        <w:numPr>
          <w:ilvl w:val="1"/>
          <w:numId w:val="82"/>
        </w:numPr>
        <w:tabs>
          <w:tab w:pos="2244" w:val="left" w:leader="none"/>
          <w:tab w:pos="2245" w:val="left" w:leader="none"/>
        </w:tabs>
        <w:spacing w:line="235" w:lineRule="auto" w:before="0" w:after="0"/>
        <w:ind w:left="1564" w:right="977" w:firstLine="0"/>
        <w:jc w:val="left"/>
        <w:rPr>
          <w:sz w:val="20"/>
        </w:rPr>
      </w:pPr>
      <w:r>
        <w:rPr>
          <w:w w:val="120"/>
          <w:sz w:val="20"/>
        </w:rPr>
        <w:t>The contribution made by those who serve as ministers in a non-stipendiary  role is greatly valued by our church. However, it is believed that the current training requirements for those offering for non-stipendiary service may deter some from offering service in a distinct local setting. Following consultation and exploration at Mission</w:t>
      </w:r>
      <w:r>
        <w:rPr>
          <w:spacing w:val="7"/>
          <w:w w:val="120"/>
          <w:sz w:val="20"/>
        </w:rPr>
        <w:t> </w:t>
      </w:r>
      <w:r>
        <w:rPr>
          <w:w w:val="120"/>
          <w:sz w:val="20"/>
        </w:rPr>
        <w:t>Council</w:t>
      </w:r>
      <w:r>
        <w:rPr>
          <w:spacing w:val="7"/>
          <w:w w:val="120"/>
          <w:sz w:val="20"/>
        </w:rPr>
        <w:t> </w:t>
      </w:r>
      <w:r>
        <w:rPr>
          <w:w w:val="120"/>
          <w:sz w:val="20"/>
        </w:rPr>
        <w:t>we</w:t>
      </w:r>
      <w:r>
        <w:rPr>
          <w:spacing w:val="8"/>
          <w:w w:val="120"/>
          <w:sz w:val="20"/>
        </w:rPr>
        <w:t> </w:t>
      </w:r>
      <w:r>
        <w:rPr>
          <w:w w:val="120"/>
          <w:sz w:val="20"/>
        </w:rPr>
        <w:t>bring</w:t>
      </w:r>
      <w:r>
        <w:rPr>
          <w:spacing w:val="7"/>
          <w:w w:val="120"/>
          <w:sz w:val="20"/>
        </w:rPr>
        <w:t> </w:t>
      </w:r>
      <w:r>
        <w:rPr>
          <w:w w:val="120"/>
          <w:sz w:val="20"/>
        </w:rPr>
        <w:t>a</w:t>
      </w:r>
      <w:r>
        <w:rPr>
          <w:spacing w:val="8"/>
          <w:w w:val="120"/>
          <w:sz w:val="20"/>
        </w:rPr>
        <w:t> </w:t>
      </w:r>
      <w:r>
        <w:rPr>
          <w:w w:val="120"/>
          <w:sz w:val="20"/>
        </w:rPr>
        <w:t>proposal</w:t>
      </w:r>
      <w:r>
        <w:rPr>
          <w:spacing w:val="7"/>
          <w:w w:val="120"/>
          <w:sz w:val="20"/>
        </w:rPr>
        <w:t> </w:t>
      </w:r>
      <w:r>
        <w:rPr>
          <w:w w:val="120"/>
          <w:sz w:val="20"/>
        </w:rPr>
        <w:t>for</w:t>
      </w:r>
      <w:r>
        <w:rPr>
          <w:spacing w:val="8"/>
          <w:w w:val="120"/>
          <w:sz w:val="20"/>
        </w:rPr>
        <w:t> </w:t>
      </w:r>
      <w:r>
        <w:rPr>
          <w:w w:val="120"/>
          <w:sz w:val="20"/>
        </w:rPr>
        <w:t>a</w:t>
      </w:r>
      <w:r>
        <w:rPr>
          <w:spacing w:val="7"/>
          <w:w w:val="120"/>
          <w:sz w:val="20"/>
        </w:rPr>
        <w:t> </w:t>
      </w:r>
      <w:r>
        <w:rPr>
          <w:w w:val="120"/>
          <w:sz w:val="20"/>
        </w:rPr>
        <w:t>new</w:t>
      </w:r>
      <w:r>
        <w:rPr>
          <w:spacing w:val="8"/>
          <w:w w:val="120"/>
          <w:sz w:val="20"/>
        </w:rPr>
        <w:t> </w:t>
      </w:r>
      <w:r>
        <w:rPr>
          <w:w w:val="120"/>
          <w:sz w:val="20"/>
        </w:rPr>
        <w:t>model</w:t>
      </w:r>
      <w:r>
        <w:rPr>
          <w:spacing w:val="7"/>
          <w:w w:val="120"/>
          <w:sz w:val="20"/>
        </w:rPr>
        <w:t> </w:t>
      </w:r>
      <w:r>
        <w:rPr>
          <w:w w:val="120"/>
          <w:sz w:val="20"/>
        </w:rPr>
        <w:t>of</w:t>
      </w:r>
      <w:r>
        <w:rPr>
          <w:spacing w:val="8"/>
          <w:w w:val="120"/>
          <w:sz w:val="20"/>
        </w:rPr>
        <w:t> </w:t>
      </w:r>
      <w:r>
        <w:rPr>
          <w:w w:val="120"/>
          <w:sz w:val="20"/>
        </w:rPr>
        <w:t>local</w:t>
      </w:r>
      <w:r>
        <w:rPr>
          <w:spacing w:val="7"/>
          <w:w w:val="120"/>
          <w:sz w:val="20"/>
        </w:rPr>
        <w:t> </w:t>
      </w:r>
      <w:r>
        <w:rPr>
          <w:w w:val="120"/>
          <w:sz w:val="20"/>
        </w:rPr>
        <w:t>non-stipendiary</w:t>
      </w:r>
      <w:r>
        <w:rPr>
          <w:spacing w:val="8"/>
          <w:w w:val="120"/>
          <w:sz w:val="20"/>
        </w:rPr>
        <w:t> </w:t>
      </w:r>
      <w:r>
        <w:rPr>
          <w:w w:val="120"/>
          <w:sz w:val="20"/>
        </w:rPr>
        <w:t>ministry.</w:t>
      </w:r>
    </w:p>
    <w:p>
      <w:pPr>
        <w:pStyle w:val="BodyText"/>
      </w:pPr>
    </w:p>
    <w:p>
      <w:pPr>
        <w:pStyle w:val="ListParagraph"/>
        <w:numPr>
          <w:ilvl w:val="1"/>
          <w:numId w:val="82"/>
        </w:numPr>
        <w:tabs>
          <w:tab w:pos="2244" w:val="left" w:leader="none"/>
          <w:tab w:pos="2245" w:val="left" w:leader="none"/>
        </w:tabs>
        <w:spacing w:line="235" w:lineRule="auto" w:before="0" w:after="0"/>
        <w:ind w:left="1564" w:right="875" w:firstLine="0"/>
        <w:jc w:val="left"/>
        <w:rPr>
          <w:sz w:val="20"/>
        </w:rPr>
      </w:pPr>
      <w:r>
        <w:rPr>
          <w:w w:val="120"/>
          <w:sz w:val="20"/>
        </w:rPr>
        <w:t>Whilst in some places it is felt that we </w:t>
      </w:r>
      <w:r>
        <w:rPr>
          <w:spacing w:val="-3"/>
          <w:w w:val="120"/>
          <w:sz w:val="20"/>
        </w:rPr>
        <w:t>‘do </w:t>
      </w:r>
      <w:r>
        <w:rPr>
          <w:w w:val="120"/>
          <w:sz w:val="20"/>
        </w:rPr>
        <w:t>not have enough </w:t>
      </w:r>
      <w:r>
        <w:rPr>
          <w:spacing w:val="-3"/>
          <w:w w:val="120"/>
          <w:sz w:val="20"/>
        </w:rPr>
        <w:t>ministers’, </w:t>
      </w:r>
      <w:r>
        <w:rPr>
          <w:w w:val="120"/>
          <w:sz w:val="20"/>
        </w:rPr>
        <w:t>our demographics and financial resources suggest that the number of stipendiary ministers we can afford to support is not very much larger than the number we expect to have in the coming years. </w:t>
      </w:r>
      <w:r>
        <w:rPr>
          <w:spacing w:val="3"/>
          <w:w w:val="120"/>
          <w:sz w:val="20"/>
        </w:rPr>
        <w:t>As </w:t>
      </w:r>
      <w:r>
        <w:rPr>
          <w:w w:val="120"/>
          <w:sz w:val="20"/>
        </w:rPr>
        <w:t>will be seen in the </w:t>
      </w:r>
      <w:r>
        <w:rPr>
          <w:spacing w:val="2"/>
          <w:w w:val="120"/>
          <w:sz w:val="20"/>
        </w:rPr>
        <w:t>report </w:t>
      </w:r>
      <w:r>
        <w:rPr>
          <w:w w:val="120"/>
          <w:sz w:val="20"/>
        </w:rPr>
        <w:t>of the accreditation subcommittee the shortfall is being addressed to a certain extent by the issuing of Certificates of</w:t>
      </w:r>
      <w:r>
        <w:rPr>
          <w:spacing w:val="7"/>
          <w:w w:val="120"/>
          <w:sz w:val="20"/>
        </w:rPr>
        <w:t> </w:t>
      </w:r>
      <w:r>
        <w:rPr>
          <w:w w:val="120"/>
          <w:sz w:val="20"/>
        </w:rPr>
        <w:t>Eligibility.</w:t>
      </w:r>
    </w:p>
    <w:p>
      <w:pPr>
        <w:pStyle w:val="BodyText"/>
        <w:spacing w:before="4"/>
        <w:rPr>
          <w:sz w:val="22"/>
        </w:rPr>
      </w:pPr>
    </w:p>
    <w:p>
      <w:pPr>
        <w:pStyle w:val="Heading4"/>
        <w:ind w:left="1564" w:firstLine="0"/>
      </w:pPr>
      <w:r>
        <w:rPr>
          <w:w w:val="110"/>
        </w:rPr>
        <w:t>Funding additional ministries</w:t>
      </w:r>
    </w:p>
    <w:p>
      <w:pPr>
        <w:pStyle w:val="ListParagraph"/>
        <w:numPr>
          <w:ilvl w:val="0"/>
          <w:numId w:val="83"/>
        </w:numPr>
        <w:tabs>
          <w:tab w:pos="2244" w:val="left" w:leader="none"/>
          <w:tab w:pos="2245" w:val="left" w:leader="none"/>
        </w:tabs>
        <w:spacing w:line="235" w:lineRule="auto" w:before="69" w:after="0"/>
        <w:ind w:left="1564" w:right="952" w:firstLine="0"/>
        <w:jc w:val="left"/>
        <w:rPr>
          <w:sz w:val="20"/>
        </w:rPr>
      </w:pPr>
      <w:r>
        <w:rPr>
          <w:w w:val="120"/>
          <w:sz w:val="20"/>
        </w:rPr>
        <w:t>In response to requests from some synods, and recognising that there may be a shortfall in the number of stipendiary ministers available for deployment in the coming years, the committee asked Mission Council to agree a pilot of a scheme whereby ministry and mission fund monies could be released to synods to support ministry  other than stipendiary ministry of word and sacraments and church related community work. This may be full or part-time, sessional or expense-only work and could be youth or family work, community or pastoral support, or many other aspects of ministry</w:t>
      </w:r>
      <w:r>
        <w:rPr>
          <w:spacing w:val="32"/>
          <w:w w:val="120"/>
          <w:sz w:val="20"/>
        </w:rPr>
        <w:t> </w:t>
      </w:r>
      <w:r>
        <w:rPr>
          <w:w w:val="120"/>
          <w:sz w:val="20"/>
        </w:rPr>
        <w:t>that</w:t>
      </w:r>
    </w:p>
    <w:p>
      <w:pPr>
        <w:spacing w:after="0" w:line="235" w:lineRule="auto"/>
        <w:jc w:val="left"/>
        <w:rPr>
          <w:sz w:val="20"/>
        </w:rPr>
        <w:sectPr>
          <w:headerReference w:type="default" r:id="rId348"/>
          <w:footerReference w:type="default" r:id="rId349"/>
          <w:footerReference w:type="even" r:id="rId350"/>
          <w:pgSz w:w="11910" w:h="16840"/>
          <w:pgMar w:header="0" w:footer="647" w:top="0" w:bottom="840" w:left="420" w:right="380"/>
          <w:pgNumType w:start="123"/>
        </w:sectPr>
      </w:pPr>
    </w:p>
    <w:p>
      <w:pPr>
        <w:pStyle w:val="BodyText"/>
      </w:pPr>
      <w:r>
        <w:rPr/>
        <w:drawing>
          <wp:anchor distT="0" distB="0" distL="0" distR="0" allowOverlap="1" layoutInCell="1" locked="0" behindDoc="1" simplePos="0" relativeHeight="236018688">
            <wp:simplePos x="0" y="0"/>
            <wp:positionH relativeFrom="page">
              <wp:posOffset>0</wp:posOffset>
            </wp:positionH>
            <wp:positionV relativeFrom="page">
              <wp:posOffset>0</wp:posOffset>
            </wp:positionV>
            <wp:extent cx="594067" cy="10692003"/>
            <wp:effectExtent l="0" t="0" r="0" b="0"/>
            <wp:wrapNone/>
            <wp:docPr id="237" name="image70.png"/>
            <wp:cNvGraphicFramePr>
              <a:graphicFrameLocks noChangeAspect="1"/>
            </wp:cNvGraphicFramePr>
            <a:graphic>
              <a:graphicData uri="http://schemas.openxmlformats.org/drawingml/2006/picture">
                <pic:pic>
                  <pic:nvPicPr>
                    <pic:cNvPr id="23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02.15pt;mso-position-horizontal-relative:page;mso-position-vertical-relative:paragraph;z-index:251986944" type="#_x0000_t202" filled="false" stroked="false">
            <v:textbox inset="0,0,0,0" style="layout-flow:vertical">
              <w:txbxContent>
                <w:p>
                  <w:pPr>
                    <w:spacing w:before="29"/>
                    <w:ind w:left="20" w:right="0" w:firstLine="0"/>
                    <w:jc w:val="left"/>
                    <w:rPr>
                      <w:sz w:val="39"/>
                    </w:rPr>
                  </w:pPr>
                  <w:r>
                    <w:rPr>
                      <w:color w:val="FFFFFF"/>
                      <w:w w:val="120"/>
                      <w:sz w:val="39"/>
                    </w:rPr>
                    <w:t>Ministries</w:t>
                  </w:r>
                </w:p>
              </w:txbxContent>
            </v:textbox>
            <w10:wrap type="none"/>
          </v:shape>
        </w:pict>
      </w:r>
      <w:bookmarkStart w:name="_TOC_250003" w:id="30"/>
      <w:bookmarkEnd w:id="30"/>
      <w:r>
        <w:rPr>
          <w:color w:val="7EAABF"/>
          <w:w w:val="115"/>
        </w:rPr>
        <w:t>Ministries</w:t>
      </w:r>
    </w:p>
    <w:p>
      <w:pPr>
        <w:pStyle w:val="BodyText"/>
        <w:spacing w:line="235" w:lineRule="auto" w:before="222"/>
        <w:ind w:left="827" w:right="1620"/>
      </w:pPr>
      <w:r>
        <w:rPr>
          <w:w w:val="120"/>
        </w:rPr>
        <w:t>would not be possible without additional funding being provided. We have invited synods to declare an interest in being a pilot synod and when these have been received and considered we will choose two with whom we shall partner to explore the value of such a scheme.</w:t>
      </w:r>
    </w:p>
    <w:p>
      <w:pPr>
        <w:pStyle w:val="BodyText"/>
        <w:spacing w:before="3"/>
        <w:rPr>
          <w:sz w:val="22"/>
        </w:rPr>
      </w:pPr>
    </w:p>
    <w:p>
      <w:pPr>
        <w:pStyle w:val="Heading4"/>
        <w:ind w:firstLine="0"/>
      </w:pPr>
      <w:r>
        <w:rPr>
          <w:w w:val="110"/>
        </w:rPr>
        <w:t>Pastoral supervision</w:t>
      </w:r>
    </w:p>
    <w:p>
      <w:pPr>
        <w:pStyle w:val="ListParagraph"/>
        <w:numPr>
          <w:ilvl w:val="0"/>
          <w:numId w:val="83"/>
        </w:numPr>
        <w:tabs>
          <w:tab w:pos="1507" w:val="left" w:leader="none"/>
          <w:tab w:pos="1508" w:val="left" w:leader="none"/>
        </w:tabs>
        <w:spacing w:line="235" w:lineRule="auto" w:before="69" w:after="0"/>
        <w:ind w:left="827" w:right="2416" w:firstLine="0"/>
        <w:jc w:val="left"/>
        <w:rPr>
          <w:sz w:val="20"/>
        </w:rPr>
      </w:pPr>
      <w:r>
        <w:rPr>
          <w:w w:val="120"/>
          <w:sz w:val="20"/>
        </w:rPr>
        <w:t>The support and accountability of ministers is a matter of concern for the ministries committee along with many across the church. </w:t>
      </w:r>
      <w:r>
        <w:rPr>
          <w:spacing w:val="3"/>
          <w:w w:val="120"/>
          <w:sz w:val="20"/>
        </w:rPr>
        <w:t>As </w:t>
      </w:r>
      <w:r>
        <w:rPr>
          <w:w w:val="120"/>
          <w:sz w:val="20"/>
        </w:rPr>
        <w:t>ministry continues to</w:t>
      </w:r>
      <w:r>
        <w:rPr>
          <w:spacing w:val="8"/>
          <w:w w:val="120"/>
          <w:sz w:val="20"/>
        </w:rPr>
        <w:t> </w:t>
      </w:r>
      <w:r>
        <w:rPr>
          <w:w w:val="120"/>
          <w:sz w:val="20"/>
        </w:rPr>
        <w:t>develop</w:t>
      </w:r>
      <w:r>
        <w:rPr>
          <w:spacing w:val="9"/>
          <w:w w:val="120"/>
          <w:sz w:val="20"/>
        </w:rPr>
        <w:t> </w:t>
      </w:r>
      <w:r>
        <w:rPr>
          <w:w w:val="120"/>
          <w:sz w:val="20"/>
        </w:rPr>
        <w:t>in</w:t>
      </w:r>
      <w:r>
        <w:rPr>
          <w:spacing w:val="8"/>
          <w:w w:val="120"/>
          <w:sz w:val="20"/>
        </w:rPr>
        <w:t> </w:t>
      </w:r>
      <w:r>
        <w:rPr>
          <w:w w:val="120"/>
          <w:sz w:val="20"/>
        </w:rPr>
        <w:t>response</w:t>
      </w:r>
      <w:r>
        <w:rPr>
          <w:spacing w:val="9"/>
          <w:w w:val="120"/>
          <w:sz w:val="20"/>
        </w:rPr>
        <w:t> </w:t>
      </w:r>
      <w:r>
        <w:rPr>
          <w:w w:val="120"/>
          <w:sz w:val="20"/>
        </w:rPr>
        <w:t>to</w:t>
      </w:r>
      <w:r>
        <w:rPr>
          <w:spacing w:val="9"/>
          <w:w w:val="120"/>
          <w:sz w:val="20"/>
        </w:rPr>
        <w:t> </w:t>
      </w:r>
      <w:r>
        <w:rPr>
          <w:w w:val="120"/>
          <w:sz w:val="20"/>
        </w:rPr>
        <w:t>changes</w:t>
      </w:r>
      <w:r>
        <w:rPr>
          <w:spacing w:val="8"/>
          <w:w w:val="120"/>
          <w:sz w:val="20"/>
        </w:rPr>
        <w:t> </w:t>
      </w:r>
      <w:r>
        <w:rPr>
          <w:w w:val="120"/>
          <w:sz w:val="20"/>
        </w:rPr>
        <w:t>in</w:t>
      </w:r>
      <w:r>
        <w:rPr>
          <w:spacing w:val="9"/>
          <w:w w:val="120"/>
          <w:sz w:val="20"/>
        </w:rPr>
        <w:t> </w:t>
      </w:r>
      <w:r>
        <w:rPr>
          <w:w w:val="120"/>
          <w:sz w:val="20"/>
        </w:rPr>
        <w:t>demographics,</w:t>
      </w:r>
      <w:r>
        <w:rPr>
          <w:spacing w:val="9"/>
          <w:w w:val="120"/>
          <w:sz w:val="20"/>
        </w:rPr>
        <w:t> </w:t>
      </w:r>
      <w:r>
        <w:rPr>
          <w:w w:val="120"/>
          <w:sz w:val="20"/>
        </w:rPr>
        <w:t>secularisation</w:t>
      </w:r>
      <w:r>
        <w:rPr>
          <w:spacing w:val="8"/>
          <w:w w:val="120"/>
          <w:sz w:val="20"/>
        </w:rPr>
        <w:t> </w:t>
      </w:r>
      <w:r>
        <w:rPr>
          <w:w w:val="120"/>
          <w:sz w:val="20"/>
        </w:rPr>
        <w:t>and</w:t>
      </w:r>
      <w:r>
        <w:rPr>
          <w:spacing w:val="9"/>
          <w:w w:val="120"/>
          <w:sz w:val="20"/>
        </w:rPr>
        <w:t> </w:t>
      </w:r>
      <w:r>
        <w:rPr>
          <w:w w:val="120"/>
          <w:sz w:val="20"/>
        </w:rPr>
        <w:t>digital</w:t>
      </w:r>
    </w:p>
    <w:p>
      <w:pPr>
        <w:pStyle w:val="BodyText"/>
        <w:spacing w:line="235" w:lineRule="auto" w:before="2"/>
        <w:ind w:left="827" w:right="1868"/>
      </w:pPr>
      <w:r>
        <w:rPr>
          <w:w w:val="120"/>
        </w:rPr>
        <w:t>communication, ministers can find themselves increasingly isolated and seeking to manage diverse and, sometimes, opposing expectations. Additionally, external bodies may have expectations with regard to ministerial practice that are difficult or unwise to ignore. The past case review and increased awareness of safeguarding is one such area. Recognising that some within our church, including one synod and at least one ecumenical partner, believe that pastoral supervision is an appropriate response to some of the pressure on ministers, the ministries committee will be exploring this further and consulting with others across the</w:t>
      </w:r>
      <w:r>
        <w:rPr>
          <w:spacing w:val="15"/>
          <w:w w:val="120"/>
        </w:rPr>
        <w:t> </w:t>
      </w:r>
      <w:r>
        <w:rPr>
          <w:w w:val="120"/>
        </w:rPr>
        <w:t>church.</w:t>
      </w:r>
    </w:p>
    <w:p>
      <w:pPr>
        <w:pStyle w:val="BodyText"/>
        <w:spacing w:before="6"/>
        <w:rPr>
          <w:sz w:val="22"/>
        </w:rPr>
      </w:pPr>
    </w:p>
    <w:p>
      <w:pPr>
        <w:pStyle w:val="Heading4"/>
        <w:spacing w:before="1"/>
        <w:ind w:firstLine="0"/>
      </w:pPr>
      <w:r>
        <w:rPr>
          <w:w w:val="110"/>
        </w:rPr>
        <w:t>Ministers’ gathering</w:t>
      </w:r>
    </w:p>
    <w:p>
      <w:pPr>
        <w:pStyle w:val="ListParagraph"/>
        <w:numPr>
          <w:ilvl w:val="0"/>
          <w:numId w:val="83"/>
        </w:numPr>
        <w:tabs>
          <w:tab w:pos="1507" w:val="left" w:leader="none"/>
          <w:tab w:pos="1508" w:val="left" w:leader="none"/>
        </w:tabs>
        <w:spacing w:line="235" w:lineRule="auto" w:before="69" w:after="0"/>
        <w:ind w:left="827" w:right="1773" w:firstLine="0"/>
        <w:jc w:val="left"/>
        <w:rPr>
          <w:sz w:val="20"/>
        </w:rPr>
      </w:pPr>
      <w:r>
        <w:rPr>
          <w:w w:val="120"/>
          <w:sz w:val="20"/>
        </w:rPr>
        <w:t>Arising out of ‘Walking the Way: Living the life of Jesus today’ and the changing nature of ministry, the ministries committee has been working with the</w:t>
      </w:r>
      <w:r>
        <w:rPr>
          <w:spacing w:val="19"/>
          <w:w w:val="120"/>
          <w:sz w:val="20"/>
        </w:rPr>
        <w:t> </w:t>
      </w:r>
      <w:r>
        <w:rPr>
          <w:w w:val="120"/>
          <w:sz w:val="20"/>
        </w:rPr>
        <w:t>‘Walking</w:t>
      </w:r>
    </w:p>
    <w:p>
      <w:pPr>
        <w:pStyle w:val="BodyText"/>
        <w:spacing w:line="235" w:lineRule="auto" w:before="1"/>
        <w:ind w:left="827" w:right="1967"/>
      </w:pPr>
      <w:r>
        <w:rPr>
          <w:w w:val="120"/>
        </w:rPr>
        <w:t>the Way’ steering group and education and learning to arrange a gathering for the United Reformed </w:t>
      </w:r>
      <w:r>
        <w:rPr>
          <w:spacing w:val="-3"/>
          <w:w w:val="120"/>
        </w:rPr>
        <w:t>Church’s </w:t>
      </w:r>
      <w:r>
        <w:rPr>
          <w:w w:val="120"/>
        </w:rPr>
        <w:t>active ministers, both Ministers of Word and Sacraments and Church Related Community Workers. Over </w:t>
      </w:r>
      <w:r>
        <w:rPr>
          <w:spacing w:val="2"/>
          <w:w w:val="120"/>
        </w:rPr>
        <w:t>600 </w:t>
      </w:r>
      <w:r>
        <w:rPr>
          <w:w w:val="120"/>
        </w:rPr>
        <w:t>ministers were invited and about </w:t>
      </w:r>
      <w:r>
        <w:rPr>
          <w:spacing w:val="-3"/>
          <w:w w:val="120"/>
        </w:rPr>
        <w:t>350 </w:t>
      </w:r>
      <w:r>
        <w:rPr>
          <w:w w:val="120"/>
        </w:rPr>
        <w:t>will be gathering at Yarnfield Park in Staffordshire at the end of April </w:t>
      </w:r>
      <w:r>
        <w:rPr>
          <w:spacing w:val="-5"/>
          <w:w w:val="120"/>
        </w:rPr>
        <w:t>2018. </w:t>
      </w:r>
      <w:r>
        <w:rPr>
          <w:spacing w:val="3"/>
          <w:w w:val="120"/>
        </w:rPr>
        <w:t>As </w:t>
      </w:r>
      <w:r>
        <w:rPr>
          <w:w w:val="120"/>
        </w:rPr>
        <w:t>well</w:t>
      </w:r>
      <w:r>
        <w:rPr>
          <w:spacing w:val="5"/>
          <w:w w:val="120"/>
        </w:rPr>
        <w:t> </w:t>
      </w:r>
      <w:r>
        <w:rPr>
          <w:w w:val="120"/>
        </w:rPr>
        <w:t>as</w:t>
      </w:r>
      <w:r>
        <w:rPr>
          <w:spacing w:val="6"/>
          <w:w w:val="120"/>
        </w:rPr>
        <w:t> </w:t>
      </w:r>
      <w:r>
        <w:rPr>
          <w:w w:val="120"/>
        </w:rPr>
        <w:t>this</w:t>
      </w:r>
      <w:r>
        <w:rPr>
          <w:spacing w:val="5"/>
          <w:w w:val="120"/>
        </w:rPr>
        <w:t> </w:t>
      </w:r>
      <w:r>
        <w:rPr>
          <w:w w:val="120"/>
        </w:rPr>
        <w:t>being</w:t>
      </w:r>
      <w:r>
        <w:rPr>
          <w:spacing w:val="6"/>
          <w:w w:val="120"/>
        </w:rPr>
        <w:t> </w:t>
      </w:r>
      <w:r>
        <w:rPr>
          <w:w w:val="120"/>
        </w:rPr>
        <w:t>a</w:t>
      </w:r>
      <w:r>
        <w:rPr>
          <w:spacing w:val="6"/>
          <w:w w:val="120"/>
        </w:rPr>
        <w:t> </w:t>
      </w:r>
      <w:r>
        <w:rPr>
          <w:w w:val="120"/>
        </w:rPr>
        <w:t>unique</w:t>
      </w:r>
      <w:r>
        <w:rPr>
          <w:spacing w:val="5"/>
          <w:w w:val="120"/>
        </w:rPr>
        <w:t> </w:t>
      </w:r>
      <w:r>
        <w:rPr>
          <w:w w:val="120"/>
        </w:rPr>
        <w:t>opportunity</w:t>
      </w:r>
      <w:r>
        <w:rPr>
          <w:spacing w:val="6"/>
          <w:w w:val="120"/>
        </w:rPr>
        <w:t> </w:t>
      </w:r>
      <w:r>
        <w:rPr>
          <w:w w:val="120"/>
        </w:rPr>
        <w:t>to</w:t>
      </w:r>
      <w:r>
        <w:rPr>
          <w:spacing w:val="6"/>
          <w:w w:val="120"/>
        </w:rPr>
        <w:t> </w:t>
      </w:r>
      <w:r>
        <w:rPr>
          <w:w w:val="120"/>
        </w:rPr>
        <w:t>meet</w:t>
      </w:r>
      <w:r>
        <w:rPr>
          <w:spacing w:val="5"/>
          <w:w w:val="120"/>
        </w:rPr>
        <w:t> </w:t>
      </w:r>
      <w:r>
        <w:rPr>
          <w:w w:val="120"/>
        </w:rPr>
        <w:t>with</w:t>
      </w:r>
      <w:r>
        <w:rPr>
          <w:spacing w:val="6"/>
          <w:w w:val="120"/>
        </w:rPr>
        <w:t> </w:t>
      </w:r>
      <w:r>
        <w:rPr>
          <w:w w:val="120"/>
        </w:rPr>
        <w:t>a</w:t>
      </w:r>
      <w:r>
        <w:rPr>
          <w:spacing w:val="6"/>
          <w:w w:val="120"/>
        </w:rPr>
        <w:t> </w:t>
      </w:r>
      <w:r>
        <w:rPr>
          <w:w w:val="120"/>
        </w:rPr>
        <w:t>large</w:t>
      </w:r>
      <w:r>
        <w:rPr>
          <w:spacing w:val="5"/>
          <w:w w:val="120"/>
        </w:rPr>
        <w:t> </w:t>
      </w:r>
      <w:r>
        <w:rPr>
          <w:w w:val="120"/>
        </w:rPr>
        <w:t>number</w:t>
      </w:r>
      <w:r>
        <w:rPr>
          <w:spacing w:val="6"/>
          <w:w w:val="120"/>
        </w:rPr>
        <w:t> </w:t>
      </w:r>
      <w:r>
        <w:rPr>
          <w:w w:val="120"/>
        </w:rPr>
        <w:t>of</w:t>
      </w:r>
      <w:r>
        <w:rPr>
          <w:spacing w:val="5"/>
          <w:w w:val="120"/>
        </w:rPr>
        <w:t> </w:t>
      </w:r>
      <w:r>
        <w:rPr>
          <w:w w:val="120"/>
        </w:rPr>
        <w:t>colleagues</w:t>
      </w:r>
    </w:p>
    <w:p>
      <w:pPr>
        <w:pStyle w:val="BodyText"/>
        <w:spacing w:line="235" w:lineRule="auto" w:before="4"/>
        <w:ind w:left="827" w:right="1620"/>
      </w:pPr>
      <w:r>
        <w:rPr>
          <w:w w:val="120"/>
        </w:rPr>
        <w:t>in ministry, the gathering will hear from well-respected speakers, worship together, explore aspects of walking the way, learn about developments regarding the URC’s lay development plans and share in a wide variety of workshops. The two key speakers will be the Rt Revd Dr Rowan Williams and the Revd Dr Peggy Mulambya-Kabonde from the United Church of Zambia.</w:t>
      </w:r>
    </w:p>
    <w:p>
      <w:pPr>
        <w:spacing w:after="0" w:line="235" w:lineRule="auto"/>
        <w:sectPr>
          <w:headerReference w:type="even" r:id="rId351"/>
          <w:pgSz w:w="11910" w:h="16840"/>
          <w:pgMar w:header="0" w:footer="647" w:top="0" w:bottom="840" w:left="420" w:right="380"/>
        </w:sectPr>
      </w:pPr>
    </w:p>
    <w:p>
      <w:pPr>
        <w:pStyle w:val="BodyText"/>
      </w:pPr>
      <w:r>
        <w:rPr/>
        <w:drawing>
          <wp:anchor distT="0" distB="0" distL="0" distR="0" allowOverlap="1" layoutInCell="1" locked="0" behindDoc="0" simplePos="0" relativeHeight="251987968">
            <wp:simplePos x="0" y="0"/>
            <wp:positionH relativeFrom="page">
              <wp:posOffset>6974928</wp:posOffset>
            </wp:positionH>
            <wp:positionV relativeFrom="page">
              <wp:posOffset>0</wp:posOffset>
            </wp:positionV>
            <wp:extent cx="585063" cy="10692003"/>
            <wp:effectExtent l="0" t="0" r="0" b="0"/>
            <wp:wrapNone/>
            <wp:docPr id="239" name="image57.png"/>
            <wp:cNvGraphicFramePr>
              <a:graphicFrameLocks noChangeAspect="1"/>
            </wp:cNvGraphicFramePr>
            <a:graphic>
              <a:graphicData uri="http://schemas.openxmlformats.org/drawingml/2006/picture">
                <pic:pic>
                  <pic:nvPicPr>
                    <pic:cNvPr id="24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41pt;mso-position-horizontal-relative:page;mso-position-vertical-relative:paragraph;z-index:251990016" type="#_x0000_t202" filled="false" stroked="false">
            <v:textbox inset="0,0,0,0" style="layout-flow:vertical">
              <w:txbxContent>
                <w:p>
                  <w:pPr>
                    <w:spacing w:before="29"/>
                    <w:ind w:left="20" w:right="0" w:firstLine="0"/>
                    <w:jc w:val="left"/>
                    <w:rPr>
                      <w:sz w:val="39"/>
                    </w:rPr>
                  </w:pPr>
                  <w:r>
                    <w:rPr>
                      <w:color w:val="FFFFFF"/>
                      <w:w w:val="120"/>
                      <w:sz w:val="39"/>
                    </w:rPr>
                    <w:t>Accreditation</w:t>
                  </w:r>
                </w:p>
              </w:txbxContent>
            </v:textbox>
            <w10:wrap type="none"/>
          </v:shape>
        </w:pict>
      </w:r>
      <w:r>
        <w:rPr>
          <w:color w:val="7EAABF"/>
          <w:w w:val="110"/>
        </w:rPr>
        <w:t>Ministries</w:t>
      </w:r>
    </w:p>
    <w:p>
      <w:pPr>
        <w:spacing w:before="246"/>
        <w:ind w:left="1261" w:right="564" w:firstLine="0"/>
        <w:jc w:val="center"/>
        <w:rPr>
          <w:rFonts w:ascii="Stone Sans II ITC Std X Bd"/>
          <w:b/>
          <w:sz w:val="50"/>
        </w:rPr>
      </w:pPr>
      <w:r>
        <w:rPr>
          <w:rFonts w:ascii="Stone Sans II ITC Std X Bd"/>
          <w:b/>
          <w:w w:val="110"/>
          <w:sz w:val="50"/>
        </w:rPr>
        <w:t>Accreditation subcommittee</w:t>
      </w:r>
    </w:p>
    <w:p>
      <w:pPr>
        <w:spacing w:line="261" w:lineRule="auto" w:before="140"/>
        <w:ind w:left="1677" w:right="1358" w:firstLine="0"/>
        <w:jc w:val="both"/>
        <w:rPr>
          <w:sz w:val="18"/>
        </w:rPr>
      </w:pPr>
      <w:r>
        <w:rPr/>
        <w:pict>
          <v:line style="position:absolute;mso-position-horizontal-relative:page;mso-position-vertical-relative:paragraph;z-index:251988992" from="99.212601pt,7.795453pt" to="99.212601pt,124.016453pt" stroked="true" strokeweight="1pt" strokecolor="#0090d4">
            <v:stroke dashstyle="solid"/>
            <w10:wrap type="none"/>
          </v:line>
        </w:pict>
      </w:r>
      <w:r>
        <w:rPr>
          <w:color w:val="707172"/>
          <w:w w:val="120"/>
          <w:sz w:val="18"/>
        </w:rPr>
        <w:t>Maintaining the roll of ministers, this subcommittee accredits those applying for inclusion after training and those coming from other denominations. It is concerned with numbers and recruitment. It also deals with applications for special category ministries.</w:t>
      </w:r>
    </w:p>
    <w:p>
      <w:pPr>
        <w:pStyle w:val="BodyText"/>
        <w:spacing w:before="10"/>
        <w:rPr>
          <w:sz w:val="18"/>
        </w:rPr>
      </w:pPr>
    </w:p>
    <w:p>
      <w:pPr>
        <w:spacing w:line="254" w:lineRule="auto" w:before="0"/>
        <w:ind w:left="1677" w:right="6147" w:firstLine="0"/>
        <w:jc w:val="left"/>
        <w:rPr>
          <w:sz w:val="18"/>
        </w:rPr>
      </w:pPr>
      <w:r>
        <w:rPr>
          <w:rFonts w:ascii="Stone Sans II ITC Std Bk"/>
          <w:b/>
          <w:color w:val="707172"/>
          <w:w w:val="120"/>
          <w:sz w:val="18"/>
        </w:rPr>
        <w:t>Subcommittee members </w:t>
      </w:r>
      <w:r>
        <w:rPr>
          <w:color w:val="707172"/>
          <w:w w:val="120"/>
          <w:sz w:val="18"/>
        </w:rPr>
        <w:t>Convenor: Russell Furley-Smith Secretary: Craig Bowman</w:t>
      </w:r>
    </w:p>
    <w:p>
      <w:pPr>
        <w:spacing w:line="261" w:lineRule="auto" w:before="8"/>
        <w:ind w:left="1677" w:right="923" w:firstLine="0"/>
        <w:jc w:val="left"/>
        <w:rPr>
          <w:sz w:val="18"/>
        </w:rPr>
      </w:pPr>
      <w:r>
        <w:rPr>
          <w:color w:val="707172"/>
          <w:w w:val="125"/>
          <w:sz w:val="18"/>
        </w:rPr>
        <w:t>Members: Bridget Banks </w:t>
      </w:r>
      <w:r>
        <w:rPr>
          <w:color w:val="707172"/>
          <w:spacing w:val="-3"/>
          <w:w w:val="125"/>
          <w:sz w:val="18"/>
        </w:rPr>
        <w:t>(unitl </w:t>
      </w:r>
      <w:r>
        <w:rPr>
          <w:color w:val="707172"/>
          <w:spacing w:val="-5"/>
          <w:w w:val="125"/>
          <w:sz w:val="18"/>
        </w:rPr>
        <w:t>2016) </w:t>
      </w:r>
      <w:r>
        <w:rPr>
          <w:color w:val="707172"/>
          <w:w w:val="125"/>
          <w:sz w:val="18"/>
        </w:rPr>
        <w:t>Susan Durber, Naison Hove </w:t>
      </w:r>
      <w:r>
        <w:rPr>
          <w:color w:val="707172"/>
          <w:spacing w:val="-3"/>
          <w:w w:val="125"/>
          <w:sz w:val="18"/>
        </w:rPr>
        <w:t>(until</w:t>
      </w:r>
      <w:r>
        <w:rPr>
          <w:color w:val="707172"/>
          <w:spacing w:val="-6"/>
          <w:w w:val="125"/>
          <w:sz w:val="18"/>
        </w:rPr>
        <w:t> 2017), </w:t>
      </w:r>
      <w:r>
        <w:rPr>
          <w:color w:val="707172"/>
          <w:w w:val="125"/>
          <w:sz w:val="18"/>
        </w:rPr>
        <w:t>Fran Ruthven (convenor until </w:t>
      </w:r>
      <w:r>
        <w:rPr>
          <w:color w:val="707172"/>
          <w:spacing w:val="-6"/>
          <w:w w:val="125"/>
          <w:sz w:val="18"/>
        </w:rPr>
        <w:t>2017), </w:t>
      </w:r>
      <w:r>
        <w:rPr>
          <w:color w:val="707172"/>
          <w:w w:val="125"/>
          <w:sz w:val="18"/>
        </w:rPr>
        <w:t>Ewan Harley (convenor of the assessment board), Andrew Prasad (synod moderator), Paul Whittle (convenor of ministries committee)</w:t>
      </w:r>
    </w:p>
    <w:p>
      <w:pPr>
        <w:pStyle w:val="BodyText"/>
        <w:rPr>
          <w:sz w:val="22"/>
        </w:rPr>
      </w:pPr>
    </w:p>
    <w:p>
      <w:pPr>
        <w:pStyle w:val="BodyText"/>
        <w:spacing w:before="7"/>
        <w:rPr>
          <w:sz w:val="18"/>
        </w:rPr>
      </w:pPr>
    </w:p>
    <w:p>
      <w:pPr>
        <w:pStyle w:val="Heading4"/>
        <w:ind w:left="1564" w:firstLine="0"/>
      </w:pPr>
      <w:r>
        <w:rPr>
          <w:w w:val="110"/>
        </w:rPr>
        <w:t>Certificates of eligibility</w:t>
      </w:r>
    </w:p>
    <w:p>
      <w:pPr>
        <w:pStyle w:val="ListParagraph"/>
        <w:numPr>
          <w:ilvl w:val="1"/>
          <w:numId w:val="84"/>
        </w:numPr>
        <w:tabs>
          <w:tab w:pos="2244" w:val="left" w:leader="none"/>
          <w:tab w:pos="2245" w:val="left" w:leader="none"/>
        </w:tabs>
        <w:spacing w:line="235" w:lineRule="auto" w:before="69" w:after="0"/>
        <w:ind w:left="1564" w:right="961" w:firstLine="0"/>
        <w:jc w:val="left"/>
        <w:rPr>
          <w:sz w:val="20"/>
        </w:rPr>
      </w:pPr>
      <w:r>
        <w:rPr>
          <w:w w:val="120"/>
          <w:sz w:val="20"/>
        </w:rPr>
        <w:t>Certificates of eligibility are issued so that ministers of other Churches may be introduced to a pastorate in the URC and if called enter the roll of ministers of the</w:t>
      </w:r>
      <w:r>
        <w:rPr>
          <w:spacing w:val="26"/>
          <w:w w:val="120"/>
          <w:sz w:val="20"/>
        </w:rPr>
        <w:t> </w:t>
      </w:r>
      <w:r>
        <w:rPr>
          <w:w w:val="120"/>
          <w:sz w:val="20"/>
        </w:rPr>
        <w:t>URC.</w:t>
      </w:r>
    </w:p>
    <w:p>
      <w:pPr>
        <w:pStyle w:val="BodyText"/>
        <w:spacing w:before="9"/>
        <w:rPr>
          <w:sz w:val="19"/>
        </w:rPr>
      </w:pPr>
    </w:p>
    <w:p>
      <w:pPr>
        <w:pStyle w:val="ListParagraph"/>
        <w:numPr>
          <w:ilvl w:val="1"/>
          <w:numId w:val="84"/>
        </w:numPr>
        <w:tabs>
          <w:tab w:pos="2244" w:val="left" w:leader="none"/>
          <w:tab w:pos="2245" w:val="left" w:leader="none"/>
        </w:tabs>
        <w:spacing w:line="235" w:lineRule="auto" w:before="0" w:after="0"/>
        <w:ind w:left="1564" w:right="933" w:firstLine="0"/>
        <w:jc w:val="left"/>
        <w:rPr>
          <w:sz w:val="20"/>
        </w:rPr>
      </w:pPr>
      <w:r>
        <w:rPr>
          <w:w w:val="120"/>
          <w:sz w:val="20"/>
        </w:rPr>
        <w:t>The ministries committee is responsible to General Assembly for oversight of the projected number of ministers for future years and for deciding each </w:t>
      </w:r>
      <w:r>
        <w:rPr>
          <w:spacing w:val="-4"/>
          <w:w w:val="120"/>
          <w:sz w:val="20"/>
        </w:rPr>
        <w:t>year, </w:t>
      </w:r>
      <w:r>
        <w:rPr>
          <w:w w:val="120"/>
          <w:sz w:val="20"/>
        </w:rPr>
        <w:t>on the basis of these projections, whether certificates of eligibility may be</w:t>
      </w:r>
      <w:r>
        <w:rPr>
          <w:spacing w:val="20"/>
          <w:w w:val="120"/>
          <w:sz w:val="20"/>
        </w:rPr>
        <w:t> </w:t>
      </w:r>
      <w:r>
        <w:rPr>
          <w:w w:val="120"/>
          <w:sz w:val="20"/>
        </w:rPr>
        <w:t>issued.</w:t>
      </w:r>
    </w:p>
    <w:p>
      <w:pPr>
        <w:pStyle w:val="BodyText"/>
        <w:spacing w:before="7"/>
        <w:rPr>
          <w:sz w:val="19"/>
        </w:rPr>
      </w:pPr>
    </w:p>
    <w:p>
      <w:pPr>
        <w:pStyle w:val="ListParagraph"/>
        <w:numPr>
          <w:ilvl w:val="1"/>
          <w:numId w:val="84"/>
        </w:numPr>
        <w:tabs>
          <w:tab w:pos="2244" w:val="left" w:leader="none"/>
          <w:tab w:pos="2245" w:val="left" w:leader="none"/>
        </w:tabs>
        <w:spacing w:line="240" w:lineRule="auto" w:before="0" w:after="0"/>
        <w:ind w:left="2244" w:right="0" w:hanging="681"/>
        <w:jc w:val="left"/>
        <w:rPr>
          <w:sz w:val="20"/>
        </w:rPr>
      </w:pPr>
      <w:r>
        <w:rPr>
          <w:w w:val="120"/>
          <w:sz w:val="20"/>
        </w:rPr>
        <w:t>No certificates were issued between </w:t>
      </w:r>
      <w:r>
        <w:rPr>
          <w:spacing w:val="-8"/>
          <w:w w:val="120"/>
          <w:sz w:val="20"/>
        </w:rPr>
        <w:t>2011 </w:t>
      </w:r>
      <w:r>
        <w:rPr>
          <w:w w:val="120"/>
          <w:sz w:val="20"/>
        </w:rPr>
        <w:t>and</w:t>
      </w:r>
      <w:r>
        <w:rPr>
          <w:spacing w:val="26"/>
          <w:w w:val="120"/>
          <w:sz w:val="20"/>
        </w:rPr>
        <w:t> </w:t>
      </w:r>
      <w:r>
        <w:rPr>
          <w:spacing w:val="-6"/>
          <w:w w:val="120"/>
          <w:sz w:val="20"/>
        </w:rPr>
        <w:t>2016.</w:t>
      </w:r>
    </w:p>
    <w:p>
      <w:pPr>
        <w:pStyle w:val="BodyText"/>
        <w:spacing w:before="7"/>
        <w:rPr>
          <w:sz w:val="19"/>
        </w:rPr>
      </w:pPr>
    </w:p>
    <w:p>
      <w:pPr>
        <w:pStyle w:val="ListParagraph"/>
        <w:numPr>
          <w:ilvl w:val="1"/>
          <w:numId w:val="84"/>
        </w:numPr>
        <w:tabs>
          <w:tab w:pos="2244" w:val="left" w:leader="none"/>
          <w:tab w:pos="2245" w:val="left" w:leader="none"/>
        </w:tabs>
        <w:spacing w:line="235" w:lineRule="auto" w:before="0" w:after="0"/>
        <w:ind w:left="1564" w:right="1138" w:firstLine="0"/>
        <w:jc w:val="left"/>
        <w:rPr>
          <w:sz w:val="20"/>
        </w:rPr>
      </w:pPr>
      <w:r>
        <w:rPr>
          <w:w w:val="120"/>
          <w:sz w:val="20"/>
        </w:rPr>
        <w:t>In the light of projections, it was agreed that </w:t>
      </w:r>
      <w:r>
        <w:rPr>
          <w:spacing w:val="-6"/>
          <w:w w:val="120"/>
          <w:sz w:val="20"/>
        </w:rPr>
        <w:t>10 </w:t>
      </w:r>
      <w:r>
        <w:rPr>
          <w:w w:val="120"/>
          <w:sz w:val="20"/>
        </w:rPr>
        <w:t>certificates would be available for issuing between </w:t>
      </w:r>
      <w:r>
        <w:rPr>
          <w:spacing w:val="-9"/>
          <w:w w:val="120"/>
          <w:sz w:val="20"/>
        </w:rPr>
        <w:t>2017 </w:t>
      </w:r>
      <w:r>
        <w:rPr>
          <w:w w:val="120"/>
          <w:sz w:val="20"/>
        </w:rPr>
        <w:t>and</w:t>
      </w:r>
      <w:r>
        <w:rPr>
          <w:spacing w:val="22"/>
          <w:w w:val="120"/>
          <w:sz w:val="20"/>
        </w:rPr>
        <w:t> </w:t>
      </w:r>
      <w:r>
        <w:rPr>
          <w:spacing w:val="-8"/>
          <w:w w:val="120"/>
          <w:sz w:val="20"/>
        </w:rPr>
        <w:t>2019.</w:t>
      </w:r>
    </w:p>
    <w:p>
      <w:pPr>
        <w:pStyle w:val="BodyText"/>
        <w:spacing w:before="10"/>
        <w:rPr>
          <w:sz w:val="19"/>
        </w:rPr>
      </w:pPr>
    </w:p>
    <w:p>
      <w:pPr>
        <w:pStyle w:val="ListParagraph"/>
        <w:numPr>
          <w:ilvl w:val="1"/>
          <w:numId w:val="84"/>
        </w:numPr>
        <w:tabs>
          <w:tab w:pos="2244" w:val="left" w:leader="none"/>
          <w:tab w:pos="2245" w:val="left" w:leader="none"/>
        </w:tabs>
        <w:spacing w:line="235" w:lineRule="auto" w:before="0" w:after="0"/>
        <w:ind w:left="1564" w:right="989" w:firstLine="0"/>
        <w:jc w:val="left"/>
        <w:rPr>
          <w:sz w:val="20"/>
        </w:rPr>
      </w:pPr>
      <w:r>
        <w:rPr>
          <w:w w:val="120"/>
          <w:sz w:val="20"/>
        </w:rPr>
        <w:t>Four certificates were issued following interviews in December </w:t>
      </w:r>
      <w:r>
        <w:rPr>
          <w:spacing w:val="-12"/>
          <w:w w:val="120"/>
          <w:sz w:val="20"/>
        </w:rPr>
        <w:t>2017. </w:t>
      </w:r>
      <w:r>
        <w:rPr>
          <w:w w:val="120"/>
          <w:sz w:val="20"/>
        </w:rPr>
        <w:t>The URC should be encouraged by the quality of ministers from other churches seeking to serve the URC. Further applications will be sought for interview in autumn </w:t>
      </w:r>
      <w:r>
        <w:rPr>
          <w:spacing w:val="-6"/>
          <w:w w:val="120"/>
          <w:sz w:val="20"/>
        </w:rPr>
        <w:t>2018 </w:t>
      </w:r>
      <w:r>
        <w:rPr>
          <w:w w:val="120"/>
          <w:sz w:val="20"/>
        </w:rPr>
        <w:t>with the expectation of issuing three further certificates in each of the next two</w:t>
      </w:r>
      <w:r>
        <w:rPr>
          <w:spacing w:val="16"/>
          <w:w w:val="120"/>
          <w:sz w:val="20"/>
        </w:rPr>
        <w:t> </w:t>
      </w:r>
      <w:r>
        <w:rPr>
          <w:w w:val="120"/>
          <w:sz w:val="20"/>
        </w:rPr>
        <w:t>years.</w:t>
      </w:r>
    </w:p>
    <w:p>
      <w:pPr>
        <w:pStyle w:val="BodyText"/>
        <w:spacing w:before="3"/>
        <w:rPr>
          <w:sz w:val="22"/>
        </w:rPr>
      </w:pPr>
    </w:p>
    <w:p>
      <w:pPr>
        <w:pStyle w:val="Heading4"/>
        <w:spacing w:before="1"/>
        <w:ind w:left="1564" w:firstLine="0"/>
      </w:pPr>
      <w:r>
        <w:rPr>
          <w:w w:val="110"/>
        </w:rPr>
        <w:t>Certificates of limited service</w:t>
      </w:r>
    </w:p>
    <w:p>
      <w:pPr>
        <w:pStyle w:val="ListParagraph"/>
        <w:numPr>
          <w:ilvl w:val="1"/>
          <w:numId w:val="85"/>
        </w:numPr>
        <w:tabs>
          <w:tab w:pos="2244" w:val="left" w:leader="none"/>
          <w:tab w:pos="2245" w:val="left" w:leader="none"/>
        </w:tabs>
        <w:spacing w:line="235" w:lineRule="auto" w:before="69" w:after="0"/>
        <w:ind w:left="1564" w:right="1339" w:firstLine="0"/>
        <w:jc w:val="left"/>
        <w:rPr>
          <w:sz w:val="20"/>
        </w:rPr>
      </w:pPr>
      <w:r>
        <w:rPr>
          <w:w w:val="120"/>
          <w:sz w:val="20"/>
        </w:rPr>
        <w:t>Certificates of limited service allow a minister of another denomination to serve in and be paid by the URC, in a specified post only and for a limited period of time. They provide a flexible way of responding to particular local ministry needs and</w:t>
      </w:r>
      <w:r>
        <w:rPr>
          <w:spacing w:val="2"/>
          <w:w w:val="120"/>
          <w:sz w:val="20"/>
        </w:rPr>
        <w:t> </w:t>
      </w:r>
      <w:r>
        <w:rPr>
          <w:w w:val="120"/>
          <w:sz w:val="20"/>
        </w:rPr>
        <w:t>opportunities.</w:t>
      </w:r>
    </w:p>
    <w:p>
      <w:pPr>
        <w:pStyle w:val="BodyText"/>
        <w:spacing w:before="10"/>
        <w:rPr>
          <w:sz w:val="19"/>
        </w:rPr>
      </w:pPr>
    </w:p>
    <w:p>
      <w:pPr>
        <w:pStyle w:val="ListParagraph"/>
        <w:numPr>
          <w:ilvl w:val="1"/>
          <w:numId w:val="85"/>
        </w:numPr>
        <w:tabs>
          <w:tab w:pos="2244" w:val="left" w:leader="none"/>
          <w:tab w:pos="2245" w:val="left" w:leader="none"/>
        </w:tabs>
        <w:spacing w:line="235" w:lineRule="auto" w:before="1" w:after="0"/>
        <w:ind w:left="1564" w:right="1225" w:firstLine="0"/>
        <w:jc w:val="left"/>
        <w:rPr>
          <w:sz w:val="20"/>
        </w:rPr>
      </w:pPr>
      <w:r>
        <w:rPr>
          <w:w w:val="120"/>
          <w:sz w:val="20"/>
        </w:rPr>
        <w:t>Four new certificates have been issued in the last two years and six have been renewed or</w:t>
      </w:r>
      <w:r>
        <w:rPr>
          <w:spacing w:val="4"/>
          <w:w w:val="120"/>
          <w:sz w:val="20"/>
        </w:rPr>
        <w:t> </w:t>
      </w:r>
      <w:r>
        <w:rPr>
          <w:w w:val="120"/>
          <w:sz w:val="20"/>
        </w:rPr>
        <w:t>extended.</w:t>
      </w:r>
    </w:p>
    <w:p>
      <w:pPr>
        <w:pStyle w:val="BodyText"/>
        <w:spacing w:before="1"/>
        <w:rPr>
          <w:sz w:val="22"/>
        </w:rPr>
      </w:pPr>
    </w:p>
    <w:p>
      <w:pPr>
        <w:pStyle w:val="Heading4"/>
        <w:spacing w:before="1"/>
        <w:ind w:left="1564" w:firstLine="0"/>
      </w:pPr>
      <w:r>
        <w:rPr>
          <w:w w:val="110"/>
        </w:rPr>
        <w:t>Special category ministries</w:t>
      </w:r>
    </w:p>
    <w:p>
      <w:pPr>
        <w:pStyle w:val="ListParagraph"/>
        <w:numPr>
          <w:ilvl w:val="1"/>
          <w:numId w:val="86"/>
        </w:numPr>
        <w:tabs>
          <w:tab w:pos="2244" w:val="left" w:leader="none"/>
          <w:tab w:pos="2245" w:val="left" w:leader="none"/>
        </w:tabs>
        <w:spacing w:line="235" w:lineRule="auto" w:before="69" w:after="0"/>
        <w:ind w:left="1564" w:right="1141" w:firstLine="0"/>
        <w:jc w:val="left"/>
        <w:rPr>
          <w:sz w:val="20"/>
        </w:rPr>
      </w:pPr>
      <w:r>
        <w:rPr>
          <w:w w:val="120"/>
          <w:sz w:val="20"/>
        </w:rPr>
        <w:t>Special category ministry </w:t>
      </w:r>
      <w:r>
        <w:rPr>
          <w:spacing w:val="-4"/>
          <w:w w:val="120"/>
          <w:sz w:val="20"/>
        </w:rPr>
        <w:t>(SCM) </w:t>
      </w:r>
      <w:r>
        <w:rPr>
          <w:w w:val="120"/>
          <w:sz w:val="20"/>
        </w:rPr>
        <w:t>posts are broadly of three kinds, to enable synods to provide ministry outside existing deployment quotas: new or priority areas of outreach where pioneering work is required; chaplaincies; innovative ministry in unique</w:t>
      </w:r>
      <w:r>
        <w:rPr>
          <w:spacing w:val="1"/>
          <w:w w:val="120"/>
          <w:sz w:val="20"/>
        </w:rPr>
        <w:t> </w:t>
      </w:r>
      <w:r>
        <w:rPr>
          <w:w w:val="120"/>
          <w:sz w:val="20"/>
        </w:rPr>
        <w:t>situations.</w:t>
      </w:r>
    </w:p>
    <w:p>
      <w:pPr>
        <w:pStyle w:val="BodyText"/>
        <w:spacing w:before="10"/>
        <w:rPr>
          <w:sz w:val="19"/>
        </w:rPr>
      </w:pPr>
    </w:p>
    <w:p>
      <w:pPr>
        <w:pStyle w:val="ListParagraph"/>
        <w:numPr>
          <w:ilvl w:val="1"/>
          <w:numId w:val="86"/>
        </w:numPr>
        <w:tabs>
          <w:tab w:pos="2244" w:val="left" w:leader="none"/>
          <w:tab w:pos="2245" w:val="left" w:leader="none"/>
        </w:tabs>
        <w:spacing w:line="235" w:lineRule="auto" w:before="1" w:after="0"/>
        <w:ind w:left="1564" w:right="1035" w:firstLine="0"/>
        <w:jc w:val="left"/>
        <w:rPr>
          <w:sz w:val="20"/>
        </w:rPr>
      </w:pPr>
      <w:r>
        <w:rPr>
          <w:w w:val="120"/>
          <w:sz w:val="20"/>
        </w:rPr>
        <w:t>It was agreed by Mission </w:t>
      </w:r>
      <w:r>
        <w:rPr>
          <w:spacing w:val="-3"/>
          <w:w w:val="120"/>
          <w:sz w:val="20"/>
        </w:rPr>
        <w:t>Council </w:t>
      </w:r>
      <w:r>
        <w:rPr>
          <w:w w:val="120"/>
          <w:sz w:val="20"/>
        </w:rPr>
        <w:t>in </w:t>
      </w:r>
      <w:r>
        <w:rPr>
          <w:spacing w:val="-8"/>
          <w:w w:val="120"/>
          <w:sz w:val="20"/>
        </w:rPr>
        <w:t>2014 </w:t>
      </w:r>
      <w:r>
        <w:rPr>
          <w:w w:val="120"/>
          <w:sz w:val="20"/>
        </w:rPr>
        <w:t>that the number of SCM posts </w:t>
      </w:r>
      <w:r>
        <w:rPr>
          <w:spacing w:val="-3"/>
          <w:w w:val="120"/>
          <w:sz w:val="20"/>
        </w:rPr>
        <w:t>(full-time equivalent) </w:t>
      </w:r>
      <w:r>
        <w:rPr>
          <w:w w:val="120"/>
          <w:sz w:val="20"/>
        </w:rPr>
        <w:t>should </w:t>
      </w:r>
      <w:r>
        <w:rPr>
          <w:spacing w:val="-2"/>
          <w:w w:val="120"/>
          <w:sz w:val="20"/>
        </w:rPr>
        <w:t>not exceed </w:t>
      </w:r>
      <w:r>
        <w:rPr>
          <w:w w:val="120"/>
          <w:sz w:val="20"/>
        </w:rPr>
        <w:t>8% of the </w:t>
      </w:r>
      <w:r>
        <w:rPr>
          <w:spacing w:val="-3"/>
          <w:w w:val="120"/>
          <w:sz w:val="20"/>
        </w:rPr>
        <w:t>total </w:t>
      </w:r>
      <w:r>
        <w:rPr>
          <w:w w:val="120"/>
          <w:sz w:val="20"/>
        </w:rPr>
        <w:t>number of stipendiary </w:t>
      </w:r>
      <w:r>
        <w:rPr>
          <w:spacing w:val="-3"/>
          <w:w w:val="120"/>
          <w:sz w:val="20"/>
        </w:rPr>
        <w:t>ministers</w:t>
      </w:r>
      <w:r>
        <w:rPr>
          <w:spacing w:val="3"/>
          <w:w w:val="120"/>
          <w:sz w:val="20"/>
        </w:rPr>
        <w:t> </w:t>
      </w:r>
      <w:r>
        <w:rPr>
          <w:spacing w:val="-3"/>
          <w:w w:val="120"/>
          <w:sz w:val="20"/>
        </w:rPr>
        <w:t>available.</w:t>
      </w:r>
    </w:p>
    <w:p>
      <w:pPr>
        <w:pStyle w:val="BodyText"/>
        <w:spacing w:before="5"/>
        <w:rPr>
          <w:sz w:val="19"/>
        </w:rPr>
      </w:pPr>
    </w:p>
    <w:p>
      <w:pPr>
        <w:pStyle w:val="ListParagraph"/>
        <w:numPr>
          <w:ilvl w:val="1"/>
          <w:numId w:val="86"/>
        </w:numPr>
        <w:tabs>
          <w:tab w:pos="2244" w:val="left" w:leader="none"/>
          <w:tab w:pos="2245" w:val="left" w:leader="none"/>
        </w:tabs>
        <w:spacing w:line="240" w:lineRule="auto" w:before="0" w:after="0"/>
        <w:ind w:left="2244" w:right="0" w:hanging="681"/>
        <w:jc w:val="left"/>
        <w:rPr>
          <w:sz w:val="20"/>
        </w:rPr>
      </w:pPr>
      <w:r>
        <w:rPr>
          <w:w w:val="120"/>
          <w:sz w:val="20"/>
        </w:rPr>
        <w:t>Currently there are </w:t>
      </w:r>
      <w:r>
        <w:rPr>
          <w:spacing w:val="-5"/>
          <w:w w:val="120"/>
          <w:sz w:val="20"/>
        </w:rPr>
        <w:t>24 </w:t>
      </w:r>
      <w:r>
        <w:rPr>
          <w:w w:val="120"/>
          <w:sz w:val="20"/>
        </w:rPr>
        <w:t>SCM posts </w:t>
      </w:r>
      <w:r>
        <w:rPr>
          <w:spacing w:val="-9"/>
          <w:w w:val="120"/>
          <w:sz w:val="20"/>
        </w:rPr>
        <w:t>(21.75</w:t>
      </w:r>
      <w:r>
        <w:rPr>
          <w:spacing w:val="23"/>
          <w:w w:val="120"/>
          <w:sz w:val="20"/>
        </w:rPr>
        <w:t> </w:t>
      </w:r>
      <w:r>
        <w:rPr>
          <w:w w:val="120"/>
          <w:sz w:val="20"/>
        </w:rPr>
        <w:t>FTEs).</w:t>
      </w:r>
    </w:p>
    <w:p>
      <w:pPr>
        <w:pStyle w:val="BodyText"/>
        <w:spacing w:before="8"/>
        <w:rPr>
          <w:sz w:val="19"/>
        </w:rPr>
      </w:pPr>
    </w:p>
    <w:p>
      <w:pPr>
        <w:pStyle w:val="ListParagraph"/>
        <w:numPr>
          <w:ilvl w:val="1"/>
          <w:numId w:val="86"/>
        </w:numPr>
        <w:tabs>
          <w:tab w:pos="2245" w:val="left" w:leader="none"/>
        </w:tabs>
        <w:spacing w:line="235" w:lineRule="auto" w:before="0" w:after="0"/>
        <w:ind w:left="1564" w:right="950" w:firstLine="0"/>
        <w:jc w:val="both"/>
        <w:rPr>
          <w:sz w:val="20"/>
        </w:rPr>
      </w:pPr>
      <w:r>
        <w:rPr>
          <w:w w:val="120"/>
          <w:sz w:val="20"/>
        </w:rPr>
        <w:t>The subcommittee has undertaken work into the effectiveness of SCM posts and is grateful to synods for their input. The research suggests, tentatively, that a SCM post is likely to have the greatest impact</w:t>
      </w:r>
      <w:r>
        <w:rPr>
          <w:spacing w:val="11"/>
          <w:w w:val="120"/>
          <w:sz w:val="20"/>
        </w:rPr>
        <w:t> </w:t>
      </w:r>
      <w:r>
        <w:rPr>
          <w:w w:val="120"/>
          <w:sz w:val="20"/>
        </w:rPr>
        <w:t>if:</w:t>
      </w:r>
    </w:p>
    <w:p>
      <w:pPr>
        <w:spacing w:after="0" w:line="235" w:lineRule="auto"/>
        <w:jc w:val="both"/>
        <w:rPr>
          <w:sz w:val="20"/>
        </w:rPr>
        <w:sectPr>
          <w:headerReference w:type="default" r:id="rId352"/>
          <w:footerReference w:type="default" r:id="rId353"/>
          <w:footerReference w:type="even" r:id="rId354"/>
          <w:pgSz w:w="11910" w:h="16840"/>
          <w:pgMar w:header="0" w:footer="647" w:top="0" w:bottom="840" w:left="420" w:right="380"/>
          <w:pgNumType w:start="125"/>
        </w:sectPr>
      </w:pPr>
    </w:p>
    <w:p>
      <w:pPr>
        <w:pStyle w:val="BodyText"/>
      </w:pPr>
      <w:r>
        <w:rPr/>
        <w:drawing>
          <wp:anchor distT="0" distB="0" distL="0" distR="0" allowOverlap="1" layoutInCell="1" locked="0" behindDoc="1" simplePos="0" relativeHeight="236023808">
            <wp:simplePos x="0" y="0"/>
            <wp:positionH relativeFrom="page">
              <wp:posOffset>0</wp:posOffset>
            </wp:positionH>
            <wp:positionV relativeFrom="page">
              <wp:posOffset>0</wp:posOffset>
            </wp:positionV>
            <wp:extent cx="594067" cy="10692003"/>
            <wp:effectExtent l="0" t="0" r="0" b="0"/>
            <wp:wrapNone/>
            <wp:docPr id="241" name="image70.png"/>
            <wp:cNvGraphicFramePr>
              <a:graphicFrameLocks noChangeAspect="1"/>
            </wp:cNvGraphicFramePr>
            <a:graphic>
              <a:graphicData uri="http://schemas.openxmlformats.org/drawingml/2006/picture">
                <pic:pic>
                  <pic:nvPicPr>
                    <pic:cNvPr id="24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41pt;mso-position-horizontal-relative:page;mso-position-vertical-relative:paragraph;z-index:251992064" type="#_x0000_t202" filled="false" stroked="false">
            <v:textbox inset="0,0,0,0" style="layout-flow:vertical">
              <w:txbxContent>
                <w:p>
                  <w:pPr>
                    <w:spacing w:before="29"/>
                    <w:ind w:left="20" w:right="0" w:firstLine="0"/>
                    <w:jc w:val="left"/>
                    <w:rPr>
                      <w:sz w:val="39"/>
                    </w:rPr>
                  </w:pPr>
                  <w:r>
                    <w:rPr>
                      <w:color w:val="FFFFFF"/>
                      <w:w w:val="120"/>
                      <w:sz w:val="39"/>
                    </w:rPr>
                    <w:t>Accreditation</w:t>
                  </w:r>
                </w:p>
              </w:txbxContent>
            </v:textbox>
            <w10:wrap type="none"/>
          </v:shape>
        </w:pict>
      </w:r>
      <w:r>
        <w:rPr>
          <w:color w:val="7EAABF"/>
          <w:w w:val="115"/>
        </w:rPr>
        <w:t>Ministries</w:t>
      </w:r>
    </w:p>
    <w:p>
      <w:pPr>
        <w:pStyle w:val="ListParagraph"/>
        <w:numPr>
          <w:ilvl w:val="0"/>
          <w:numId w:val="87"/>
        </w:numPr>
        <w:tabs>
          <w:tab w:pos="1507" w:val="left" w:leader="none"/>
          <w:tab w:pos="1508" w:val="left" w:leader="none"/>
        </w:tabs>
        <w:spacing w:line="242" w:lineRule="exact" w:before="218" w:after="0"/>
        <w:ind w:left="1507" w:right="0" w:hanging="681"/>
        <w:jc w:val="left"/>
        <w:rPr>
          <w:sz w:val="20"/>
        </w:rPr>
      </w:pPr>
      <w:r>
        <w:rPr>
          <w:w w:val="120"/>
          <w:sz w:val="20"/>
        </w:rPr>
        <w:t>there is a clear understanding of the vision and purpose of the</w:t>
      </w:r>
      <w:r>
        <w:rPr>
          <w:spacing w:val="28"/>
          <w:w w:val="120"/>
          <w:sz w:val="20"/>
        </w:rPr>
        <w:t> </w:t>
      </w:r>
      <w:r>
        <w:rPr>
          <w:w w:val="120"/>
          <w:sz w:val="20"/>
        </w:rPr>
        <w:t>post;</w:t>
      </w:r>
    </w:p>
    <w:p>
      <w:pPr>
        <w:pStyle w:val="ListParagraph"/>
        <w:numPr>
          <w:ilvl w:val="0"/>
          <w:numId w:val="87"/>
        </w:numPr>
        <w:tabs>
          <w:tab w:pos="1507" w:val="left" w:leader="none"/>
          <w:tab w:pos="1508" w:val="left" w:leader="none"/>
        </w:tabs>
        <w:spacing w:line="235" w:lineRule="auto" w:before="1" w:after="0"/>
        <w:ind w:left="1507" w:right="2045" w:hanging="681"/>
        <w:jc w:val="left"/>
        <w:rPr>
          <w:sz w:val="20"/>
        </w:rPr>
      </w:pPr>
      <w:r>
        <w:rPr>
          <w:w w:val="120"/>
          <w:sz w:val="20"/>
        </w:rPr>
        <w:t>there is a willingness to change the vision and purpose of the post if external factors</w:t>
      </w:r>
      <w:r>
        <w:rPr>
          <w:spacing w:val="1"/>
          <w:w w:val="120"/>
          <w:sz w:val="20"/>
        </w:rPr>
        <w:t> </w:t>
      </w:r>
      <w:r>
        <w:rPr>
          <w:w w:val="120"/>
          <w:sz w:val="20"/>
        </w:rPr>
        <w:t>necessitate;</w:t>
      </w:r>
    </w:p>
    <w:p>
      <w:pPr>
        <w:pStyle w:val="ListParagraph"/>
        <w:numPr>
          <w:ilvl w:val="0"/>
          <w:numId w:val="87"/>
        </w:numPr>
        <w:tabs>
          <w:tab w:pos="1507" w:val="left" w:leader="none"/>
          <w:tab w:pos="1508" w:val="left" w:leader="none"/>
        </w:tabs>
        <w:spacing w:line="240" w:lineRule="exact" w:before="0" w:after="0"/>
        <w:ind w:left="1507" w:right="0" w:hanging="681"/>
        <w:jc w:val="left"/>
        <w:rPr>
          <w:sz w:val="20"/>
        </w:rPr>
      </w:pPr>
      <w:r>
        <w:rPr>
          <w:w w:val="120"/>
          <w:sz w:val="20"/>
        </w:rPr>
        <w:t>there is strong and clear management of the post and post</w:t>
      </w:r>
      <w:r>
        <w:rPr>
          <w:spacing w:val="28"/>
          <w:w w:val="120"/>
          <w:sz w:val="20"/>
        </w:rPr>
        <w:t> </w:t>
      </w:r>
      <w:r>
        <w:rPr>
          <w:w w:val="120"/>
          <w:sz w:val="20"/>
        </w:rPr>
        <w:t>holder;</w:t>
      </w:r>
    </w:p>
    <w:p>
      <w:pPr>
        <w:pStyle w:val="ListParagraph"/>
        <w:numPr>
          <w:ilvl w:val="0"/>
          <w:numId w:val="87"/>
        </w:numPr>
        <w:tabs>
          <w:tab w:pos="1507" w:val="left" w:leader="none"/>
          <w:tab w:pos="1508" w:val="left" w:leader="none"/>
        </w:tabs>
        <w:spacing w:line="235" w:lineRule="auto" w:before="2" w:after="0"/>
        <w:ind w:left="1507" w:right="1636" w:hanging="681"/>
        <w:jc w:val="left"/>
        <w:rPr>
          <w:sz w:val="20"/>
        </w:rPr>
      </w:pPr>
      <w:r>
        <w:rPr>
          <w:w w:val="120"/>
          <w:sz w:val="20"/>
        </w:rPr>
        <w:t>there is appropriate support of the post and post holder from the local church   (if relevant), wider church and community. There is scope for further research on the impact of scoping a part-time SCM post with a part-time</w:t>
      </w:r>
      <w:r>
        <w:rPr>
          <w:spacing w:val="27"/>
          <w:w w:val="120"/>
          <w:sz w:val="20"/>
        </w:rPr>
        <w:t> </w:t>
      </w:r>
      <w:r>
        <w:rPr>
          <w:w w:val="120"/>
          <w:sz w:val="20"/>
        </w:rPr>
        <w:t>pastorate;</w:t>
      </w:r>
    </w:p>
    <w:p>
      <w:pPr>
        <w:pStyle w:val="ListParagraph"/>
        <w:numPr>
          <w:ilvl w:val="0"/>
          <w:numId w:val="87"/>
        </w:numPr>
        <w:tabs>
          <w:tab w:pos="1507" w:val="left" w:leader="none"/>
          <w:tab w:pos="1508" w:val="left" w:leader="none"/>
        </w:tabs>
        <w:spacing w:line="240" w:lineRule="exact" w:before="0" w:after="0"/>
        <w:ind w:left="1507" w:right="0" w:hanging="681"/>
        <w:jc w:val="left"/>
        <w:rPr>
          <w:sz w:val="20"/>
        </w:rPr>
      </w:pPr>
      <w:r>
        <w:rPr>
          <w:w w:val="120"/>
          <w:sz w:val="20"/>
        </w:rPr>
        <w:t>the right person, with the right skills and </w:t>
      </w:r>
      <w:r>
        <w:rPr>
          <w:spacing w:val="2"/>
          <w:w w:val="120"/>
          <w:sz w:val="20"/>
        </w:rPr>
        <w:t>gifts, </w:t>
      </w:r>
      <w:r>
        <w:rPr>
          <w:w w:val="120"/>
          <w:sz w:val="20"/>
        </w:rPr>
        <w:t>is in the</w:t>
      </w:r>
      <w:r>
        <w:rPr>
          <w:spacing w:val="28"/>
          <w:w w:val="120"/>
          <w:sz w:val="20"/>
        </w:rPr>
        <w:t> </w:t>
      </w:r>
      <w:r>
        <w:rPr>
          <w:w w:val="120"/>
          <w:sz w:val="20"/>
        </w:rPr>
        <w:t>post;</w:t>
      </w:r>
    </w:p>
    <w:p>
      <w:pPr>
        <w:pStyle w:val="ListParagraph"/>
        <w:numPr>
          <w:ilvl w:val="0"/>
          <w:numId w:val="87"/>
        </w:numPr>
        <w:tabs>
          <w:tab w:pos="1507" w:val="left" w:leader="none"/>
          <w:tab w:pos="1508" w:val="left" w:leader="none"/>
        </w:tabs>
        <w:spacing w:line="235" w:lineRule="auto" w:before="2" w:after="0"/>
        <w:ind w:left="1507" w:right="1864" w:hanging="681"/>
        <w:jc w:val="left"/>
        <w:rPr>
          <w:sz w:val="20"/>
        </w:rPr>
      </w:pPr>
      <w:r>
        <w:rPr>
          <w:w w:val="120"/>
          <w:sz w:val="20"/>
        </w:rPr>
        <w:t>there is continuity. This does not mean the post holder must never change but there are difficulties if there are too many changes in personnel involved in a project. There is scope for further research on the impact of a change in post holder</w:t>
      </w:r>
      <w:r>
        <w:rPr>
          <w:spacing w:val="2"/>
          <w:w w:val="120"/>
          <w:sz w:val="20"/>
        </w:rPr>
        <w:t> </w:t>
      </w:r>
      <w:r>
        <w:rPr>
          <w:w w:val="120"/>
          <w:sz w:val="20"/>
        </w:rPr>
        <w:t>mid-term;</w:t>
      </w:r>
    </w:p>
    <w:p>
      <w:pPr>
        <w:pStyle w:val="ListParagraph"/>
        <w:numPr>
          <w:ilvl w:val="0"/>
          <w:numId w:val="87"/>
        </w:numPr>
        <w:tabs>
          <w:tab w:pos="1507" w:val="left" w:leader="none"/>
          <w:tab w:pos="1508" w:val="left" w:leader="none"/>
        </w:tabs>
        <w:spacing w:line="243" w:lineRule="exact" w:before="0" w:after="0"/>
        <w:ind w:left="1507" w:right="0" w:hanging="681"/>
        <w:jc w:val="left"/>
        <w:rPr>
          <w:sz w:val="20"/>
        </w:rPr>
      </w:pPr>
      <w:r>
        <w:rPr>
          <w:w w:val="120"/>
          <w:sz w:val="20"/>
        </w:rPr>
        <w:t>there is long-term and consistent commitment from ecumenical</w:t>
      </w:r>
      <w:r>
        <w:rPr>
          <w:spacing w:val="17"/>
          <w:w w:val="120"/>
          <w:sz w:val="20"/>
        </w:rPr>
        <w:t> </w:t>
      </w:r>
      <w:r>
        <w:rPr>
          <w:w w:val="120"/>
          <w:sz w:val="20"/>
        </w:rPr>
        <w:t>partners.</w:t>
      </w:r>
    </w:p>
    <w:p>
      <w:pPr>
        <w:pStyle w:val="BodyText"/>
        <w:rPr>
          <w:sz w:val="22"/>
        </w:rPr>
      </w:pPr>
    </w:p>
    <w:p>
      <w:pPr>
        <w:pStyle w:val="Heading4"/>
        <w:ind w:firstLine="0"/>
      </w:pPr>
      <w:r>
        <w:rPr>
          <w:spacing w:val="4"/>
          <w:w w:val="110"/>
        </w:rPr>
        <w:t>The </w:t>
      </w:r>
      <w:r>
        <w:rPr>
          <w:spacing w:val="2"/>
          <w:w w:val="110"/>
        </w:rPr>
        <w:t>roll </w:t>
      </w:r>
      <w:r>
        <w:rPr>
          <w:w w:val="110"/>
        </w:rPr>
        <w:t>of </w:t>
      </w:r>
      <w:r>
        <w:rPr>
          <w:spacing w:val="3"/>
          <w:w w:val="110"/>
        </w:rPr>
        <w:t>Ministers </w:t>
      </w:r>
      <w:r>
        <w:rPr>
          <w:w w:val="110"/>
        </w:rPr>
        <w:t>of Word </w:t>
      </w:r>
      <w:r>
        <w:rPr>
          <w:spacing w:val="3"/>
          <w:w w:val="110"/>
        </w:rPr>
        <w:t>and</w:t>
      </w:r>
      <w:r>
        <w:rPr>
          <w:spacing w:val="85"/>
          <w:w w:val="110"/>
        </w:rPr>
        <w:t> </w:t>
      </w:r>
      <w:r>
        <w:rPr>
          <w:spacing w:val="4"/>
          <w:w w:val="110"/>
        </w:rPr>
        <w:t>Sacraments</w:t>
      </w:r>
    </w:p>
    <w:p>
      <w:pPr>
        <w:pStyle w:val="Heading6"/>
        <w:spacing w:before="59"/>
      </w:pPr>
      <w:r>
        <w:rPr>
          <w:w w:val="110"/>
        </w:rPr>
        <w:t>Admission to the roll of ministers of word and sacraments</w:t>
      </w:r>
    </w:p>
    <w:p>
      <w:pPr>
        <w:pStyle w:val="BodyText"/>
        <w:spacing w:before="79"/>
        <w:ind w:left="827"/>
      </w:pPr>
      <w:r>
        <w:rPr>
          <w:w w:val="120"/>
        </w:rPr>
        <w:t>(from 1 February 2016 to 31 January 2018)</w:t>
      </w:r>
    </w:p>
    <w:p>
      <w:pPr>
        <w:pStyle w:val="BodyText"/>
        <w:spacing w:before="3"/>
        <w:rPr>
          <w:sz w:val="19"/>
        </w:rPr>
      </w:pPr>
    </w:p>
    <w:p>
      <w:pPr>
        <w:pStyle w:val="ListParagraph"/>
        <w:numPr>
          <w:ilvl w:val="1"/>
          <w:numId w:val="88"/>
        </w:numPr>
        <w:tabs>
          <w:tab w:pos="1507" w:val="left" w:leader="none"/>
          <w:tab w:pos="1508" w:val="left" w:leader="none"/>
        </w:tabs>
        <w:spacing w:line="242" w:lineRule="exact" w:before="0" w:after="0"/>
        <w:ind w:left="1507" w:right="0" w:hanging="681"/>
        <w:jc w:val="left"/>
        <w:rPr>
          <w:sz w:val="20"/>
        </w:rPr>
      </w:pPr>
      <w:r>
        <w:rPr>
          <w:w w:val="120"/>
          <w:sz w:val="20"/>
        </w:rPr>
        <w:t>By ordination and</w:t>
      </w:r>
      <w:r>
        <w:rPr>
          <w:spacing w:val="6"/>
          <w:w w:val="120"/>
          <w:sz w:val="20"/>
        </w:rPr>
        <w:t> </w:t>
      </w:r>
      <w:r>
        <w:rPr>
          <w:w w:val="120"/>
          <w:sz w:val="20"/>
        </w:rPr>
        <w:t>induction:</w:t>
      </w:r>
    </w:p>
    <w:p>
      <w:pPr>
        <w:pStyle w:val="BodyText"/>
        <w:spacing w:line="235" w:lineRule="auto" w:before="2"/>
        <w:ind w:left="2187" w:right="1620"/>
      </w:pPr>
      <w:r>
        <w:rPr>
          <w:w w:val="120"/>
        </w:rPr>
        <w:t>Liz Adams, Sally Bateman, Stephen Best, Andy Braunston, Stuart Cutler, Paul Dempster, Martin Ferris, Nick Jones, Peter Kimberley, Paul O’Connor and Angela Rigby</w:t>
      </w:r>
    </w:p>
    <w:p>
      <w:pPr>
        <w:pStyle w:val="BodyText"/>
        <w:spacing w:before="6"/>
        <w:rPr>
          <w:sz w:val="19"/>
        </w:rPr>
      </w:pPr>
    </w:p>
    <w:p>
      <w:pPr>
        <w:pStyle w:val="ListParagraph"/>
        <w:numPr>
          <w:ilvl w:val="1"/>
          <w:numId w:val="88"/>
        </w:numPr>
        <w:tabs>
          <w:tab w:pos="1507" w:val="left" w:leader="none"/>
          <w:tab w:pos="1508" w:val="left" w:leader="none"/>
        </w:tabs>
        <w:spacing w:line="242" w:lineRule="exact" w:before="1" w:after="0"/>
        <w:ind w:left="1507" w:right="0" w:hanging="681"/>
        <w:jc w:val="left"/>
        <w:rPr>
          <w:sz w:val="20"/>
        </w:rPr>
      </w:pPr>
      <w:r>
        <w:rPr>
          <w:w w:val="120"/>
          <w:sz w:val="20"/>
        </w:rPr>
        <w:t>By changes within the roll of</w:t>
      </w:r>
      <w:r>
        <w:rPr>
          <w:spacing w:val="11"/>
          <w:w w:val="120"/>
          <w:sz w:val="20"/>
        </w:rPr>
        <w:t> </w:t>
      </w:r>
      <w:r>
        <w:rPr>
          <w:w w:val="120"/>
          <w:sz w:val="20"/>
        </w:rPr>
        <w:t>ministers:</w:t>
      </w:r>
    </w:p>
    <w:p>
      <w:pPr>
        <w:pStyle w:val="BodyText"/>
        <w:spacing w:line="242" w:lineRule="exact"/>
        <w:ind w:left="2187"/>
      </w:pPr>
      <w:r>
        <w:rPr>
          <w:w w:val="120"/>
        </w:rPr>
        <w:t>Graham Dadd (from non-stipendiary to stipendiary service)</w:t>
      </w:r>
    </w:p>
    <w:p>
      <w:pPr>
        <w:pStyle w:val="BodyText"/>
        <w:spacing w:before="7"/>
        <w:rPr>
          <w:sz w:val="19"/>
        </w:rPr>
      </w:pPr>
    </w:p>
    <w:p>
      <w:pPr>
        <w:pStyle w:val="ListParagraph"/>
        <w:numPr>
          <w:ilvl w:val="1"/>
          <w:numId w:val="88"/>
        </w:numPr>
        <w:tabs>
          <w:tab w:pos="1506" w:val="left" w:leader="none"/>
          <w:tab w:pos="1508" w:val="left" w:leader="none"/>
        </w:tabs>
        <w:spacing w:line="235" w:lineRule="auto" w:before="0" w:after="0"/>
        <w:ind w:left="826" w:right="1846" w:firstLine="0"/>
        <w:jc w:val="left"/>
        <w:rPr>
          <w:sz w:val="20"/>
        </w:rPr>
      </w:pPr>
      <w:r>
        <w:rPr>
          <w:w w:val="120"/>
          <w:sz w:val="20"/>
        </w:rPr>
        <w:t>Deletions from the roll by resignation and/or transfer to another denomination or by the disciplinary</w:t>
      </w:r>
      <w:r>
        <w:rPr>
          <w:spacing w:val="8"/>
          <w:w w:val="120"/>
          <w:sz w:val="20"/>
        </w:rPr>
        <w:t> </w:t>
      </w:r>
      <w:r>
        <w:rPr>
          <w:w w:val="120"/>
          <w:sz w:val="20"/>
        </w:rPr>
        <w:t>process:</w:t>
      </w:r>
    </w:p>
    <w:p>
      <w:pPr>
        <w:pStyle w:val="BodyText"/>
        <w:spacing w:line="235" w:lineRule="auto" w:before="2"/>
        <w:ind w:left="2187" w:right="1528"/>
      </w:pPr>
      <w:r>
        <w:rPr>
          <w:spacing w:val="-5"/>
          <w:w w:val="125"/>
        </w:rPr>
        <w:t>Tom</w:t>
      </w:r>
      <w:r>
        <w:rPr>
          <w:spacing w:val="-15"/>
          <w:w w:val="125"/>
        </w:rPr>
        <w:t> </w:t>
      </w:r>
      <w:r>
        <w:rPr>
          <w:w w:val="125"/>
        </w:rPr>
        <w:t>Bayliss,</w:t>
      </w:r>
      <w:r>
        <w:rPr>
          <w:spacing w:val="-14"/>
          <w:w w:val="125"/>
        </w:rPr>
        <w:t> </w:t>
      </w:r>
      <w:r>
        <w:rPr>
          <w:w w:val="125"/>
        </w:rPr>
        <w:t>John</w:t>
      </w:r>
      <w:r>
        <w:rPr>
          <w:spacing w:val="-14"/>
          <w:w w:val="125"/>
        </w:rPr>
        <w:t> </w:t>
      </w:r>
      <w:r>
        <w:rPr>
          <w:spacing w:val="-2"/>
          <w:w w:val="125"/>
        </w:rPr>
        <w:t>Cox</w:t>
      </w:r>
      <w:r>
        <w:rPr>
          <w:spacing w:val="-15"/>
          <w:w w:val="125"/>
        </w:rPr>
        <w:t> </w:t>
      </w:r>
      <w:r>
        <w:rPr>
          <w:w w:val="125"/>
        </w:rPr>
        <w:t>(United</w:t>
      </w:r>
      <w:r>
        <w:rPr>
          <w:spacing w:val="-14"/>
          <w:w w:val="125"/>
        </w:rPr>
        <w:t> </w:t>
      </w:r>
      <w:r>
        <w:rPr>
          <w:w w:val="125"/>
        </w:rPr>
        <w:t>Church</w:t>
      </w:r>
      <w:r>
        <w:rPr>
          <w:spacing w:val="-14"/>
          <w:w w:val="125"/>
        </w:rPr>
        <w:t> </w:t>
      </w:r>
      <w:r>
        <w:rPr>
          <w:w w:val="125"/>
        </w:rPr>
        <w:t>of</w:t>
      </w:r>
      <w:r>
        <w:rPr>
          <w:spacing w:val="-15"/>
          <w:w w:val="125"/>
        </w:rPr>
        <w:t> </w:t>
      </w:r>
      <w:r>
        <w:rPr>
          <w:w w:val="125"/>
        </w:rPr>
        <w:t>Christ,</w:t>
      </w:r>
      <w:r>
        <w:rPr>
          <w:spacing w:val="-14"/>
          <w:w w:val="125"/>
        </w:rPr>
        <w:t> </w:t>
      </w:r>
      <w:r>
        <w:rPr>
          <w:spacing w:val="-4"/>
          <w:w w:val="125"/>
        </w:rPr>
        <w:t>USA),</w:t>
      </w:r>
      <w:r>
        <w:rPr>
          <w:spacing w:val="-14"/>
          <w:w w:val="125"/>
        </w:rPr>
        <w:t> </w:t>
      </w:r>
      <w:r>
        <w:rPr>
          <w:w w:val="125"/>
        </w:rPr>
        <w:t>David</w:t>
      </w:r>
      <w:r>
        <w:rPr>
          <w:spacing w:val="-15"/>
          <w:w w:val="125"/>
        </w:rPr>
        <w:t> </w:t>
      </w:r>
      <w:r>
        <w:rPr>
          <w:w w:val="125"/>
        </w:rPr>
        <w:t>Flynn,</w:t>
      </w:r>
      <w:r>
        <w:rPr>
          <w:spacing w:val="-14"/>
          <w:w w:val="125"/>
        </w:rPr>
        <w:t> </w:t>
      </w:r>
      <w:r>
        <w:rPr>
          <w:w w:val="125"/>
        </w:rPr>
        <w:t>Karen Knight, Bernard Moss </w:t>
      </w:r>
      <w:r>
        <w:rPr>
          <w:spacing w:val="-3"/>
          <w:w w:val="125"/>
        </w:rPr>
        <w:t>(Church </w:t>
      </w:r>
      <w:r>
        <w:rPr>
          <w:w w:val="125"/>
        </w:rPr>
        <w:t>of England), Steven Orange, Sue Powell, Caro Smyth, Chris Ray (Baptist), Richard Stein and Wendy Williams </w:t>
      </w:r>
      <w:r>
        <w:rPr>
          <w:spacing w:val="-3"/>
          <w:w w:val="125"/>
        </w:rPr>
        <w:t>(Church </w:t>
      </w:r>
      <w:r>
        <w:rPr>
          <w:w w:val="125"/>
        </w:rPr>
        <w:t>of</w:t>
      </w:r>
      <w:r>
        <w:rPr>
          <w:spacing w:val="2"/>
          <w:w w:val="125"/>
        </w:rPr>
        <w:t> </w:t>
      </w:r>
      <w:r>
        <w:rPr>
          <w:w w:val="125"/>
        </w:rPr>
        <w:t>England)</w:t>
      </w:r>
    </w:p>
    <w:p>
      <w:pPr>
        <w:pStyle w:val="BodyText"/>
        <w:spacing w:before="7"/>
        <w:rPr>
          <w:sz w:val="19"/>
        </w:rPr>
      </w:pPr>
    </w:p>
    <w:p>
      <w:pPr>
        <w:pStyle w:val="ListParagraph"/>
        <w:numPr>
          <w:ilvl w:val="1"/>
          <w:numId w:val="88"/>
        </w:numPr>
        <w:tabs>
          <w:tab w:pos="1506" w:val="left" w:leader="none"/>
          <w:tab w:pos="1507" w:val="left" w:leader="none"/>
        </w:tabs>
        <w:spacing w:line="242" w:lineRule="exact" w:before="0" w:after="0"/>
        <w:ind w:left="1506" w:right="0" w:hanging="681"/>
        <w:jc w:val="left"/>
        <w:rPr>
          <w:sz w:val="20"/>
        </w:rPr>
      </w:pPr>
      <w:r>
        <w:rPr>
          <w:w w:val="120"/>
          <w:sz w:val="20"/>
        </w:rPr>
        <w:t>Re-admission to the</w:t>
      </w:r>
      <w:r>
        <w:rPr>
          <w:spacing w:val="5"/>
          <w:w w:val="120"/>
          <w:sz w:val="20"/>
        </w:rPr>
        <w:t> </w:t>
      </w:r>
      <w:r>
        <w:rPr>
          <w:w w:val="120"/>
          <w:sz w:val="20"/>
        </w:rPr>
        <w:t>roll:</w:t>
      </w:r>
    </w:p>
    <w:p>
      <w:pPr>
        <w:pStyle w:val="BodyText"/>
        <w:spacing w:line="242" w:lineRule="exact"/>
        <w:ind w:left="2266"/>
      </w:pPr>
      <w:r>
        <w:rPr>
          <w:w w:val="120"/>
        </w:rPr>
        <w:t>Martin Nicholls, Janet Webber</w:t>
      </w:r>
    </w:p>
    <w:p>
      <w:pPr>
        <w:pStyle w:val="BodyText"/>
        <w:rPr>
          <w:sz w:val="22"/>
        </w:rPr>
      </w:pPr>
    </w:p>
    <w:p>
      <w:pPr>
        <w:pStyle w:val="Heading4"/>
        <w:ind w:firstLine="0"/>
      </w:pPr>
      <w:r>
        <w:rPr>
          <w:w w:val="110"/>
        </w:rPr>
        <w:t>Church Related Community Workers</w:t>
      </w:r>
    </w:p>
    <w:p>
      <w:pPr>
        <w:pStyle w:val="Heading6"/>
        <w:spacing w:before="59"/>
      </w:pPr>
      <w:r>
        <w:rPr>
          <w:w w:val="110"/>
        </w:rPr>
        <w:t>Admissions to the roll of church related community workers</w:t>
      </w:r>
    </w:p>
    <w:p>
      <w:pPr>
        <w:pStyle w:val="BodyText"/>
        <w:spacing w:before="79"/>
        <w:ind w:left="827"/>
      </w:pPr>
      <w:r>
        <w:rPr>
          <w:w w:val="120"/>
        </w:rPr>
        <w:t>(from 1 February 2016 to 31 January 2018)</w:t>
      </w:r>
    </w:p>
    <w:p>
      <w:pPr>
        <w:pStyle w:val="BodyText"/>
        <w:spacing w:before="3"/>
        <w:rPr>
          <w:sz w:val="19"/>
        </w:rPr>
      </w:pPr>
    </w:p>
    <w:p>
      <w:pPr>
        <w:pStyle w:val="BodyText"/>
        <w:tabs>
          <w:tab w:pos="1507" w:val="left" w:leader="none"/>
        </w:tabs>
        <w:spacing w:line="242" w:lineRule="exact" w:before="1"/>
        <w:ind w:left="827"/>
      </w:pPr>
      <w:r>
        <w:rPr>
          <w:spacing w:val="-8"/>
          <w:w w:val="120"/>
        </w:rPr>
        <w:t>5.1</w:t>
        <w:tab/>
      </w:r>
      <w:r>
        <w:rPr>
          <w:w w:val="120"/>
        </w:rPr>
        <w:t>By</w:t>
      </w:r>
      <w:r>
        <w:rPr>
          <w:spacing w:val="2"/>
          <w:w w:val="120"/>
        </w:rPr>
        <w:t> </w:t>
      </w:r>
      <w:r>
        <w:rPr>
          <w:w w:val="120"/>
        </w:rPr>
        <w:t>commissioning:</w:t>
      </w:r>
    </w:p>
    <w:p>
      <w:pPr>
        <w:pStyle w:val="BodyText"/>
        <w:spacing w:line="242" w:lineRule="exact"/>
        <w:ind w:left="2267"/>
      </w:pPr>
      <w:r>
        <w:rPr>
          <w:w w:val="125"/>
        </w:rPr>
        <w:t>Vicky Longbone</w:t>
      </w:r>
    </w:p>
    <w:p>
      <w:pPr>
        <w:pStyle w:val="BodyText"/>
        <w:spacing w:before="12"/>
        <w:rPr>
          <w:sz w:val="21"/>
        </w:rPr>
      </w:pPr>
    </w:p>
    <w:p>
      <w:pPr>
        <w:pStyle w:val="Heading4"/>
        <w:ind w:firstLine="0"/>
      </w:pPr>
      <w:r>
        <w:rPr>
          <w:w w:val="110"/>
        </w:rPr>
        <w:t>Assembly accredited lay preachers</w:t>
      </w:r>
    </w:p>
    <w:p>
      <w:pPr>
        <w:pStyle w:val="ListParagraph"/>
        <w:numPr>
          <w:ilvl w:val="1"/>
          <w:numId w:val="89"/>
        </w:numPr>
        <w:tabs>
          <w:tab w:pos="1507" w:val="left" w:leader="none"/>
          <w:tab w:pos="1508" w:val="left" w:leader="none"/>
        </w:tabs>
        <w:spacing w:line="235" w:lineRule="auto" w:before="69" w:after="0"/>
        <w:ind w:left="827" w:right="1880" w:firstLine="0"/>
        <w:jc w:val="left"/>
        <w:rPr>
          <w:sz w:val="20"/>
        </w:rPr>
      </w:pPr>
      <w:r>
        <w:rPr>
          <w:w w:val="120"/>
          <w:sz w:val="20"/>
        </w:rPr>
        <w:t>The following have received Assembly accreditation between 1 </w:t>
      </w:r>
      <w:r>
        <w:rPr>
          <w:spacing w:val="2"/>
          <w:w w:val="120"/>
          <w:sz w:val="20"/>
        </w:rPr>
        <w:t>February </w:t>
      </w:r>
      <w:r>
        <w:rPr>
          <w:spacing w:val="-7"/>
          <w:w w:val="120"/>
          <w:sz w:val="20"/>
        </w:rPr>
        <w:t>2016 </w:t>
      </w:r>
      <w:r>
        <w:rPr>
          <w:w w:val="120"/>
          <w:sz w:val="20"/>
        </w:rPr>
        <w:t>and </w:t>
      </w:r>
      <w:r>
        <w:rPr>
          <w:spacing w:val="-7"/>
          <w:w w:val="120"/>
          <w:sz w:val="20"/>
        </w:rPr>
        <w:t>31 </w:t>
      </w:r>
      <w:r>
        <w:rPr>
          <w:w w:val="120"/>
          <w:sz w:val="20"/>
        </w:rPr>
        <w:t>January </w:t>
      </w:r>
      <w:r>
        <w:rPr>
          <w:spacing w:val="-6"/>
          <w:w w:val="120"/>
          <w:sz w:val="20"/>
        </w:rPr>
        <w:t>2018 </w:t>
      </w:r>
      <w:r>
        <w:rPr>
          <w:w w:val="120"/>
          <w:sz w:val="20"/>
        </w:rPr>
        <w:t>as a result of having completed a URC course of study or having prior accreditation from another</w:t>
      </w:r>
      <w:r>
        <w:rPr>
          <w:spacing w:val="8"/>
          <w:w w:val="120"/>
          <w:sz w:val="20"/>
        </w:rPr>
        <w:t> </w:t>
      </w:r>
      <w:r>
        <w:rPr>
          <w:w w:val="120"/>
          <w:sz w:val="20"/>
        </w:rPr>
        <w:t>denomination.</w:t>
      </w:r>
    </w:p>
    <w:p>
      <w:pPr>
        <w:pStyle w:val="BodyText"/>
        <w:tabs>
          <w:tab w:pos="3706" w:val="left" w:leader="none"/>
        </w:tabs>
        <w:spacing w:line="240" w:lineRule="exact"/>
        <w:ind w:left="1507"/>
      </w:pPr>
      <w:r>
        <w:rPr>
          <w:w w:val="120"/>
        </w:rPr>
        <w:t>Northern:</w:t>
        <w:tab/>
        <w:t>Hannah</w:t>
      </w:r>
      <w:r>
        <w:rPr>
          <w:spacing w:val="2"/>
          <w:w w:val="120"/>
        </w:rPr>
        <w:t> </w:t>
      </w:r>
      <w:r>
        <w:rPr>
          <w:w w:val="120"/>
        </w:rPr>
        <w:t>Middleton</w:t>
      </w:r>
    </w:p>
    <w:p>
      <w:pPr>
        <w:pStyle w:val="BodyText"/>
        <w:tabs>
          <w:tab w:pos="3706" w:val="left" w:leader="none"/>
        </w:tabs>
        <w:spacing w:line="240" w:lineRule="exact"/>
        <w:ind w:left="1507"/>
      </w:pPr>
      <w:r>
        <w:rPr>
          <w:w w:val="120"/>
        </w:rPr>
        <w:t>Mersey:</w:t>
        <w:tab/>
        <w:t>Paul Duncan, Doris Rimmer, Ron</w:t>
      </w:r>
      <w:r>
        <w:rPr>
          <w:spacing w:val="8"/>
          <w:w w:val="120"/>
        </w:rPr>
        <w:t> </w:t>
      </w:r>
      <w:r>
        <w:rPr>
          <w:w w:val="120"/>
        </w:rPr>
        <w:t>Williams</w:t>
      </w:r>
    </w:p>
    <w:p>
      <w:pPr>
        <w:pStyle w:val="BodyText"/>
        <w:tabs>
          <w:tab w:pos="3706" w:val="left" w:leader="none"/>
        </w:tabs>
        <w:spacing w:line="235" w:lineRule="auto" w:before="2"/>
        <w:ind w:left="1507" w:right="4366"/>
      </w:pPr>
      <w:r>
        <w:rPr>
          <w:w w:val="120"/>
        </w:rPr>
        <w:t>Yorkshire:</w:t>
        <w:tab/>
        <w:t>Jenny Horton, Teresa Raddings East</w:t>
      </w:r>
      <w:r>
        <w:rPr>
          <w:spacing w:val="-3"/>
          <w:w w:val="120"/>
        </w:rPr>
        <w:t> </w:t>
      </w:r>
      <w:r>
        <w:rPr>
          <w:w w:val="120"/>
        </w:rPr>
        <w:t>Midlands:</w:t>
        <w:tab/>
        <w:t>James</w:t>
      </w:r>
      <w:r>
        <w:rPr>
          <w:spacing w:val="2"/>
          <w:w w:val="120"/>
        </w:rPr>
        <w:t> </w:t>
      </w:r>
      <w:r>
        <w:rPr>
          <w:w w:val="120"/>
        </w:rPr>
        <w:t>Hodgkinson</w:t>
      </w:r>
    </w:p>
    <w:p>
      <w:pPr>
        <w:pStyle w:val="BodyText"/>
        <w:tabs>
          <w:tab w:pos="3706" w:val="left" w:leader="none"/>
        </w:tabs>
        <w:spacing w:line="235" w:lineRule="auto" w:before="1"/>
        <w:ind w:left="1507" w:right="4125"/>
      </w:pPr>
      <w:r>
        <w:rPr>
          <w:w w:val="120"/>
        </w:rPr>
        <w:t>West</w:t>
      </w:r>
      <w:r>
        <w:rPr>
          <w:spacing w:val="-6"/>
          <w:w w:val="120"/>
        </w:rPr>
        <w:t> </w:t>
      </w:r>
      <w:r>
        <w:rPr>
          <w:w w:val="120"/>
        </w:rPr>
        <w:t>Midlands:</w:t>
        <w:tab/>
        <w:t>Mark Pickering, Pauline</w:t>
      </w:r>
      <w:r>
        <w:rPr>
          <w:spacing w:val="-22"/>
          <w:w w:val="120"/>
        </w:rPr>
        <w:t> </w:t>
      </w:r>
      <w:r>
        <w:rPr>
          <w:w w:val="120"/>
        </w:rPr>
        <w:t>Whateley South</w:t>
      </w:r>
      <w:r>
        <w:rPr>
          <w:spacing w:val="-5"/>
          <w:w w:val="120"/>
        </w:rPr>
        <w:t> </w:t>
      </w:r>
      <w:r>
        <w:rPr>
          <w:w w:val="120"/>
        </w:rPr>
        <w:t>Western:</w:t>
        <w:tab/>
        <w:t>Sarah Jang, Richard</w:t>
      </w:r>
      <w:r>
        <w:rPr>
          <w:spacing w:val="7"/>
          <w:w w:val="120"/>
        </w:rPr>
        <w:t> </w:t>
      </w:r>
      <w:r>
        <w:rPr>
          <w:w w:val="120"/>
        </w:rPr>
        <w:t>Wainwright</w:t>
      </w:r>
    </w:p>
    <w:p>
      <w:pPr>
        <w:pStyle w:val="BodyText"/>
        <w:tabs>
          <w:tab w:pos="3706" w:val="left" w:leader="none"/>
        </w:tabs>
        <w:spacing w:line="240" w:lineRule="exact"/>
        <w:ind w:left="1507"/>
      </w:pPr>
      <w:r>
        <w:rPr>
          <w:w w:val="120"/>
        </w:rPr>
        <w:t>Wessex:</w:t>
        <w:tab/>
        <w:t>Anna Crawford, Laurence Devlin, Linda</w:t>
      </w:r>
      <w:r>
        <w:rPr>
          <w:spacing w:val="14"/>
          <w:w w:val="120"/>
        </w:rPr>
        <w:t> </w:t>
      </w:r>
      <w:r>
        <w:rPr>
          <w:w w:val="120"/>
        </w:rPr>
        <w:t>Pain</w:t>
      </w:r>
    </w:p>
    <w:p>
      <w:pPr>
        <w:pStyle w:val="BodyText"/>
        <w:tabs>
          <w:tab w:pos="3706" w:val="left" w:leader="none"/>
        </w:tabs>
        <w:spacing w:line="240" w:lineRule="exact"/>
        <w:ind w:left="1507"/>
      </w:pPr>
      <w:r>
        <w:rPr>
          <w:w w:val="120"/>
        </w:rPr>
        <w:t>Southern:</w:t>
        <w:tab/>
        <w:t>Sonia</w:t>
      </w:r>
      <w:r>
        <w:rPr>
          <w:spacing w:val="1"/>
          <w:w w:val="120"/>
        </w:rPr>
        <w:t> </w:t>
      </w:r>
      <w:r>
        <w:rPr>
          <w:w w:val="120"/>
        </w:rPr>
        <w:t>Weston</w:t>
      </w:r>
    </w:p>
    <w:p>
      <w:pPr>
        <w:pStyle w:val="BodyText"/>
        <w:tabs>
          <w:tab w:pos="3706" w:val="left" w:leader="none"/>
        </w:tabs>
        <w:spacing w:line="242" w:lineRule="exact"/>
        <w:ind w:left="1507"/>
      </w:pPr>
      <w:r>
        <w:rPr>
          <w:w w:val="120"/>
        </w:rPr>
        <w:t>Scotland:</w:t>
        <w:tab/>
        <w:t>Derek</w:t>
      </w:r>
      <w:r>
        <w:rPr>
          <w:spacing w:val="2"/>
          <w:w w:val="120"/>
        </w:rPr>
        <w:t> </w:t>
      </w:r>
      <w:r>
        <w:rPr>
          <w:w w:val="120"/>
        </w:rPr>
        <w:t>McDonald.</w:t>
      </w:r>
    </w:p>
    <w:p>
      <w:pPr>
        <w:spacing w:after="0" w:line="242" w:lineRule="exact"/>
        <w:sectPr>
          <w:headerReference w:type="even" r:id="rId355"/>
          <w:pgSz w:w="11910" w:h="16840"/>
          <w:pgMar w:header="0" w:footer="647" w:top="0" w:bottom="840" w:left="420" w:right="380"/>
        </w:sectPr>
      </w:pPr>
    </w:p>
    <w:p>
      <w:pPr>
        <w:pStyle w:val="BodyText"/>
      </w:pPr>
      <w:r>
        <w:rPr/>
        <w:drawing>
          <wp:anchor distT="0" distB="0" distL="0" distR="0" allowOverlap="1" layoutInCell="1" locked="0" behindDoc="0" simplePos="0" relativeHeight="251993088">
            <wp:simplePos x="0" y="0"/>
            <wp:positionH relativeFrom="page">
              <wp:posOffset>6974928</wp:posOffset>
            </wp:positionH>
            <wp:positionV relativeFrom="page">
              <wp:posOffset>0</wp:posOffset>
            </wp:positionV>
            <wp:extent cx="585063" cy="10692003"/>
            <wp:effectExtent l="0" t="0" r="0" b="0"/>
            <wp:wrapNone/>
            <wp:docPr id="243" name="image57.png"/>
            <wp:cNvGraphicFramePr>
              <a:graphicFrameLocks noChangeAspect="1"/>
            </wp:cNvGraphicFramePr>
            <a:graphic>
              <a:graphicData uri="http://schemas.openxmlformats.org/drawingml/2006/picture">
                <pic:pic>
                  <pic:nvPicPr>
                    <pic:cNvPr id="24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87.05pt;mso-position-horizontal-relative:page;mso-position-vertical-relative:paragraph;z-index:251995136" type="#_x0000_t202" filled="false" stroked="false">
            <v:textbox inset="0,0,0,0" style="layout-flow:vertical">
              <w:txbxContent>
                <w:p>
                  <w:pPr>
                    <w:spacing w:before="29"/>
                    <w:ind w:left="20" w:right="0" w:firstLine="0"/>
                    <w:jc w:val="left"/>
                    <w:rPr>
                      <w:sz w:val="39"/>
                    </w:rPr>
                  </w:pPr>
                  <w:r>
                    <w:rPr>
                      <w:color w:val="FFFFFF"/>
                      <w:spacing w:val="9"/>
                      <w:w w:val="125"/>
                      <w:sz w:val="39"/>
                    </w:rPr>
                    <w:t>Assessment</w:t>
                  </w:r>
                  <w:r>
                    <w:rPr>
                      <w:color w:val="FFFFFF"/>
                      <w:spacing w:val="-42"/>
                      <w:w w:val="125"/>
                      <w:sz w:val="39"/>
                    </w:rPr>
                    <w:t> </w:t>
                  </w:r>
                  <w:r>
                    <w:rPr>
                      <w:color w:val="FFFFFF"/>
                      <w:spacing w:val="8"/>
                      <w:w w:val="125"/>
                      <w:sz w:val="39"/>
                    </w:rPr>
                    <w:t>board</w:t>
                  </w:r>
                </w:p>
              </w:txbxContent>
            </v:textbox>
            <w10:wrap type="none"/>
          </v:shape>
        </w:pict>
      </w:r>
      <w:r>
        <w:rPr>
          <w:color w:val="7EAABF"/>
          <w:w w:val="110"/>
        </w:rPr>
        <w:t>Ministries</w:t>
      </w:r>
    </w:p>
    <w:p>
      <w:pPr>
        <w:spacing w:before="161"/>
        <w:ind w:left="1261" w:right="565" w:firstLine="0"/>
        <w:jc w:val="center"/>
        <w:rPr>
          <w:rFonts w:ascii="Stone Sans II ITC Std X Bd"/>
          <w:b/>
          <w:sz w:val="50"/>
        </w:rPr>
      </w:pPr>
      <w:r>
        <w:rPr>
          <w:rFonts w:ascii="Stone Sans II ITC Std X Bd"/>
          <w:b/>
          <w:w w:val="110"/>
          <w:sz w:val="50"/>
        </w:rPr>
        <w:t>Assessment board</w:t>
      </w:r>
    </w:p>
    <w:p>
      <w:pPr>
        <w:spacing w:line="254" w:lineRule="auto" w:before="129"/>
        <w:ind w:left="1677" w:right="6510" w:firstLine="0"/>
        <w:jc w:val="left"/>
        <w:rPr>
          <w:sz w:val="18"/>
        </w:rPr>
      </w:pPr>
      <w:r>
        <w:rPr/>
        <w:pict>
          <v:line style="position:absolute;mso-position-horizontal-relative:page;mso-position-vertical-relative:paragraph;z-index:251994112" from="99.212601pt,9.22907pt" to="99.212601pt,88.59807pt" stroked="true" strokeweight="1pt" strokecolor="#0090d4">
            <v:stroke dashstyle="solid"/>
            <w10:wrap type="none"/>
          </v:line>
        </w:pict>
      </w:r>
      <w:r>
        <w:rPr>
          <w:rFonts w:ascii="Stone Sans II ITC Std Bk"/>
          <w:b/>
          <w:color w:val="707172"/>
          <w:w w:val="110"/>
          <w:sz w:val="18"/>
        </w:rPr>
        <w:t>Subcommittee members </w:t>
      </w:r>
      <w:r>
        <w:rPr>
          <w:color w:val="707172"/>
          <w:w w:val="120"/>
          <w:sz w:val="18"/>
        </w:rPr>
        <w:t>Convenor: Ewen Harley Secretary: Craig Bowman</w:t>
      </w:r>
    </w:p>
    <w:p>
      <w:pPr>
        <w:spacing w:before="7"/>
        <w:ind w:left="1677" w:right="0" w:firstLine="0"/>
        <w:jc w:val="left"/>
        <w:rPr>
          <w:sz w:val="18"/>
        </w:rPr>
      </w:pPr>
      <w:r>
        <w:rPr>
          <w:color w:val="707172"/>
          <w:w w:val="125"/>
          <w:sz w:val="18"/>
        </w:rPr>
        <w:t>Members: Ruth Allen (until 2018), Alex Bediako (until 2017), Karen Campbell, Lesley Charlton,</w:t>
      </w:r>
    </w:p>
    <w:p>
      <w:pPr>
        <w:spacing w:before="20"/>
        <w:ind w:left="1677" w:right="0" w:firstLine="0"/>
        <w:jc w:val="left"/>
        <w:rPr>
          <w:sz w:val="18"/>
        </w:rPr>
      </w:pPr>
      <w:r>
        <w:rPr>
          <w:color w:val="707172"/>
          <w:w w:val="125"/>
          <w:sz w:val="18"/>
        </w:rPr>
        <w:t>Sohail Ejaz, Bill Gould (until 2017), Peter Henderson (until 2017), Shahbaz Javed</w:t>
      </w:r>
    </w:p>
    <w:p>
      <w:pPr>
        <w:spacing w:line="261" w:lineRule="auto" w:before="20"/>
        <w:ind w:left="1677" w:right="923" w:firstLine="0"/>
        <w:jc w:val="left"/>
        <w:rPr>
          <w:sz w:val="18"/>
        </w:rPr>
      </w:pPr>
      <w:r>
        <w:rPr>
          <w:color w:val="707172"/>
          <w:spacing w:val="-3"/>
          <w:w w:val="125"/>
          <w:sz w:val="18"/>
        </w:rPr>
        <w:t>(until </w:t>
      </w:r>
      <w:r>
        <w:rPr>
          <w:color w:val="707172"/>
          <w:spacing w:val="-6"/>
          <w:w w:val="125"/>
          <w:sz w:val="18"/>
        </w:rPr>
        <w:t>2017), </w:t>
      </w:r>
      <w:r>
        <w:rPr>
          <w:color w:val="707172"/>
          <w:w w:val="125"/>
          <w:sz w:val="18"/>
        </w:rPr>
        <w:t>Sue McCoan, Pat Oliver, Kim Plumpton </w:t>
      </w:r>
      <w:r>
        <w:rPr>
          <w:color w:val="707172"/>
          <w:spacing w:val="-3"/>
          <w:w w:val="125"/>
          <w:sz w:val="18"/>
        </w:rPr>
        <w:t>(until </w:t>
      </w:r>
      <w:r>
        <w:rPr>
          <w:color w:val="707172"/>
          <w:spacing w:val="-6"/>
          <w:w w:val="125"/>
          <w:sz w:val="18"/>
        </w:rPr>
        <w:t>2018), </w:t>
      </w:r>
      <w:r>
        <w:rPr>
          <w:color w:val="707172"/>
          <w:w w:val="125"/>
          <w:sz w:val="18"/>
        </w:rPr>
        <w:t>Stuart Radcliffe, Peter Rand, Jill Shelton, </w:t>
      </w:r>
      <w:r>
        <w:rPr>
          <w:color w:val="707172"/>
          <w:spacing w:val="3"/>
          <w:w w:val="125"/>
          <w:sz w:val="18"/>
        </w:rPr>
        <w:t>Mary </w:t>
      </w:r>
      <w:r>
        <w:rPr>
          <w:color w:val="707172"/>
          <w:w w:val="125"/>
          <w:sz w:val="18"/>
        </w:rPr>
        <w:t>Thomas </w:t>
      </w:r>
      <w:r>
        <w:rPr>
          <w:color w:val="707172"/>
          <w:spacing w:val="-3"/>
          <w:w w:val="125"/>
          <w:sz w:val="18"/>
        </w:rPr>
        <w:t>(until </w:t>
      </w:r>
      <w:r>
        <w:rPr>
          <w:color w:val="707172"/>
          <w:spacing w:val="-6"/>
          <w:w w:val="125"/>
          <w:sz w:val="18"/>
        </w:rPr>
        <w:t>2018)</w:t>
      </w:r>
    </w:p>
    <w:p>
      <w:pPr>
        <w:pStyle w:val="BodyText"/>
        <w:rPr>
          <w:sz w:val="22"/>
        </w:rPr>
      </w:pPr>
    </w:p>
    <w:p>
      <w:pPr>
        <w:pStyle w:val="Heading4"/>
        <w:spacing w:before="147"/>
        <w:ind w:left="1564" w:firstLine="0"/>
      </w:pPr>
      <w:r>
        <w:rPr>
          <w:w w:val="110"/>
        </w:rPr>
        <w:t>Commitment</w:t>
      </w:r>
    </w:p>
    <w:p>
      <w:pPr>
        <w:pStyle w:val="ListParagraph"/>
        <w:numPr>
          <w:ilvl w:val="2"/>
          <w:numId w:val="89"/>
        </w:numPr>
        <w:tabs>
          <w:tab w:pos="2244" w:val="left" w:leader="none"/>
          <w:tab w:pos="2245" w:val="left" w:leader="none"/>
        </w:tabs>
        <w:spacing w:line="235" w:lineRule="auto" w:before="12" w:after="0"/>
        <w:ind w:left="1564" w:right="907" w:firstLine="0"/>
        <w:jc w:val="left"/>
        <w:rPr>
          <w:sz w:val="20"/>
        </w:rPr>
      </w:pPr>
      <w:r>
        <w:rPr>
          <w:w w:val="120"/>
          <w:sz w:val="20"/>
        </w:rPr>
        <w:t>The commitment of those who serve on the board is much appreciated and grateful thanks are expressed for the time, energy and focus given to this work. Some members of the board are called infrequently to attend conferences as a result of the need to have a balance between female and male, lay and ordained, at each conference and taking into account the synods from which candidates have come. However, the willingness of board members to make themselves available even when they are not always used is recognised and</w:t>
      </w:r>
      <w:r>
        <w:rPr>
          <w:spacing w:val="11"/>
          <w:w w:val="120"/>
          <w:sz w:val="20"/>
        </w:rPr>
        <w:t> </w:t>
      </w:r>
      <w:r>
        <w:rPr>
          <w:w w:val="120"/>
          <w:sz w:val="20"/>
        </w:rPr>
        <w:t>appreciated.</w:t>
      </w:r>
    </w:p>
    <w:p>
      <w:pPr>
        <w:pStyle w:val="BodyText"/>
        <w:spacing w:before="6"/>
        <w:rPr>
          <w:sz w:val="22"/>
        </w:rPr>
      </w:pPr>
    </w:p>
    <w:p>
      <w:pPr>
        <w:pStyle w:val="Heading4"/>
        <w:ind w:left="1564" w:firstLine="0"/>
      </w:pPr>
      <w:r>
        <w:rPr>
          <w:w w:val="110"/>
        </w:rPr>
        <w:t>The work</w:t>
      </w:r>
    </w:p>
    <w:p>
      <w:pPr>
        <w:pStyle w:val="ListParagraph"/>
        <w:numPr>
          <w:ilvl w:val="2"/>
          <w:numId w:val="89"/>
        </w:numPr>
        <w:tabs>
          <w:tab w:pos="2244" w:val="left" w:leader="none"/>
          <w:tab w:pos="2245" w:val="left" w:leader="none"/>
        </w:tabs>
        <w:spacing w:line="235" w:lineRule="auto" w:before="12" w:after="0"/>
        <w:ind w:left="1564" w:right="892" w:firstLine="0"/>
        <w:jc w:val="left"/>
        <w:rPr>
          <w:sz w:val="20"/>
        </w:rPr>
      </w:pPr>
      <w:r>
        <w:rPr>
          <w:w w:val="120"/>
          <w:sz w:val="20"/>
        </w:rPr>
        <w:t>The</w:t>
      </w:r>
      <w:r>
        <w:rPr>
          <w:spacing w:val="-11"/>
          <w:w w:val="120"/>
          <w:sz w:val="20"/>
        </w:rPr>
        <w:t> </w:t>
      </w:r>
      <w:r>
        <w:rPr>
          <w:w w:val="120"/>
          <w:sz w:val="20"/>
        </w:rPr>
        <w:t>board</w:t>
      </w:r>
      <w:r>
        <w:rPr>
          <w:spacing w:val="-10"/>
          <w:w w:val="120"/>
          <w:sz w:val="20"/>
        </w:rPr>
        <w:t> </w:t>
      </w:r>
      <w:r>
        <w:rPr>
          <w:w w:val="120"/>
          <w:sz w:val="20"/>
        </w:rPr>
        <w:t>meets</w:t>
      </w:r>
      <w:r>
        <w:rPr>
          <w:spacing w:val="-10"/>
          <w:w w:val="120"/>
          <w:sz w:val="20"/>
        </w:rPr>
        <w:t> </w:t>
      </w:r>
      <w:r>
        <w:rPr>
          <w:spacing w:val="-3"/>
          <w:w w:val="120"/>
          <w:sz w:val="20"/>
        </w:rPr>
        <w:t>annually</w:t>
      </w:r>
      <w:r>
        <w:rPr>
          <w:spacing w:val="-10"/>
          <w:w w:val="120"/>
          <w:sz w:val="20"/>
        </w:rPr>
        <w:t> </w:t>
      </w:r>
      <w:r>
        <w:rPr>
          <w:w w:val="120"/>
          <w:sz w:val="20"/>
        </w:rPr>
        <w:t>in</w:t>
      </w:r>
      <w:r>
        <w:rPr>
          <w:spacing w:val="-10"/>
          <w:w w:val="120"/>
          <w:sz w:val="20"/>
        </w:rPr>
        <w:t> </w:t>
      </w:r>
      <w:r>
        <w:rPr>
          <w:w w:val="120"/>
          <w:sz w:val="20"/>
        </w:rPr>
        <w:t>September</w:t>
      </w:r>
      <w:r>
        <w:rPr>
          <w:spacing w:val="-10"/>
          <w:w w:val="120"/>
          <w:sz w:val="20"/>
        </w:rPr>
        <w:t> </w:t>
      </w:r>
      <w:r>
        <w:rPr>
          <w:w w:val="120"/>
          <w:sz w:val="20"/>
        </w:rPr>
        <w:t>and</w:t>
      </w:r>
      <w:r>
        <w:rPr>
          <w:spacing w:val="-10"/>
          <w:w w:val="120"/>
          <w:sz w:val="20"/>
        </w:rPr>
        <w:t> </w:t>
      </w:r>
      <w:r>
        <w:rPr>
          <w:spacing w:val="-3"/>
          <w:w w:val="120"/>
          <w:sz w:val="20"/>
        </w:rPr>
        <w:t>receives</w:t>
      </w:r>
      <w:r>
        <w:rPr>
          <w:spacing w:val="-10"/>
          <w:w w:val="120"/>
          <w:sz w:val="20"/>
        </w:rPr>
        <w:t> </w:t>
      </w:r>
      <w:r>
        <w:rPr>
          <w:w w:val="120"/>
          <w:sz w:val="20"/>
        </w:rPr>
        <w:t>reports</w:t>
      </w:r>
      <w:r>
        <w:rPr>
          <w:spacing w:val="-10"/>
          <w:w w:val="120"/>
          <w:sz w:val="20"/>
        </w:rPr>
        <w:t> </w:t>
      </w:r>
      <w:r>
        <w:rPr>
          <w:w w:val="120"/>
          <w:sz w:val="20"/>
        </w:rPr>
        <w:t>on</w:t>
      </w:r>
      <w:r>
        <w:rPr>
          <w:spacing w:val="-10"/>
          <w:w w:val="120"/>
          <w:sz w:val="20"/>
        </w:rPr>
        <w:t> </w:t>
      </w:r>
      <w:r>
        <w:rPr>
          <w:w w:val="120"/>
          <w:sz w:val="20"/>
        </w:rPr>
        <w:t>the</w:t>
      </w:r>
      <w:r>
        <w:rPr>
          <w:spacing w:val="-11"/>
          <w:w w:val="120"/>
          <w:sz w:val="20"/>
        </w:rPr>
        <w:t> </w:t>
      </w:r>
      <w:r>
        <w:rPr>
          <w:w w:val="120"/>
          <w:sz w:val="20"/>
        </w:rPr>
        <w:t>progress</w:t>
      </w:r>
      <w:r>
        <w:rPr>
          <w:spacing w:val="-10"/>
          <w:w w:val="120"/>
          <w:sz w:val="20"/>
        </w:rPr>
        <w:t> </w:t>
      </w:r>
      <w:r>
        <w:rPr>
          <w:w w:val="120"/>
          <w:sz w:val="20"/>
        </w:rPr>
        <w:t>of</w:t>
      </w:r>
      <w:r>
        <w:rPr>
          <w:spacing w:val="-10"/>
          <w:w w:val="120"/>
          <w:sz w:val="20"/>
        </w:rPr>
        <w:t> </w:t>
      </w:r>
      <w:r>
        <w:rPr>
          <w:w w:val="120"/>
          <w:sz w:val="20"/>
        </w:rPr>
        <w:t>all students in ministry training. Following a satisfactory </w:t>
      </w:r>
      <w:r>
        <w:rPr>
          <w:spacing w:val="-3"/>
          <w:w w:val="120"/>
          <w:sz w:val="20"/>
        </w:rPr>
        <w:t>penultimate year </w:t>
      </w:r>
      <w:r>
        <w:rPr>
          <w:w w:val="120"/>
          <w:sz w:val="20"/>
        </w:rPr>
        <w:t>report the board gives</w:t>
      </w:r>
      <w:r>
        <w:rPr>
          <w:spacing w:val="-17"/>
          <w:w w:val="120"/>
          <w:sz w:val="20"/>
        </w:rPr>
        <w:t> </w:t>
      </w:r>
      <w:r>
        <w:rPr>
          <w:w w:val="120"/>
          <w:sz w:val="20"/>
        </w:rPr>
        <w:t>approval</w:t>
      </w:r>
      <w:r>
        <w:rPr>
          <w:spacing w:val="-16"/>
          <w:w w:val="120"/>
          <w:sz w:val="20"/>
        </w:rPr>
        <w:t> </w:t>
      </w:r>
      <w:r>
        <w:rPr>
          <w:w w:val="120"/>
          <w:sz w:val="20"/>
        </w:rPr>
        <w:t>for</w:t>
      </w:r>
      <w:r>
        <w:rPr>
          <w:spacing w:val="-16"/>
          <w:w w:val="120"/>
          <w:sz w:val="20"/>
        </w:rPr>
        <w:t> </w:t>
      </w:r>
      <w:r>
        <w:rPr>
          <w:w w:val="120"/>
          <w:sz w:val="20"/>
        </w:rPr>
        <w:t>that</w:t>
      </w:r>
      <w:r>
        <w:rPr>
          <w:spacing w:val="-16"/>
          <w:w w:val="120"/>
          <w:sz w:val="20"/>
        </w:rPr>
        <w:t> </w:t>
      </w:r>
      <w:r>
        <w:rPr>
          <w:w w:val="120"/>
          <w:sz w:val="20"/>
        </w:rPr>
        <w:t>student</w:t>
      </w:r>
      <w:r>
        <w:rPr>
          <w:spacing w:val="-16"/>
          <w:w w:val="120"/>
          <w:sz w:val="20"/>
        </w:rPr>
        <w:t> </w:t>
      </w:r>
      <w:r>
        <w:rPr>
          <w:spacing w:val="-3"/>
          <w:w w:val="120"/>
          <w:sz w:val="20"/>
        </w:rPr>
        <w:t>to</w:t>
      </w:r>
      <w:r>
        <w:rPr>
          <w:spacing w:val="-16"/>
          <w:w w:val="120"/>
          <w:sz w:val="20"/>
        </w:rPr>
        <w:t> </w:t>
      </w:r>
      <w:r>
        <w:rPr>
          <w:spacing w:val="-3"/>
          <w:w w:val="120"/>
          <w:sz w:val="20"/>
        </w:rPr>
        <w:t>enter</w:t>
      </w:r>
      <w:r>
        <w:rPr>
          <w:spacing w:val="-16"/>
          <w:w w:val="120"/>
          <w:sz w:val="20"/>
        </w:rPr>
        <w:t> </w:t>
      </w:r>
      <w:r>
        <w:rPr>
          <w:w w:val="120"/>
          <w:sz w:val="20"/>
        </w:rPr>
        <w:t>the</w:t>
      </w:r>
      <w:r>
        <w:rPr>
          <w:spacing w:val="-16"/>
          <w:w w:val="120"/>
          <w:sz w:val="20"/>
        </w:rPr>
        <w:t> </w:t>
      </w:r>
      <w:r>
        <w:rPr>
          <w:w w:val="120"/>
          <w:sz w:val="20"/>
        </w:rPr>
        <w:t>settlement</w:t>
      </w:r>
      <w:r>
        <w:rPr>
          <w:spacing w:val="-16"/>
          <w:w w:val="120"/>
          <w:sz w:val="20"/>
        </w:rPr>
        <w:t> </w:t>
      </w:r>
      <w:r>
        <w:rPr>
          <w:w w:val="120"/>
          <w:sz w:val="20"/>
        </w:rPr>
        <w:t>process.</w:t>
      </w:r>
      <w:r>
        <w:rPr>
          <w:spacing w:val="-17"/>
          <w:w w:val="120"/>
          <w:sz w:val="20"/>
        </w:rPr>
        <w:t> </w:t>
      </w:r>
      <w:r>
        <w:rPr>
          <w:w w:val="120"/>
          <w:sz w:val="20"/>
        </w:rPr>
        <w:t>At</w:t>
      </w:r>
      <w:r>
        <w:rPr>
          <w:spacing w:val="-16"/>
          <w:w w:val="120"/>
          <w:sz w:val="20"/>
        </w:rPr>
        <w:t> </w:t>
      </w:r>
      <w:r>
        <w:rPr>
          <w:w w:val="120"/>
          <w:sz w:val="20"/>
        </w:rPr>
        <w:t>each</w:t>
      </w:r>
      <w:r>
        <w:rPr>
          <w:spacing w:val="-16"/>
          <w:w w:val="120"/>
          <w:sz w:val="20"/>
        </w:rPr>
        <w:t> </w:t>
      </w:r>
      <w:r>
        <w:rPr>
          <w:w w:val="120"/>
          <w:sz w:val="20"/>
        </w:rPr>
        <w:t>meeting</w:t>
      </w:r>
      <w:r>
        <w:rPr>
          <w:spacing w:val="-16"/>
          <w:w w:val="120"/>
          <w:sz w:val="20"/>
        </w:rPr>
        <w:t> </w:t>
      </w:r>
      <w:r>
        <w:rPr>
          <w:w w:val="120"/>
          <w:sz w:val="20"/>
        </w:rPr>
        <w:t>the</w:t>
      </w:r>
      <w:r>
        <w:rPr>
          <w:spacing w:val="-16"/>
          <w:w w:val="120"/>
          <w:sz w:val="20"/>
        </w:rPr>
        <w:t> </w:t>
      </w:r>
      <w:r>
        <w:rPr>
          <w:w w:val="120"/>
          <w:sz w:val="20"/>
        </w:rPr>
        <w:t>board reviews the processes </w:t>
      </w:r>
      <w:r>
        <w:rPr>
          <w:spacing w:val="-3"/>
          <w:w w:val="120"/>
          <w:sz w:val="20"/>
        </w:rPr>
        <w:t>involved </w:t>
      </w:r>
      <w:r>
        <w:rPr>
          <w:w w:val="120"/>
          <w:sz w:val="20"/>
        </w:rPr>
        <w:t>in the selection of </w:t>
      </w:r>
      <w:r>
        <w:rPr>
          <w:spacing w:val="-3"/>
          <w:w w:val="120"/>
          <w:sz w:val="20"/>
        </w:rPr>
        <w:t>candidates </w:t>
      </w:r>
      <w:r>
        <w:rPr>
          <w:w w:val="120"/>
          <w:sz w:val="20"/>
        </w:rPr>
        <w:t>for training for ministry of </w:t>
      </w:r>
      <w:r>
        <w:rPr>
          <w:spacing w:val="-3"/>
          <w:w w:val="120"/>
          <w:sz w:val="20"/>
        </w:rPr>
        <w:t>Word </w:t>
      </w:r>
      <w:r>
        <w:rPr>
          <w:w w:val="120"/>
          <w:sz w:val="20"/>
        </w:rPr>
        <w:t>and Sacraments </w:t>
      </w:r>
      <w:r>
        <w:rPr>
          <w:spacing w:val="-3"/>
          <w:w w:val="120"/>
          <w:sz w:val="20"/>
        </w:rPr>
        <w:t>(MWS) </w:t>
      </w:r>
      <w:r>
        <w:rPr>
          <w:w w:val="120"/>
          <w:sz w:val="20"/>
        </w:rPr>
        <w:t>and </w:t>
      </w:r>
      <w:r>
        <w:rPr>
          <w:spacing w:val="-3"/>
          <w:w w:val="120"/>
          <w:sz w:val="20"/>
        </w:rPr>
        <w:t>Church Related </w:t>
      </w:r>
      <w:r>
        <w:rPr>
          <w:w w:val="120"/>
          <w:sz w:val="20"/>
        </w:rPr>
        <w:t>Community Work ministry </w:t>
      </w:r>
      <w:r>
        <w:rPr>
          <w:spacing w:val="-3"/>
          <w:w w:val="120"/>
          <w:sz w:val="20"/>
        </w:rPr>
        <w:t>(CRCW). </w:t>
      </w:r>
      <w:r>
        <w:rPr>
          <w:w w:val="120"/>
          <w:sz w:val="20"/>
        </w:rPr>
        <w:t>Each </w:t>
      </w:r>
      <w:r>
        <w:rPr>
          <w:spacing w:val="-3"/>
          <w:w w:val="120"/>
          <w:sz w:val="20"/>
        </w:rPr>
        <w:t>year </w:t>
      </w:r>
      <w:r>
        <w:rPr>
          <w:w w:val="120"/>
          <w:sz w:val="20"/>
        </w:rPr>
        <w:t>the board reflects on the manner in which the </w:t>
      </w:r>
      <w:r>
        <w:rPr>
          <w:spacing w:val="-3"/>
          <w:w w:val="120"/>
          <w:sz w:val="20"/>
        </w:rPr>
        <w:t>decision, </w:t>
      </w:r>
      <w:r>
        <w:rPr>
          <w:w w:val="120"/>
          <w:sz w:val="20"/>
        </w:rPr>
        <w:t>whether </w:t>
      </w:r>
      <w:r>
        <w:rPr>
          <w:spacing w:val="-3"/>
          <w:w w:val="120"/>
          <w:sz w:val="20"/>
        </w:rPr>
        <w:t>positive </w:t>
      </w:r>
      <w:r>
        <w:rPr>
          <w:w w:val="120"/>
          <w:sz w:val="20"/>
        </w:rPr>
        <w:t>or </w:t>
      </w:r>
      <w:r>
        <w:rPr>
          <w:spacing w:val="-3"/>
          <w:w w:val="120"/>
          <w:sz w:val="20"/>
        </w:rPr>
        <w:t>negative, </w:t>
      </w:r>
      <w:r>
        <w:rPr>
          <w:w w:val="120"/>
          <w:sz w:val="20"/>
        </w:rPr>
        <w:t>is </w:t>
      </w:r>
      <w:r>
        <w:rPr>
          <w:spacing w:val="-4"/>
          <w:w w:val="120"/>
          <w:sz w:val="20"/>
        </w:rPr>
        <w:t>conveyed </w:t>
      </w:r>
      <w:r>
        <w:rPr>
          <w:spacing w:val="-3"/>
          <w:w w:val="120"/>
          <w:sz w:val="20"/>
        </w:rPr>
        <w:t>to </w:t>
      </w:r>
      <w:r>
        <w:rPr>
          <w:w w:val="120"/>
          <w:sz w:val="20"/>
        </w:rPr>
        <w:t>the </w:t>
      </w:r>
      <w:r>
        <w:rPr>
          <w:spacing w:val="-3"/>
          <w:w w:val="120"/>
          <w:sz w:val="20"/>
        </w:rPr>
        <w:t>candidate, recognising </w:t>
      </w:r>
      <w:r>
        <w:rPr>
          <w:w w:val="120"/>
          <w:sz w:val="20"/>
        </w:rPr>
        <w:t>the need for a </w:t>
      </w:r>
      <w:r>
        <w:rPr>
          <w:spacing w:val="-3"/>
          <w:w w:val="120"/>
          <w:sz w:val="20"/>
        </w:rPr>
        <w:t>balance </w:t>
      </w:r>
      <w:r>
        <w:rPr>
          <w:w w:val="120"/>
          <w:sz w:val="20"/>
        </w:rPr>
        <w:t>between speed </w:t>
      </w:r>
      <w:r>
        <w:rPr>
          <w:spacing w:val="-3"/>
          <w:w w:val="120"/>
          <w:sz w:val="20"/>
        </w:rPr>
        <w:t>(perhaps involving insensitivity) </w:t>
      </w:r>
      <w:r>
        <w:rPr>
          <w:w w:val="120"/>
          <w:sz w:val="20"/>
        </w:rPr>
        <w:t>and delay </w:t>
      </w:r>
      <w:r>
        <w:rPr>
          <w:spacing w:val="-3"/>
          <w:w w:val="120"/>
          <w:sz w:val="20"/>
        </w:rPr>
        <w:t>(perhaps causing </w:t>
      </w:r>
      <w:r>
        <w:rPr>
          <w:w w:val="120"/>
          <w:sz w:val="20"/>
        </w:rPr>
        <w:t>unnecessary anxiety </w:t>
      </w:r>
      <w:r>
        <w:rPr>
          <w:spacing w:val="-3"/>
          <w:w w:val="120"/>
          <w:sz w:val="20"/>
        </w:rPr>
        <w:t>to </w:t>
      </w:r>
      <w:r>
        <w:rPr>
          <w:w w:val="120"/>
          <w:sz w:val="20"/>
        </w:rPr>
        <w:t>the </w:t>
      </w:r>
      <w:r>
        <w:rPr>
          <w:spacing w:val="-5"/>
          <w:w w:val="120"/>
          <w:sz w:val="20"/>
        </w:rPr>
        <w:t>candidate). </w:t>
      </w:r>
      <w:r>
        <w:rPr>
          <w:w w:val="120"/>
          <w:sz w:val="20"/>
        </w:rPr>
        <w:t>Whilst the current practice of giving the </w:t>
      </w:r>
      <w:r>
        <w:rPr>
          <w:spacing w:val="-3"/>
          <w:w w:val="120"/>
          <w:sz w:val="20"/>
        </w:rPr>
        <w:t>decision </w:t>
      </w:r>
      <w:r>
        <w:rPr>
          <w:w w:val="120"/>
          <w:sz w:val="20"/>
        </w:rPr>
        <w:t>in person </w:t>
      </w:r>
      <w:r>
        <w:rPr>
          <w:spacing w:val="-3"/>
          <w:w w:val="120"/>
          <w:sz w:val="20"/>
        </w:rPr>
        <w:t>to </w:t>
      </w:r>
      <w:r>
        <w:rPr>
          <w:w w:val="120"/>
          <w:sz w:val="20"/>
        </w:rPr>
        <w:t>the </w:t>
      </w:r>
      <w:r>
        <w:rPr>
          <w:spacing w:val="-3"/>
          <w:w w:val="120"/>
          <w:sz w:val="20"/>
        </w:rPr>
        <w:t>candidate, usually</w:t>
      </w:r>
      <w:r>
        <w:rPr>
          <w:spacing w:val="-11"/>
          <w:w w:val="120"/>
          <w:sz w:val="20"/>
        </w:rPr>
        <w:t> </w:t>
      </w:r>
      <w:r>
        <w:rPr>
          <w:w w:val="120"/>
          <w:sz w:val="20"/>
        </w:rPr>
        <w:t>in</w:t>
      </w:r>
      <w:r>
        <w:rPr>
          <w:spacing w:val="-11"/>
          <w:w w:val="120"/>
          <w:sz w:val="20"/>
        </w:rPr>
        <w:t> </w:t>
      </w:r>
      <w:r>
        <w:rPr>
          <w:w w:val="120"/>
          <w:sz w:val="20"/>
        </w:rPr>
        <w:t>their</w:t>
      </w:r>
      <w:r>
        <w:rPr>
          <w:spacing w:val="-11"/>
          <w:w w:val="120"/>
          <w:sz w:val="20"/>
        </w:rPr>
        <w:t> </w:t>
      </w:r>
      <w:r>
        <w:rPr>
          <w:w w:val="120"/>
          <w:sz w:val="20"/>
        </w:rPr>
        <w:t>synod</w:t>
      </w:r>
      <w:r>
        <w:rPr>
          <w:spacing w:val="-11"/>
          <w:w w:val="120"/>
          <w:sz w:val="20"/>
        </w:rPr>
        <w:t> </w:t>
      </w:r>
      <w:r>
        <w:rPr>
          <w:w w:val="120"/>
          <w:sz w:val="20"/>
        </w:rPr>
        <w:t>with</w:t>
      </w:r>
      <w:r>
        <w:rPr>
          <w:spacing w:val="-11"/>
          <w:w w:val="120"/>
          <w:sz w:val="20"/>
        </w:rPr>
        <w:t> </w:t>
      </w:r>
      <w:r>
        <w:rPr>
          <w:w w:val="120"/>
          <w:sz w:val="20"/>
        </w:rPr>
        <w:t>synod</w:t>
      </w:r>
      <w:r>
        <w:rPr>
          <w:spacing w:val="-11"/>
          <w:w w:val="120"/>
          <w:sz w:val="20"/>
        </w:rPr>
        <w:t> </w:t>
      </w:r>
      <w:r>
        <w:rPr>
          <w:w w:val="120"/>
          <w:sz w:val="20"/>
        </w:rPr>
        <w:t>people</w:t>
      </w:r>
      <w:r>
        <w:rPr>
          <w:spacing w:val="-11"/>
          <w:w w:val="120"/>
          <w:sz w:val="20"/>
        </w:rPr>
        <w:t> </w:t>
      </w:r>
      <w:r>
        <w:rPr>
          <w:w w:val="120"/>
          <w:sz w:val="20"/>
        </w:rPr>
        <w:t>present,</w:t>
      </w:r>
      <w:r>
        <w:rPr>
          <w:spacing w:val="-11"/>
          <w:w w:val="120"/>
          <w:sz w:val="20"/>
        </w:rPr>
        <w:t> </w:t>
      </w:r>
      <w:r>
        <w:rPr>
          <w:w w:val="120"/>
          <w:sz w:val="20"/>
        </w:rPr>
        <w:t>is</w:t>
      </w:r>
      <w:r>
        <w:rPr>
          <w:spacing w:val="-11"/>
          <w:w w:val="120"/>
          <w:sz w:val="20"/>
        </w:rPr>
        <w:t> </w:t>
      </w:r>
      <w:r>
        <w:rPr>
          <w:w w:val="120"/>
          <w:sz w:val="20"/>
        </w:rPr>
        <w:t>not</w:t>
      </w:r>
      <w:r>
        <w:rPr>
          <w:spacing w:val="-11"/>
          <w:w w:val="120"/>
          <w:sz w:val="20"/>
        </w:rPr>
        <w:t> </w:t>
      </w:r>
      <w:r>
        <w:rPr>
          <w:w w:val="120"/>
          <w:sz w:val="20"/>
        </w:rPr>
        <w:t>the</w:t>
      </w:r>
      <w:r>
        <w:rPr>
          <w:spacing w:val="-11"/>
          <w:w w:val="120"/>
          <w:sz w:val="20"/>
        </w:rPr>
        <w:t> </w:t>
      </w:r>
      <w:r>
        <w:rPr>
          <w:w w:val="120"/>
          <w:sz w:val="20"/>
        </w:rPr>
        <w:t>preferred</w:t>
      </w:r>
      <w:r>
        <w:rPr>
          <w:spacing w:val="-11"/>
          <w:w w:val="120"/>
          <w:sz w:val="20"/>
        </w:rPr>
        <w:t> </w:t>
      </w:r>
      <w:r>
        <w:rPr>
          <w:spacing w:val="-3"/>
          <w:w w:val="120"/>
          <w:sz w:val="20"/>
        </w:rPr>
        <w:t>choice</w:t>
      </w:r>
      <w:r>
        <w:rPr>
          <w:spacing w:val="-11"/>
          <w:w w:val="120"/>
          <w:sz w:val="20"/>
        </w:rPr>
        <w:t> </w:t>
      </w:r>
      <w:r>
        <w:rPr>
          <w:w w:val="120"/>
          <w:sz w:val="20"/>
        </w:rPr>
        <w:t>for</w:t>
      </w:r>
      <w:r>
        <w:rPr>
          <w:spacing w:val="-11"/>
          <w:w w:val="120"/>
          <w:sz w:val="20"/>
        </w:rPr>
        <w:t> </w:t>
      </w:r>
      <w:r>
        <w:rPr>
          <w:w w:val="120"/>
          <w:sz w:val="20"/>
        </w:rPr>
        <w:t>some,</w:t>
      </w:r>
      <w:r>
        <w:rPr>
          <w:spacing w:val="-11"/>
          <w:w w:val="120"/>
          <w:sz w:val="20"/>
        </w:rPr>
        <w:t> </w:t>
      </w:r>
      <w:r>
        <w:rPr>
          <w:w w:val="120"/>
          <w:sz w:val="20"/>
        </w:rPr>
        <w:t>the board</w:t>
      </w:r>
      <w:r>
        <w:rPr>
          <w:spacing w:val="-7"/>
          <w:w w:val="120"/>
          <w:sz w:val="20"/>
        </w:rPr>
        <w:t> </w:t>
      </w:r>
      <w:r>
        <w:rPr>
          <w:w w:val="120"/>
          <w:sz w:val="20"/>
        </w:rPr>
        <w:t>still</w:t>
      </w:r>
      <w:r>
        <w:rPr>
          <w:spacing w:val="-6"/>
          <w:w w:val="120"/>
          <w:sz w:val="20"/>
        </w:rPr>
        <w:t> </w:t>
      </w:r>
      <w:r>
        <w:rPr>
          <w:w w:val="120"/>
          <w:sz w:val="20"/>
        </w:rPr>
        <w:t>believes</w:t>
      </w:r>
      <w:r>
        <w:rPr>
          <w:spacing w:val="-6"/>
          <w:w w:val="120"/>
          <w:sz w:val="20"/>
        </w:rPr>
        <w:t> </w:t>
      </w:r>
      <w:r>
        <w:rPr>
          <w:w w:val="120"/>
          <w:sz w:val="20"/>
        </w:rPr>
        <w:t>it</w:t>
      </w:r>
      <w:r>
        <w:rPr>
          <w:spacing w:val="-6"/>
          <w:w w:val="120"/>
          <w:sz w:val="20"/>
        </w:rPr>
        <w:t> </w:t>
      </w:r>
      <w:r>
        <w:rPr>
          <w:w w:val="120"/>
          <w:sz w:val="20"/>
        </w:rPr>
        <w:t>is</w:t>
      </w:r>
      <w:r>
        <w:rPr>
          <w:spacing w:val="-6"/>
          <w:w w:val="120"/>
          <w:sz w:val="20"/>
        </w:rPr>
        <w:t> </w:t>
      </w:r>
      <w:r>
        <w:rPr>
          <w:w w:val="120"/>
          <w:sz w:val="20"/>
        </w:rPr>
        <w:t>the</w:t>
      </w:r>
      <w:r>
        <w:rPr>
          <w:spacing w:val="-6"/>
          <w:w w:val="120"/>
          <w:sz w:val="20"/>
        </w:rPr>
        <w:t> </w:t>
      </w:r>
      <w:r>
        <w:rPr>
          <w:w w:val="120"/>
          <w:sz w:val="20"/>
        </w:rPr>
        <w:t>best</w:t>
      </w:r>
      <w:r>
        <w:rPr>
          <w:spacing w:val="-6"/>
          <w:w w:val="120"/>
          <w:sz w:val="20"/>
        </w:rPr>
        <w:t> </w:t>
      </w:r>
      <w:r>
        <w:rPr>
          <w:spacing w:val="-2"/>
          <w:w w:val="120"/>
          <w:sz w:val="20"/>
        </w:rPr>
        <w:t>way</w:t>
      </w:r>
      <w:r>
        <w:rPr>
          <w:spacing w:val="-6"/>
          <w:w w:val="120"/>
          <w:sz w:val="20"/>
        </w:rPr>
        <w:t> </w:t>
      </w:r>
      <w:r>
        <w:rPr>
          <w:w w:val="120"/>
          <w:sz w:val="20"/>
        </w:rPr>
        <w:t>of</w:t>
      </w:r>
      <w:r>
        <w:rPr>
          <w:spacing w:val="-6"/>
          <w:w w:val="120"/>
          <w:sz w:val="20"/>
        </w:rPr>
        <w:t> </w:t>
      </w:r>
      <w:r>
        <w:rPr>
          <w:w w:val="120"/>
          <w:sz w:val="20"/>
        </w:rPr>
        <w:t>meeting</w:t>
      </w:r>
      <w:r>
        <w:rPr>
          <w:spacing w:val="-6"/>
          <w:w w:val="120"/>
          <w:sz w:val="20"/>
        </w:rPr>
        <w:t> </w:t>
      </w:r>
      <w:r>
        <w:rPr>
          <w:w w:val="120"/>
          <w:sz w:val="20"/>
        </w:rPr>
        <w:t>the</w:t>
      </w:r>
      <w:r>
        <w:rPr>
          <w:spacing w:val="-6"/>
          <w:w w:val="120"/>
          <w:sz w:val="20"/>
        </w:rPr>
        <w:t> </w:t>
      </w:r>
      <w:r>
        <w:rPr>
          <w:spacing w:val="-3"/>
          <w:w w:val="120"/>
          <w:sz w:val="20"/>
        </w:rPr>
        <w:t>balance</w:t>
      </w:r>
      <w:r>
        <w:rPr>
          <w:spacing w:val="-6"/>
          <w:w w:val="120"/>
          <w:sz w:val="20"/>
        </w:rPr>
        <w:t> </w:t>
      </w:r>
      <w:r>
        <w:rPr>
          <w:w w:val="120"/>
          <w:sz w:val="20"/>
        </w:rPr>
        <w:t>mentioned</w:t>
      </w:r>
      <w:r>
        <w:rPr>
          <w:spacing w:val="-6"/>
          <w:w w:val="120"/>
          <w:sz w:val="20"/>
        </w:rPr>
        <w:t> </w:t>
      </w:r>
      <w:r>
        <w:rPr>
          <w:spacing w:val="-3"/>
          <w:w w:val="120"/>
          <w:sz w:val="20"/>
        </w:rPr>
        <w:t>above.</w:t>
      </w:r>
    </w:p>
    <w:p>
      <w:pPr>
        <w:pStyle w:val="BodyText"/>
        <w:spacing w:before="4"/>
      </w:pPr>
    </w:p>
    <w:p>
      <w:pPr>
        <w:pStyle w:val="ListParagraph"/>
        <w:numPr>
          <w:ilvl w:val="2"/>
          <w:numId w:val="89"/>
        </w:numPr>
        <w:tabs>
          <w:tab w:pos="2244" w:val="left" w:leader="none"/>
          <w:tab w:pos="2245" w:val="left" w:leader="none"/>
        </w:tabs>
        <w:spacing w:line="235" w:lineRule="auto" w:before="0" w:after="0"/>
        <w:ind w:left="1564" w:right="1324" w:firstLine="0"/>
        <w:jc w:val="left"/>
        <w:rPr>
          <w:sz w:val="20"/>
        </w:rPr>
      </w:pPr>
      <w:r>
        <w:rPr>
          <w:w w:val="120"/>
          <w:sz w:val="20"/>
        </w:rPr>
        <w:t>A member of staff representing the Resource Centres for Learning </w:t>
      </w:r>
      <w:r>
        <w:rPr>
          <w:spacing w:val="-3"/>
          <w:w w:val="120"/>
          <w:sz w:val="20"/>
        </w:rPr>
        <w:t>(RCLs) </w:t>
      </w:r>
      <w:r>
        <w:rPr>
          <w:w w:val="120"/>
          <w:sz w:val="20"/>
        </w:rPr>
        <w:t>is invited to attend the annual meeting of the board. This helps the board members  to have a realistic understanding of the demands of ministerial training and gives  an opportunity for the RCLs to raise particular matters of concern. Catherine Price, the personal development officer who supplies </w:t>
      </w:r>
      <w:r>
        <w:rPr>
          <w:spacing w:val="2"/>
          <w:w w:val="120"/>
          <w:sz w:val="20"/>
        </w:rPr>
        <w:t>reports </w:t>
      </w:r>
      <w:r>
        <w:rPr>
          <w:w w:val="120"/>
          <w:sz w:val="20"/>
        </w:rPr>
        <w:t>on candidates as </w:t>
      </w:r>
      <w:r>
        <w:rPr>
          <w:spacing w:val="2"/>
          <w:w w:val="120"/>
          <w:sz w:val="20"/>
        </w:rPr>
        <w:t>part </w:t>
      </w:r>
      <w:r>
        <w:rPr>
          <w:w w:val="120"/>
          <w:sz w:val="20"/>
        </w:rPr>
        <w:t>of</w:t>
      </w:r>
      <w:r>
        <w:rPr>
          <w:spacing w:val="19"/>
          <w:w w:val="120"/>
          <w:sz w:val="20"/>
        </w:rPr>
        <w:t> </w:t>
      </w:r>
      <w:r>
        <w:rPr>
          <w:w w:val="120"/>
          <w:sz w:val="20"/>
        </w:rPr>
        <w:t>the</w:t>
      </w:r>
    </w:p>
    <w:p>
      <w:pPr>
        <w:pStyle w:val="BodyText"/>
        <w:spacing w:line="235" w:lineRule="auto" w:before="4"/>
        <w:ind w:left="1564" w:right="923"/>
      </w:pPr>
      <w:r>
        <w:rPr>
          <w:w w:val="120"/>
        </w:rPr>
        <w:t>assessment process, attended the 2017 meeting so that her work could be discussed in some depth. A session on equalities is planned for the 2018 meeting.</w:t>
      </w:r>
    </w:p>
    <w:p>
      <w:pPr>
        <w:pStyle w:val="BodyText"/>
        <w:spacing w:before="2"/>
        <w:rPr>
          <w:sz w:val="22"/>
        </w:rPr>
      </w:pPr>
    </w:p>
    <w:p>
      <w:pPr>
        <w:pStyle w:val="Heading4"/>
        <w:ind w:left="1564" w:firstLine="0"/>
      </w:pPr>
      <w:r>
        <w:rPr>
          <w:w w:val="110"/>
        </w:rPr>
        <w:t>Number of candidates</w:t>
      </w:r>
    </w:p>
    <w:p>
      <w:pPr>
        <w:pStyle w:val="ListParagraph"/>
        <w:numPr>
          <w:ilvl w:val="2"/>
          <w:numId w:val="89"/>
        </w:numPr>
        <w:tabs>
          <w:tab w:pos="2244" w:val="left" w:leader="none"/>
          <w:tab w:pos="2245" w:val="left" w:leader="none"/>
        </w:tabs>
        <w:spacing w:line="235" w:lineRule="auto" w:before="12" w:after="0"/>
        <w:ind w:left="1564" w:right="1616" w:firstLine="0"/>
        <w:jc w:val="left"/>
        <w:rPr>
          <w:sz w:val="20"/>
        </w:rPr>
      </w:pPr>
      <w:r>
        <w:rPr>
          <w:spacing w:val="-6"/>
          <w:w w:val="120"/>
          <w:sz w:val="20"/>
        </w:rPr>
        <w:t>Two </w:t>
      </w:r>
      <w:r>
        <w:rPr>
          <w:w w:val="120"/>
          <w:sz w:val="20"/>
        </w:rPr>
        <w:t>assessment conferences are held each </w:t>
      </w:r>
      <w:r>
        <w:rPr>
          <w:spacing w:val="-4"/>
          <w:w w:val="120"/>
          <w:sz w:val="20"/>
        </w:rPr>
        <w:t>year, </w:t>
      </w:r>
      <w:r>
        <w:rPr>
          <w:w w:val="120"/>
          <w:sz w:val="20"/>
        </w:rPr>
        <w:t>alternating between Westminster College and </w:t>
      </w:r>
      <w:r>
        <w:rPr>
          <w:spacing w:val="2"/>
          <w:w w:val="120"/>
          <w:sz w:val="20"/>
        </w:rPr>
        <w:t>Northern </w:t>
      </w:r>
      <w:r>
        <w:rPr>
          <w:w w:val="120"/>
          <w:sz w:val="20"/>
        </w:rPr>
        <w:t>College. At the five conferences since we last reported </w:t>
      </w:r>
      <w:r>
        <w:rPr>
          <w:spacing w:val="-3"/>
          <w:w w:val="120"/>
          <w:sz w:val="20"/>
        </w:rPr>
        <w:t>35 </w:t>
      </w:r>
      <w:r>
        <w:rPr>
          <w:w w:val="120"/>
          <w:sz w:val="20"/>
        </w:rPr>
        <w:t>candidates have</w:t>
      </w:r>
      <w:r>
        <w:rPr>
          <w:spacing w:val="12"/>
          <w:w w:val="120"/>
          <w:sz w:val="20"/>
        </w:rPr>
        <w:t> </w:t>
      </w:r>
      <w:r>
        <w:rPr>
          <w:w w:val="120"/>
          <w:sz w:val="20"/>
        </w:rPr>
        <w:t>attended.</w:t>
      </w:r>
    </w:p>
    <w:p>
      <w:pPr>
        <w:pStyle w:val="ListParagraph"/>
        <w:numPr>
          <w:ilvl w:val="0"/>
          <w:numId w:val="90"/>
        </w:numPr>
        <w:tabs>
          <w:tab w:pos="2244" w:val="left" w:leader="none"/>
          <w:tab w:pos="2245" w:val="left" w:leader="none"/>
        </w:tabs>
        <w:spacing w:line="235" w:lineRule="exact" w:before="0" w:after="0"/>
        <w:ind w:left="2244" w:right="0" w:hanging="681"/>
        <w:jc w:val="left"/>
        <w:rPr>
          <w:sz w:val="20"/>
        </w:rPr>
      </w:pPr>
      <w:r>
        <w:rPr>
          <w:spacing w:val="-4"/>
          <w:w w:val="120"/>
          <w:sz w:val="20"/>
        </w:rPr>
        <w:t>21 </w:t>
      </w:r>
      <w:r>
        <w:rPr>
          <w:w w:val="120"/>
          <w:sz w:val="20"/>
        </w:rPr>
        <w:t>for MWS in stipendiary service </w:t>
      </w:r>
      <w:r>
        <w:rPr>
          <w:spacing w:val="-10"/>
          <w:w w:val="120"/>
          <w:sz w:val="20"/>
        </w:rPr>
        <w:t>(15 </w:t>
      </w:r>
      <w:r>
        <w:rPr>
          <w:w w:val="120"/>
          <w:sz w:val="20"/>
        </w:rPr>
        <w:t>accepted for</w:t>
      </w:r>
      <w:r>
        <w:rPr>
          <w:spacing w:val="39"/>
          <w:w w:val="120"/>
          <w:sz w:val="20"/>
        </w:rPr>
        <w:t> </w:t>
      </w:r>
      <w:r>
        <w:rPr>
          <w:w w:val="120"/>
          <w:sz w:val="20"/>
        </w:rPr>
        <w:t>training)</w:t>
      </w:r>
    </w:p>
    <w:p>
      <w:pPr>
        <w:pStyle w:val="ListParagraph"/>
        <w:numPr>
          <w:ilvl w:val="0"/>
          <w:numId w:val="90"/>
        </w:numPr>
        <w:tabs>
          <w:tab w:pos="2244" w:val="left" w:leader="none"/>
          <w:tab w:pos="2245" w:val="left" w:leader="none"/>
        </w:tabs>
        <w:spacing w:line="235" w:lineRule="auto" w:before="0" w:after="0"/>
        <w:ind w:left="2244" w:right="1103" w:hanging="681"/>
        <w:jc w:val="left"/>
        <w:rPr>
          <w:sz w:val="20"/>
        </w:rPr>
      </w:pPr>
      <w:r>
        <w:rPr>
          <w:spacing w:val="-5"/>
          <w:w w:val="120"/>
          <w:sz w:val="20"/>
        </w:rPr>
        <w:t>Ten </w:t>
      </w:r>
      <w:r>
        <w:rPr>
          <w:w w:val="120"/>
          <w:sz w:val="20"/>
        </w:rPr>
        <w:t>candidates for MWS in non-stipendiary service </w:t>
      </w:r>
      <w:r>
        <w:rPr>
          <w:spacing w:val="-3"/>
          <w:w w:val="120"/>
          <w:sz w:val="20"/>
        </w:rPr>
        <w:t>(eight </w:t>
      </w:r>
      <w:r>
        <w:rPr>
          <w:w w:val="120"/>
          <w:sz w:val="20"/>
        </w:rPr>
        <w:t>accepted for training but one candidate subsequently declined the</w:t>
      </w:r>
      <w:r>
        <w:rPr>
          <w:spacing w:val="15"/>
          <w:w w:val="120"/>
          <w:sz w:val="20"/>
        </w:rPr>
        <w:t> </w:t>
      </w:r>
      <w:r>
        <w:rPr>
          <w:w w:val="120"/>
          <w:sz w:val="20"/>
        </w:rPr>
        <w:t>offer)</w:t>
      </w:r>
    </w:p>
    <w:p>
      <w:pPr>
        <w:pStyle w:val="ListParagraph"/>
        <w:numPr>
          <w:ilvl w:val="0"/>
          <w:numId w:val="90"/>
        </w:numPr>
        <w:tabs>
          <w:tab w:pos="2244" w:val="left" w:leader="none"/>
          <w:tab w:pos="2245" w:val="left" w:leader="none"/>
        </w:tabs>
        <w:spacing w:line="234" w:lineRule="exact" w:before="0" w:after="0"/>
        <w:ind w:left="2244" w:right="0" w:hanging="681"/>
        <w:jc w:val="left"/>
        <w:rPr>
          <w:sz w:val="20"/>
        </w:rPr>
      </w:pPr>
      <w:r>
        <w:rPr>
          <w:spacing w:val="-6"/>
          <w:w w:val="120"/>
          <w:sz w:val="20"/>
        </w:rPr>
        <w:t>Two </w:t>
      </w:r>
      <w:r>
        <w:rPr>
          <w:w w:val="120"/>
          <w:sz w:val="20"/>
        </w:rPr>
        <w:t>candidates for CRCW in stipendiary service (both accepted for training)</w:t>
      </w:r>
    </w:p>
    <w:p>
      <w:pPr>
        <w:pStyle w:val="ListParagraph"/>
        <w:numPr>
          <w:ilvl w:val="0"/>
          <w:numId w:val="90"/>
        </w:numPr>
        <w:tabs>
          <w:tab w:pos="2244" w:val="left" w:leader="none"/>
          <w:tab w:pos="2245" w:val="left" w:leader="none"/>
        </w:tabs>
        <w:spacing w:line="235" w:lineRule="auto" w:before="0" w:after="0"/>
        <w:ind w:left="2244" w:right="1483" w:hanging="681"/>
        <w:jc w:val="left"/>
        <w:rPr>
          <w:sz w:val="20"/>
        </w:rPr>
      </w:pPr>
      <w:r>
        <w:rPr>
          <w:spacing w:val="-7"/>
          <w:w w:val="120"/>
          <w:sz w:val="20"/>
        </w:rPr>
        <w:t>Two</w:t>
      </w:r>
      <w:r>
        <w:rPr>
          <w:spacing w:val="-15"/>
          <w:w w:val="120"/>
          <w:sz w:val="20"/>
        </w:rPr>
        <w:t> </w:t>
      </w:r>
      <w:r>
        <w:rPr>
          <w:spacing w:val="-3"/>
          <w:w w:val="120"/>
          <w:sz w:val="20"/>
        </w:rPr>
        <w:t>candidates</w:t>
      </w:r>
      <w:r>
        <w:rPr>
          <w:spacing w:val="-14"/>
          <w:w w:val="120"/>
          <w:sz w:val="20"/>
        </w:rPr>
        <w:t> </w:t>
      </w:r>
      <w:r>
        <w:rPr>
          <w:w w:val="120"/>
          <w:sz w:val="20"/>
        </w:rPr>
        <w:t>for</w:t>
      </w:r>
      <w:r>
        <w:rPr>
          <w:spacing w:val="-14"/>
          <w:w w:val="120"/>
          <w:sz w:val="20"/>
        </w:rPr>
        <w:t> </w:t>
      </w:r>
      <w:r>
        <w:rPr>
          <w:w w:val="120"/>
          <w:sz w:val="20"/>
        </w:rPr>
        <w:t>transfer</w:t>
      </w:r>
      <w:r>
        <w:rPr>
          <w:spacing w:val="-14"/>
          <w:w w:val="120"/>
          <w:sz w:val="20"/>
        </w:rPr>
        <w:t> </w:t>
      </w:r>
      <w:r>
        <w:rPr>
          <w:w w:val="120"/>
          <w:sz w:val="20"/>
        </w:rPr>
        <w:t>from</w:t>
      </w:r>
      <w:r>
        <w:rPr>
          <w:spacing w:val="-14"/>
          <w:w w:val="120"/>
          <w:sz w:val="20"/>
        </w:rPr>
        <w:t> </w:t>
      </w:r>
      <w:r>
        <w:rPr>
          <w:w w:val="120"/>
          <w:sz w:val="20"/>
        </w:rPr>
        <w:t>non-stipendiary</w:t>
      </w:r>
      <w:r>
        <w:rPr>
          <w:spacing w:val="-14"/>
          <w:w w:val="120"/>
          <w:sz w:val="20"/>
        </w:rPr>
        <w:t> </w:t>
      </w:r>
      <w:r>
        <w:rPr>
          <w:spacing w:val="-3"/>
          <w:w w:val="120"/>
          <w:sz w:val="20"/>
        </w:rPr>
        <w:t>to</w:t>
      </w:r>
      <w:r>
        <w:rPr>
          <w:spacing w:val="-14"/>
          <w:w w:val="120"/>
          <w:sz w:val="20"/>
        </w:rPr>
        <w:t> </w:t>
      </w:r>
      <w:r>
        <w:rPr>
          <w:w w:val="120"/>
          <w:sz w:val="20"/>
        </w:rPr>
        <w:t>stipendiary</w:t>
      </w:r>
      <w:r>
        <w:rPr>
          <w:spacing w:val="-14"/>
          <w:w w:val="120"/>
          <w:sz w:val="20"/>
        </w:rPr>
        <w:t> </w:t>
      </w:r>
      <w:r>
        <w:rPr>
          <w:w w:val="120"/>
          <w:sz w:val="20"/>
        </w:rPr>
        <w:t>service</w:t>
      </w:r>
      <w:r>
        <w:rPr>
          <w:spacing w:val="-14"/>
          <w:w w:val="120"/>
          <w:sz w:val="20"/>
        </w:rPr>
        <w:t> </w:t>
      </w:r>
      <w:r>
        <w:rPr>
          <w:spacing w:val="-3"/>
          <w:w w:val="120"/>
          <w:sz w:val="20"/>
        </w:rPr>
        <w:t>(both </w:t>
      </w:r>
      <w:r>
        <w:rPr>
          <w:spacing w:val="-5"/>
          <w:w w:val="120"/>
          <w:sz w:val="20"/>
        </w:rPr>
        <w:t>accepted)</w:t>
      </w:r>
    </w:p>
    <w:p>
      <w:pPr>
        <w:pStyle w:val="BodyText"/>
        <w:spacing w:before="7"/>
        <w:rPr>
          <w:sz w:val="21"/>
        </w:rPr>
      </w:pPr>
    </w:p>
    <w:p>
      <w:pPr>
        <w:pStyle w:val="Heading4"/>
        <w:ind w:left="1564" w:firstLine="0"/>
      </w:pPr>
      <w:r>
        <w:rPr>
          <w:w w:val="110"/>
        </w:rPr>
        <w:t>Assessment interview training and consultation</w:t>
      </w:r>
    </w:p>
    <w:p>
      <w:pPr>
        <w:pStyle w:val="ListParagraph"/>
        <w:numPr>
          <w:ilvl w:val="2"/>
          <w:numId w:val="89"/>
        </w:numPr>
        <w:tabs>
          <w:tab w:pos="2244" w:val="left" w:leader="none"/>
          <w:tab w:pos="2245" w:val="left" w:leader="none"/>
        </w:tabs>
        <w:spacing w:line="235" w:lineRule="auto" w:before="13" w:after="0"/>
        <w:ind w:left="1564" w:right="877" w:hanging="1"/>
        <w:jc w:val="left"/>
        <w:rPr>
          <w:sz w:val="20"/>
        </w:rPr>
      </w:pPr>
      <w:r>
        <w:rPr>
          <w:w w:val="120"/>
          <w:sz w:val="20"/>
        </w:rPr>
        <w:t>This</w:t>
      </w:r>
      <w:r>
        <w:rPr>
          <w:spacing w:val="-5"/>
          <w:w w:val="120"/>
          <w:sz w:val="20"/>
        </w:rPr>
        <w:t> </w:t>
      </w:r>
      <w:r>
        <w:rPr>
          <w:w w:val="120"/>
          <w:sz w:val="20"/>
        </w:rPr>
        <w:t>is</w:t>
      </w:r>
      <w:r>
        <w:rPr>
          <w:spacing w:val="-5"/>
          <w:w w:val="120"/>
          <w:sz w:val="20"/>
        </w:rPr>
        <w:t> </w:t>
      </w:r>
      <w:r>
        <w:rPr>
          <w:w w:val="120"/>
          <w:sz w:val="20"/>
        </w:rPr>
        <w:t>an</w:t>
      </w:r>
      <w:r>
        <w:rPr>
          <w:spacing w:val="-5"/>
          <w:w w:val="120"/>
          <w:sz w:val="20"/>
        </w:rPr>
        <w:t> </w:t>
      </w:r>
      <w:r>
        <w:rPr>
          <w:spacing w:val="-3"/>
          <w:w w:val="120"/>
          <w:sz w:val="20"/>
        </w:rPr>
        <w:t>annual</w:t>
      </w:r>
      <w:r>
        <w:rPr>
          <w:spacing w:val="-5"/>
          <w:w w:val="120"/>
          <w:sz w:val="20"/>
        </w:rPr>
        <w:t> </w:t>
      </w:r>
      <w:r>
        <w:rPr>
          <w:spacing w:val="-3"/>
          <w:w w:val="120"/>
          <w:sz w:val="20"/>
        </w:rPr>
        <w:t>event</w:t>
      </w:r>
      <w:r>
        <w:rPr>
          <w:spacing w:val="-5"/>
          <w:w w:val="120"/>
          <w:sz w:val="20"/>
        </w:rPr>
        <w:t> </w:t>
      </w:r>
      <w:r>
        <w:rPr>
          <w:spacing w:val="-2"/>
          <w:w w:val="120"/>
          <w:sz w:val="20"/>
        </w:rPr>
        <w:t>providing</w:t>
      </w:r>
      <w:r>
        <w:rPr>
          <w:spacing w:val="-5"/>
          <w:w w:val="120"/>
          <w:sz w:val="20"/>
        </w:rPr>
        <w:t> </w:t>
      </w:r>
      <w:r>
        <w:rPr>
          <w:w w:val="120"/>
          <w:sz w:val="20"/>
        </w:rPr>
        <w:t>training</w:t>
      </w:r>
      <w:r>
        <w:rPr>
          <w:spacing w:val="-4"/>
          <w:w w:val="120"/>
          <w:sz w:val="20"/>
        </w:rPr>
        <w:t> </w:t>
      </w:r>
      <w:r>
        <w:rPr>
          <w:w w:val="120"/>
          <w:sz w:val="20"/>
        </w:rPr>
        <w:t>both</w:t>
      </w:r>
      <w:r>
        <w:rPr>
          <w:spacing w:val="-5"/>
          <w:w w:val="120"/>
          <w:sz w:val="20"/>
        </w:rPr>
        <w:t> </w:t>
      </w:r>
      <w:r>
        <w:rPr>
          <w:w w:val="120"/>
          <w:sz w:val="20"/>
        </w:rPr>
        <w:t>for</w:t>
      </w:r>
      <w:r>
        <w:rPr>
          <w:spacing w:val="-5"/>
          <w:w w:val="120"/>
          <w:sz w:val="20"/>
        </w:rPr>
        <w:t> </w:t>
      </w:r>
      <w:r>
        <w:rPr>
          <w:w w:val="120"/>
          <w:sz w:val="20"/>
        </w:rPr>
        <w:t>assessment</w:t>
      </w:r>
      <w:r>
        <w:rPr>
          <w:spacing w:val="-5"/>
          <w:w w:val="120"/>
          <w:sz w:val="20"/>
        </w:rPr>
        <w:t> </w:t>
      </w:r>
      <w:r>
        <w:rPr>
          <w:w w:val="120"/>
          <w:sz w:val="20"/>
        </w:rPr>
        <w:t>board</w:t>
      </w:r>
      <w:r>
        <w:rPr>
          <w:spacing w:val="-5"/>
          <w:w w:val="120"/>
          <w:sz w:val="20"/>
        </w:rPr>
        <w:t> </w:t>
      </w:r>
      <w:r>
        <w:rPr>
          <w:w w:val="120"/>
          <w:sz w:val="20"/>
        </w:rPr>
        <w:t>members</w:t>
      </w:r>
      <w:r>
        <w:rPr>
          <w:spacing w:val="-5"/>
          <w:w w:val="120"/>
          <w:sz w:val="20"/>
        </w:rPr>
        <w:t> </w:t>
      </w:r>
      <w:r>
        <w:rPr>
          <w:w w:val="120"/>
          <w:sz w:val="20"/>
        </w:rPr>
        <w:t>and for </w:t>
      </w:r>
      <w:r>
        <w:rPr>
          <w:spacing w:val="-3"/>
          <w:w w:val="120"/>
          <w:sz w:val="20"/>
        </w:rPr>
        <w:t>those </w:t>
      </w:r>
      <w:r>
        <w:rPr>
          <w:w w:val="120"/>
          <w:sz w:val="20"/>
        </w:rPr>
        <w:t>in synods </w:t>
      </w:r>
      <w:r>
        <w:rPr>
          <w:spacing w:val="-3"/>
          <w:w w:val="120"/>
          <w:sz w:val="20"/>
        </w:rPr>
        <w:t>involved </w:t>
      </w:r>
      <w:r>
        <w:rPr>
          <w:w w:val="120"/>
          <w:sz w:val="20"/>
        </w:rPr>
        <w:t>with the interviews of </w:t>
      </w:r>
      <w:r>
        <w:rPr>
          <w:spacing w:val="-3"/>
          <w:w w:val="120"/>
          <w:sz w:val="20"/>
        </w:rPr>
        <w:t>candidates. </w:t>
      </w:r>
      <w:r>
        <w:rPr>
          <w:w w:val="120"/>
          <w:sz w:val="20"/>
        </w:rPr>
        <w:t>It also provides a valuable point of contact between the board and synods. </w:t>
      </w:r>
      <w:r>
        <w:rPr>
          <w:spacing w:val="-3"/>
          <w:w w:val="120"/>
          <w:sz w:val="20"/>
        </w:rPr>
        <w:t>We </w:t>
      </w:r>
      <w:r>
        <w:rPr>
          <w:w w:val="120"/>
          <w:sz w:val="20"/>
        </w:rPr>
        <w:t>are grateful </w:t>
      </w:r>
      <w:r>
        <w:rPr>
          <w:spacing w:val="-3"/>
          <w:w w:val="120"/>
          <w:sz w:val="20"/>
        </w:rPr>
        <w:t>to </w:t>
      </w:r>
      <w:r>
        <w:rPr>
          <w:w w:val="120"/>
          <w:sz w:val="20"/>
        </w:rPr>
        <w:t>Mary Thomas and </w:t>
      </w:r>
      <w:r>
        <w:rPr>
          <w:spacing w:val="-3"/>
          <w:w w:val="120"/>
          <w:sz w:val="20"/>
        </w:rPr>
        <w:t>Peter </w:t>
      </w:r>
      <w:r>
        <w:rPr>
          <w:w w:val="120"/>
          <w:sz w:val="20"/>
        </w:rPr>
        <w:t>Henderson who </w:t>
      </w:r>
      <w:r>
        <w:rPr>
          <w:spacing w:val="-3"/>
          <w:w w:val="120"/>
          <w:sz w:val="20"/>
        </w:rPr>
        <w:t>continue to </w:t>
      </w:r>
      <w:r>
        <w:rPr>
          <w:w w:val="120"/>
          <w:sz w:val="20"/>
        </w:rPr>
        <w:t>lead </w:t>
      </w:r>
      <w:r>
        <w:rPr>
          <w:spacing w:val="-3"/>
          <w:w w:val="120"/>
          <w:sz w:val="20"/>
        </w:rPr>
        <w:t>this</w:t>
      </w:r>
      <w:r>
        <w:rPr>
          <w:spacing w:val="-6"/>
          <w:w w:val="120"/>
          <w:sz w:val="20"/>
        </w:rPr>
        <w:t> </w:t>
      </w:r>
      <w:r>
        <w:rPr>
          <w:spacing w:val="-3"/>
          <w:w w:val="120"/>
          <w:sz w:val="20"/>
        </w:rPr>
        <w:t>event.</w:t>
      </w:r>
    </w:p>
    <w:p>
      <w:pPr>
        <w:spacing w:after="0" w:line="235" w:lineRule="auto"/>
        <w:jc w:val="left"/>
        <w:rPr>
          <w:sz w:val="20"/>
        </w:rPr>
        <w:sectPr>
          <w:headerReference w:type="default" r:id="rId356"/>
          <w:footerReference w:type="default" r:id="rId357"/>
          <w:footerReference w:type="even" r:id="rId358"/>
          <w:pgSz w:w="11910" w:h="16840"/>
          <w:pgMar w:header="0" w:footer="647" w:top="0" w:bottom="840" w:left="420" w:right="380"/>
          <w:pgNumType w:start="127"/>
        </w:sectPr>
      </w:pPr>
    </w:p>
    <w:p>
      <w:pPr>
        <w:pStyle w:val="BodyText"/>
      </w:pPr>
      <w:r>
        <w:rPr/>
        <w:drawing>
          <wp:anchor distT="0" distB="0" distL="0" distR="0" allowOverlap="1" layoutInCell="1" locked="0" behindDoc="1" simplePos="0" relativeHeight="236028928">
            <wp:simplePos x="0" y="0"/>
            <wp:positionH relativeFrom="page">
              <wp:posOffset>0</wp:posOffset>
            </wp:positionH>
            <wp:positionV relativeFrom="page">
              <wp:posOffset>0</wp:posOffset>
            </wp:positionV>
            <wp:extent cx="594067" cy="10692003"/>
            <wp:effectExtent l="0" t="0" r="0" b="0"/>
            <wp:wrapNone/>
            <wp:docPr id="245" name="image70.png"/>
            <wp:cNvGraphicFramePr>
              <a:graphicFrameLocks noChangeAspect="1"/>
            </wp:cNvGraphicFramePr>
            <a:graphic>
              <a:graphicData uri="http://schemas.openxmlformats.org/drawingml/2006/picture">
                <pic:pic>
                  <pic:nvPicPr>
                    <pic:cNvPr id="24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464.85pt;mso-position-horizontal-relative:page;mso-position-vertical-relative:paragraph;z-index:251998208" type="#_x0000_t202" filled="false" stroked="false">
            <v:textbox inset="0,0,0,0" style="layout-flow:vertical">
              <w:txbxContent>
                <w:p>
                  <w:pPr>
                    <w:spacing w:before="29"/>
                    <w:ind w:left="20" w:right="0" w:firstLine="0"/>
                    <w:jc w:val="left"/>
                    <w:rPr>
                      <w:sz w:val="39"/>
                    </w:rPr>
                  </w:pPr>
                  <w:r>
                    <w:rPr>
                      <w:color w:val="FFFFFF"/>
                      <w:spacing w:val="8"/>
                      <w:w w:val="125"/>
                      <w:sz w:val="39"/>
                    </w:rPr>
                    <w:t>Church related </w:t>
                  </w:r>
                  <w:r>
                    <w:rPr>
                      <w:color w:val="FFFFFF"/>
                      <w:spacing w:val="9"/>
                      <w:w w:val="125"/>
                      <w:sz w:val="39"/>
                    </w:rPr>
                    <w:t>community </w:t>
                  </w:r>
                  <w:r>
                    <w:rPr>
                      <w:color w:val="FFFFFF"/>
                      <w:spacing w:val="7"/>
                      <w:w w:val="125"/>
                      <w:sz w:val="39"/>
                    </w:rPr>
                    <w:t>work</w:t>
                  </w:r>
                  <w:r>
                    <w:rPr>
                      <w:color w:val="FFFFFF"/>
                      <w:spacing w:val="73"/>
                      <w:w w:val="125"/>
                      <w:sz w:val="39"/>
                    </w:rPr>
                    <w:t> </w:t>
                  </w:r>
                  <w:r>
                    <w:rPr>
                      <w:color w:val="FFFFFF"/>
                      <w:spacing w:val="10"/>
                      <w:w w:val="125"/>
                      <w:sz w:val="39"/>
                    </w:rPr>
                    <w:t>programme</w:t>
                  </w:r>
                </w:p>
              </w:txbxContent>
            </v:textbox>
            <w10:wrap type="none"/>
          </v:shape>
        </w:pict>
      </w:r>
      <w:r>
        <w:rPr>
          <w:color w:val="7EAABF"/>
          <w:w w:val="115"/>
        </w:rPr>
        <w:t>Ministries</w:t>
      </w:r>
    </w:p>
    <w:p>
      <w:pPr>
        <w:pStyle w:val="BodyText"/>
        <w:spacing w:before="8"/>
        <w:rPr>
          <w:sz w:val="24"/>
        </w:rPr>
      </w:pPr>
    </w:p>
    <w:p>
      <w:pPr>
        <w:spacing w:line="213" w:lineRule="auto" w:before="1"/>
        <w:ind w:left="1261" w:right="2036" w:firstLine="0"/>
        <w:jc w:val="center"/>
        <w:rPr>
          <w:rFonts w:ascii="Stone Sans II ITC Std X Bd"/>
          <w:b/>
          <w:sz w:val="50"/>
        </w:rPr>
      </w:pPr>
      <w:r>
        <w:rPr>
          <w:rFonts w:ascii="Stone Sans II ITC Std X Bd"/>
          <w:b/>
          <w:w w:val="110"/>
          <w:sz w:val="50"/>
        </w:rPr>
        <w:t>Church related community work programme subcommittee</w:t>
      </w:r>
    </w:p>
    <w:p>
      <w:pPr>
        <w:spacing w:line="261" w:lineRule="auto" w:before="155"/>
        <w:ind w:left="940" w:right="1528" w:firstLine="0"/>
        <w:jc w:val="left"/>
        <w:rPr>
          <w:sz w:val="18"/>
        </w:rPr>
      </w:pPr>
      <w:r>
        <w:rPr/>
        <w:pict>
          <v:line style="position:absolute;mso-position-horizontal-relative:page;mso-position-vertical-relative:paragraph;z-index:251997184" from="62.362202pt,7.363853pt" to="62.362202pt,137.756853pt" stroked="true" strokeweight="1pt" strokecolor="#0090d4">
            <v:stroke dashstyle="solid"/>
            <w10:wrap type="none"/>
          </v:line>
        </w:pict>
      </w:r>
      <w:r>
        <w:rPr>
          <w:color w:val="707172"/>
          <w:w w:val="120"/>
          <w:sz w:val="18"/>
        </w:rPr>
        <w:t>It is responsible for supporting the Church Related Community Work ministry and programme under the terms agreed in the church related community work covenant. This includes the accreditation of churches-in-community.</w:t>
      </w:r>
    </w:p>
    <w:p>
      <w:pPr>
        <w:pStyle w:val="BodyText"/>
        <w:spacing w:before="10"/>
        <w:rPr>
          <w:sz w:val="18"/>
        </w:rPr>
      </w:pPr>
    </w:p>
    <w:p>
      <w:pPr>
        <w:spacing w:line="254" w:lineRule="auto" w:before="0"/>
        <w:ind w:left="940" w:right="7164" w:firstLine="0"/>
        <w:jc w:val="left"/>
        <w:rPr>
          <w:sz w:val="18"/>
        </w:rPr>
      </w:pPr>
      <w:r>
        <w:rPr>
          <w:rFonts w:ascii="Stone Sans II ITC Std Bk"/>
          <w:b/>
          <w:color w:val="707172"/>
          <w:w w:val="110"/>
          <w:sz w:val="18"/>
        </w:rPr>
        <w:t>Subcommittee members </w:t>
      </w:r>
      <w:r>
        <w:rPr>
          <w:color w:val="707172"/>
          <w:w w:val="120"/>
          <w:sz w:val="18"/>
        </w:rPr>
        <w:t>Convenor: Simon Loveitt Secretary: Steve Summers</w:t>
      </w:r>
    </w:p>
    <w:p>
      <w:pPr>
        <w:spacing w:line="261" w:lineRule="auto" w:before="8"/>
        <w:ind w:left="940" w:right="1920" w:firstLine="0"/>
        <w:jc w:val="both"/>
        <w:rPr>
          <w:sz w:val="18"/>
        </w:rPr>
      </w:pPr>
      <w:r>
        <w:rPr>
          <w:color w:val="707172"/>
          <w:w w:val="125"/>
          <w:sz w:val="18"/>
        </w:rPr>
        <w:t>Members:</w:t>
      </w:r>
      <w:r>
        <w:rPr>
          <w:color w:val="707172"/>
          <w:spacing w:val="-12"/>
          <w:w w:val="125"/>
          <w:sz w:val="18"/>
        </w:rPr>
        <w:t> </w:t>
      </w:r>
      <w:r>
        <w:rPr>
          <w:color w:val="707172"/>
          <w:w w:val="125"/>
          <w:sz w:val="18"/>
        </w:rPr>
        <w:t>Rosie</w:t>
      </w:r>
      <w:r>
        <w:rPr>
          <w:color w:val="707172"/>
          <w:spacing w:val="-11"/>
          <w:w w:val="125"/>
          <w:sz w:val="18"/>
        </w:rPr>
        <w:t> </w:t>
      </w:r>
      <w:r>
        <w:rPr>
          <w:color w:val="707172"/>
          <w:w w:val="125"/>
          <w:sz w:val="18"/>
        </w:rPr>
        <w:t>Buxton</w:t>
      </w:r>
      <w:r>
        <w:rPr>
          <w:color w:val="707172"/>
          <w:spacing w:val="-12"/>
          <w:w w:val="125"/>
          <w:sz w:val="18"/>
        </w:rPr>
        <w:t> </w:t>
      </w:r>
      <w:r>
        <w:rPr>
          <w:color w:val="707172"/>
          <w:spacing w:val="-3"/>
          <w:w w:val="125"/>
          <w:sz w:val="18"/>
        </w:rPr>
        <w:t>(until</w:t>
      </w:r>
      <w:r>
        <w:rPr>
          <w:color w:val="707172"/>
          <w:spacing w:val="-11"/>
          <w:w w:val="125"/>
          <w:sz w:val="18"/>
        </w:rPr>
        <w:t> </w:t>
      </w:r>
      <w:r>
        <w:rPr>
          <w:color w:val="707172"/>
          <w:spacing w:val="-6"/>
          <w:w w:val="125"/>
          <w:sz w:val="18"/>
        </w:rPr>
        <w:t>2018),</w:t>
      </w:r>
      <w:r>
        <w:rPr>
          <w:color w:val="707172"/>
          <w:spacing w:val="-11"/>
          <w:w w:val="125"/>
          <w:sz w:val="18"/>
        </w:rPr>
        <w:t> </w:t>
      </w:r>
      <w:r>
        <w:rPr>
          <w:color w:val="707172"/>
          <w:w w:val="125"/>
          <w:sz w:val="18"/>
        </w:rPr>
        <w:t>Leonora</w:t>
      </w:r>
      <w:r>
        <w:rPr>
          <w:color w:val="707172"/>
          <w:spacing w:val="-12"/>
          <w:w w:val="125"/>
          <w:sz w:val="18"/>
        </w:rPr>
        <w:t> </w:t>
      </w:r>
      <w:r>
        <w:rPr>
          <w:color w:val="707172"/>
          <w:w w:val="125"/>
          <w:sz w:val="18"/>
        </w:rPr>
        <w:t>Jagessar</w:t>
      </w:r>
      <w:r>
        <w:rPr>
          <w:color w:val="707172"/>
          <w:spacing w:val="-11"/>
          <w:w w:val="125"/>
          <w:sz w:val="18"/>
        </w:rPr>
        <w:t> </w:t>
      </w:r>
      <w:r>
        <w:rPr>
          <w:color w:val="707172"/>
          <w:w w:val="125"/>
          <w:sz w:val="18"/>
        </w:rPr>
        <w:t>(from</w:t>
      </w:r>
      <w:r>
        <w:rPr>
          <w:color w:val="707172"/>
          <w:spacing w:val="-11"/>
          <w:w w:val="125"/>
          <w:sz w:val="18"/>
        </w:rPr>
        <w:t> </w:t>
      </w:r>
      <w:r>
        <w:rPr>
          <w:color w:val="707172"/>
          <w:spacing w:val="-5"/>
          <w:w w:val="125"/>
          <w:sz w:val="18"/>
        </w:rPr>
        <w:t>2016),</w:t>
      </w:r>
      <w:r>
        <w:rPr>
          <w:color w:val="707172"/>
          <w:spacing w:val="-12"/>
          <w:w w:val="125"/>
          <w:sz w:val="18"/>
        </w:rPr>
        <w:t> </w:t>
      </w:r>
      <w:r>
        <w:rPr>
          <w:color w:val="707172"/>
          <w:w w:val="125"/>
          <w:sz w:val="18"/>
        </w:rPr>
        <w:t>Derek</w:t>
      </w:r>
      <w:r>
        <w:rPr>
          <w:color w:val="707172"/>
          <w:spacing w:val="-11"/>
          <w:w w:val="125"/>
          <w:sz w:val="18"/>
        </w:rPr>
        <w:t> </w:t>
      </w:r>
      <w:r>
        <w:rPr>
          <w:color w:val="707172"/>
          <w:w w:val="125"/>
          <w:sz w:val="18"/>
        </w:rPr>
        <w:t>Estill,</w:t>
      </w:r>
      <w:r>
        <w:rPr>
          <w:color w:val="707172"/>
          <w:spacing w:val="-11"/>
          <w:w w:val="125"/>
          <w:sz w:val="18"/>
        </w:rPr>
        <w:t> </w:t>
      </w:r>
      <w:r>
        <w:rPr>
          <w:color w:val="707172"/>
          <w:w w:val="125"/>
          <w:sz w:val="18"/>
        </w:rPr>
        <w:t>Ruth</w:t>
      </w:r>
      <w:r>
        <w:rPr>
          <w:color w:val="707172"/>
          <w:spacing w:val="-12"/>
          <w:w w:val="125"/>
          <w:sz w:val="18"/>
        </w:rPr>
        <w:t> </w:t>
      </w:r>
      <w:r>
        <w:rPr>
          <w:color w:val="707172"/>
          <w:w w:val="125"/>
          <w:sz w:val="18"/>
        </w:rPr>
        <w:t>Maxey (from </w:t>
      </w:r>
      <w:r>
        <w:rPr>
          <w:color w:val="707172"/>
          <w:spacing w:val="-5"/>
          <w:w w:val="125"/>
          <w:sz w:val="18"/>
        </w:rPr>
        <w:t>2016), </w:t>
      </w:r>
      <w:r>
        <w:rPr>
          <w:color w:val="707172"/>
          <w:w w:val="125"/>
          <w:sz w:val="18"/>
        </w:rPr>
        <w:t>Helen Stephenson </w:t>
      </w:r>
      <w:r>
        <w:rPr>
          <w:color w:val="707172"/>
          <w:spacing w:val="-3"/>
          <w:w w:val="125"/>
          <w:sz w:val="18"/>
        </w:rPr>
        <w:t>(until </w:t>
      </w:r>
      <w:r>
        <w:rPr>
          <w:color w:val="707172"/>
          <w:spacing w:val="-6"/>
          <w:w w:val="125"/>
          <w:sz w:val="18"/>
        </w:rPr>
        <w:t>2017), </w:t>
      </w:r>
      <w:r>
        <w:rPr>
          <w:color w:val="707172"/>
          <w:w w:val="125"/>
          <w:sz w:val="18"/>
        </w:rPr>
        <w:t>Simon Walkling (synod moderator, until </w:t>
      </w:r>
      <w:r>
        <w:rPr>
          <w:color w:val="707172"/>
          <w:spacing w:val="-6"/>
          <w:w w:val="125"/>
          <w:sz w:val="18"/>
        </w:rPr>
        <w:t>2018), </w:t>
      </w:r>
      <w:r>
        <w:rPr>
          <w:color w:val="707172"/>
          <w:w w:val="125"/>
          <w:sz w:val="18"/>
        </w:rPr>
        <w:t>Paul Whittle (convenor of ministries</w:t>
      </w:r>
      <w:r>
        <w:rPr>
          <w:color w:val="707172"/>
          <w:spacing w:val="-10"/>
          <w:w w:val="125"/>
          <w:sz w:val="18"/>
        </w:rPr>
        <w:t> </w:t>
      </w:r>
      <w:r>
        <w:rPr>
          <w:color w:val="707172"/>
          <w:w w:val="125"/>
          <w:sz w:val="18"/>
        </w:rPr>
        <w:t>committee).</w:t>
      </w:r>
    </w:p>
    <w:p>
      <w:pPr>
        <w:spacing w:before="1"/>
        <w:ind w:left="940" w:right="0" w:firstLine="0"/>
        <w:jc w:val="both"/>
        <w:rPr>
          <w:sz w:val="18"/>
        </w:rPr>
      </w:pPr>
      <w:r>
        <w:rPr>
          <w:color w:val="707172"/>
          <w:w w:val="120"/>
          <w:sz w:val="18"/>
        </w:rPr>
        <w:t>In attendance: Samara Andrews (CRCW Administrator)</w:t>
      </w:r>
    </w:p>
    <w:p>
      <w:pPr>
        <w:pStyle w:val="BodyText"/>
        <w:rPr>
          <w:sz w:val="22"/>
        </w:rPr>
      </w:pPr>
    </w:p>
    <w:p>
      <w:pPr>
        <w:pStyle w:val="BodyText"/>
        <w:spacing w:before="2"/>
      </w:pPr>
    </w:p>
    <w:p>
      <w:pPr>
        <w:pStyle w:val="Heading4"/>
        <w:ind w:firstLine="0"/>
      </w:pPr>
      <w:r>
        <w:rPr>
          <w:w w:val="110"/>
        </w:rPr>
        <w:t>The ministry</w:t>
      </w:r>
    </w:p>
    <w:p>
      <w:pPr>
        <w:pStyle w:val="ListParagraph"/>
        <w:numPr>
          <w:ilvl w:val="0"/>
          <w:numId w:val="91"/>
        </w:numPr>
        <w:tabs>
          <w:tab w:pos="1507" w:val="left" w:leader="none"/>
          <w:tab w:pos="1508" w:val="left" w:leader="none"/>
        </w:tabs>
        <w:spacing w:line="235" w:lineRule="auto" w:before="69" w:after="0"/>
        <w:ind w:left="827" w:right="1717" w:firstLine="0"/>
        <w:jc w:val="left"/>
        <w:rPr>
          <w:sz w:val="20"/>
        </w:rPr>
      </w:pPr>
      <w:r>
        <w:rPr>
          <w:w w:val="120"/>
          <w:sz w:val="20"/>
        </w:rPr>
        <w:t>Churches participate in Church Related Community Work ministry because they believe that the process of community development is an empowering and enabling way to express their beliefs in action. They do so with the knowledge that engaging in this ministry will change not only the community, but also the congregation. They also understand that this journey cannot be neatly pre-planned, but that it will surely be Spirit filled and</w:t>
      </w:r>
      <w:r>
        <w:rPr>
          <w:spacing w:val="6"/>
          <w:w w:val="120"/>
          <w:sz w:val="20"/>
        </w:rPr>
        <w:t> </w:t>
      </w:r>
      <w:r>
        <w:rPr>
          <w:w w:val="120"/>
          <w:sz w:val="20"/>
        </w:rPr>
        <w:t>exciting.</w:t>
      </w:r>
    </w:p>
    <w:p>
      <w:pPr>
        <w:pStyle w:val="BodyText"/>
        <w:spacing w:before="5"/>
        <w:rPr>
          <w:sz w:val="22"/>
        </w:rPr>
      </w:pPr>
    </w:p>
    <w:p>
      <w:pPr>
        <w:pStyle w:val="Heading4"/>
        <w:ind w:firstLine="0"/>
      </w:pPr>
      <w:r>
        <w:rPr>
          <w:spacing w:val="6"/>
          <w:w w:val="110"/>
        </w:rPr>
        <w:t>CRCW </w:t>
      </w:r>
      <w:r>
        <w:rPr>
          <w:w w:val="110"/>
        </w:rPr>
        <w:t>@ 30 </w:t>
      </w:r>
      <w:r>
        <w:rPr>
          <w:spacing w:val="3"/>
          <w:w w:val="110"/>
        </w:rPr>
        <w:t>and counting </w:t>
      </w:r>
      <w:r>
        <w:rPr>
          <w:w w:val="110"/>
        </w:rPr>
        <w:t>…</w:t>
      </w:r>
    </w:p>
    <w:p>
      <w:pPr>
        <w:pStyle w:val="ListParagraph"/>
        <w:numPr>
          <w:ilvl w:val="0"/>
          <w:numId w:val="91"/>
        </w:numPr>
        <w:tabs>
          <w:tab w:pos="1507" w:val="left" w:leader="none"/>
          <w:tab w:pos="1508" w:val="left" w:leader="none"/>
        </w:tabs>
        <w:spacing w:line="235" w:lineRule="auto" w:before="69" w:after="0"/>
        <w:ind w:left="827" w:right="1633" w:firstLine="0"/>
        <w:jc w:val="left"/>
        <w:rPr>
          <w:sz w:val="20"/>
        </w:rPr>
      </w:pPr>
      <w:r>
        <w:rPr>
          <w:w w:val="120"/>
          <w:sz w:val="20"/>
        </w:rPr>
        <w:t>Although the first CRCW project began in Bradford in </w:t>
      </w:r>
      <w:r>
        <w:rPr>
          <w:spacing w:val="-8"/>
          <w:w w:val="120"/>
          <w:sz w:val="20"/>
        </w:rPr>
        <w:t>1981,  </w:t>
      </w:r>
      <w:r>
        <w:rPr>
          <w:w w:val="120"/>
          <w:sz w:val="20"/>
        </w:rPr>
        <w:t>we are celebrating  30 years and counting … of CRCW Ministry since it was at the </w:t>
      </w:r>
      <w:r>
        <w:rPr>
          <w:spacing w:val="-7"/>
          <w:w w:val="120"/>
          <w:sz w:val="20"/>
        </w:rPr>
        <w:t>1987 </w:t>
      </w:r>
      <w:r>
        <w:rPr>
          <w:w w:val="120"/>
          <w:sz w:val="20"/>
        </w:rPr>
        <w:t>General Assembly in Cardiff</w:t>
      </w:r>
      <w:r>
        <w:rPr>
          <w:spacing w:val="1"/>
          <w:w w:val="120"/>
          <w:sz w:val="20"/>
        </w:rPr>
        <w:t> </w:t>
      </w:r>
      <w:r>
        <w:rPr>
          <w:w w:val="120"/>
          <w:sz w:val="20"/>
        </w:rPr>
        <w:t>that:</w:t>
      </w:r>
    </w:p>
    <w:p>
      <w:pPr>
        <w:pStyle w:val="BodyText"/>
        <w:spacing w:before="10"/>
        <w:rPr>
          <w:sz w:val="19"/>
        </w:rPr>
      </w:pPr>
    </w:p>
    <w:p>
      <w:pPr>
        <w:spacing w:line="235" w:lineRule="auto" w:before="0"/>
        <w:ind w:left="1507" w:right="1735" w:firstLine="0"/>
        <w:jc w:val="left"/>
        <w:rPr>
          <w:i/>
          <w:sz w:val="20"/>
        </w:rPr>
      </w:pPr>
      <w:r>
        <w:rPr>
          <w:i/>
          <w:w w:val="110"/>
          <w:sz w:val="20"/>
        </w:rPr>
        <w:t>‘The Assembly acknowledges that in Church Related Community Workers (CRCWs) </w:t>
      </w:r>
      <w:r>
        <w:rPr>
          <w:i/>
          <w:w w:val="110"/>
          <w:sz w:val="20"/>
        </w:rPr>
        <w:t>properly trained and appropriately employed, the Lord Jesus Christ is giving particular gifts for a particular ministry and is calling such individuals to exercise them in an office which is duly recognised within His Church (URC General Assembly 1987: 76.1).’</w:t>
      </w:r>
    </w:p>
    <w:p>
      <w:pPr>
        <w:pStyle w:val="BodyText"/>
        <w:spacing w:before="11"/>
        <w:rPr>
          <w:i/>
          <w:sz w:val="19"/>
        </w:rPr>
      </w:pPr>
    </w:p>
    <w:p>
      <w:pPr>
        <w:pStyle w:val="ListParagraph"/>
        <w:numPr>
          <w:ilvl w:val="0"/>
          <w:numId w:val="91"/>
        </w:numPr>
        <w:tabs>
          <w:tab w:pos="1507" w:val="left" w:leader="none"/>
          <w:tab w:pos="1508" w:val="left" w:leader="none"/>
        </w:tabs>
        <w:spacing w:line="235" w:lineRule="auto" w:before="0" w:after="0"/>
        <w:ind w:left="827" w:right="1842" w:firstLine="0"/>
        <w:jc w:val="left"/>
        <w:rPr>
          <w:sz w:val="20"/>
        </w:rPr>
      </w:pPr>
      <w:r>
        <w:rPr>
          <w:w w:val="120"/>
          <w:sz w:val="20"/>
        </w:rPr>
        <w:t>Please come along to our celebration and thanksgiving event on Saturday lunchtime at General Assembly. Since those early days, the CRCW ministry has been firmly established within the United Reformed Church, and is making a real difference by enabling local churches to </w:t>
      </w:r>
      <w:r>
        <w:rPr>
          <w:spacing w:val="-3"/>
          <w:w w:val="120"/>
          <w:sz w:val="20"/>
        </w:rPr>
        <w:t>‘create </w:t>
      </w:r>
      <w:r>
        <w:rPr>
          <w:w w:val="120"/>
          <w:sz w:val="20"/>
        </w:rPr>
        <w:t>change both within the Church and the community’.</w:t>
      </w:r>
    </w:p>
    <w:p>
      <w:pPr>
        <w:pStyle w:val="BodyText"/>
        <w:spacing w:before="4"/>
        <w:rPr>
          <w:sz w:val="22"/>
        </w:rPr>
      </w:pPr>
    </w:p>
    <w:p>
      <w:pPr>
        <w:pStyle w:val="Heading4"/>
        <w:ind w:firstLine="0"/>
      </w:pPr>
      <w:r>
        <w:rPr>
          <w:w w:val="110"/>
        </w:rPr>
        <w:t>Numbers</w:t>
      </w:r>
    </w:p>
    <w:p>
      <w:pPr>
        <w:pStyle w:val="ListParagraph"/>
        <w:numPr>
          <w:ilvl w:val="0"/>
          <w:numId w:val="91"/>
        </w:numPr>
        <w:tabs>
          <w:tab w:pos="1507" w:val="left" w:leader="none"/>
          <w:tab w:pos="1508" w:val="left" w:leader="none"/>
        </w:tabs>
        <w:spacing w:line="235" w:lineRule="auto" w:before="69" w:after="0"/>
        <w:ind w:left="827" w:right="1952" w:firstLine="0"/>
        <w:jc w:val="left"/>
        <w:rPr>
          <w:sz w:val="20"/>
        </w:rPr>
      </w:pPr>
      <w:r>
        <w:rPr>
          <w:w w:val="120"/>
          <w:sz w:val="20"/>
        </w:rPr>
        <w:t>General Assembly has set a target of at least twenty-six Church Related Community Workers across the denomination to receive a stipend at any one given time. Currently, </w:t>
      </w:r>
      <w:r>
        <w:rPr>
          <w:spacing w:val="-8"/>
          <w:w w:val="120"/>
          <w:sz w:val="20"/>
        </w:rPr>
        <w:t>14 </w:t>
      </w:r>
      <w:r>
        <w:rPr>
          <w:w w:val="120"/>
          <w:sz w:val="20"/>
        </w:rPr>
        <w:t>CRCW’s are in post and four are at various stages of training. There are three vacant CRCW projects and a further ten at various stages of enquiry/ exploring/application.</w:t>
      </w:r>
    </w:p>
    <w:p>
      <w:pPr>
        <w:pStyle w:val="BodyText"/>
        <w:spacing w:before="12"/>
        <w:rPr>
          <w:sz w:val="19"/>
        </w:rPr>
      </w:pPr>
    </w:p>
    <w:p>
      <w:pPr>
        <w:pStyle w:val="ListParagraph"/>
        <w:numPr>
          <w:ilvl w:val="0"/>
          <w:numId w:val="91"/>
        </w:numPr>
        <w:tabs>
          <w:tab w:pos="1507" w:val="left" w:leader="none"/>
          <w:tab w:pos="1508" w:val="left" w:leader="none"/>
        </w:tabs>
        <w:spacing w:line="235" w:lineRule="auto" w:before="0" w:after="0"/>
        <w:ind w:left="827" w:right="2252" w:firstLine="0"/>
        <w:jc w:val="left"/>
        <w:rPr>
          <w:sz w:val="20"/>
        </w:rPr>
      </w:pPr>
      <w:r>
        <w:rPr>
          <w:w w:val="120"/>
          <w:sz w:val="20"/>
        </w:rPr>
        <w:t>Since ministry is provided for five years in the first instance, with a possible second five-year term available as a maximum, we are constantly looking for new church-in-community</w:t>
      </w:r>
      <w:r>
        <w:rPr>
          <w:spacing w:val="2"/>
          <w:w w:val="120"/>
          <w:sz w:val="20"/>
        </w:rPr>
        <w:t> </w:t>
      </w:r>
      <w:r>
        <w:rPr>
          <w:w w:val="120"/>
          <w:sz w:val="20"/>
        </w:rPr>
        <w:t>projects.</w:t>
      </w:r>
    </w:p>
    <w:p>
      <w:pPr>
        <w:spacing w:after="0" w:line="235" w:lineRule="auto"/>
        <w:jc w:val="left"/>
        <w:rPr>
          <w:sz w:val="20"/>
        </w:rPr>
        <w:sectPr>
          <w:headerReference w:type="even" r:id="rId359"/>
          <w:pgSz w:w="11910" w:h="16840"/>
          <w:pgMar w:header="0" w:footer="647" w:top="0" w:bottom="840" w:left="420" w:right="380"/>
        </w:sectPr>
      </w:pPr>
    </w:p>
    <w:p>
      <w:pPr>
        <w:pStyle w:val="BodyText"/>
      </w:pPr>
      <w:r>
        <w:rPr/>
        <w:drawing>
          <wp:anchor distT="0" distB="0" distL="0" distR="0" allowOverlap="1" layoutInCell="1" locked="0" behindDoc="0" simplePos="0" relativeHeight="251999232">
            <wp:simplePos x="0" y="0"/>
            <wp:positionH relativeFrom="page">
              <wp:posOffset>6974928</wp:posOffset>
            </wp:positionH>
            <wp:positionV relativeFrom="page">
              <wp:posOffset>0</wp:posOffset>
            </wp:positionV>
            <wp:extent cx="585063" cy="10692003"/>
            <wp:effectExtent l="0" t="0" r="0" b="0"/>
            <wp:wrapNone/>
            <wp:docPr id="247" name="image57.png"/>
            <wp:cNvGraphicFramePr>
              <a:graphicFrameLocks noChangeAspect="1"/>
            </wp:cNvGraphicFramePr>
            <a:graphic>
              <a:graphicData uri="http://schemas.openxmlformats.org/drawingml/2006/picture">
                <pic:pic>
                  <pic:nvPicPr>
                    <pic:cNvPr id="24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464.85pt;mso-position-horizontal-relative:page;mso-position-vertical-relative:paragraph;z-index:252000256" type="#_x0000_t202" filled="false" stroked="false">
            <v:textbox inset="0,0,0,0" style="layout-flow:vertical">
              <w:txbxContent>
                <w:p>
                  <w:pPr>
                    <w:spacing w:before="29"/>
                    <w:ind w:left="20" w:right="0" w:firstLine="0"/>
                    <w:jc w:val="left"/>
                    <w:rPr>
                      <w:sz w:val="39"/>
                    </w:rPr>
                  </w:pPr>
                  <w:r>
                    <w:rPr>
                      <w:color w:val="FFFFFF"/>
                      <w:spacing w:val="8"/>
                      <w:w w:val="125"/>
                      <w:sz w:val="39"/>
                    </w:rPr>
                    <w:t>Church related </w:t>
                  </w:r>
                  <w:r>
                    <w:rPr>
                      <w:color w:val="FFFFFF"/>
                      <w:spacing w:val="9"/>
                      <w:w w:val="125"/>
                      <w:sz w:val="39"/>
                    </w:rPr>
                    <w:t>community </w:t>
                  </w:r>
                  <w:r>
                    <w:rPr>
                      <w:color w:val="FFFFFF"/>
                      <w:spacing w:val="7"/>
                      <w:w w:val="125"/>
                      <w:sz w:val="39"/>
                    </w:rPr>
                    <w:t>work</w:t>
                  </w:r>
                  <w:r>
                    <w:rPr>
                      <w:color w:val="FFFFFF"/>
                      <w:spacing w:val="73"/>
                      <w:w w:val="125"/>
                      <w:sz w:val="39"/>
                    </w:rPr>
                    <w:t> </w:t>
                  </w:r>
                  <w:r>
                    <w:rPr>
                      <w:color w:val="FFFFFF"/>
                      <w:spacing w:val="10"/>
                      <w:w w:val="125"/>
                      <w:sz w:val="39"/>
                    </w:rPr>
                    <w:t>programme</w:t>
                  </w:r>
                </w:p>
              </w:txbxContent>
            </v:textbox>
            <w10:wrap type="none"/>
          </v:shape>
        </w:pict>
      </w:r>
      <w:r>
        <w:rPr>
          <w:color w:val="7EAABF"/>
          <w:w w:val="110"/>
        </w:rPr>
        <w:t>Ministries</w:t>
      </w:r>
    </w:p>
    <w:p>
      <w:pPr>
        <w:pStyle w:val="ListParagraph"/>
        <w:numPr>
          <w:ilvl w:val="0"/>
          <w:numId w:val="91"/>
        </w:numPr>
        <w:tabs>
          <w:tab w:pos="2244" w:val="left" w:leader="none"/>
          <w:tab w:pos="2245" w:val="left" w:leader="none"/>
        </w:tabs>
        <w:spacing w:line="235" w:lineRule="auto" w:before="222" w:after="0"/>
        <w:ind w:left="1564" w:right="942" w:firstLine="0"/>
        <w:jc w:val="left"/>
        <w:rPr>
          <w:sz w:val="20"/>
        </w:rPr>
      </w:pPr>
      <w:r>
        <w:rPr>
          <w:w w:val="120"/>
          <w:sz w:val="20"/>
        </w:rPr>
        <w:t>We are also always on the lookout for new people who are interested in exploring this exciting ministry and are continually working on raising awareness of the opportunities that this ministry offers to individuals, to local churches and to groups of churches. Please see; </w:t>
      </w:r>
      <w:r>
        <w:rPr>
          <w:color w:val="006AB3"/>
          <w:w w:val="120"/>
          <w:sz w:val="20"/>
        </w:rPr>
        <w:t>https://</w:t>
      </w:r>
      <w:hyperlink r:id="rId363">
        <w:r>
          <w:rPr>
            <w:color w:val="006AB3"/>
            <w:w w:val="120"/>
            <w:sz w:val="20"/>
          </w:rPr>
          <w:t>www.urc.org.uk/crcw-projects.html </w:t>
        </w:r>
      </w:hyperlink>
      <w:r>
        <w:rPr>
          <w:w w:val="120"/>
          <w:sz w:val="20"/>
        </w:rPr>
        <w:t>for more</w:t>
      </w:r>
      <w:r>
        <w:rPr>
          <w:spacing w:val="-17"/>
          <w:w w:val="120"/>
          <w:sz w:val="20"/>
        </w:rPr>
        <w:t> </w:t>
      </w:r>
      <w:r>
        <w:rPr>
          <w:w w:val="120"/>
          <w:sz w:val="20"/>
        </w:rPr>
        <w:t>information.</w:t>
      </w:r>
    </w:p>
    <w:p>
      <w:pPr>
        <w:pStyle w:val="BodyText"/>
        <w:spacing w:before="3"/>
        <w:rPr>
          <w:sz w:val="22"/>
        </w:rPr>
      </w:pPr>
    </w:p>
    <w:p>
      <w:pPr>
        <w:pStyle w:val="Heading4"/>
        <w:ind w:left="1564" w:firstLine="0"/>
      </w:pPr>
      <w:r>
        <w:rPr>
          <w:w w:val="110"/>
        </w:rPr>
        <w:t>CRCW news articles</w:t>
      </w:r>
    </w:p>
    <w:p>
      <w:pPr>
        <w:pStyle w:val="ListParagraph"/>
        <w:numPr>
          <w:ilvl w:val="0"/>
          <w:numId w:val="91"/>
        </w:numPr>
        <w:tabs>
          <w:tab w:pos="2244" w:val="left" w:leader="none"/>
          <w:tab w:pos="2245" w:val="left" w:leader="none"/>
        </w:tabs>
        <w:spacing w:line="235" w:lineRule="auto" w:before="69" w:after="0"/>
        <w:ind w:left="1564" w:right="957" w:firstLine="0"/>
        <w:jc w:val="left"/>
        <w:rPr>
          <w:sz w:val="20"/>
        </w:rPr>
      </w:pPr>
      <w:r>
        <w:rPr>
          <w:w w:val="120"/>
          <w:sz w:val="20"/>
        </w:rPr>
        <w:t>Since March </w:t>
      </w:r>
      <w:r>
        <w:rPr>
          <w:spacing w:val="-12"/>
          <w:w w:val="120"/>
          <w:sz w:val="20"/>
        </w:rPr>
        <w:t>2017, </w:t>
      </w:r>
      <w:r>
        <w:rPr>
          <w:w w:val="120"/>
          <w:sz w:val="20"/>
        </w:rPr>
        <w:t>two articles per month have been posted on the URC website with some very interesting insights into the work of CRCW’s and their projects. The articles can be found at:</w:t>
      </w:r>
      <w:r>
        <w:rPr>
          <w:spacing w:val="9"/>
          <w:w w:val="120"/>
          <w:sz w:val="20"/>
        </w:rPr>
        <w:t> </w:t>
      </w:r>
      <w:r>
        <w:rPr>
          <w:color w:val="006AB3"/>
          <w:w w:val="120"/>
          <w:sz w:val="20"/>
        </w:rPr>
        <w:t>https://</w:t>
      </w:r>
      <w:hyperlink r:id="rId364">
        <w:r>
          <w:rPr>
            <w:color w:val="006AB3"/>
            <w:w w:val="120"/>
            <w:sz w:val="20"/>
          </w:rPr>
          <w:t>www.urc.org.uk/crcw-news-events</w:t>
        </w:r>
      </w:hyperlink>
    </w:p>
    <w:p>
      <w:pPr>
        <w:pStyle w:val="BodyText"/>
        <w:spacing w:before="2"/>
        <w:rPr>
          <w:sz w:val="22"/>
        </w:rPr>
      </w:pPr>
    </w:p>
    <w:p>
      <w:pPr>
        <w:pStyle w:val="Heading4"/>
        <w:spacing w:before="1"/>
        <w:ind w:left="1564" w:firstLine="0"/>
      </w:pPr>
      <w:r>
        <w:rPr>
          <w:w w:val="110"/>
        </w:rPr>
        <w:t>TLS Developing community experiences/Stepwise</w:t>
      </w:r>
    </w:p>
    <w:p>
      <w:pPr>
        <w:pStyle w:val="ListParagraph"/>
        <w:numPr>
          <w:ilvl w:val="0"/>
          <w:numId w:val="91"/>
        </w:numPr>
        <w:tabs>
          <w:tab w:pos="2244" w:val="left" w:leader="none"/>
          <w:tab w:pos="2245" w:val="left" w:leader="none"/>
        </w:tabs>
        <w:spacing w:line="235" w:lineRule="auto" w:before="69" w:after="0"/>
        <w:ind w:left="1564" w:right="864" w:firstLine="0"/>
        <w:jc w:val="left"/>
        <w:rPr>
          <w:sz w:val="20"/>
        </w:rPr>
      </w:pPr>
      <w:r>
        <w:rPr>
          <w:w w:val="120"/>
          <w:sz w:val="20"/>
        </w:rPr>
        <w:t>We would like to place on record our thanks to those who wrote, tutored and participated in the </w:t>
      </w:r>
      <w:r>
        <w:rPr>
          <w:spacing w:val="2"/>
          <w:w w:val="120"/>
          <w:sz w:val="20"/>
        </w:rPr>
        <w:t>TLS </w:t>
      </w:r>
      <w:r>
        <w:rPr>
          <w:w w:val="120"/>
          <w:sz w:val="20"/>
        </w:rPr>
        <w:t>(Training for Learning and Serving) Developing Community Experiences programme. It was a ground-breaking course, which has led some students into the CRCW Ministry and many others into a more active and prophetic role within their local Church and</w:t>
      </w:r>
      <w:r>
        <w:rPr>
          <w:spacing w:val="9"/>
          <w:w w:val="120"/>
          <w:sz w:val="20"/>
        </w:rPr>
        <w:t> </w:t>
      </w:r>
      <w:r>
        <w:rPr>
          <w:w w:val="120"/>
          <w:sz w:val="20"/>
        </w:rPr>
        <w:t>community.</w:t>
      </w:r>
    </w:p>
    <w:p>
      <w:pPr>
        <w:pStyle w:val="BodyText"/>
        <w:spacing w:before="11"/>
        <w:rPr>
          <w:sz w:val="19"/>
        </w:rPr>
      </w:pPr>
    </w:p>
    <w:p>
      <w:pPr>
        <w:pStyle w:val="ListParagraph"/>
        <w:numPr>
          <w:ilvl w:val="0"/>
          <w:numId w:val="91"/>
        </w:numPr>
        <w:tabs>
          <w:tab w:pos="2244" w:val="left" w:leader="none"/>
          <w:tab w:pos="2245" w:val="left" w:leader="none"/>
        </w:tabs>
        <w:spacing w:line="235" w:lineRule="auto" w:before="0" w:after="0"/>
        <w:ind w:left="1564" w:right="1284" w:firstLine="0"/>
        <w:jc w:val="left"/>
        <w:rPr>
          <w:sz w:val="20"/>
        </w:rPr>
      </w:pPr>
      <w:r>
        <w:rPr>
          <w:w w:val="120"/>
          <w:sz w:val="20"/>
        </w:rPr>
        <w:t>A particular thank you on the record must go to John Saunders who, as </w:t>
      </w:r>
      <w:r>
        <w:rPr>
          <w:spacing w:val="-3"/>
          <w:w w:val="120"/>
          <w:sz w:val="20"/>
        </w:rPr>
        <w:t>tutor, </w:t>
      </w:r>
      <w:r>
        <w:rPr>
          <w:w w:val="120"/>
          <w:sz w:val="20"/>
        </w:rPr>
        <w:t>was central to the success of the</w:t>
      </w:r>
      <w:r>
        <w:rPr>
          <w:spacing w:val="12"/>
          <w:w w:val="120"/>
          <w:sz w:val="20"/>
        </w:rPr>
        <w:t> </w:t>
      </w:r>
      <w:r>
        <w:rPr>
          <w:w w:val="120"/>
          <w:sz w:val="20"/>
        </w:rPr>
        <w:t>programme.</w:t>
      </w:r>
    </w:p>
    <w:p>
      <w:pPr>
        <w:pStyle w:val="BodyText"/>
        <w:spacing w:before="10"/>
        <w:rPr>
          <w:sz w:val="19"/>
        </w:rPr>
      </w:pPr>
    </w:p>
    <w:p>
      <w:pPr>
        <w:pStyle w:val="ListParagraph"/>
        <w:numPr>
          <w:ilvl w:val="0"/>
          <w:numId w:val="91"/>
        </w:numPr>
        <w:tabs>
          <w:tab w:pos="2244" w:val="left" w:leader="none"/>
          <w:tab w:pos="2245" w:val="left" w:leader="none"/>
        </w:tabs>
        <w:spacing w:line="235" w:lineRule="auto" w:before="0" w:after="0"/>
        <w:ind w:left="1564" w:right="892" w:firstLine="0"/>
        <w:jc w:val="left"/>
        <w:rPr>
          <w:sz w:val="20"/>
        </w:rPr>
      </w:pPr>
      <w:r>
        <w:rPr>
          <w:w w:val="120"/>
          <w:sz w:val="20"/>
        </w:rPr>
        <w:t>We look forward to the launch of Stepwise and the continued learning that it will bring to those wishing to understand community development and how this process  can play a role in the life of individuals, local churches and communities who are attempting to faithfully walk the way of Jesus</w:t>
      </w:r>
      <w:r>
        <w:rPr>
          <w:spacing w:val="11"/>
          <w:w w:val="120"/>
          <w:sz w:val="20"/>
        </w:rPr>
        <w:t> </w:t>
      </w:r>
      <w:r>
        <w:rPr>
          <w:spacing w:val="-3"/>
          <w:w w:val="120"/>
          <w:sz w:val="20"/>
        </w:rPr>
        <w:t>today.</w:t>
      </w:r>
    </w:p>
    <w:p>
      <w:pPr>
        <w:spacing w:after="0" w:line="235" w:lineRule="auto"/>
        <w:jc w:val="left"/>
        <w:rPr>
          <w:sz w:val="20"/>
        </w:rPr>
        <w:sectPr>
          <w:headerReference w:type="default" r:id="rId360"/>
          <w:footerReference w:type="default" r:id="rId361"/>
          <w:footerReference w:type="even" r:id="rId362"/>
          <w:pgSz w:w="11910" w:h="16840"/>
          <w:pgMar w:header="0" w:footer="647" w:top="0" w:bottom="840" w:left="420" w:right="380"/>
          <w:pgNumType w:start="129"/>
        </w:sectPr>
      </w:pPr>
    </w:p>
    <w:p>
      <w:pPr>
        <w:pStyle w:val="BodyText"/>
      </w:pPr>
      <w:r>
        <w:rPr/>
        <w:drawing>
          <wp:anchor distT="0" distB="0" distL="0" distR="0" allowOverlap="1" layoutInCell="1" locked="0" behindDoc="1" simplePos="0" relativeHeight="236034048">
            <wp:simplePos x="0" y="0"/>
            <wp:positionH relativeFrom="page">
              <wp:posOffset>0</wp:posOffset>
            </wp:positionH>
            <wp:positionV relativeFrom="page">
              <wp:posOffset>0</wp:posOffset>
            </wp:positionV>
            <wp:extent cx="594067" cy="10692003"/>
            <wp:effectExtent l="0" t="0" r="0" b="0"/>
            <wp:wrapNone/>
            <wp:docPr id="249" name="image70.png"/>
            <wp:cNvGraphicFramePr>
              <a:graphicFrameLocks noChangeAspect="1"/>
            </wp:cNvGraphicFramePr>
            <a:graphic>
              <a:graphicData uri="http://schemas.openxmlformats.org/drawingml/2006/picture">
                <pic:pic>
                  <pic:nvPicPr>
                    <pic:cNvPr id="25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92.25pt;mso-position-horizontal-relative:page;mso-position-vertical-relative:paragraph;z-index:252003328" type="#_x0000_t202" filled="false" stroked="false">
            <v:textbox inset="0,0,0,0" style="layout-flow:vertical">
              <w:txbxContent>
                <w:p>
                  <w:pPr>
                    <w:spacing w:before="29"/>
                    <w:ind w:left="20" w:right="0" w:firstLine="0"/>
                    <w:jc w:val="left"/>
                    <w:rPr>
                      <w:sz w:val="39"/>
                    </w:rPr>
                  </w:pPr>
                  <w:r>
                    <w:rPr>
                      <w:color w:val="FFFFFF"/>
                      <w:w w:val="120"/>
                      <w:sz w:val="39"/>
                    </w:rPr>
                    <w:t>Maintenance of the ministry</w:t>
                  </w:r>
                </w:p>
              </w:txbxContent>
            </v:textbox>
            <w10:wrap type="none"/>
          </v:shape>
        </w:pict>
      </w:r>
      <w:r>
        <w:rPr>
          <w:color w:val="7EAABF"/>
          <w:w w:val="115"/>
        </w:rPr>
        <w:t>Ministries</w:t>
      </w:r>
    </w:p>
    <w:p>
      <w:pPr>
        <w:spacing w:line="213" w:lineRule="auto" w:before="188"/>
        <w:ind w:left="3198" w:right="0" w:hanging="1887"/>
        <w:jc w:val="left"/>
        <w:rPr>
          <w:rFonts w:ascii="Stone Sans II ITC Std X Bd"/>
          <w:b/>
          <w:sz w:val="50"/>
        </w:rPr>
      </w:pPr>
      <w:r>
        <w:rPr>
          <w:rFonts w:ascii="Stone Sans II ITC Std X Bd"/>
          <w:b/>
          <w:spacing w:val="-12"/>
          <w:w w:val="110"/>
          <w:sz w:val="50"/>
        </w:rPr>
        <w:t>Maintenance </w:t>
      </w:r>
      <w:r>
        <w:rPr>
          <w:rFonts w:ascii="Stone Sans II ITC Std X Bd"/>
          <w:b/>
          <w:spacing w:val="-5"/>
          <w:w w:val="110"/>
          <w:sz w:val="50"/>
        </w:rPr>
        <w:t>of </w:t>
      </w:r>
      <w:r>
        <w:rPr>
          <w:rFonts w:ascii="Stone Sans II ITC Std X Bd"/>
          <w:b/>
          <w:spacing w:val="-8"/>
          <w:w w:val="110"/>
          <w:sz w:val="50"/>
        </w:rPr>
        <w:t>the ministry </w:t>
      </w:r>
      <w:r>
        <w:rPr>
          <w:rFonts w:ascii="Stone Sans II ITC Std X Bd"/>
          <w:b/>
          <w:spacing w:val="-10"/>
          <w:w w:val="110"/>
          <w:sz w:val="50"/>
        </w:rPr>
        <w:t>subcommittee</w:t>
      </w:r>
    </w:p>
    <w:p>
      <w:pPr>
        <w:spacing w:line="261" w:lineRule="auto" w:before="157"/>
        <w:ind w:left="940" w:right="1528" w:firstLine="0"/>
        <w:jc w:val="left"/>
        <w:rPr>
          <w:sz w:val="18"/>
        </w:rPr>
      </w:pPr>
      <w:r>
        <w:rPr/>
        <w:pict>
          <v:line style="position:absolute;mso-position-horizontal-relative:page;mso-position-vertical-relative:paragraph;z-index:252002304" from="62.362202pt,9.117564pt" to="62.362202pt,126.754564pt" stroked="true" strokeweight="2pt" strokecolor="#0090d4">
            <v:stroke dashstyle="solid"/>
            <w10:wrap type="none"/>
          </v:line>
        </w:pict>
      </w:r>
      <w:r>
        <w:rPr>
          <w:color w:val="707172"/>
          <w:w w:val="120"/>
          <w:sz w:val="18"/>
        </w:rPr>
        <w:t>Advises on the level of stipend and ministers’ conditions of service through the Plan for Partnership. It is also concerned for pensions through its associated Pensions Executive.</w:t>
      </w:r>
    </w:p>
    <w:p>
      <w:pPr>
        <w:pStyle w:val="BodyText"/>
        <w:spacing w:before="10"/>
        <w:rPr>
          <w:sz w:val="18"/>
        </w:rPr>
      </w:pPr>
    </w:p>
    <w:p>
      <w:pPr>
        <w:spacing w:line="254" w:lineRule="auto" w:before="0"/>
        <w:ind w:left="940" w:right="7164" w:firstLine="0"/>
        <w:jc w:val="left"/>
        <w:rPr>
          <w:sz w:val="18"/>
        </w:rPr>
      </w:pPr>
      <w:r>
        <w:rPr>
          <w:rFonts w:ascii="Stone Sans II ITC Std Bk"/>
          <w:b/>
          <w:color w:val="707172"/>
          <w:w w:val="110"/>
          <w:sz w:val="18"/>
        </w:rPr>
        <w:t>Subcommittee members </w:t>
      </w:r>
      <w:r>
        <w:rPr>
          <w:color w:val="707172"/>
          <w:w w:val="120"/>
          <w:sz w:val="18"/>
        </w:rPr>
        <w:t>Convenor: Pamela Ward Secretary: Craig Bowman</w:t>
      </w:r>
    </w:p>
    <w:p>
      <w:pPr>
        <w:spacing w:line="261" w:lineRule="auto" w:before="8"/>
        <w:ind w:left="940" w:right="1956" w:firstLine="0"/>
        <w:jc w:val="left"/>
        <w:rPr>
          <w:sz w:val="18"/>
        </w:rPr>
      </w:pPr>
      <w:r>
        <w:rPr>
          <w:color w:val="707172"/>
          <w:w w:val="125"/>
          <w:sz w:val="18"/>
        </w:rPr>
        <w:t>Members: Keith Berry, David Black, Margaret Brock (from </w:t>
      </w:r>
      <w:r>
        <w:rPr>
          <w:color w:val="707172"/>
          <w:spacing w:val="-6"/>
          <w:w w:val="125"/>
          <w:sz w:val="18"/>
        </w:rPr>
        <w:t>2017), </w:t>
      </w:r>
      <w:r>
        <w:rPr>
          <w:color w:val="707172"/>
          <w:w w:val="125"/>
          <w:sz w:val="18"/>
        </w:rPr>
        <w:t>Chris Evans (convenor of pensions executive), Sue Kirkbride, Peter Rippon </w:t>
      </w:r>
      <w:r>
        <w:rPr>
          <w:color w:val="707172"/>
          <w:spacing w:val="-3"/>
          <w:w w:val="125"/>
          <w:sz w:val="18"/>
        </w:rPr>
        <w:t>(until </w:t>
      </w:r>
      <w:r>
        <w:rPr>
          <w:color w:val="707172"/>
          <w:spacing w:val="-6"/>
          <w:w w:val="125"/>
          <w:sz w:val="18"/>
        </w:rPr>
        <w:t>2017), </w:t>
      </w:r>
      <w:r>
        <w:rPr>
          <w:color w:val="707172"/>
          <w:w w:val="125"/>
          <w:sz w:val="18"/>
        </w:rPr>
        <w:t>Richard Turnbull </w:t>
      </w:r>
      <w:r>
        <w:rPr>
          <w:color w:val="707172"/>
          <w:spacing w:val="-3"/>
          <w:w w:val="125"/>
          <w:sz w:val="18"/>
        </w:rPr>
        <w:t>(until </w:t>
      </w:r>
      <w:r>
        <w:rPr>
          <w:color w:val="707172"/>
          <w:spacing w:val="-6"/>
          <w:w w:val="125"/>
          <w:sz w:val="18"/>
        </w:rPr>
        <w:t>2017), </w:t>
      </w:r>
      <w:r>
        <w:rPr>
          <w:color w:val="707172"/>
          <w:w w:val="125"/>
          <w:sz w:val="18"/>
        </w:rPr>
        <w:t>Eilidh Young </w:t>
      </w:r>
      <w:r>
        <w:rPr>
          <w:color w:val="707172"/>
          <w:spacing w:val="-3"/>
          <w:w w:val="125"/>
          <w:sz w:val="18"/>
        </w:rPr>
        <w:t>(until </w:t>
      </w:r>
      <w:r>
        <w:rPr>
          <w:color w:val="707172"/>
          <w:spacing w:val="-6"/>
          <w:w w:val="125"/>
          <w:sz w:val="18"/>
        </w:rPr>
        <w:t>2017), </w:t>
      </w:r>
      <w:r>
        <w:rPr>
          <w:color w:val="707172"/>
          <w:w w:val="125"/>
          <w:sz w:val="18"/>
        </w:rPr>
        <w:t>Paul Whittle (convenor of ministries committee), John Piper (assistant treasurer)</w:t>
      </w:r>
    </w:p>
    <w:p>
      <w:pPr>
        <w:pStyle w:val="BodyText"/>
        <w:rPr>
          <w:sz w:val="22"/>
        </w:rPr>
      </w:pPr>
    </w:p>
    <w:p>
      <w:pPr>
        <w:pStyle w:val="BodyText"/>
        <w:spacing w:before="2"/>
        <w:rPr>
          <w:sz w:val="16"/>
        </w:rPr>
      </w:pPr>
    </w:p>
    <w:p>
      <w:pPr>
        <w:pStyle w:val="ListParagraph"/>
        <w:numPr>
          <w:ilvl w:val="0"/>
          <w:numId w:val="92"/>
        </w:numPr>
        <w:tabs>
          <w:tab w:pos="1507" w:val="left" w:leader="none"/>
          <w:tab w:pos="1508" w:val="left" w:leader="none"/>
        </w:tabs>
        <w:spacing w:line="235" w:lineRule="auto" w:before="1" w:after="0"/>
        <w:ind w:left="827" w:right="1772" w:firstLine="0"/>
        <w:jc w:val="left"/>
        <w:rPr>
          <w:sz w:val="20"/>
        </w:rPr>
      </w:pPr>
      <w:r>
        <w:rPr>
          <w:w w:val="120"/>
          <w:sz w:val="20"/>
        </w:rPr>
        <w:t>The MOM subcommittee meets twice a </w:t>
      </w:r>
      <w:r>
        <w:rPr>
          <w:spacing w:val="-4"/>
          <w:w w:val="120"/>
          <w:sz w:val="20"/>
        </w:rPr>
        <w:t>year, </w:t>
      </w:r>
      <w:r>
        <w:rPr>
          <w:w w:val="120"/>
          <w:sz w:val="20"/>
        </w:rPr>
        <w:t>but conducts much of its business by email, as and when a decision is called for concerning stipends or allowances for individual</w:t>
      </w:r>
      <w:r>
        <w:rPr>
          <w:spacing w:val="2"/>
          <w:w w:val="120"/>
          <w:sz w:val="20"/>
        </w:rPr>
        <w:t> </w:t>
      </w:r>
      <w:r>
        <w:rPr>
          <w:w w:val="120"/>
          <w:sz w:val="20"/>
        </w:rPr>
        <w:t>ministers.</w:t>
      </w:r>
    </w:p>
    <w:p>
      <w:pPr>
        <w:pStyle w:val="BodyText"/>
        <w:spacing w:before="2"/>
        <w:rPr>
          <w:sz w:val="22"/>
        </w:rPr>
      </w:pPr>
    </w:p>
    <w:p>
      <w:pPr>
        <w:pStyle w:val="Heading4"/>
        <w:ind w:firstLine="0"/>
      </w:pPr>
      <w:r>
        <w:rPr>
          <w:w w:val="110"/>
        </w:rPr>
        <w:t>Plan for Partnership</w:t>
      </w:r>
    </w:p>
    <w:p>
      <w:pPr>
        <w:pStyle w:val="ListParagraph"/>
        <w:numPr>
          <w:ilvl w:val="0"/>
          <w:numId w:val="92"/>
        </w:numPr>
        <w:tabs>
          <w:tab w:pos="1507" w:val="left" w:leader="none"/>
          <w:tab w:pos="1508" w:val="left" w:leader="none"/>
        </w:tabs>
        <w:spacing w:line="235" w:lineRule="auto" w:before="13" w:after="0"/>
        <w:ind w:left="827" w:right="1899" w:firstLine="0"/>
        <w:jc w:val="left"/>
        <w:rPr>
          <w:sz w:val="20"/>
        </w:rPr>
      </w:pPr>
      <w:r>
        <w:rPr>
          <w:w w:val="120"/>
          <w:sz w:val="20"/>
        </w:rPr>
        <w:t>Our main role is to interpret the Plan for Partnership and to propose such changes as we consider necessary. When a particular situation does not exactly fit  the terms of the Plan, we </w:t>
      </w:r>
      <w:r>
        <w:rPr>
          <w:spacing w:val="3"/>
          <w:w w:val="120"/>
          <w:sz w:val="20"/>
        </w:rPr>
        <w:t>try </w:t>
      </w:r>
      <w:r>
        <w:rPr>
          <w:w w:val="120"/>
          <w:sz w:val="20"/>
        </w:rPr>
        <w:t>to apply the Plan fairly and reasonably. When a question is raised by an individual, synod or other body, we consider it carefully; sometimes this leads to an amendment to the Plan, and sometimes we decide it is adequate</w:t>
      </w:r>
      <w:r>
        <w:rPr>
          <w:spacing w:val="4"/>
          <w:w w:val="120"/>
          <w:sz w:val="20"/>
        </w:rPr>
        <w:t> </w:t>
      </w:r>
      <w:r>
        <w:rPr>
          <w:w w:val="120"/>
          <w:sz w:val="20"/>
        </w:rPr>
        <w:t>as</w:t>
      </w:r>
    </w:p>
    <w:p>
      <w:pPr>
        <w:pStyle w:val="BodyText"/>
        <w:spacing w:line="235" w:lineRule="auto" w:before="3"/>
        <w:ind w:left="827" w:right="1528"/>
      </w:pPr>
      <w:r>
        <w:rPr>
          <w:w w:val="120"/>
        </w:rPr>
        <w:t>it stands. One recent change which arose from a particular request is to allow more discretion regarding the maximum removal grant, to cover special circumstances. We have also increased the maximum rate of refund for pulpit supply in a vacancy to £40.</w:t>
      </w:r>
    </w:p>
    <w:p>
      <w:pPr>
        <w:pStyle w:val="BodyText"/>
        <w:spacing w:before="3"/>
        <w:rPr>
          <w:sz w:val="22"/>
        </w:rPr>
      </w:pPr>
    </w:p>
    <w:p>
      <w:pPr>
        <w:pStyle w:val="Heading4"/>
        <w:ind w:firstLine="0"/>
      </w:pPr>
      <w:r>
        <w:rPr>
          <w:w w:val="110"/>
        </w:rPr>
        <w:t>Stipend increase</w:t>
      </w:r>
    </w:p>
    <w:p>
      <w:pPr>
        <w:pStyle w:val="ListParagraph"/>
        <w:numPr>
          <w:ilvl w:val="0"/>
          <w:numId w:val="92"/>
        </w:numPr>
        <w:tabs>
          <w:tab w:pos="1507" w:val="left" w:leader="none"/>
          <w:tab w:pos="1508" w:val="left" w:leader="none"/>
        </w:tabs>
        <w:spacing w:line="235" w:lineRule="auto" w:before="12" w:after="0"/>
        <w:ind w:left="827" w:right="1644" w:firstLine="0"/>
        <w:jc w:val="left"/>
        <w:rPr>
          <w:sz w:val="20"/>
        </w:rPr>
      </w:pPr>
      <w:r>
        <w:rPr>
          <w:w w:val="120"/>
          <w:sz w:val="20"/>
        </w:rPr>
        <w:t>Our proposal for the stipend increase each year is based on a formula using the consumer price index </w:t>
      </w:r>
      <w:r>
        <w:rPr>
          <w:spacing w:val="-5"/>
          <w:w w:val="120"/>
          <w:sz w:val="20"/>
        </w:rPr>
        <w:t>(CPI).  </w:t>
      </w:r>
      <w:r>
        <w:rPr>
          <w:w w:val="120"/>
          <w:sz w:val="20"/>
        </w:rPr>
        <w:t>When the formula was applied in </w:t>
      </w:r>
      <w:r>
        <w:rPr>
          <w:spacing w:val="-12"/>
          <w:w w:val="120"/>
          <w:sz w:val="20"/>
        </w:rPr>
        <w:t>2017,  </w:t>
      </w:r>
      <w:r>
        <w:rPr>
          <w:w w:val="120"/>
          <w:sz w:val="20"/>
        </w:rPr>
        <w:t>the CPI increase   was 2.7%, producing a stipend increase of </w:t>
      </w:r>
      <w:r>
        <w:rPr>
          <w:spacing w:val="-3"/>
          <w:w w:val="120"/>
          <w:sz w:val="20"/>
        </w:rPr>
        <w:t>2.4%. </w:t>
      </w:r>
      <w:r>
        <w:rPr>
          <w:w w:val="120"/>
          <w:sz w:val="20"/>
        </w:rPr>
        <w:t>This, though not large, is considerably higher than it has been for some</w:t>
      </w:r>
      <w:r>
        <w:rPr>
          <w:spacing w:val="13"/>
          <w:w w:val="120"/>
          <w:sz w:val="20"/>
        </w:rPr>
        <w:t> </w:t>
      </w:r>
      <w:r>
        <w:rPr>
          <w:w w:val="120"/>
          <w:sz w:val="20"/>
        </w:rPr>
        <w:t>time.</w:t>
      </w:r>
    </w:p>
    <w:p>
      <w:pPr>
        <w:pStyle w:val="BodyText"/>
        <w:spacing w:before="3"/>
        <w:rPr>
          <w:sz w:val="22"/>
        </w:rPr>
      </w:pPr>
    </w:p>
    <w:p>
      <w:pPr>
        <w:pStyle w:val="Heading4"/>
        <w:spacing w:before="1"/>
        <w:ind w:firstLine="0"/>
      </w:pPr>
      <w:r>
        <w:rPr>
          <w:w w:val="110"/>
        </w:rPr>
        <w:t>Long-term sickness absence</w:t>
      </w:r>
    </w:p>
    <w:p>
      <w:pPr>
        <w:pStyle w:val="ListParagraph"/>
        <w:numPr>
          <w:ilvl w:val="0"/>
          <w:numId w:val="92"/>
        </w:numPr>
        <w:tabs>
          <w:tab w:pos="1507" w:val="left" w:leader="none"/>
          <w:tab w:pos="1508" w:val="left" w:leader="none"/>
        </w:tabs>
        <w:spacing w:line="235" w:lineRule="auto" w:before="12" w:after="0"/>
        <w:ind w:left="827" w:right="2193" w:firstLine="0"/>
        <w:jc w:val="left"/>
        <w:rPr>
          <w:sz w:val="20"/>
        </w:rPr>
      </w:pPr>
      <w:r>
        <w:rPr>
          <w:spacing w:val="-3"/>
          <w:w w:val="120"/>
          <w:sz w:val="20"/>
        </w:rPr>
        <w:t>We</w:t>
      </w:r>
      <w:r>
        <w:rPr>
          <w:spacing w:val="-8"/>
          <w:w w:val="120"/>
          <w:sz w:val="20"/>
        </w:rPr>
        <w:t> </w:t>
      </w:r>
      <w:r>
        <w:rPr>
          <w:spacing w:val="-3"/>
          <w:w w:val="120"/>
          <w:sz w:val="20"/>
        </w:rPr>
        <w:t>continue</w:t>
      </w:r>
      <w:r>
        <w:rPr>
          <w:spacing w:val="-7"/>
          <w:w w:val="120"/>
          <w:sz w:val="20"/>
        </w:rPr>
        <w:t> </w:t>
      </w:r>
      <w:r>
        <w:rPr>
          <w:spacing w:val="-3"/>
          <w:w w:val="120"/>
          <w:sz w:val="20"/>
        </w:rPr>
        <w:t>to</w:t>
      </w:r>
      <w:r>
        <w:rPr>
          <w:spacing w:val="-8"/>
          <w:w w:val="120"/>
          <w:sz w:val="20"/>
        </w:rPr>
        <w:t> </w:t>
      </w:r>
      <w:r>
        <w:rPr>
          <w:spacing w:val="-3"/>
          <w:w w:val="120"/>
          <w:sz w:val="20"/>
        </w:rPr>
        <w:t>monitor</w:t>
      </w:r>
      <w:r>
        <w:rPr>
          <w:spacing w:val="-7"/>
          <w:w w:val="120"/>
          <w:sz w:val="20"/>
        </w:rPr>
        <w:t> </w:t>
      </w:r>
      <w:r>
        <w:rPr>
          <w:w w:val="120"/>
          <w:sz w:val="20"/>
        </w:rPr>
        <w:t>and</w:t>
      </w:r>
      <w:r>
        <w:rPr>
          <w:spacing w:val="-7"/>
          <w:w w:val="120"/>
          <w:sz w:val="20"/>
        </w:rPr>
        <w:t> </w:t>
      </w:r>
      <w:r>
        <w:rPr>
          <w:spacing w:val="-3"/>
          <w:w w:val="120"/>
          <w:sz w:val="20"/>
        </w:rPr>
        <w:t>improve</w:t>
      </w:r>
      <w:r>
        <w:rPr>
          <w:spacing w:val="-8"/>
          <w:w w:val="120"/>
          <w:sz w:val="20"/>
        </w:rPr>
        <w:t> </w:t>
      </w:r>
      <w:r>
        <w:rPr>
          <w:w w:val="120"/>
          <w:sz w:val="20"/>
        </w:rPr>
        <w:t>our</w:t>
      </w:r>
      <w:r>
        <w:rPr>
          <w:spacing w:val="-7"/>
          <w:w w:val="120"/>
          <w:sz w:val="20"/>
        </w:rPr>
        <w:t> </w:t>
      </w:r>
      <w:r>
        <w:rPr>
          <w:w w:val="120"/>
          <w:sz w:val="20"/>
        </w:rPr>
        <w:t>care</w:t>
      </w:r>
      <w:r>
        <w:rPr>
          <w:spacing w:val="-7"/>
          <w:w w:val="120"/>
          <w:sz w:val="20"/>
        </w:rPr>
        <w:t> </w:t>
      </w:r>
      <w:r>
        <w:rPr>
          <w:w w:val="120"/>
          <w:sz w:val="20"/>
        </w:rPr>
        <w:t>for</w:t>
      </w:r>
      <w:r>
        <w:rPr>
          <w:spacing w:val="-8"/>
          <w:w w:val="120"/>
          <w:sz w:val="20"/>
        </w:rPr>
        <w:t> </w:t>
      </w:r>
      <w:r>
        <w:rPr>
          <w:spacing w:val="-3"/>
          <w:w w:val="120"/>
          <w:sz w:val="20"/>
        </w:rPr>
        <w:t>ministers</w:t>
      </w:r>
      <w:r>
        <w:rPr>
          <w:spacing w:val="-7"/>
          <w:w w:val="120"/>
          <w:sz w:val="20"/>
        </w:rPr>
        <w:t> </w:t>
      </w:r>
      <w:r>
        <w:rPr>
          <w:spacing w:val="-3"/>
          <w:w w:val="120"/>
          <w:sz w:val="20"/>
        </w:rPr>
        <w:t>who,</w:t>
      </w:r>
      <w:r>
        <w:rPr>
          <w:spacing w:val="-8"/>
          <w:w w:val="120"/>
          <w:sz w:val="20"/>
        </w:rPr>
        <w:t> </w:t>
      </w:r>
      <w:r>
        <w:rPr>
          <w:w w:val="120"/>
          <w:sz w:val="20"/>
        </w:rPr>
        <w:t>having</w:t>
      </w:r>
      <w:r>
        <w:rPr>
          <w:spacing w:val="-7"/>
          <w:w w:val="120"/>
          <w:sz w:val="20"/>
        </w:rPr>
        <w:t> </w:t>
      </w:r>
      <w:r>
        <w:rPr>
          <w:w w:val="120"/>
          <w:sz w:val="20"/>
        </w:rPr>
        <w:t>been on</w:t>
      </w:r>
      <w:r>
        <w:rPr>
          <w:spacing w:val="-12"/>
          <w:w w:val="120"/>
          <w:sz w:val="20"/>
        </w:rPr>
        <w:t> </w:t>
      </w:r>
      <w:r>
        <w:rPr>
          <w:w w:val="120"/>
          <w:sz w:val="20"/>
        </w:rPr>
        <w:t>sick</w:t>
      </w:r>
      <w:r>
        <w:rPr>
          <w:spacing w:val="-12"/>
          <w:w w:val="120"/>
          <w:sz w:val="20"/>
        </w:rPr>
        <w:t> </w:t>
      </w:r>
      <w:r>
        <w:rPr>
          <w:spacing w:val="-3"/>
          <w:w w:val="120"/>
          <w:sz w:val="20"/>
        </w:rPr>
        <w:t>leave</w:t>
      </w:r>
      <w:r>
        <w:rPr>
          <w:spacing w:val="-12"/>
          <w:w w:val="120"/>
          <w:sz w:val="20"/>
        </w:rPr>
        <w:t> </w:t>
      </w:r>
      <w:r>
        <w:rPr>
          <w:w w:val="120"/>
          <w:sz w:val="20"/>
        </w:rPr>
        <w:t>for</w:t>
      </w:r>
      <w:r>
        <w:rPr>
          <w:spacing w:val="-12"/>
          <w:w w:val="120"/>
          <w:sz w:val="20"/>
        </w:rPr>
        <w:t> </w:t>
      </w:r>
      <w:r>
        <w:rPr>
          <w:w w:val="120"/>
          <w:sz w:val="20"/>
        </w:rPr>
        <w:t>six</w:t>
      </w:r>
      <w:r>
        <w:rPr>
          <w:spacing w:val="-12"/>
          <w:w w:val="120"/>
          <w:sz w:val="20"/>
        </w:rPr>
        <w:t> </w:t>
      </w:r>
      <w:r>
        <w:rPr>
          <w:spacing w:val="-3"/>
          <w:w w:val="120"/>
          <w:sz w:val="20"/>
        </w:rPr>
        <w:t>months,</w:t>
      </w:r>
      <w:r>
        <w:rPr>
          <w:spacing w:val="-12"/>
          <w:w w:val="120"/>
          <w:sz w:val="20"/>
        </w:rPr>
        <w:t> </w:t>
      </w:r>
      <w:r>
        <w:rPr>
          <w:spacing w:val="-3"/>
          <w:w w:val="120"/>
          <w:sz w:val="20"/>
        </w:rPr>
        <w:t>come</w:t>
      </w:r>
      <w:r>
        <w:rPr>
          <w:spacing w:val="-12"/>
          <w:w w:val="120"/>
          <w:sz w:val="20"/>
        </w:rPr>
        <w:t> </w:t>
      </w:r>
      <w:r>
        <w:rPr>
          <w:spacing w:val="-3"/>
          <w:w w:val="120"/>
          <w:sz w:val="20"/>
        </w:rPr>
        <w:t>to</w:t>
      </w:r>
      <w:r>
        <w:rPr>
          <w:spacing w:val="-11"/>
          <w:w w:val="120"/>
          <w:sz w:val="20"/>
        </w:rPr>
        <w:t> </w:t>
      </w:r>
      <w:r>
        <w:rPr>
          <w:w w:val="120"/>
          <w:sz w:val="20"/>
        </w:rPr>
        <w:t>the</w:t>
      </w:r>
      <w:r>
        <w:rPr>
          <w:spacing w:val="-12"/>
          <w:w w:val="120"/>
          <w:sz w:val="20"/>
        </w:rPr>
        <w:t> </w:t>
      </w:r>
      <w:r>
        <w:rPr>
          <w:w w:val="120"/>
          <w:sz w:val="20"/>
        </w:rPr>
        <w:t>end</w:t>
      </w:r>
      <w:r>
        <w:rPr>
          <w:spacing w:val="-12"/>
          <w:w w:val="120"/>
          <w:sz w:val="20"/>
        </w:rPr>
        <w:t> </w:t>
      </w:r>
      <w:r>
        <w:rPr>
          <w:w w:val="120"/>
          <w:sz w:val="20"/>
        </w:rPr>
        <w:t>of</w:t>
      </w:r>
      <w:r>
        <w:rPr>
          <w:spacing w:val="-12"/>
          <w:w w:val="120"/>
          <w:sz w:val="20"/>
        </w:rPr>
        <w:t> </w:t>
      </w:r>
      <w:r>
        <w:rPr>
          <w:w w:val="120"/>
          <w:sz w:val="20"/>
        </w:rPr>
        <w:t>their</w:t>
      </w:r>
      <w:r>
        <w:rPr>
          <w:spacing w:val="-12"/>
          <w:w w:val="120"/>
          <w:sz w:val="20"/>
        </w:rPr>
        <w:t> </w:t>
      </w:r>
      <w:r>
        <w:rPr>
          <w:w w:val="120"/>
          <w:sz w:val="20"/>
        </w:rPr>
        <w:t>entitlement</w:t>
      </w:r>
      <w:r>
        <w:rPr>
          <w:spacing w:val="-12"/>
          <w:w w:val="120"/>
          <w:sz w:val="20"/>
        </w:rPr>
        <w:t> </w:t>
      </w:r>
      <w:r>
        <w:rPr>
          <w:spacing w:val="-3"/>
          <w:w w:val="120"/>
          <w:sz w:val="20"/>
        </w:rPr>
        <w:t>to</w:t>
      </w:r>
      <w:r>
        <w:rPr>
          <w:spacing w:val="-12"/>
          <w:w w:val="120"/>
          <w:sz w:val="20"/>
        </w:rPr>
        <w:t> </w:t>
      </w:r>
      <w:r>
        <w:rPr>
          <w:w w:val="120"/>
          <w:sz w:val="20"/>
        </w:rPr>
        <w:t>full</w:t>
      </w:r>
      <w:r>
        <w:rPr>
          <w:spacing w:val="-11"/>
          <w:w w:val="120"/>
          <w:sz w:val="20"/>
        </w:rPr>
        <w:t> </w:t>
      </w:r>
      <w:r>
        <w:rPr>
          <w:w w:val="120"/>
          <w:sz w:val="20"/>
        </w:rPr>
        <w:t>stipend.</w:t>
      </w:r>
      <w:r>
        <w:rPr>
          <w:spacing w:val="-12"/>
          <w:w w:val="120"/>
          <w:sz w:val="20"/>
        </w:rPr>
        <w:t> </w:t>
      </w:r>
      <w:r>
        <w:rPr>
          <w:spacing w:val="-3"/>
          <w:w w:val="120"/>
          <w:sz w:val="20"/>
        </w:rPr>
        <w:t>We</w:t>
      </w:r>
    </w:p>
    <w:p>
      <w:pPr>
        <w:pStyle w:val="BodyText"/>
        <w:spacing w:line="235" w:lineRule="auto" w:before="1"/>
        <w:ind w:left="827" w:right="1528"/>
      </w:pPr>
      <w:r>
        <w:rPr>
          <w:w w:val="120"/>
        </w:rPr>
        <w:t>sometimes</w:t>
      </w:r>
      <w:r>
        <w:rPr>
          <w:spacing w:val="-10"/>
          <w:w w:val="120"/>
        </w:rPr>
        <w:t> </w:t>
      </w:r>
      <w:r>
        <w:rPr>
          <w:spacing w:val="-3"/>
          <w:w w:val="120"/>
        </w:rPr>
        <w:t>have</w:t>
      </w:r>
      <w:r>
        <w:rPr>
          <w:spacing w:val="-9"/>
          <w:w w:val="120"/>
        </w:rPr>
        <w:t> </w:t>
      </w:r>
      <w:r>
        <w:rPr>
          <w:w w:val="120"/>
        </w:rPr>
        <w:t>painful</w:t>
      </w:r>
      <w:r>
        <w:rPr>
          <w:spacing w:val="-10"/>
          <w:w w:val="120"/>
        </w:rPr>
        <w:t> </w:t>
      </w:r>
      <w:r>
        <w:rPr>
          <w:spacing w:val="-3"/>
          <w:w w:val="120"/>
        </w:rPr>
        <w:t>decisions</w:t>
      </w:r>
      <w:r>
        <w:rPr>
          <w:spacing w:val="-9"/>
          <w:w w:val="120"/>
        </w:rPr>
        <w:t> </w:t>
      </w:r>
      <w:r>
        <w:rPr>
          <w:spacing w:val="-3"/>
          <w:w w:val="120"/>
        </w:rPr>
        <w:t>to</w:t>
      </w:r>
      <w:r>
        <w:rPr>
          <w:spacing w:val="-10"/>
          <w:w w:val="120"/>
        </w:rPr>
        <w:t> </w:t>
      </w:r>
      <w:r>
        <w:rPr>
          <w:spacing w:val="-3"/>
          <w:w w:val="120"/>
        </w:rPr>
        <w:t>make,</w:t>
      </w:r>
      <w:r>
        <w:rPr>
          <w:spacing w:val="-9"/>
          <w:w w:val="120"/>
        </w:rPr>
        <w:t> </w:t>
      </w:r>
      <w:r>
        <w:rPr>
          <w:w w:val="120"/>
        </w:rPr>
        <w:t>and</w:t>
      </w:r>
      <w:r>
        <w:rPr>
          <w:spacing w:val="-10"/>
          <w:w w:val="120"/>
        </w:rPr>
        <w:t> </w:t>
      </w:r>
      <w:r>
        <w:rPr>
          <w:w w:val="120"/>
        </w:rPr>
        <w:t>we</w:t>
      </w:r>
      <w:r>
        <w:rPr>
          <w:spacing w:val="-9"/>
          <w:w w:val="120"/>
        </w:rPr>
        <w:t> </w:t>
      </w:r>
      <w:r>
        <w:rPr>
          <w:w w:val="120"/>
        </w:rPr>
        <w:t>strive</w:t>
      </w:r>
      <w:r>
        <w:rPr>
          <w:spacing w:val="-10"/>
          <w:w w:val="120"/>
        </w:rPr>
        <w:t> </w:t>
      </w:r>
      <w:r>
        <w:rPr>
          <w:spacing w:val="-3"/>
          <w:w w:val="120"/>
        </w:rPr>
        <w:t>to</w:t>
      </w:r>
      <w:r>
        <w:rPr>
          <w:spacing w:val="-9"/>
          <w:w w:val="120"/>
        </w:rPr>
        <w:t> </w:t>
      </w:r>
      <w:r>
        <w:rPr>
          <w:w w:val="120"/>
        </w:rPr>
        <w:t>bring</w:t>
      </w:r>
      <w:r>
        <w:rPr>
          <w:spacing w:val="-10"/>
          <w:w w:val="120"/>
        </w:rPr>
        <w:t> </w:t>
      </w:r>
      <w:r>
        <w:rPr>
          <w:w w:val="120"/>
        </w:rPr>
        <w:t>wisdom</w:t>
      </w:r>
      <w:r>
        <w:rPr>
          <w:spacing w:val="-9"/>
          <w:w w:val="120"/>
        </w:rPr>
        <w:t> </w:t>
      </w:r>
      <w:r>
        <w:rPr>
          <w:w w:val="120"/>
        </w:rPr>
        <w:t>and</w:t>
      </w:r>
      <w:r>
        <w:rPr>
          <w:spacing w:val="-10"/>
          <w:w w:val="120"/>
        </w:rPr>
        <w:t> </w:t>
      </w:r>
      <w:r>
        <w:rPr>
          <w:spacing w:val="-3"/>
          <w:w w:val="120"/>
        </w:rPr>
        <w:t>compassion to</w:t>
      </w:r>
      <w:r>
        <w:rPr>
          <w:spacing w:val="-16"/>
          <w:w w:val="120"/>
        </w:rPr>
        <w:t> </w:t>
      </w:r>
      <w:r>
        <w:rPr>
          <w:w w:val="120"/>
        </w:rPr>
        <w:t>the</w:t>
      </w:r>
      <w:r>
        <w:rPr>
          <w:spacing w:val="-16"/>
          <w:w w:val="120"/>
        </w:rPr>
        <w:t> </w:t>
      </w:r>
      <w:r>
        <w:rPr>
          <w:w w:val="120"/>
        </w:rPr>
        <w:t>judgments</w:t>
      </w:r>
      <w:r>
        <w:rPr>
          <w:spacing w:val="-15"/>
          <w:w w:val="120"/>
        </w:rPr>
        <w:t> </w:t>
      </w:r>
      <w:r>
        <w:rPr>
          <w:w w:val="120"/>
        </w:rPr>
        <w:t>that</w:t>
      </w:r>
      <w:r>
        <w:rPr>
          <w:spacing w:val="-16"/>
          <w:w w:val="120"/>
        </w:rPr>
        <w:t> </w:t>
      </w:r>
      <w:r>
        <w:rPr>
          <w:w w:val="120"/>
        </w:rPr>
        <w:t>are</w:t>
      </w:r>
      <w:r>
        <w:rPr>
          <w:spacing w:val="-15"/>
          <w:w w:val="120"/>
        </w:rPr>
        <w:t> </w:t>
      </w:r>
      <w:r>
        <w:rPr>
          <w:w w:val="120"/>
        </w:rPr>
        <w:t>entrusted</w:t>
      </w:r>
      <w:r>
        <w:rPr>
          <w:spacing w:val="-16"/>
          <w:w w:val="120"/>
        </w:rPr>
        <w:t> </w:t>
      </w:r>
      <w:r>
        <w:rPr>
          <w:spacing w:val="-3"/>
          <w:w w:val="120"/>
        </w:rPr>
        <w:t>to</w:t>
      </w:r>
      <w:r>
        <w:rPr>
          <w:spacing w:val="-15"/>
          <w:w w:val="120"/>
        </w:rPr>
        <w:t> </w:t>
      </w:r>
      <w:r>
        <w:rPr>
          <w:spacing w:val="-2"/>
          <w:w w:val="120"/>
        </w:rPr>
        <w:t>us.</w:t>
      </w:r>
      <w:r>
        <w:rPr>
          <w:spacing w:val="-16"/>
          <w:w w:val="120"/>
        </w:rPr>
        <w:t> </w:t>
      </w:r>
      <w:r>
        <w:rPr>
          <w:spacing w:val="-3"/>
          <w:w w:val="120"/>
        </w:rPr>
        <w:t>We</w:t>
      </w:r>
      <w:r>
        <w:rPr>
          <w:spacing w:val="-15"/>
          <w:w w:val="120"/>
        </w:rPr>
        <w:t> </w:t>
      </w:r>
      <w:r>
        <w:rPr>
          <w:w w:val="120"/>
        </w:rPr>
        <w:t>are</w:t>
      </w:r>
      <w:r>
        <w:rPr>
          <w:spacing w:val="-16"/>
          <w:w w:val="120"/>
        </w:rPr>
        <w:t> </w:t>
      </w:r>
      <w:r>
        <w:rPr>
          <w:w w:val="120"/>
        </w:rPr>
        <w:t>very</w:t>
      </w:r>
      <w:r>
        <w:rPr>
          <w:spacing w:val="-15"/>
          <w:w w:val="120"/>
        </w:rPr>
        <w:t> </w:t>
      </w:r>
      <w:r>
        <w:rPr>
          <w:w w:val="120"/>
        </w:rPr>
        <w:t>grateful</w:t>
      </w:r>
      <w:r>
        <w:rPr>
          <w:spacing w:val="-16"/>
          <w:w w:val="120"/>
        </w:rPr>
        <w:t> </w:t>
      </w:r>
      <w:r>
        <w:rPr>
          <w:w w:val="120"/>
        </w:rPr>
        <w:t>for</w:t>
      </w:r>
      <w:r>
        <w:rPr>
          <w:spacing w:val="-16"/>
          <w:w w:val="120"/>
        </w:rPr>
        <w:t> </w:t>
      </w:r>
      <w:r>
        <w:rPr>
          <w:w w:val="120"/>
        </w:rPr>
        <w:t>the</w:t>
      </w:r>
      <w:r>
        <w:rPr>
          <w:spacing w:val="-15"/>
          <w:w w:val="120"/>
        </w:rPr>
        <w:t> </w:t>
      </w:r>
      <w:r>
        <w:rPr>
          <w:w w:val="120"/>
        </w:rPr>
        <w:t>work</w:t>
      </w:r>
      <w:r>
        <w:rPr>
          <w:spacing w:val="-16"/>
          <w:w w:val="120"/>
        </w:rPr>
        <w:t> </w:t>
      </w:r>
      <w:r>
        <w:rPr>
          <w:w w:val="120"/>
        </w:rPr>
        <w:t>of</w:t>
      </w:r>
      <w:r>
        <w:rPr>
          <w:spacing w:val="-15"/>
          <w:w w:val="120"/>
        </w:rPr>
        <w:t> </w:t>
      </w:r>
      <w:r>
        <w:rPr>
          <w:w w:val="120"/>
        </w:rPr>
        <w:t>Mary</w:t>
      </w:r>
      <w:r>
        <w:rPr>
          <w:spacing w:val="-16"/>
          <w:w w:val="120"/>
        </w:rPr>
        <w:t> </w:t>
      </w:r>
      <w:r>
        <w:rPr>
          <w:spacing w:val="-3"/>
          <w:w w:val="120"/>
        </w:rPr>
        <w:t>Steele </w:t>
      </w:r>
      <w:r>
        <w:rPr>
          <w:w w:val="120"/>
        </w:rPr>
        <w:t>in the MOM office, who </w:t>
      </w:r>
      <w:r>
        <w:rPr>
          <w:spacing w:val="-3"/>
          <w:w w:val="120"/>
        </w:rPr>
        <w:t>pays </w:t>
      </w:r>
      <w:r>
        <w:rPr>
          <w:w w:val="120"/>
        </w:rPr>
        <w:t>the stipends, </w:t>
      </w:r>
      <w:r>
        <w:rPr>
          <w:spacing w:val="-3"/>
          <w:w w:val="120"/>
        </w:rPr>
        <w:t>tells </w:t>
      </w:r>
      <w:r>
        <w:rPr>
          <w:w w:val="120"/>
        </w:rPr>
        <w:t>us when we need </w:t>
      </w:r>
      <w:r>
        <w:rPr>
          <w:spacing w:val="-3"/>
          <w:w w:val="120"/>
        </w:rPr>
        <w:t>to make </w:t>
      </w:r>
      <w:r>
        <w:rPr>
          <w:w w:val="120"/>
        </w:rPr>
        <w:t>a </w:t>
      </w:r>
      <w:r>
        <w:rPr>
          <w:spacing w:val="-3"/>
          <w:w w:val="120"/>
        </w:rPr>
        <w:t>decision, organises</w:t>
      </w:r>
      <w:r>
        <w:rPr>
          <w:spacing w:val="-6"/>
          <w:w w:val="120"/>
        </w:rPr>
        <w:t> </w:t>
      </w:r>
      <w:r>
        <w:rPr>
          <w:w w:val="120"/>
        </w:rPr>
        <w:t>medical</w:t>
      </w:r>
      <w:r>
        <w:rPr>
          <w:spacing w:val="-5"/>
          <w:w w:val="120"/>
        </w:rPr>
        <w:t> </w:t>
      </w:r>
      <w:r>
        <w:rPr>
          <w:w w:val="120"/>
        </w:rPr>
        <w:t>and</w:t>
      </w:r>
      <w:r>
        <w:rPr>
          <w:spacing w:val="-6"/>
          <w:w w:val="120"/>
        </w:rPr>
        <w:t> </w:t>
      </w:r>
      <w:r>
        <w:rPr>
          <w:w w:val="120"/>
        </w:rPr>
        <w:t>moderator</w:t>
      </w:r>
      <w:r>
        <w:rPr>
          <w:spacing w:val="-5"/>
          <w:w w:val="120"/>
        </w:rPr>
        <w:t> </w:t>
      </w:r>
      <w:r>
        <w:rPr>
          <w:w w:val="120"/>
        </w:rPr>
        <w:t>reports,</w:t>
      </w:r>
      <w:r>
        <w:rPr>
          <w:spacing w:val="-6"/>
          <w:w w:val="120"/>
        </w:rPr>
        <w:t> </w:t>
      </w:r>
      <w:r>
        <w:rPr>
          <w:w w:val="120"/>
        </w:rPr>
        <w:t>and</w:t>
      </w:r>
      <w:r>
        <w:rPr>
          <w:spacing w:val="-5"/>
          <w:w w:val="120"/>
        </w:rPr>
        <w:t> </w:t>
      </w:r>
      <w:r>
        <w:rPr>
          <w:spacing w:val="-3"/>
          <w:w w:val="120"/>
        </w:rPr>
        <w:t>deals</w:t>
      </w:r>
      <w:r>
        <w:rPr>
          <w:spacing w:val="-6"/>
          <w:w w:val="120"/>
        </w:rPr>
        <w:t> </w:t>
      </w:r>
      <w:r>
        <w:rPr>
          <w:w w:val="120"/>
        </w:rPr>
        <w:t>with</w:t>
      </w:r>
      <w:r>
        <w:rPr>
          <w:spacing w:val="-5"/>
          <w:w w:val="120"/>
        </w:rPr>
        <w:t> </w:t>
      </w:r>
      <w:r>
        <w:rPr>
          <w:w w:val="120"/>
        </w:rPr>
        <w:t>all</w:t>
      </w:r>
      <w:r>
        <w:rPr>
          <w:spacing w:val="-6"/>
          <w:w w:val="120"/>
        </w:rPr>
        <w:t> </w:t>
      </w:r>
      <w:r>
        <w:rPr>
          <w:w w:val="120"/>
        </w:rPr>
        <w:t>the</w:t>
      </w:r>
      <w:r>
        <w:rPr>
          <w:spacing w:val="-5"/>
          <w:w w:val="120"/>
        </w:rPr>
        <w:t> </w:t>
      </w:r>
      <w:r>
        <w:rPr>
          <w:spacing w:val="-3"/>
          <w:w w:val="120"/>
        </w:rPr>
        <w:t>correspondence.</w:t>
      </w:r>
    </w:p>
    <w:p>
      <w:pPr>
        <w:pStyle w:val="BodyText"/>
        <w:spacing w:before="4"/>
        <w:rPr>
          <w:sz w:val="22"/>
        </w:rPr>
      </w:pPr>
    </w:p>
    <w:p>
      <w:pPr>
        <w:pStyle w:val="Heading4"/>
        <w:ind w:firstLine="0"/>
      </w:pPr>
      <w:r>
        <w:rPr>
          <w:w w:val="110"/>
        </w:rPr>
        <w:t>Ill health guidelines</w:t>
      </w:r>
    </w:p>
    <w:p>
      <w:pPr>
        <w:pStyle w:val="ListParagraph"/>
        <w:numPr>
          <w:ilvl w:val="0"/>
          <w:numId w:val="92"/>
        </w:numPr>
        <w:tabs>
          <w:tab w:pos="1507" w:val="left" w:leader="none"/>
          <w:tab w:pos="1508" w:val="left" w:leader="none"/>
        </w:tabs>
        <w:spacing w:line="235" w:lineRule="auto" w:before="12" w:after="0"/>
        <w:ind w:left="827" w:right="1658" w:hanging="1"/>
        <w:jc w:val="left"/>
        <w:rPr>
          <w:sz w:val="20"/>
        </w:rPr>
      </w:pPr>
      <w:r>
        <w:rPr>
          <w:w w:val="120"/>
          <w:sz w:val="20"/>
        </w:rPr>
        <w:t>These are </w:t>
      </w:r>
      <w:r>
        <w:rPr>
          <w:spacing w:val="-3"/>
          <w:w w:val="120"/>
          <w:sz w:val="20"/>
        </w:rPr>
        <w:t>updated </w:t>
      </w:r>
      <w:r>
        <w:rPr>
          <w:w w:val="120"/>
          <w:sz w:val="20"/>
        </w:rPr>
        <w:t>and amended as </w:t>
      </w:r>
      <w:r>
        <w:rPr>
          <w:spacing w:val="-3"/>
          <w:w w:val="120"/>
          <w:sz w:val="20"/>
        </w:rPr>
        <w:t>necessary. </w:t>
      </w:r>
      <w:r>
        <w:rPr>
          <w:w w:val="120"/>
          <w:sz w:val="20"/>
        </w:rPr>
        <w:t>A </w:t>
      </w:r>
      <w:r>
        <w:rPr>
          <w:spacing w:val="-3"/>
          <w:w w:val="120"/>
          <w:sz w:val="20"/>
        </w:rPr>
        <w:t>recent discussion </w:t>
      </w:r>
      <w:r>
        <w:rPr>
          <w:w w:val="120"/>
          <w:sz w:val="20"/>
        </w:rPr>
        <w:t>has </w:t>
      </w:r>
      <w:r>
        <w:rPr>
          <w:spacing w:val="-3"/>
          <w:w w:val="120"/>
          <w:sz w:val="20"/>
        </w:rPr>
        <w:t>concerned ministers</w:t>
      </w:r>
      <w:r>
        <w:rPr>
          <w:spacing w:val="-6"/>
          <w:w w:val="120"/>
          <w:sz w:val="20"/>
        </w:rPr>
        <w:t> </w:t>
      </w:r>
      <w:r>
        <w:rPr>
          <w:spacing w:val="-3"/>
          <w:w w:val="120"/>
          <w:sz w:val="20"/>
        </w:rPr>
        <w:t>wishing</w:t>
      </w:r>
      <w:r>
        <w:rPr>
          <w:spacing w:val="-5"/>
          <w:w w:val="120"/>
          <w:sz w:val="20"/>
        </w:rPr>
        <w:t> </w:t>
      </w:r>
      <w:r>
        <w:rPr>
          <w:spacing w:val="-3"/>
          <w:w w:val="120"/>
          <w:sz w:val="20"/>
        </w:rPr>
        <w:t>to</w:t>
      </w:r>
      <w:r>
        <w:rPr>
          <w:spacing w:val="-5"/>
          <w:w w:val="120"/>
          <w:sz w:val="20"/>
        </w:rPr>
        <w:t> </w:t>
      </w:r>
      <w:r>
        <w:rPr>
          <w:w w:val="120"/>
          <w:sz w:val="20"/>
        </w:rPr>
        <w:t>do</w:t>
      </w:r>
      <w:r>
        <w:rPr>
          <w:spacing w:val="-5"/>
          <w:w w:val="120"/>
          <w:sz w:val="20"/>
        </w:rPr>
        <w:t> </w:t>
      </w:r>
      <w:r>
        <w:rPr>
          <w:w w:val="120"/>
          <w:sz w:val="20"/>
        </w:rPr>
        <w:t>what</w:t>
      </w:r>
      <w:r>
        <w:rPr>
          <w:spacing w:val="-5"/>
          <w:w w:val="120"/>
          <w:sz w:val="20"/>
        </w:rPr>
        <w:t> </w:t>
      </w:r>
      <w:r>
        <w:rPr>
          <w:w w:val="120"/>
          <w:sz w:val="20"/>
        </w:rPr>
        <w:t>work</w:t>
      </w:r>
      <w:r>
        <w:rPr>
          <w:spacing w:val="-5"/>
          <w:w w:val="120"/>
          <w:sz w:val="20"/>
        </w:rPr>
        <w:t> </w:t>
      </w:r>
      <w:r>
        <w:rPr>
          <w:w w:val="120"/>
          <w:sz w:val="20"/>
        </w:rPr>
        <w:t>they</w:t>
      </w:r>
      <w:r>
        <w:rPr>
          <w:spacing w:val="-6"/>
          <w:w w:val="120"/>
          <w:sz w:val="20"/>
        </w:rPr>
        <w:t> </w:t>
      </w:r>
      <w:r>
        <w:rPr>
          <w:w w:val="120"/>
          <w:sz w:val="20"/>
        </w:rPr>
        <w:t>can</w:t>
      </w:r>
      <w:r>
        <w:rPr>
          <w:spacing w:val="-5"/>
          <w:w w:val="120"/>
          <w:sz w:val="20"/>
        </w:rPr>
        <w:t> </w:t>
      </w:r>
      <w:r>
        <w:rPr>
          <w:w w:val="120"/>
          <w:sz w:val="20"/>
        </w:rPr>
        <w:t>while</w:t>
      </w:r>
      <w:r>
        <w:rPr>
          <w:spacing w:val="-5"/>
          <w:w w:val="120"/>
          <w:sz w:val="20"/>
        </w:rPr>
        <w:t> </w:t>
      </w:r>
      <w:r>
        <w:rPr>
          <w:w w:val="120"/>
          <w:sz w:val="20"/>
        </w:rPr>
        <w:t>officially</w:t>
      </w:r>
      <w:r>
        <w:rPr>
          <w:spacing w:val="-5"/>
          <w:w w:val="120"/>
          <w:sz w:val="20"/>
        </w:rPr>
        <w:t> </w:t>
      </w:r>
      <w:r>
        <w:rPr>
          <w:w w:val="120"/>
          <w:sz w:val="20"/>
        </w:rPr>
        <w:t>off</w:t>
      </w:r>
      <w:r>
        <w:rPr>
          <w:spacing w:val="-5"/>
          <w:w w:val="120"/>
          <w:sz w:val="20"/>
        </w:rPr>
        <w:t> </w:t>
      </w:r>
      <w:r>
        <w:rPr>
          <w:w w:val="120"/>
          <w:sz w:val="20"/>
        </w:rPr>
        <w:t>sick.</w:t>
      </w:r>
      <w:r>
        <w:rPr>
          <w:spacing w:val="-5"/>
          <w:w w:val="120"/>
          <w:sz w:val="20"/>
        </w:rPr>
        <w:t> </w:t>
      </w:r>
      <w:r>
        <w:rPr>
          <w:w w:val="120"/>
          <w:sz w:val="20"/>
        </w:rPr>
        <w:t>Admirable</w:t>
      </w:r>
      <w:r>
        <w:rPr>
          <w:spacing w:val="-6"/>
          <w:w w:val="120"/>
          <w:sz w:val="20"/>
        </w:rPr>
        <w:t> </w:t>
      </w:r>
      <w:r>
        <w:rPr>
          <w:w w:val="120"/>
          <w:sz w:val="20"/>
        </w:rPr>
        <w:t>though</w:t>
      </w:r>
      <w:r>
        <w:rPr>
          <w:spacing w:val="-5"/>
          <w:w w:val="120"/>
          <w:sz w:val="20"/>
        </w:rPr>
        <w:t> </w:t>
      </w:r>
      <w:r>
        <w:rPr>
          <w:spacing w:val="-3"/>
          <w:w w:val="120"/>
          <w:sz w:val="20"/>
        </w:rPr>
        <w:t>this </w:t>
      </w:r>
      <w:r>
        <w:rPr>
          <w:spacing w:val="-2"/>
          <w:w w:val="120"/>
          <w:sz w:val="20"/>
        </w:rPr>
        <w:t>is, </w:t>
      </w:r>
      <w:r>
        <w:rPr>
          <w:w w:val="120"/>
          <w:sz w:val="20"/>
        </w:rPr>
        <w:t>the </w:t>
      </w:r>
      <w:r>
        <w:rPr>
          <w:spacing w:val="-3"/>
          <w:w w:val="120"/>
          <w:sz w:val="20"/>
        </w:rPr>
        <w:t>conclusion </w:t>
      </w:r>
      <w:r>
        <w:rPr>
          <w:w w:val="120"/>
          <w:sz w:val="20"/>
        </w:rPr>
        <w:t>was that it </w:t>
      </w:r>
      <w:r>
        <w:rPr>
          <w:spacing w:val="-3"/>
          <w:w w:val="120"/>
          <w:sz w:val="20"/>
        </w:rPr>
        <w:t>cannot </w:t>
      </w:r>
      <w:r>
        <w:rPr>
          <w:w w:val="120"/>
          <w:sz w:val="20"/>
        </w:rPr>
        <w:t>be</w:t>
      </w:r>
      <w:r>
        <w:rPr>
          <w:spacing w:val="-8"/>
          <w:w w:val="120"/>
          <w:sz w:val="20"/>
        </w:rPr>
        <w:t> </w:t>
      </w:r>
      <w:r>
        <w:rPr>
          <w:spacing w:val="-3"/>
          <w:w w:val="120"/>
          <w:sz w:val="20"/>
        </w:rPr>
        <w:t>allowed.</w:t>
      </w:r>
    </w:p>
    <w:p>
      <w:pPr>
        <w:pStyle w:val="BodyText"/>
        <w:spacing w:before="3"/>
        <w:rPr>
          <w:sz w:val="22"/>
        </w:rPr>
      </w:pPr>
    </w:p>
    <w:p>
      <w:pPr>
        <w:pStyle w:val="Heading4"/>
        <w:ind w:firstLine="0"/>
      </w:pPr>
      <w:r>
        <w:rPr>
          <w:w w:val="110"/>
        </w:rPr>
        <w:t>General concerns</w:t>
      </w:r>
    </w:p>
    <w:p>
      <w:pPr>
        <w:pStyle w:val="ListParagraph"/>
        <w:numPr>
          <w:ilvl w:val="0"/>
          <w:numId w:val="92"/>
        </w:numPr>
        <w:tabs>
          <w:tab w:pos="1507" w:val="left" w:leader="none"/>
          <w:tab w:pos="1508" w:val="left" w:leader="none"/>
        </w:tabs>
        <w:spacing w:line="235" w:lineRule="auto" w:before="12" w:after="0"/>
        <w:ind w:left="827" w:right="1973" w:firstLine="0"/>
        <w:jc w:val="left"/>
        <w:rPr>
          <w:sz w:val="20"/>
        </w:rPr>
      </w:pPr>
      <w:r>
        <w:rPr>
          <w:w w:val="120"/>
          <w:sz w:val="20"/>
        </w:rPr>
        <w:t>We have spent considerable time discussing ministerial stress and mental ill health, and relaying our concerns to the ministries committee. It is clear that these are often a factor in long-term sickness in ministers; but it is not easy to see what the Church can do to help, particularly as those most in need of help are often the ones least likely to seek or accept the help that is</w:t>
      </w:r>
      <w:r>
        <w:rPr>
          <w:spacing w:val="12"/>
          <w:w w:val="120"/>
          <w:sz w:val="20"/>
        </w:rPr>
        <w:t> </w:t>
      </w:r>
      <w:r>
        <w:rPr>
          <w:w w:val="120"/>
          <w:sz w:val="20"/>
        </w:rPr>
        <w:t>available.</w:t>
      </w:r>
    </w:p>
    <w:p>
      <w:pPr>
        <w:spacing w:after="0" w:line="235" w:lineRule="auto"/>
        <w:jc w:val="left"/>
        <w:rPr>
          <w:sz w:val="20"/>
        </w:rPr>
        <w:sectPr>
          <w:headerReference w:type="even" r:id="rId365"/>
          <w:pgSz w:w="11910" w:h="16840"/>
          <w:pgMar w:header="0" w:footer="647" w:top="0" w:bottom="840" w:left="420" w:right="380"/>
        </w:sectPr>
      </w:pPr>
    </w:p>
    <w:p>
      <w:pPr>
        <w:pStyle w:val="BodyText"/>
      </w:pPr>
      <w:r>
        <w:rPr/>
        <w:drawing>
          <wp:anchor distT="0" distB="0" distL="0" distR="0" allowOverlap="1" layoutInCell="1" locked="0" behindDoc="0" simplePos="0" relativeHeight="252004352">
            <wp:simplePos x="0" y="0"/>
            <wp:positionH relativeFrom="page">
              <wp:posOffset>6974928</wp:posOffset>
            </wp:positionH>
            <wp:positionV relativeFrom="page">
              <wp:posOffset>0</wp:posOffset>
            </wp:positionV>
            <wp:extent cx="585063" cy="10692003"/>
            <wp:effectExtent l="0" t="0" r="0" b="0"/>
            <wp:wrapNone/>
            <wp:docPr id="251" name="image57.png"/>
            <wp:cNvGraphicFramePr>
              <a:graphicFrameLocks noChangeAspect="1"/>
            </wp:cNvGraphicFramePr>
            <a:graphic>
              <a:graphicData uri="http://schemas.openxmlformats.org/drawingml/2006/picture">
                <pic:pic>
                  <pic:nvPicPr>
                    <pic:cNvPr id="25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271.9pt;mso-position-horizontal-relative:page;mso-position-vertical-relative:paragraph;z-index:252006400" type="#_x0000_t202" filled="false" stroked="false">
            <v:textbox inset="0,0,0,0" style="layout-flow:vertical">
              <w:txbxContent>
                <w:p>
                  <w:pPr>
                    <w:spacing w:before="29"/>
                    <w:ind w:left="20" w:right="0" w:firstLine="0"/>
                    <w:jc w:val="left"/>
                    <w:rPr>
                      <w:sz w:val="39"/>
                    </w:rPr>
                  </w:pPr>
                  <w:r>
                    <w:rPr>
                      <w:color w:val="FFFFFF"/>
                      <w:w w:val="125"/>
                      <w:sz w:val="39"/>
                    </w:rPr>
                    <w:t>Retired ministers’ housing</w:t>
                  </w:r>
                </w:p>
              </w:txbxContent>
            </v:textbox>
            <w10:wrap type="none"/>
          </v:shape>
        </w:pict>
      </w:r>
      <w:r>
        <w:rPr>
          <w:color w:val="7EAABF"/>
          <w:w w:val="110"/>
        </w:rPr>
        <w:t>Ministries</w:t>
      </w:r>
    </w:p>
    <w:p>
      <w:pPr>
        <w:spacing w:line="213" w:lineRule="auto" w:before="245"/>
        <w:ind w:left="3935" w:right="0" w:hanging="1640"/>
        <w:jc w:val="left"/>
        <w:rPr>
          <w:rFonts w:ascii="Stone Sans II ITC Std X Bd" w:hAnsi="Stone Sans II ITC Std X Bd"/>
          <w:b/>
          <w:sz w:val="50"/>
        </w:rPr>
      </w:pPr>
      <w:r>
        <w:rPr>
          <w:rFonts w:ascii="Stone Sans II ITC Std X Bd" w:hAnsi="Stone Sans II ITC Std X Bd"/>
          <w:b/>
          <w:spacing w:val="-10"/>
          <w:w w:val="110"/>
          <w:sz w:val="50"/>
        </w:rPr>
        <w:t>Retired </w:t>
      </w:r>
      <w:r>
        <w:rPr>
          <w:rFonts w:ascii="Stone Sans II ITC Std X Bd" w:hAnsi="Stone Sans II ITC Std X Bd"/>
          <w:b/>
          <w:spacing w:val="-11"/>
          <w:w w:val="110"/>
          <w:sz w:val="50"/>
        </w:rPr>
        <w:t>ministers’ </w:t>
      </w:r>
      <w:r>
        <w:rPr>
          <w:rFonts w:ascii="Stone Sans II ITC Std X Bd" w:hAnsi="Stone Sans II ITC Std X Bd"/>
          <w:b/>
          <w:spacing w:val="-9"/>
          <w:w w:val="110"/>
          <w:sz w:val="50"/>
        </w:rPr>
        <w:t>housing </w:t>
      </w:r>
      <w:r>
        <w:rPr>
          <w:rFonts w:ascii="Stone Sans II ITC Std X Bd" w:hAnsi="Stone Sans II ITC Std X Bd"/>
          <w:b/>
          <w:spacing w:val="-10"/>
          <w:w w:val="110"/>
          <w:sz w:val="50"/>
        </w:rPr>
        <w:t>subcommittee</w:t>
      </w:r>
    </w:p>
    <w:p>
      <w:pPr>
        <w:spacing w:line="261" w:lineRule="auto" w:before="157"/>
        <w:ind w:left="1677" w:right="1857" w:firstLine="0"/>
        <w:jc w:val="left"/>
        <w:rPr>
          <w:sz w:val="18"/>
        </w:rPr>
      </w:pPr>
      <w:r>
        <w:rPr/>
        <w:pict>
          <v:line style="position:absolute;mso-position-horizontal-relative:page;mso-position-vertical-relative:paragraph;z-index:252005376" from="98.212601pt,7.700747pt" to="98.212601pt,138.093747pt" stroked="true" strokeweight="1pt" strokecolor="#0090d4">
            <v:stroke dashstyle="solid"/>
            <w10:wrap type="none"/>
          </v:line>
        </w:pict>
      </w:r>
      <w:r>
        <w:rPr>
          <w:color w:val="707172"/>
          <w:w w:val="120"/>
          <w:sz w:val="18"/>
        </w:rPr>
        <w:t>This subcommittee continues to be responsible for policy in matters of the provision of</w:t>
      </w:r>
      <w:r>
        <w:rPr>
          <w:color w:val="707172"/>
          <w:spacing w:val="9"/>
          <w:w w:val="120"/>
          <w:sz w:val="18"/>
        </w:rPr>
        <w:t> </w:t>
      </w:r>
      <w:r>
        <w:rPr>
          <w:color w:val="707172"/>
          <w:w w:val="120"/>
          <w:sz w:val="18"/>
        </w:rPr>
        <w:t>retirement</w:t>
      </w:r>
      <w:r>
        <w:rPr>
          <w:color w:val="707172"/>
          <w:spacing w:val="10"/>
          <w:w w:val="120"/>
          <w:sz w:val="18"/>
        </w:rPr>
        <w:t> </w:t>
      </w:r>
      <w:r>
        <w:rPr>
          <w:color w:val="707172"/>
          <w:w w:val="120"/>
          <w:sz w:val="18"/>
        </w:rPr>
        <w:t>housing</w:t>
      </w:r>
      <w:r>
        <w:rPr>
          <w:color w:val="707172"/>
          <w:spacing w:val="9"/>
          <w:w w:val="120"/>
          <w:sz w:val="18"/>
        </w:rPr>
        <w:t> </w:t>
      </w:r>
      <w:r>
        <w:rPr>
          <w:color w:val="707172"/>
          <w:w w:val="120"/>
          <w:sz w:val="18"/>
        </w:rPr>
        <w:t>for</w:t>
      </w:r>
      <w:r>
        <w:rPr>
          <w:color w:val="707172"/>
          <w:spacing w:val="10"/>
          <w:w w:val="120"/>
          <w:sz w:val="18"/>
        </w:rPr>
        <w:t> </w:t>
      </w:r>
      <w:r>
        <w:rPr>
          <w:color w:val="707172"/>
          <w:w w:val="120"/>
          <w:sz w:val="18"/>
        </w:rPr>
        <w:t>ministers,</w:t>
      </w:r>
      <w:r>
        <w:rPr>
          <w:color w:val="707172"/>
          <w:spacing w:val="9"/>
          <w:w w:val="120"/>
          <w:sz w:val="18"/>
        </w:rPr>
        <w:t> </w:t>
      </w:r>
      <w:r>
        <w:rPr>
          <w:color w:val="707172"/>
          <w:w w:val="120"/>
          <w:sz w:val="18"/>
        </w:rPr>
        <w:t>their</w:t>
      </w:r>
      <w:r>
        <w:rPr>
          <w:color w:val="707172"/>
          <w:spacing w:val="10"/>
          <w:w w:val="120"/>
          <w:sz w:val="18"/>
        </w:rPr>
        <w:t> </w:t>
      </w:r>
      <w:r>
        <w:rPr>
          <w:color w:val="707172"/>
          <w:w w:val="120"/>
          <w:sz w:val="18"/>
        </w:rPr>
        <w:t>spouses,</w:t>
      </w:r>
      <w:r>
        <w:rPr>
          <w:color w:val="707172"/>
          <w:spacing w:val="10"/>
          <w:w w:val="120"/>
          <w:sz w:val="18"/>
        </w:rPr>
        <w:t> </w:t>
      </w:r>
      <w:r>
        <w:rPr>
          <w:color w:val="707172"/>
          <w:w w:val="120"/>
          <w:sz w:val="18"/>
        </w:rPr>
        <w:t>widows</w:t>
      </w:r>
      <w:r>
        <w:rPr>
          <w:color w:val="707172"/>
          <w:spacing w:val="9"/>
          <w:w w:val="120"/>
          <w:sz w:val="18"/>
        </w:rPr>
        <w:t> </w:t>
      </w:r>
      <w:r>
        <w:rPr>
          <w:color w:val="707172"/>
          <w:w w:val="120"/>
          <w:sz w:val="18"/>
        </w:rPr>
        <w:t>and</w:t>
      </w:r>
      <w:r>
        <w:rPr>
          <w:color w:val="707172"/>
          <w:spacing w:val="10"/>
          <w:w w:val="120"/>
          <w:sz w:val="18"/>
        </w:rPr>
        <w:t> </w:t>
      </w:r>
      <w:r>
        <w:rPr>
          <w:color w:val="707172"/>
          <w:w w:val="120"/>
          <w:sz w:val="18"/>
        </w:rPr>
        <w:t>widowers.</w:t>
      </w:r>
      <w:r>
        <w:rPr>
          <w:color w:val="707172"/>
          <w:spacing w:val="9"/>
          <w:w w:val="120"/>
          <w:sz w:val="18"/>
        </w:rPr>
        <w:t> </w:t>
      </w:r>
      <w:r>
        <w:rPr>
          <w:color w:val="707172"/>
          <w:w w:val="120"/>
          <w:sz w:val="18"/>
        </w:rPr>
        <w:t>It</w:t>
      </w:r>
      <w:r>
        <w:rPr>
          <w:color w:val="707172"/>
          <w:spacing w:val="10"/>
          <w:w w:val="120"/>
          <w:sz w:val="18"/>
        </w:rPr>
        <w:t> </w:t>
      </w:r>
      <w:r>
        <w:rPr>
          <w:color w:val="707172"/>
          <w:w w:val="120"/>
          <w:sz w:val="18"/>
        </w:rPr>
        <w:t>uses</w:t>
      </w:r>
      <w:r>
        <w:rPr>
          <w:color w:val="707172"/>
          <w:spacing w:val="9"/>
          <w:w w:val="120"/>
          <w:sz w:val="18"/>
        </w:rPr>
        <w:t> </w:t>
      </w:r>
      <w:r>
        <w:rPr>
          <w:color w:val="707172"/>
          <w:w w:val="120"/>
          <w:sz w:val="18"/>
        </w:rPr>
        <w:t>the</w:t>
      </w:r>
    </w:p>
    <w:p>
      <w:pPr>
        <w:spacing w:line="261" w:lineRule="auto" w:before="1"/>
        <w:ind w:left="1677" w:right="923" w:firstLine="0"/>
        <w:jc w:val="left"/>
        <w:rPr>
          <w:sz w:val="18"/>
        </w:rPr>
      </w:pPr>
      <w:r>
        <w:rPr>
          <w:color w:val="707172"/>
          <w:w w:val="120"/>
          <w:sz w:val="18"/>
        </w:rPr>
        <w:t>United Reformed Church Retired Ministers’ Housing Society Limited as its agent for the implementation of policy and the practical steps associated with the provision of housing.</w:t>
      </w:r>
    </w:p>
    <w:p>
      <w:pPr>
        <w:pStyle w:val="BodyText"/>
        <w:spacing w:before="10"/>
        <w:rPr>
          <w:sz w:val="18"/>
        </w:rPr>
      </w:pPr>
    </w:p>
    <w:p>
      <w:pPr>
        <w:spacing w:before="0"/>
        <w:ind w:left="1677" w:right="0" w:firstLine="0"/>
        <w:jc w:val="left"/>
        <w:rPr>
          <w:rFonts w:ascii="Stone Sans II ITC Std Bk"/>
          <w:b/>
          <w:sz w:val="18"/>
        </w:rPr>
      </w:pPr>
      <w:r>
        <w:rPr>
          <w:rFonts w:ascii="Stone Sans II ITC Std Bk"/>
          <w:b/>
          <w:color w:val="707172"/>
          <w:w w:val="110"/>
          <w:sz w:val="18"/>
        </w:rPr>
        <w:t>Subcommittee members</w:t>
      </w:r>
    </w:p>
    <w:p>
      <w:pPr>
        <w:spacing w:before="8"/>
        <w:ind w:left="1677" w:right="0" w:firstLine="0"/>
        <w:jc w:val="left"/>
        <w:rPr>
          <w:sz w:val="18"/>
        </w:rPr>
      </w:pPr>
      <w:r>
        <w:rPr>
          <w:color w:val="707172"/>
          <w:w w:val="120"/>
          <w:sz w:val="18"/>
        </w:rPr>
        <w:t>Convenor: Anne Bedford</w:t>
      </w:r>
    </w:p>
    <w:p>
      <w:pPr>
        <w:spacing w:line="261" w:lineRule="auto" w:before="20"/>
        <w:ind w:left="1677" w:right="923" w:firstLine="0"/>
        <w:jc w:val="left"/>
        <w:rPr>
          <w:sz w:val="18"/>
        </w:rPr>
      </w:pPr>
      <w:r>
        <w:rPr>
          <w:color w:val="707172"/>
          <w:w w:val="125"/>
          <w:sz w:val="18"/>
        </w:rPr>
        <w:t>Members: David Bedford </w:t>
      </w:r>
      <w:r>
        <w:rPr>
          <w:color w:val="707172"/>
          <w:spacing w:val="-3"/>
          <w:w w:val="125"/>
          <w:sz w:val="18"/>
        </w:rPr>
        <w:t>(until </w:t>
      </w:r>
      <w:r>
        <w:rPr>
          <w:color w:val="707172"/>
          <w:spacing w:val="-6"/>
          <w:w w:val="125"/>
          <w:sz w:val="18"/>
        </w:rPr>
        <w:t>2017), </w:t>
      </w:r>
      <w:r>
        <w:rPr>
          <w:color w:val="707172"/>
          <w:w w:val="125"/>
          <w:sz w:val="18"/>
        </w:rPr>
        <w:t>John Ellis </w:t>
      </w:r>
      <w:r>
        <w:rPr>
          <w:color w:val="707172"/>
          <w:spacing w:val="-3"/>
          <w:w w:val="125"/>
          <w:sz w:val="18"/>
        </w:rPr>
        <w:t>(until </w:t>
      </w:r>
      <w:r>
        <w:rPr>
          <w:color w:val="707172"/>
          <w:spacing w:val="-6"/>
          <w:w w:val="125"/>
          <w:sz w:val="18"/>
        </w:rPr>
        <w:t>2017), </w:t>
      </w:r>
      <w:r>
        <w:rPr>
          <w:color w:val="707172"/>
          <w:w w:val="125"/>
          <w:sz w:val="18"/>
        </w:rPr>
        <w:t>Nicola Furley-Smith (synod moderator),</w:t>
      </w:r>
      <w:r>
        <w:rPr>
          <w:color w:val="707172"/>
          <w:spacing w:val="-15"/>
          <w:w w:val="125"/>
          <w:sz w:val="18"/>
        </w:rPr>
        <w:t> </w:t>
      </w:r>
      <w:r>
        <w:rPr>
          <w:color w:val="707172"/>
          <w:w w:val="125"/>
          <w:sz w:val="18"/>
        </w:rPr>
        <w:t>Ian</w:t>
      </w:r>
      <w:r>
        <w:rPr>
          <w:color w:val="707172"/>
          <w:spacing w:val="-15"/>
          <w:w w:val="125"/>
          <w:sz w:val="18"/>
        </w:rPr>
        <w:t> </w:t>
      </w:r>
      <w:r>
        <w:rPr>
          <w:color w:val="707172"/>
          <w:w w:val="125"/>
          <w:sz w:val="18"/>
        </w:rPr>
        <w:t>Hardie</w:t>
      </w:r>
      <w:r>
        <w:rPr>
          <w:color w:val="707172"/>
          <w:spacing w:val="-15"/>
          <w:w w:val="125"/>
          <w:sz w:val="18"/>
        </w:rPr>
        <w:t> </w:t>
      </w:r>
      <w:r>
        <w:rPr>
          <w:color w:val="707172"/>
          <w:w w:val="125"/>
          <w:sz w:val="18"/>
        </w:rPr>
        <w:t>(from</w:t>
      </w:r>
      <w:r>
        <w:rPr>
          <w:color w:val="707172"/>
          <w:spacing w:val="-14"/>
          <w:w w:val="125"/>
          <w:sz w:val="18"/>
        </w:rPr>
        <w:t> </w:t>
      </w:r>
      <w:r>
        <w:rPr>
          <w:color w:val="707172"/>
          <w:spacing w:val="-6"/>
          <w:w w:val="125"/>
          <w:sz w:val="18"/>
        </w:rPr>
        <w:t>2018),</w:t>
      </w:r>
      <w:r>
        <w:rPr>
          <w:color w:val="707172"/>
          <w:spacing w:val="-15"/>
          <w:w w:val="125"/>
          <w:sz w:val="18"/>
        </w:rPr>
        <w:t> </w:t>
      </w:r>
      <w:r>
        <w:rPr>
          <w:color w:val="707172"/>
          <w:w w:val="125"/>
          <w:sz w:val="18"/>
        </w:rPr>
        <w:t>Malcolm</w:t>
      </w:r>
      <w:r>
        <w:rPr>
          <w:color w:val="707172"/>
          <w:spacing w:val="-15"/>
          <w:w w:val="125"/>
          <w:sz w:val="18"/>
        </w:rPr>
        <w:t> </w:t>
      </w:r>
      <w:r>
        <w:rPr>
          <w:color w:val="707172"/>
          <w:w w:val="125"/>
          <w:sz w:val="18"/>
        </w:rPr>
        <w:t>Lindo,</w:t>
      </w:r>
      <w:r>
        <w:rPr>
          <w:color w:val="707172"/>
          <w:spacing w:val="-14"/>
          <w:w w:val="125"/>
          <w:sz w:val="18"/>
        </w:rPr>
        <w:t> </w:t>
      </w:r>
      <w:r>
        <w:rPr>
          <w:color w:val="707172"/>
          <w:w w:val="125"/>
          <w:sz w:val="18"/>
        </w:rPr>
        <w:t>Ken</w:t>
      </w:r>
      <w:r>
        <w:rPr>
          <w:color w:val="707172"/>
          <w:spacing w:val="-15"/>
          <w:w w:val="125"/>
          <w:sz w:val="18"/>
        </w:rPr>
        <w:t> </w:t>
      </w:r>
      <w:r>
        <w:rPr>
          <w:color w:val="707172"/>
          <w:w w:val="125"/>
          <w:sz w:val="18"/>
        </w:rPr>
        <w:t>Summers,</w:t>
      </w:r>
      <w:r>
        <w:rPr>
          <w:color w:val="707172"/>
          <w:spacing w:val="-15"/>
          <w:w w:val="125"/>
          <w:sz w:val="18"/>
        </w:rPr>
        <w:t> </w:t>
      </w:r>
      <w:r>
        <w:rPr>
          <w:color w:val="707172"/>
          <w:w w:val="125"/>
          <w:sz w:val="18"/>
        </w:rPr>
        <w:t>Peter</w:t>
      </w:r>
      <w:r>
        <w:rPr>
          <w:color w:val="707172"/>
          <w:spacing w:val="-15"/>
          <w:w w:val="125"/>
          <w:sz w:val="18"/>
        </w:rPr>
        <w:t> </w:t>
      </w:r>
      <w:r>
        <w:rPr>
          <w:color w:val="707172"/>
          <w:w w:val="125"/>
          <w:sz w:val="18"/>
        </w:rPr>
        <w:t>West,</w:t>
      </w:r>
      <w:r>
        <w:rPr>
          <w:color w:val="707172"/>
          <w:spacing w:val="-14"/>
          <w:w w:val="125"/>
          <w:sz w:val="18"/>
        </w:rPr>
        <w:t> </w:t>
      </w:r>
      <w:r>
        <w:rPr>
          <w:color w:val="707172"/>
          <w:w w:val="125"/>
          <w:sz w:val="18"/>
        </w:rPr>
        <w:t>Paul</w:t>
      </w:r>
      <w:r>
        <w:rPr>
          <w:color w:val="707172"/>
          <w:spacing w:val="-15"/>
          <w:w w:val="125"/>
          <w:sz w:val="18"/>
        </w:rPr>
        <w:t> </w:t>
      </w:r>
      <w:r>
        <w:rPr>
          <w:color w:val="707172"/>
          <w:w w:val="125"/>
          <w:sz w:val="18"/>
        </w:rPr>
        <w:t>Whittle (convenor of ministries</w:t>
      </w:r>
      <w:r>
        <w:rPr>
          <w:color w:val="707172"/>
          <w:spacing w:val="-4"/>
          <w:w w:val="125"/>
          <w:sz w:val="18"/>
        </w:rPr>
        <w:t> </w:t>
      </w:r>
      <w:r>
        <w:rPr>
          <w:color w:val="707172"/>
          <w:w w:val="125"/>
          <w:sz w:val="18"/>
        </w:rPr>
        <w:t>committee).</w:t>
      </w:r>
    </w:p>
    <w:p>
      <w:pPr>
        <w:spacing w:before="1"/>
        <w:ind w:left="1677" w:right="0" w:firstLine="0"/>
        <w:jc w:val="left"/>
        <w:rPr>
          <w:sz w:val="18"/>
        </w:rPr>
      </w:pPr>
      <w:r>
        <w:rPr>
          <w:color w:val="707172"/>
          <w:w w:val="120"/>
          <w:sz w:val="18"/>
        </w:rPr>
        <w:t>Secretary: Andy Bottomley (until 2017), Peter Shearer (2017), Chuka Agbasiere (from 2017)</w:t>
      </w:r>
    </w:p>
    <w:p>
      <w:pPr>
        <w:pStyle w:val="BodyText"/>
        <w:rPr>
          <w:sz w:val="22"/>
        </w:rPr>
      </w:pPr>
    </w:p>
    <w:p>
      <w:pPr>
        <w:pStyle w:val="BodyText"/>
        <w:spacing w:before="9"/>
        <w:rPr>
          <w:sz w:val="17"/>
        </w:rPr>
      </w:pPr>
    </w:p>
    <w:p>
      <w:pPr>
        <w:pStyle w:val="ListParagraph"/>
        <w:numPr>
          <w:ilvl w:val="1"/>
          <w:numId w:val="92"/>
        </w:numPr>
        <w:tabs>
          <w:tab w:pos="2244" w:val="left" w:leader="none"/>
          <w:tab w:pos="2245" w:val="left" w:leader="none"/>
        </w:tabs>
        <w:spacing w:line="235" w:lineRule="auto" w:before="1" w:after="0"/>
        <w:ind w:left="1564" w:right="993" w:firstLine="0"/>
        <w:jc w:val="left"/>
        <w:rPr>
          <w:sz w:val="20"/>
        </w:rPr>
      </w:pPr>
      <w:r>
        <w:rPr>
          <w:w w:val="120"/>
          <w:sz w:val="20"/>
        </w:rPr>
        <w:t>The work of the Retired Ministers’ Housing Society has been through a period   of change since the last Assembly. Most obviously, there have been changes in staff, with two appointments still to be made as this </w:t>
      </w:r>
      <w:r>
        <w:rPr>
          <w:spacing w:val="2"/>
          <w:w w:val="120"/>
          <w:sz w:val="20"/>
        </w:rPr>
        <w:t>report </w:t>
      </w:r>
      <w:r>
        <w:rPr>
          <w:w w:val="120"/>
          <w:sz w:val="20"/>
        </w:rPr>
        <w:t>is prepared. Ms Chuka Agbasiere has been appointed as General Manager of the Society and she and her team are responsible for the ongoing work of ‘providing housing for retired ministers and their spouses who could not otherwise be adequately</w:t>
      </w:r>
      <w:r>
        <w:rPr>
          <w:spacing w:val="20"/>
          <w:w w:val="120"/>
          <w:sz w:val="20"/>
        </w:rPr>
        <w:t> </w:t>
      </w:r>
      <w:r>
        <w:rPr>
          <w:spacing w:val="-3"/>
          <w:w w:val="120"/>
          <w:sz w:val="20"/>
        </w:rPr>
        <w:t>housed’.</w:t>
      </w:r>
    </w:p>
    <w:p>
      <w:pPr>
        <w:pStyle w:val="BodyText"/>
      </w:pPr>
    </w:p>
    <w:p>
      <w:pPr>
        <w:pStyle w:val="ListParagraph"/>
        <w:numPr>
          <w:ilvl w:val="1"/>
          <w:numId w:val="92"/>
        </w:numPr>
        <w:tabs>
          <w:tab w:pos="2244" w:val="left" w:leader="none"/>
          <w:tab w:pos="2245" w:val="left" w:leader="none"/>
        </w:tabs>
        <w:spacing w:line="235" w:lineRule="auto" w:before="0" w:after="0"/>
        <w:ind w:left="1564" w:right="988" w:firstLine="0"/>
        <w:jc w:val="left"/>
        <w:rPr>
          <w:sz w:val="20"/>
        </w:rPr>
      </w:pPr>
      <w:r>
        <w:rPr>
          <w:w w:val="120"/>
          <w:sz w:val="20"/>
        </w:rPr>
        <w:t>The governance arrangements of the Society and its structural relationship with the Retired Ministers’ Housing subcommittee of the Assembly’s ministries committee have also had to be reviewed, to keep in step with charity legislation. A review of the governance was carried out by Ms Sandi Hallam-Jones, and a working group continues to consider the findings. It seems likely that some amendment of the Rules of the Society will be needed. Legal advice is currently being</w:t>
      </w:r>
      <w:r>
        <w:rPr>
          <w:spacing w:val="40"/>
          <w:w w:val="120"/>
          <w:sz w:val="20"/>
        </w:rPr>
        <w:t> </w:t>
      </w:r>
      <w:r>
        <w:rPr>
          <w:w w:val="120"/>
          <w:sz w:val="20"/>
        </w:rPr>
        <w:t>sought.</w:t>
      </w:r>
    </w:p>
    <w:p>
      <w:pPr>
        <w:pStyle w:val="BodyText"/>
      </w:pPr>
    </w:p>
    <w:p>
      <w:pPr>
        <w:pStyle w:val="ListParagraph"/>
        <w:numPr>
          <w:ilvl w:val="1"/>
          <w:numId w:val="92"/>
        </w:numPr>
        <w:tabs>
          <w:tab w:pos="2244" w:val="left" w:leader="none"/>
          <w:tab w:pos="2245" w:val="left" w:leader="none"/>
        </w:tabs>
        <w:spacing w:line="235" w:lineRule="auto" w:before="0" w:after="0"/>
        <w:ind w:left="1564" w:right="940" w:firstLine="0"/>
        <w:jc w:val="left"/>
        <w:rPr>
          <w:sz w:val="20"/>
        </w:rPr>
      </w:pPr>
      <w:r>
        <w:rPr>
          <w:w w:val="120"/>
          <w:sz w:val="20"/>
        </w:rPr>
        <w:t>The focus of all these arrangements is the support, through housing at a modest rental, of retired ministers, their partners and </w:t>
      </w:r>
      <w:r>
        <w:rPr>
          <w:spacing w:val="-3"/>
          <w:w w:val="120"/>
          <w:sz w:val="20"/>
        </w:rPr>
        <w:t>widow(er)s. </w:t>
      </w:r>
      <w:r>
        <w:rPr>
          <w:w w:val="120"/>
          <w:sz w:val="20"/>
        </w:rPr>
        <w:t>At present we have </w:t>
      </w:r>
      <w:r>
        <w:rPr>
          <w:spacing w:val="-12"/>
          <w:w w:val="120"/>
          <w:sz w:val="20"/>
        </w:rPr>
        <w:t>311 </w:t>
      </w:r>
      <w:r>
        <w:rPr>
          <w:w w:val="120"/>
          <w:sz w:val="20"/>
        </w:rPr>
        <w:t>properties in England, Scotland and Wales (although none in the Channel Islands or    Isle of Man, where the laws are</w:t>
      </w:r>
      <w:r>
        <w:rPr>
          <w:spacing w:val="8"/>
          <w:w w:val="120"/>
          <w:sz w:val="20"/>
        </w:rPr>
        <w:t> </w:t>
      </w:r>
      <w:r>
        <w:rPr>
          <w:w w:val="120"/>
          <w:sz w:val="20"/>
        </w:rPr>
        <w:t>different).</w:t>
      </w:r>
    </w:p>
    <w:p>
      <w:pPr>
        <w:pStyle w:val="BodyText"/>
        <w:spacing w:before="11"/>
        <w:rPr>
          <w:sz w:val="19"/>
        </w:rPr>
      </w:pPr>
    </w:p>
    <w:p>
      <w:pPr>
        <w:pStyle w:val="ListParagraph"/>
        <w:numPr>
          <w:ilvl w:val="1"/>
          <w:numId w:val="92"/>
        </w:numPr>
        <w:tabs>
          <w:tab w:pos="2244" w:val="left" w:leader="none"/>
          <w:tab w:pos="2245" w:val="left" w:leader="none"/>
        </w:tabs>
        <w:spacing w:line="235" w:lineRule="auto" w:before="0" w:after="0"/>
        <w:ind w:left="1564" w:right="1050" w:firstLine="0"/>
        <w:jc w:val="left"/>
        <w:rPr>
          <w:sz w:val="20"/>
        </w:rPr>
      </w:pPr>
      <w:r>
        <w:rPr>
          <w:w w:val="120"/>
          <w:sz w:val="20"/>
        </w:rPr>
        <w:t>During the past year tenants have been asked to respond to a survey as to their feelings</w:t>
      </w:r>
      <w:r>
        <w:rPr>
          <w:spacing w:val="-7"/>
          <w:w w:val="120"/>
          <w:sz w:val="20"/>
        </w:rPr>
        <w:t> </w:t>
      </w:r>
      <w:r>
        <w:rPr>
          <w:w w:val="120"/>
          <w:sz w:val="20"/>
        </w:rPr>
        <w:t>about</w:t>
      </w:r>
      <w:r>
        <w:rPr>
          <w:spacing w:val="-7"/>
          <w:w w:val="120"/>
          <w:sz w:val="20"/>
        </w:rPr>
        <w:t> </w:t>
      </w:r>
      <w:r>
        <w:rPr>
          <w:w w:val="120"/>
          <w:sz w:val="20"/>
        </w:rPr>
        <w:t>the</w:t>
      </w:r>
      <w:r>
        <w:rPr>
          <w:spacing w:val="-6"/>
          <w:w w:val="120"/>
          <w:sz w:val="20"/>
        </w:rPr>
        <w:t> </w:t>
      </w:r>
      <w:r>
        <w:rPr>
          <w:w w:val="120"/>
          <w:sz w:val="20"/>
        </w:rPr>
        <w:t>work</w:t>
      </w:r>
      <w:r>
        <w:rPr>
          <w:spacing w:val="-7"/>
          <w:w w:val="120"/>
          <w:sz w:val="20"/>
        </w:rPr>
        <w:t> </w:t>
      </w:r>
      <w:r>
        <w:rPr>
          <w:w w:val="120"/>
          <w:sz w:val="20"/>
        </w:rPr>
        <w:t>of</w:t>
      </w:r>
      <w:r>
        <w:rPr>
          <w:spacing w:val="-7"/>
          <w:w w:val="120"/>
          <w:sz w:val="20"/>
        </w:rPr>
        <w:t> </w:t>
      </w:r>
      <w:r>
        <w:rPr>
          <w:w w:val="120"/>
          <w:sz w:val="20"/>
        </w:rPr>
        <w:t>the</w:t>
      </w:r>
      <w:r>
        <w:rPr>
          <w:spacing w:val="-6"/>
          <w:w w:val="120"/>
          <w:sz w:val="20"/>
        </w:rPr>
        <w:t> </w:t>
      </w:r>
      <w:r>
        <w:rPr>
          <w:spacing w:val="-3"/>
          <w:w w:val="120"/>
          <w:sz w:val="20"/>
        </w:rPr>
        <w:t>Society.</w:t>
      </w:r>
      <w:r>
        <w:rPr>
          <w:spacing w:val="-7"/>
          <w:w w:val="120"/>
          <w:sz w:val="20"/>
        </w:rPr>
        <w:t> </w:t>
      </w:r>
      <w:r>
        <w:rPr>
          <w:w w:val="120"/>
          <w:sz w:val="20"/>
        </w:rPr>
        <w:t>The</w:t>
      </w:r>
      <w:r>
        <w:rPr>
          <w:spacing w:val="-7"/>
          <w:w w:val="120"/>
          <w:sz w:val="20"/>
        </w:rPr>
        <w:t> </w:t>
      </w:r>
      <w:r>
        <w:rPr>
          <w:w w:val="120"/>
          <w:sz w:val="20"/>
        </w:rPr>
        <w:t>response</w:t>
      </w:r>
      <w:r>
        <w:rPr>
          <w:spacing w:val="-6"/>
          <w:w w:val="120"/>
          <w:sz w:val="20"/>
        </w:rPr>
        <w:t> </w:t>
      </w:r>
      <w:r>
        <w:rPr>
          <w:w w:val="120"/>
          <w:sz w:val="20"/>
        </w:rPr>
        <w:t>rate</w:t>
      </w:r>
      <w:r>
        <w:rPr>
          <w:spacing w:val="-7"/>
          <w:w w:val="120"/>
          <w:sz w:val="20"/>
        </w:rPr>
        <w:t> </w:t>
      </w:r>
      <w:r>
        <w:rPr>
          <w:w w:val="120"/>
          <w:sz w:val="20"/>
        </w:rPr>
        <w:t>was</w:t>
      </w:r>
      <w:r>
        <w:rPr>
          <w:spacing w:val="-6"/>
          <w:w w:val="120"/>
          <w:sz w:val="20"/>
        </w:rPr>
        <w:t> </w:t>
      </w:r>
      <w:r>
        <w:rPr>
          <w:w w:val="120"/>
          <w:sz w:val="20"/>
        </w:rPr>
        <w:t>very</w:t>
      </w:r>
      <w:r>
        <w:rPr>
          <w:spacing w:val="-7"/>
          <w:w w:val="120"/>
          <w:sz w:val="20"/>
        </w:rPr>
        <w:t> </w:t>
      </w:r>
      <w:r>
        <w:rPr>
          <w:w w:val="120"/>
          <w:sz w:val="20"/>
        </w:rPr>
        <w:t>high</w:t>
      </w:r>
      <w:r>
        <w:rPr>
          <w:spacing w:val="-7"/>
          <w:w w:val="120"/>
          <w:sz w:val="20"/>
        </w:rPr>
        <w:t> </w:t>
      </w:r>
      <w:r>
        <w:rPr>
          <w:w w:val="120"/>
          <w:sz w:val="20"/>
        </w:rPr>
        <w:t>and</w:t>
      </w:r>
      <w:r>
        <w:rPr>
          <w:spacing w:val="-6"/>
          <w:w w:val="120"/>
          <w:sz w:val="20"/>
        </w:rPr>
        <w:t> </w:t>
      </w:r>
      <w:r>
        <w:rPr>
          <w:spacing w:val="-2"/>
          <w:w w:val="120"/>
          <w:sz w:val="20"/>
        </w:rPr>
        <w:t>whilst</w:t>
      </w:r>
      <w:r>
        <w:rPr>
          <w:spacing w:val="-7"/>
          <w:w w:val="120"/>
          <w:sz w:val="20"/>
        </w:rPr>
        <w:t> </w:t>
      </w:r>
      <w:r>
        <w:rPr>
          <w:w w:val="120"/>
          <w:sz w:val="20"/>
        </w:rPr>
        <w:t>there was a general </w:t>
      </w:r>
      <w:r>
        <w:rPr>
          <w:spacing w:val="-3"/>
          <w:w w:val="120"/>
          <w:sz w:val="20"/>
        </w:rPr>
        <w:t>level </w:t>
      </w:r>
      <w:r>
        <w:rPr>
          <w:w w:val="120"/>
          <w:sz w:val="20"/>
        </w:rPr>
        <w:t>of satisfaction there were also useful pointers </w:t>
      </w:r>
      <w:r>
        <w:rPr>
          <w:spacing w:val="-3"/>
          <w:w w:val="120"/>
          <w:sz w:val="20"/>
        </w:rPr>
        <w:t>to ways </w:t>
      </w:r>
      <w:r>
        <w:rPr>
          <w:w w:val="120"/>
          <w:sz w:val="20"/>
        </w:rPr>
        <w:t>in which we need </w:t>
      </w:r>
      <w:r>
        <w:rPr>
          <w:spacing w:val="-3"/>
          <w:w w:val="120"/>
          <w:sz w:val="20"/>
        </w:rPr>
        <w:t>to move. </w:t>
      </w:r>
      <w:r>
        <w:rPr>
          <w:w w:val="120"/>
          <w:sz w:val="20"/>
        </w:rPr>
        <w:t>A regular newsletter is </w:t>
      </w:r>
      <w:r>
        <w:rPr>
          <w:spacing w:val="-2"/>
          <w:w w:val="120"/>
          <w:sz w:val="20"/>
        </w:rPr>
        <w:t>now </w:t>
      </w:r>
      <w:r>
        <w:rPr>
          <w:w w:val="120"/>
          <w:sz w:val="20"/>
        </w:rPr>
        <w:t>proposed </w:t>
      </w:r>
      <w:r>
        <w:rPr>
          <w:spacing w:val="-3"/>
          <w:w w:val="120"/>
          <w:sz w:val="20"/>
        </w:rPr>
        <w:t>to improve communication,</w:t>
      </w:r>
      <w:r>
        <w:rPr>
          <w:spacing w:val="4"/>
          <w:w w:val="120"/>
          <w:sz w:val="20"/>
        </w:rPr>
        <w:t> </w:t>
      </w:r>
      <w:r>
        <w:rPr>
          <w:w w:val="120"/>
          <w:sz w:val="20"/>
        </w:rPr>
        <w:t>and</w:t>
      </w:r>
    </w:p>
    <w:p>
      <w:pPr>
        <w:pStyle w:val="BodyText"/>
        <w:spacing w:line="235" w:lineRule="auto" w:before="3"/>
        <w:ind w:left="1564" w:right="923"/>
      </w:pPr>
      <w:r>
        <w:rPr>
          <w:w w:val="120"/>
        </w:rPr>
        <w:t>a fuller list of policies and procedures will enable closer attention to the maintenance and upkeep of the houses.</w:t>
      </w:r>
    </w:p>
    <w:p>
      <w:pPr>
        <w:pStyle w:val="BodyText"/>
        <w:spacing w:before="9"/>
        <w:rPr>
          <w:sz w:val="19"/>
        </w:rPr>
      </w:pPr>
    </w:p>
    <w:p>
      <w:pPr>
        <w:pStyle w:val="ListParagraph"/>
        <w:numPr>
          <w:ilvl w:val="1"/>
          <w:numId w:val="92"/>
        </w:numPr>
        <w:tabs>
          <w:tab w:pos="2244" w:val="left" w:leader="none"/>
          <w:tab w:pos="2245" w:val="left" w:leader="none"/>
        </w:tabs>
        <w:spacing w:line="235" w:lineRule="auto" w:before="1" w:after="0"/>
        <w:ind w:left="1564" w:right="885" w:firstLine="0"/>
        <w:jc w:val="left"/>
        <w:rPr>
          <w:sz w:val="20"/>
        </w:rPr>
      </w:pPr>
      <w:r>
        <w:rPr>
          <w:w w:val="120"/>
          <w:sz w:val="20"/>
        </w:rPr>
        <w:t>The Society continues to rely on the generosity of synods, churches and individuals for much of its funding. Legacies are very important and we are grateful to former tenants and others who remember us in this </w:t>
      </w:r>
      <w:r>
        <w:rPr>
          <w:spacing w:val="-4"/>
          <w:w w:val="120"/>
          <w:sz w:val="20"/>
        </w:rPr>
        <w:t>way. </w:t>
      </w:r>
      <w:r>
        <w:rPr>
          <w:w w:val="120"/>
          <w:sz w:val="20"/>
        </w:rPr>
        <w:t>For example, in </w:t>
      </w:r>
      <w:r>
        <w:rPr>
          <w:spacing w:val="-9"/>
          <w:w w:val="120"/>
          <w:sz w:val="20"/>
        </w:rPr>
        <w:t>2017 </w:t>
      </w:r>
      <w:r>
        <w:rPr>
          <w:w w:val="120"/>
          <w:sz w:val="20"/>
        </w:rPr>
        <w:t>we were given a </w:t>
      </w:r>
      <w:r>
        <w:rPr>
          <w:spacing w:val="2"/>
          <w:w w:val="120"/>
          <w:sz w:val="20"/>
        </w:rPr>
        <w:t>property </w:t>
      </w:r>
      <w:r>
        <w:rPr>
          <w:w w:val="120"/>
          <w:sz w:val="20"/>
        </w:rPr>
        <w:t>in the South-East. Occasional </w:t>
      </w:r>
      <w:r>
        <w:rPr>
          <w:spacing w:val="2"/>
          <w:w w:val="120"/>
          <w:sz w:val="20"/>
        </w:rPr>
        <w:t>property </w:t>
      </w:r>
      <w:r>
        <w:rPr>
          <w:w w:val="120"/>
          <w:sz w:val="20"/>
        </w:rPr>
        <w:t>sales and the monthly rents are also significant sources of income. The Society wishes to express its sincere thanks for every</w:t>
      </w:r>
      <w:r>
        <w:rPr>
          <w:spacing w:val="2"/>
          <w:w w:val="120"/>
          <w:sz w:val="20"/>
        </w:rPr>
        <w:t> </w:t>
      </w:r>
      <w:r>
        <w:rPr>
          <w:w w:val="120"/>
          <w:sz w:val="20"/>
        </w:rPr>
        <w:t>gift.</w:t>
      </w:r>
    </w:p>
    <w:p>
      <w:pPr>
        <w:pStyle w:val="BodyText"/>
      </w:pPr>
    </w:p>
    <w:p>
      <w:pPr>
        <w:pStyle w:val="ListParagraph"/>
        <w:numPr>
          <w:ilvl w:val="1"/>
          <w:numId w:val="92"/>
        </w:numPr>
        <w:tabs>
          <w:tab w:pos="2244" w:val="left" w:leader="none"/>
          <w:tab w:pos="2245" w:val="left" w:leader="none"/>
        </w:tabs>
        <w:spacing w:line="235" w:lineRule="auto" w:before="0" w:after="0"/>
        <w:ind w:left="1564" w:right="1025" w:firstLine="0"/>
        <w:jc w:val="left"/>
        <w:rPr>
          <w:sz w:val="20"/>
        </w:rPr>
      </w:pPr>
      <w:r>
        <w:rPr>
          <w:w w:val="120"/>
          <w:sz w:val="20"/>
        </w:rPr>
        <w:t>Another </w:t>
      </w:r>
      <w:r>
        <w:rPr>
          <w:spacing w:val="-2"/>
          <w:w w:val="120"/>
          <w:sz w:val="20"/>
        </w:rPr>
        <w:t>way </w:t>
      </w:r>
      <w:r>
        <w:rPr>
          <w:w w:val="120"/>
          <w:sz w:val="20"/>
        </w:rPr>
        <w:t>in which synods and </w:t>
      </w:r>
      <w:r>
        <w:rPr>
          <w:spacing w:val="-3"/>
          <w:w w:val="120"/>
          <w:sz w:val="20"/>
        </w:rPr>
        <w:t>church </w:t>
      </w:r>
      <w:r>
        <w:rPr>
          <w:w w:val="120"/>
          <w:sz w:val="20"/>
        </w:rPr>
        <w:t>members offer support is by </w:t>
      </w:r>
      <w:r>
        <w:rPr>
          <w:spacing w:val="-2"/>
          <w:w w:val="120"/>
          <w:sz w:val="20"/>
        </w:rPr>
        <w:t>providing </w:t>
      </w:r>
      <w:r>
        <w:rPr>
          <w:spacing w:val="-3"/>
          <w:w w:val="120"/>
          <w:sz w:val="20"/>
        </w:rPr>
        <w:t>oversight </w:t>
      </w:r>
      <w:r>
        <w:rPr>
          <w:w w:val="120"/>
          <w:sz w:val="20"/>
        </w:rPr>
        <w:t>of a few of our properties in a certain area. This is very valuable </w:t>
      </w:r>
      <w:r>
        <w:rPr>
          <w:spacing w:val="-3"/>
          <w:w w:val="120"/>
          <w:sz w:val="20"/>
        </w:rPr>
        <w:t>to </w:t>
      </w:r>
      <w:r>
        <w:rPr>
          <w:w w:val="120"/>
          <w:sz w:val="20"/>
        </w:rPr>
        <w:t>the Society and we give our </w:t>
      </w:r>
      <w:r>
        <w:rPr>
          <w:spacing w:val="-3"/>
          <w:w w:val="120"/>
          <w:sz w:val="20"/>
        </w:rPr>
        <w:t>sincere </w:t>
      </w:r>
      <w:r>
        <w:rPr>
          <w:w w:val="120"/>
          <w:sz w:val="20"/>
        </w:rPr>
        <w:t>thanks </w:t>
      </w:r>
      <w:r>
        <w:rPr>
          <w:spacing w:val="-3"/>
          <w:w w:val="120"/>
          <w:sz w:val="20"/>
        </w:rPr>
        <w:t>to those </w:t>
      </w:r>
      <w:r>
        <w:rPr>
          <w:w w:val="120"/>
          <w:sz w:val="20"/>
        </w:rPr>
        <w:t>who </w:t>
      </w:r>
      <w:r>
        <w:rPr>
          <w:spacing w:val="-3"/>
          <w:w w:val="120"/>
          <w:sz w:val="20"/>
        </w:rPr>
        <w:t>have </w:t>
      </w:r>
      <w:r>
        <w:rPr>
          <w:w w:val="120"/>
          <w:sz w:val="20"/>
        </w:rPr>
        <w:t>helped us in the past. New </w:t>
      </w:r>
      <w:r>
        <w:rPr>
          <w:spacing w:val="-3"/>
          <w:w w:val="120"/>
          <w:sz w:val="20"/>
        </w:rPr>
        <w:t>volunteers </w:t>
      </w:r>
      <w:r>
        <w:rPr>
          <w:w w:val="120"/>
          <w:sz w:val="20"/>
        </w:rPr>
        <w:t>are</w:t>
      </w:r>
      <w:r>
        <w:rPr>
          <w:spacing w:val="-3"/>
          <w:w w:val="120"/>
          <w:sz w:val="20"/>
        </w:rPr>
        <w:t> </w:t>
      </w:r>
      <w:r>
        <w:rPr>
          <w:w w:val="120"/>
          <w:sz w:val="20"/>
        </w:rPr>
        <w:t>being</w:t>
      </w:r>
      <w:r>
        <w:rPr>
          <w:spacing w:val="-3"/>
          <w:w w:val="120"/>
          <w:sz w:val="20"/>
        </w:rPr>
        <w:t> </w:t>
      </w:r>
      <w:r>
        <w:rPr>
          <w:w w:val="120"/>
          <w:sz w:val="20"/>
        </w:rPr>
        <w:t>sought</w:t>
      </w:r>
      <w:r>
        <w:rPr>
          <w:spacing w:val="-3"/>
          <w:w w:val="120"/>
          <w:sz w:val="20"/>
        </w:rPr>
        <w:t> </w:t>
      </w:r>
      <w:r>
        <w:rPr>
          <w:w w:val="120"/>
          <w:sz w:val="20"/>
        </w:rPr>
        <w:t>and</w:t>
      </w:r>
      <w:r>
        <w:rPr>
          <w:spacing w:val="-3"/>
          <w:w w:val="120"/>
          <w:sz w:val="20"/>
        </w:rPr>
        <w:t> </w:t>
      </w:r>
      <w:r>
        <w:rPr>
          <w:w w:val="120"/>
          <w:sz w:val="20"/>
        </w:rPr>
        <w:t>guidelines</w:t>
      </w:r>
      <w:r>
        <w:rPr>
          <w:spacing w:val="-3"/>
          <w:w w:val="120"/>
          <w:sz w:val="20"/>
        </w:rPr>
        <w:t> </w:t>
      </w:r>
      <w:r>
        <w:rPr>
          <w:w w:val="120"/>
          <w:sz w:val="20"/>
        </w:rPr>
        <w:t>and</w:t>
      </w:r>
      <w:r>
        <w:rPr>
          <w:spacing w:val="-2"/>
          <w:w w:val="120"/>
          <w:sz w:val="20"/>
        </w:rPr>
        <w:t> </w:t>
      </w:r>
      <w:r>
        <w:rPr>
          <w:w w:val="120"/>
          <w:sz w:val="20"/>
        </w:rPr>
        <w:t>training</w:t>
      </w:r>
      <w:r>
        <w:rPr>
          <w:spacing w:val="-3"/>
          <w:w w:val="120"/>
          <w:sz w:val="20"/>
        </w:rPr>
        <w:t> </w:t>
      </w:r>
      <w:r>
        <w:rPr>
          <w:w w:val="120"/>
          <w:sz w:val="20"/>
        </w:rPr>
        <w:t>for</w:t>
      </w:r>
      <w:r>
        <w:rPr>
          <w:spacing w:val="-3"/>
          <w:w w:val="120"/>
          <w:sz w:val="20"/>
        </w:rPr>
        <w:t> </w:t>
      </w:r>
      <w:r>
        <w:rPr>
          <w:w w:val="120"/>
          <w:sz w:val="20"/>
        </w:rPr>
        <w:t>what</w:t>
      </w:r>
      <w:r>
        <w:rPr>
          <w:spacing w:val="-3"/>
          <w:w w:val="120"/>
          <w:sz w:val="20"/>
        </w:rPr>
        <w:t> </w:t>
      </w:r>
      <w:r>
        <w:rPr>
          <w:w w:val="120"/>
          <w:sz w:val="20"/>
        </w:rPr>
        <w:t>the</w:t>
      </w:r>
      <w:r>
        <w:rPr>
          <w:spacing w:val="-3"/>
          <w:w w:val="120"/>
          <w:sz w:val="20"/>
        </w:rPr>
        <w:t> </w:t>
      </w:r>
      <w:r>
        <w:rPr>
          <w:w w:val="120"/>
          <w:sz w:val="20"/>
        </w:rPr>
        <w:t>job</w:t>
      </w:r>
      <w:r>
        <w:rPr>
          <w:spacing w:val="-2"/>
          <w:w w:val="120"/>
          <w:sz w:val="20"/>
        </w:rPr>
        <w:t> </w:t>
      </w:r>
      <w:r>
        <w:rPr>
          <w:w w:val="120"/>
          <w:sz w:val="20"/>
        </w:rPr>
        <w:t>entails</w:t>
      </w:r>
      <w:r>
        <w:rPr>
          <w:spacing w:val="-3"/>
          <w:w w:val="120"/>
          <w:sz w:val="20"/>
        </w:rPr>
        <w:t> </w:t>
      </w:r>
      <w:r>
        <w:rPr>
          <w:w w:val="120"/>
          <w:sz w:val="20"/>
        </w:rPr>
        <w:t>will</w:t>
      </w:r>
      <w:r>
        <w:rPr>
          <w:spacing w:val="-3"/>
          <w:w w:val="120"/>
          <w:sz w:val="20"/>
        </w:rPr>
        <w:t> </w:t>
      </w:r>
      <w:r>
        <w:rPr>
          <w:w w:val="120"/>
          <w:sz w:val="20"/>
        </w:rPr>
        <w:t>be</w:t>
      </w:r>
      <w:r>
        <w:rPr>
          <w:spacing w:val="-3"/>
          <w:w w:val="120"/>
          <w:sz w:val="20"/>
        </w:rPr>
        <w:t> available.</w:t>
      </w:r>
    </w:p>
    <w:p>
      <w:pPr>
        <w:pStyle w:val="BodyText"/>
        <w:spacing w:before="11"/>
        <w:rPr>
          <w:sz w:val="19"/>
        </w:rPr>
      </w:pPr>
    </w:p>
    <w:p>
      <w:pPr>
        <w:pStyle w:val="ListParagraph"/>
        <w:numPr>
          <w:ilvl w:val="1"/>
          <w:numId w:val="92"/>
        </w:numPr>
        <w:tabs>
          <w:tab w:pos="2244" w:val="left" w:leader="none"/>
          <w:tab w:pos="2245" w:val="left" w:leader="none"/>
        </w:tabs>
        <w:spacing w:line="235" w:lineRule="auto" w:before="0" w:after="0"/>
        <w:ind w:left="1564" w:right="898" w:firstLine="0"/>
        <w:jc w:val="left"/>
        <w:rPr>
          <w:sz w:val="20"/>
        </w:rPr>
      </w:pPr>
      <w:r>
        <w:rPr>
          <w:w w:val="120"/>
          <w:sz w:val="20"/>
        </w:rPr>
        <w:t>The provision of housing in London and South East England, and indeed in some other </w:t>
      </w:r>
      <w:r>
        <w:rPr>
          <w:spacing w:val="2"/>
          <w:w w:val="120"/>
          <w:sz w:val="20"/>
        </w:rPr>
        <w:t>parts </w:t>
      </w:r>
      <w:r>
        <w:rPr>
          <w:w w:val="120"/>
          <w:sz w:val="20"/>
        </w:rPr>
        <w:t>of the country, has become much more difficult in recent years as prices have</w:t>
      </w:r>
      <w:r>
        <w:rPr>
          <w:spacing w:val="6"/>
          <w:w w:val="120"/>
          <w:sz w:val="20"/>
        </w:rPr>
        <w:t> </w:t>
      </w:r>
      <w:r>
        <w:rPr>
          <w:w w:val="120"/>
          <w:sz w:val="20"/>
        </w:rPr>
        <w:t>risen</w:t>
      </w:r>
      <w:r>
        <w:rPr>
          <w:spacing w:val="6"/>
          <w:w w:val="120"/>
          <w:sz w:val="20"/>
        </w:rPr>
        <w:t> </w:t>
      </w:r>
      <w:r>
        <w:rPr>
          <w:w w:val="120"/>
          <w:sz w:val="20"/>
        </w:rPr>
        <w:t>steeply.</w:t>
      </w:r>
      <w:r>
        <w:rPr>
          <w:spacing w:val="6"/>
          <w:w w:val="120"/>
          <w:sz w:val="20"/>
        </w:rPr>
        <w:t> </w:t>
      </w:r>
      <w:r>
        <w:rPr>
          <w:w w:val="120"/>
          <w:sz w:val="20"/>
        </w:rPr>
        <w:t>The</w:t>
      </w:r>
      <w:r>
        <w:rPr>
          <w:spacing w:val="6"/>
          <w:w w:val="120"/>
          <w:sz w:val="20"/>
        </w:rPr>
        <w:t> </w:t>
      </w:r>
      <w:r>
        <w:rPr>
          <w:w w:val="120"/>
          <w:sz w:val="20"/>
        </w:rPr>
        <w:t>Society</w:t>
      </w:r>
      <w:r>
        <w:rPr>
          <w:spacing w:val="7"/>
          <w:w w:val="120"/>
          <w:sz w:val="20"/>
        </w:rPr>
        <w:t> </w:t>
      </w:r>
      <w:r>
        <w:rPr>
          <w:w w:val="120"/>
          <w:sz w:val="20"/>
        </w:rPr>
        <w:t>is</w:t>
      </w:r>
      <w:r>
        <w:rPr>
          <w:spacing w:val="6"/>
          <w:w w:val="120"/>
          <w:sz w:val="20"/>
        </w:rPr>
        <w:t> </w:t>
      </w:r>
      <w:r>
        <w:rPr>
          <w:w w:val="120"/>
          <w:sz w:val="20"/>
        </w:rPr>
        <w:t>now</w:t>
      </w:r>
      <w:r>
        <w:rPr>
          <w:spacing w:val="6"/>
          <w:w w:val="120"/>
          <w:sz w:val="20"/>
        </w:rPr>
        <w:t> </w:t>
      </w:r>
      <w:r>
        <w:rPr>
          <w:w w:val="120"/>
          <w:sz w:val="20"/>
        </w:rPr>
        <w:t>considering</w:t>
      </w:r>
      <w:r>
        <w:rPr>
          <w:spacing w:val="6"/>
          <w:w w:val="120"/>
          <w:sz w:val="20"/>
        </w:rPr>
        <w:t> </w:t>
      </w:r>
      <w:r>
        <w:rPr>
          <w:w w:val="120"/>
          <w:sz w:val="20"/>
        </w:rPr>
        <w:t>not</w:t>
      </w:r>
      <w:r>
        <w:rPr>
          <w:spacing w:val="7"/>
          <w:w w:val="120"/>
          <w:sz w:val="20"/>
        </w:rPr>
        <w:t> </w:t>
      </w:r>
      <w:r>
        <w:rPr>
          <w:w w:val="120"/>
          <w:sz w:val="20"/>
        </w:rPr>
        <w:t>selling</w:t>
      </w:r>
      <w:r>
        <w:rPr>
          <w:spacing w:val="6"/>
          <w:w w:val="120"/>
          <w:sz w:val="20"/>
        </w:rPr>
        <w:t> </w:t>
      </w:r>
      <w:r>
        <w:rPr>
          <w:w w:val="120"/>
          <w:sz w:val="20"/>
        </w:rPr>
        <w:t>properties</w:t>
      </w:r>
      <w:r>
        <w:rPr>
          <w:spacing w:val="6"/>
          <w:w w:val="120"/>
          <w:sz w:val="20"/>
        </w:rPr>
        <w:t> </w:t>
      </w:r>
      <w:r>
        <w:rPr>
          <w:w w:val="120"/>
          <w:sz w:val="20"/>
        </w:rPr>
        <w:t>in</w:t>
      </w:r>
      <w:r>
        <w:rPr>
          <w:spacing w:val="6"/>
          <w:w w:val="120"/>
          <w:sz w:val="20"/>
        </w:rPr>
        <w:t> </w:t>
      </w:r>
      <w:r>
        <w:rPr>
          <w:w w:val="120"/>
          <w:sz w:val="20"/>
        </w:rPr>
        <w:t>London</w:t>
      </w:r>
    </w:p>
    <w:p>
      <w:pPr>
        <w:spacing w:after="0" w:line="235" w:lineRule="auto"/>
        <w:jc w:val="left"/>
        <w:rPr>
          <w:sz w:val="20"/>
        </w:rPr>
        <w:sectPr>
          <w:headerReference w:type="default" r:id="rId366"/>
          <w:footerReference w:type="default" r:id="rId367"/>
          <w:footerReference w:type="even" r:id="rId368"/>
          <w:pgSz w:w="11910" w:h="16840"/>
          <w:pgMar w:header="0" w:footer="647" w:top="0" w:bottom="840" w:left="420" w:right="380"/>
        </w:sectPr>
      </w:pPr>
    </w:p>
    <w:p>
      <w:pPr>
        <w:pStyle w:val="BodyText"/>
      </w:pPr>
      <w:r>
        <w:rPr/>
        <w:drawing>
          <wp:anchor distT="0" distB="0" distL="0" distR="0" allowOverlap="1" layoutInCell="1" locked="0" behindDoc="1" simplePos="0" relativeHeight="236040192">
            <wp:simplePos x="0" y="0"/>
            <wp:positionH relativeFrom="page">
              <wp:posOffset>0</wp:posOffset>
            </wp:positionH>
            <wp:positionV relativeFrom="page">
              <wp:posOffset>0</wp:posOffset>
            </wp:positionV>
            <wp:extent cx="594067" cy="10692003"/>
            <wp:effectExtent l="0" t="0" r="0" b="0"/>
            <wp:wrapNone/>
            <wp:docPr id="253" name="image70.png"/>
            <wp:cNvGraphicFramePr>
              <a:graphicFrameLocks noChangeAspect="1"/>
            </wp:cNvGraphicFramePr>
            <a:graphic>
              <a:graphicData uri="http://schemas.openxmlformats.org/drawingml/2006/picture">
                <pic:pic>
                  <pic:nvPicPr>
                    <pic:cNvPr id="25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71.9pt;mso-position-horizontal-relative:page;mso-position-vertical-relative:paragraph;z-index:252008448" type="#_x0000_t202" filled="false" stroked="false">
            <v:textbox inset="0,0,0,0" style="layout-flow:vertical">
              <w:txbxContent>
                <w:p>
                  <w:pPr>
                    <w:spacing w:before="29"/>
                    <w:ind w:left="20" w:right="0" w:firstLine="0"/>
                    <w:jc w:val="left"/>
                    <w:rPr>
                      <w:sz w:val="39"/>
                    </w:rPr>
                  </w:pPr>
                  <w:r>
                    <w:rPr>
                      <w:color w:val="FFFFFF"/>
                      <w:w w:val="125"/>
                      <w:sz w:val="39"/>
                    </w:rPr>
                    <w:t>Retired ministers’ housing</w:t>
                  </w:r>
                </w:p>
              </w:txbxContent>
            </v:textbox>
            <w10:wrap type="none"/>
          </v:shape>
        </w:pict>
      </w:r>
      <w:r>
        <w:rPr>
          <w:color w:val="7EAABF"/>
          <w:w w:val="115"/>
        </w:rPr>
        <w:t>Ministries</w:t>
      </w:r>
    </w:p>
    <w:p>
      <w:pPr>
        <w:pStyle w:val="BodyText"/>
        <w:spacing w:line="235" w:lineRule="auto" w:before="222"/>
        <w:ind w:left="827" w:right="1868"/>
      </w:pPr>
      <w:r>
        <w:rPr>
          <w:w w:val="120"/>
        </w:rPr>
        <w:t>when tenants cease to need these, but retaining them to offer to those who wish to retire in this area. Letting these properties, should there be a limited period between tenants, would also contribute to income.</w:t>
      </w:r>
    </w:p>
    <w:p>
      <w:pPr>
        <w:pStyle w:val="BodyText"/>
        <w:spacing w:before="10"/>
        <w:rPr>
          <w:sz w:val="19"/>
        </w:rPr>
      </w:pPr>
    </w:p>
    <w:p>
      <w:pPr>
        <w:pStyle w:val="ListParagraph"/>
        <w:numPr>
          <w:ilvl w:val="1"/>
          <w:numId w:val="92"/>
        </w:numPr>
        <w:tabs>
          <w:tab w:pos="1507" w:val="left" w:leader="none"/>
          <w:tab w:pos="1508" w:val="left" w:leader="none"/>
        </w:tabs>
        <w:spacing w:line="235" w:lineRule="auto" w:before="0" w:after="0"/>
        <w:ind w:left="827" w:right="1715" w:firstLine="0"/>
        <w:jc w:val="left"/>
        <w:rPr>
          <w:sz w:val="20"/>
        </w:rPr>
      </w:pPr>
      <w:r>
        <w:rPr>
          <w:w w:val="120"/>
          <w:sz w:val="20"/>
        </w:rPr>
        <w:t>The work of the Society continues to be valued very highly by those we are able to help. It is one way that the Church expresses its care for people who have given much to its life and</w:t>
      </w:r>
      <w:r>
        <w:rPr>
          <w:spacing w:val="10"/>
          <w:w w:val="120"/>
          <w:sz w:val="20"/>
        </w:rPr>
        <w:t> </w:t>
      </w:r>
      <w:r>
        <w:rPr>
          <w:w w:val="120"/>
          <w:sz w:val="20"/>
        </w:rPr>
        <w:t>work.</w:t>
      </w:r>
    </w:p>
    <w:p>
      <w:pPr>
        <w:spacing w:after="0" w:line="235" w:lineRule="auto"/>
        <w:jc w:val="left"/>
        <w:rPr>
          <w:sz w:val="20"/>
        </w:rPr>
        <w:sectPr>
          <w:headerReference w:type="even" r:id="rId369"/>
          <w:pgSz w:w="11910" w:h="16840"/>
          <w:pgMar w:header="0" w:footer="647" w:top="0" w:bottom="840" w:left="420" w:right="380"/>
        </w:sectPr>
      </w:pPr>
    </w:p>
    <w:p>
      <w:pPr>
        <w:pStyle w:val="BodyText"/>
      </w:pPr>
      <w:r>
        <w:rPr/>
        <w:pict>
          <v:rect style="position:absolute;margin-left:1.417pt;margin-top:.000015pt;width:547.79pt;height:841.89pt;mso-position-horizontal-relative:page;mso-position-vertical-relative:page;z-index:-267274240" filled="true" fillcolor="#d4e9f7" stroked="false">
            <v:fill type="solid"/>
            <w10:wrap type="none"/>
          </v:rect>
        </w:pict>
      </w:r>
      <w:r>
        <w:rPr/>
        <w:drawing>
          <wp:anchor distT="0" distB="0" distL="0" distR="0" allowOverlap="1" layoutInCell="1" locked="0" behindDoc="0" simplePos="0" relativeHeight="252010496">
            <wp:simplePos x="0" y="0"/>
            <wp:positionH relativeFrom="page">
              <wp:posOffset>6974928</wp:posOffset>
            </wp:positionH>
            <wp:positionV relativeFrom="page">
              <wp:posOffset>0</wp:posOffset>
            </wp:positionV>
            <wp:extent cx="585063" cy="10692003"/>
            <wp:effectExtent l="0" t="0" r="0" b="0"/>
            <wp:wrapNone/>
            <wp:docPr id="255" name="image57.png"/>
            <wp:cNvGraphicFramePr>
              <a:graphicFrameLocks noChangeAspect="1"/>
            </wp:cNvGraphicFramePr>
            <a:graphic>
              <a:graphicData uri="http://schemas.openxmlformats.org/drawingml/2006/picture">
                <pic:pic>
                  <pic:nvPicPr>
                    <pic:cNvPr id="25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09" w:right="3933"/>
        <w:rPr>
          <w:b/>
        </w:rPr>
      </w:pPr>
      <w:r>
        <w:rPr/>
        <w:pict>
          <v:shape style="position:absolute;margin-left:554.141174pt;margin-top:-5.989334pt;width:26pt;height:291.3pt;mso-position-horizontal-relative:page;mso-position-vertical-relative:paragraph;z-index:252011520" type="#_x0000_t202" filled="false" stroked="false">
            <v:textbox inset="0,0,0,0" style="layout-flow:vertical">
              <w:txbxContent>
                <w:p>
                  <w:pPr>
                    <w:spacing w:before="29"/>
                    <w:ind w:left="20" w:right="0" w:firstLine="0"/>
                    <w:jc w:val="left"/>
                    <w:rPr>
                      <w:sz w:val="39"/>
                    </w:rPr>
                  </w:pPr>
                  <w:r>
                    <w:rPr>
                      <w:color w:val="FFFFFF"/>
                      <w:w w:val="120"/>
                      <w:sz w:val="39"/>
                    </w:rPr>
                    <w:t>Ministries – </w:t>
                  </w:r>
                  <w:r>
                    <w:rPr>
                      <w:w w:val="120"/>
                      <w:sz w:val="39"/>
                    </w:rPr>
                    <w:t>Active Ministers</w:t>
                  </w:r>
                </w:p>
              </w:txbxContent>
            </v:textbox>
            <w10:wrap type="none"/>
          </v:shape>
        </w:pict>
      </w:r>
      <w:bookmarkStart w:name="_bookmark23" w:id="31"/>
      <w:bookmarkEnd w:id="31"/>
      <w:r>
        <w:rPr>
          <w:b w:val="0"/>
        </w:rPr>
      </w:r>
      <w:r>
        <w:rPr>
          <w:b/>
          <w:color w:val="0090D4"/>
          <w:w w:val="110"/>
        </w:rPr>
        <w:t>Ministries committee </w:t>
      </w:r>
      <w:r>
        <w:rPr>
          <w:b/>
          <w:w w:val="110"/>
        </w:rPr>
        <w:t>Active Ministers</w:t>
      </w:r>
    </w:p>
    <w:p>
      <w:pPr>
        <w:spacing w:before="356" w:after="9"/>
        <w:ind w:left="1309"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The Revd Paul Whittle: </w:t>
            </w:r>
            <w:hyperlink r:id="rId372">
              <w:r>
                <w:rPr>
                  <w:color w:val="006AB3"/>
                  <w:w w:val="120"/>
                  <w:sz w:val="20"/>
                </w:rPr>
                <w:t>moderator@urceastern.org.uk</w:t>
              </w:r>
            </w:hyperlink>
          </w:p>
        </w:tc>
      </w:tr>
      <w:tr>
        <w:trPr>
          <w:trHeight w:val="40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Decision.</w:t>
            </w:r>
          </w:p>
        </w:tc>
      </w:tr>
      <w:tr>
        <w:trPr>
          <w:trHeight w:val="64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tabs>
                <w:tab w:pos="760" w:val="left" w:leader="none"/>
              </w:tabs>
              <w:spacing w:line="213" w:lineRule="auto" w:before="117"/>
              <w:ind w:left="80" w:right="290"/>
              <w:rPr>
                <w:rFonts w:ascii="Stone Sans II ITC Std Bk"/>
                <w:b/>
                <w:sz w:val="20"/>
              </w:rPr>
            </w:pPr>
            <w:r>
              <w:rPr>
                <w:rFonts w:ascii="Stone Sans II ITC Std Bk"/>
                <w:b/>
                <w:w w:val="110"/>
                <w:sz w:val="20"/>
              </w:rPr>
              <w:t>27.</w:t>
              <w:tab/>
              <w:t>General Assembly adopts the definition of an active Minister on page </w:t>
            </w:r>
            <w:r>
              <w:rPr>
                <w:rFonts w:ascii="Stone Sans II ITC Std Bk"/>
                <w:b/>
                <w:spacing w:val="-7"/>
                <w:w w:val="110"/>
                <w:sz w:val="20"/>
              </w:rPr>
              <w:t>134 </w:t>
            </w:r>
            <w:r>
              <w:rPr>
                <w:rFonts w:ascii="Stone Sans II ITC Std Bk"/>
                <w:b/>
                <w:w w:val="110"/>
                <w:sz w:val="20"/>
              </w:rPr>
              <w:t>of the </w:t>
            </w:r>
            <w:r>
              <w:rPr>
                <w:rFonts w:ascii="Stone Sans II ITC Std Bk"/>
                <w:b/>
                <w:i/>
                <w:w w:val="110"/>
                <w:sz w:val="20"/>
              </w:rPr>
              <w:t>Book of</w:t>
            </w:r>
            <w:r>
              <w:rPr>
                <w:rFonts w:ascii="Stone Sans II ITC Std Bk"/>
                <w:b/>
                <w:i/>
                <w:spacing w:val="8"/>
                <w:w w:val="110"/>
                <w:sz w:val="20"/>
              </w:rPr>
              <w:t> </w:t>
            </w:r>
            <w:r>
              <w:rPr>
                <w:rFonts w:ascii="Stone Sans II ITC Std Bk"/>
                <w:b/>
                <w:i/>
                <w:w w:val="110"/>
                <w:sz w:val="20"/>
              </w:rPr>
              <w:t>Reports</w:t>
            </w:r>
            <w:r>
              <w:rPr>
                <w:rFonts w:ascii="Stone Sans II ITC Std Bk"/>
                <w:b/>
                <w:w w:val="110"/>
                <w:sz w:val="20"/>
              </w:rPr>
              <w:t>.</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before="108"/>
              <w:ind w:left="80"/>
              <w:rPr>
                <w:sz w:val="20"/>
              </w:rPr>
            </w:pPr>
            <w:r>
              <w:rPr>
                <w:w w:val="120"/>
                <w:sz w:val="20"/>
              </w:rPr>
              <w:t>This paper provides a definition of an active Minister.</w:t>
            </w:r>
          </w:p>
        </w:tc>
      </w:tr>
      <w:tr>
        <w:trPr>
          <w:trHeight w:val="88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148"/>
              <w:rPr>
                <w:sz w:val="20"/>
              </w:rPr>
            </w:pPr>
            <w:r>
              <w:rPr>
                <w:w w:val="120"/>
                <w:sz w:val="20"/>
              </w:rPr>
              <w:t>Having a definition of an active minister is now essential in order to establish who needs to participate in mandatory training, to undertake DBS/PVG check and anything similar.</w:t>
            </w:r>
          </w:p>
        </w:tc>
      </w:tr>
      <w:tr>
        <w:trPr>
          <w:trHeight w:val="646" w:hRule="atLeast"/>
        </w:trPr>
        <w:tc>
          <w:tcPr>
            <w:tcW w:w="2660" w:type="dxa"/>
            <w:shd w:val="clear" w:color="auto" w:fill="FFFFFF"/>
          </w:tcPr>
          <w:p>
            <w:pPr>
              <w:pStyle w:val="TableParagraph"/>
              <w:spacing w:line="213" w:lineRule="auto" w:before="117"/>
              <w:ind w:left="79" w:right="702"/>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w w:val="125"/>
                <w:sz w:val="20"/>
              </w:rPr>
              <w:t>None.</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before="108"/>
              <w:ind w:left="80"/>
              <w:rPr>
                <w:sz w:val="20"/>
              </w:rPr>
            </w:pPr>
            <w:r>
              <w:rPr>
                <w:w w:val="120"/>
                <w:sz w:val="20"/>
              </w:rPr>
              <w:t>The synod moderators.</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No immediate impact on the budget.</w:t>
            </w:r>
          </w:p>
        </w:tc>
      </w:tr>
      <w:tr>
        <w:trPr>
          <w:trHeight w:val="646" w:hRule="atLeast"/>
        </w:trPr>
        <w:tc>
          <w:tcPr>
            <w:tcW w:w="2660" w:type="dxa"/>
            <w:shd w:val="clear" w:color="auto" w:fill="FFFFFF"/>
          </w:tcPr>
          <w:p>
            <w:pPr>
              <w:pStyle w:val="TableParagraph"/>
              <w:spacing w:line="255" w:lineRule="exact" w:before="95"/>
              <w:ind w:left="79"/>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5"/>
                <w:sz w:val="20"/>
              </w:rPr>
              <w:t>None.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2"/>
        <w:rPr>
          <w:rFonts w:ascii="Stone Sans II ITC Std Bk"/>
          <w:b/>
          <w:sz w:val="36"/>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133</w:t>
      </w:r>
    </w:p>
    <w:p>
      <w:pPr>
        <w:spacing w:after="0"/>
        <w:jc w:val="left"/>
        <w:rPr>
          <w:rFonts w:ascii="Stone Sans II ITC Std X Bd" w:hAnsi="Stone Sans II ITC Std X Bd"/>
          <w:sz w:val="24"/>
        </w:rPr>
        <w:sectPr>
          <w:headerReference w:type="default" r:id="rId370"/>
          <w:footerReference w:type="default" r:id="rId371"/>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6045312">
            <wp:simplePos x="0" y="0"/>
            <wp:positionH relativeFrom="page">
              <wp:posOffset>0</wp:posOffset>
            </wp:positionH>
            <wp:positionV relativeFrom="page">
              <wp:posOffset>0</wp:posOffset>
            </wp:positionV>
            <wp:extent cx="594067" cy="10692003"/>
            <wp:effectExtent l="0" t="0" r="0" b="0"/>
            <wp:wrapNone/>
            <wp:docPr id="257" name="image70.png"/>
            <wp:cNvGraphicFramePr>
              <a:graphicFrameLocks noChangeAspect="1"/>
            </wp:cNvGraphicFramePr>
            <a:graphic>
              <a:graphicData uri="http://schemas.openxmlformats.org/drawingml/2006/picture">
                <pic:pic>
                  <pic:nvPicPr>
                    <pic:cNvPr id="25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before="98"/>
        <w:ind w:left="392" w:right="1167" w:firstLine="0"/>
        <w:jc w:val="center"/>
        <w:rPr>
          <w:rFonts w:ascii="Stone Sans II ITC Std X Bd"/>
          <w:b/>
          <w:sz w:val="50"/>
        </w:rPr>
      </w:pPr>
      <w:r>
        <w:rPr/>
        <w:pict>
          <v:shape style="position:absolute;margin-left:20.519100pt;margin-top:-5.948083pt;width:26pt;height:291.3pt;mso-position-horizontal-relative:page;mso-position-vertical-relative:paragraph;z-index:252013568" type="#_x0000_t202" filled="false" stroked="false">
            <v:textbox inset="0,0,0,0" style="layout-flow:vertical">
              <w:txbxContent>
                <w:p>
                  <w:pPr>
                    <w:spacing w:before="29"/>
                    <w:ind w:left="20" w:right="0" w:firstLine="0"/>
                    <w:jc w:val="left"/>
                    <w:rPr>
                      <w:sz w:val="39"/>
                    </w:rPr>
                  </w:pPr>
                  <w:r>
                    <w:rPr>
                      <w:color w:val="FFFFFF"/>
                      <w:w w:val="120"/>
                      <w:sz w:val="39"/>
                    </w:rPr>
                    <w:t>Ministries – </w:t>
                  </w:r>
                  <w:r>
                    <w:rPr>
                      <w:w w:val="120"/>
                      <w:sz w:val="39"/>
                    </w:rPr>
                    <w:t>Active Ministers</w:t>
                  </w:r>
                </w:p>
              </w:txbxContent>
            </v:textbox>
            <w10:wrap type="none"/>
          </v:shape>
        </w:pict>
      </w:r>
      <w:r>
        <w:rPr>
          <w:rFonts w:ascii="Stone Sans II ITC Std X Bd"/>
          <w:b/>
          <w:w w:val="110"/>
          <w:sz w:val="50"/>
        </w:rPr>
        <w:t>Active Ministers</w:t>
      </w:r>
    </w:p>
    <w:p>
      <w:pPr>
        <w:pStyle w:val="ListParagraph"/>
        <w:numPr>
          <w:ilvl w:val="0"/>
          <w:numId w:val="93"/>
        </w:numPr>
        <w:tabs>
          <w:tab w:pos="1507" w:val="left" w:leader="none"/>
          <w:tab w:pos="1508" w:val="left" w:leader="none"/>
        </w:tabs>
        <w:spacing w:line="240" w:lineRule="auto" w:before="361" w:after="0"/>
        <w:ind w:left="1507" w:right="0" w:hanging="681"/>
        <w:jc w:val="left"/>
        <w:rPr>
          <w:sz w:val="20"/>
        </w:rPr>
      </w:pPr>
      <w:r>
        <w:rPr>
          <w:w w:val="120"/>
          <w:sz w:val="20"/>
        </w:rPr>
        <w:t>The United Reformed Church values the contribution of its</w:t>
      </w:r>
      <w:r>
        <w:rPr>
          <w:spacing w:val="21"/>
          <w:w w:val="120"/>
          <w:sz w:val="20"/>
        </w:rPr>
        <w:t> </w:t>
      </w:r>
      <w:r>
        <w:rPr>
          <w:w w:val="120"/>
          <w:sz w:val="20"/>
        </w:rPr>
        <w:t>ministers.</w:t>
      </w:r>
    </w:p>
    <w:p>
      <w:pPr>
        <w:pStyle w:val="BodyText"/>
        <w:spacing w:before="7"/>
        <w:rPr>
          <w:sz w:val="19"/>
        </w:rPr>
      </w:pPr>
    </w:p>
    <w:p>
      <w:pPr>
        <w:pStyle w:val="ListParagraph"/>
        <w:numPr>
          <w:ilvl w:val="0"/>
          <w:numId w:val="93"/>
        </w:numPr>
        <w:tabs>
          <w:tab w:pos="1507" w:val="left" w:leader="none"/>
          <w:tab w:pos="1508" w:val="left" w:leader="none"/>
        </w:tabs>
        <w:spacing w:line="235" w:lineRule="auto" w:before="0" w:after="0"/>
        <w:ind w:left="827" w:right="1726" w:firstLine="0"/>
        <w:jc w:val="left"/>
        <w:rPr>
          <w:sz w:val="20"/>
        </w:rPr>
      </w:pPr>
      <w:r>
        <w:rPr>
          <w:w w:val="120"/>
          <w:sz w:val="20"/>
        </w:rPr>
        <w:t>For the most part, clarity about who is and who is not an active Minister is easily established. However, there are times when it is important to have a clear definition. This includes such areas as safeguarding, mandatory training and</w:t>
      </w:r>
      <w:r>
        <w:rPr>
          <w:spacing w:val="36"/>
          <w:w w:val="120"/>
          <w:sz w:val="20"/>
        </w:rPr>
        <w:t> </w:t>
      </w:r>
      <w:r>
        <w:rPr>
          <w:w w:val="120"/>
          <w:sz w:val="20"/>
        </w:rPr>
        <w:t>discipline.</w:t>
      </w:r>
    </w:p>
    <w:p>
      <w:pPr>
        <w:pStyle w:val="BodyText"/>
        <w:spacing w:before="10"/>
        <w:rPr>
          <w:sz w:val="19"/>
        </w:rPr>
      </w:pPr>
    </w:p>
    <w:p>
      <w:pPr>
        <w:pStyle w:val="ListParagraph"/>
        <w:numPr>
          <w:ilvl w:val="0"/>
          <w:numId w:val="93"/>
        </w:numPr>
        <w:tabs>
          <w:tab w:pos="1507" w:val="left" w:leader="none"/>
          <w:tab w:pos="1508" w:val="left" w:leader="none"/>
        </w:tabs>
        <w:spacing w:line="235" w:lineRule="auto" w:before="1" w:after="0"/>
        <w:ind w:left="827" w:right="2035" w:firstLine="0"/>
        <w:jc w:val="left"/>
        <w:rPr>
          <w:sz w:val="20"/>
        </w:rPr>
      </w:pPr>
      <w:r>
        <w:rPr>
          <w:w w:val="120"/>
          <w:sz w:val="20"/>
        </w:rPr>
        <w:t>Even with a clear definition there will be rare instances when it is not entirely clear whether an individual should be defined as an active Minister. The definition provides for this by identifying the synod as arbiter in such</w:t>
      </w:r>
      <w:r>
        <w:rPr>
          <w:spacing w:val="30"/>
          <w:w w:val="120"/>
          <w:sz w:val="20"/>
        </w:rPr>
        <w:t> </w:t>
      </w:r>
      <w:r>
        <w:rPr>
          <w:w w:val="120"/>
          <w:sz w:val="20"/>
        </w:rPr>
        <w:t>instances.</w:t>
      </w:r>
    </w:p>
    <w:p>
      <w:pPr>
        <w:pStyle w:val="BodyText"/>
        <w:spacing w:before="10"/>
        <w:rPr>
          <w:sz w:val="19"/>
        </w:rPr>
      </w:pPr>
    </w:p>
    <w:p>
      <w:pPr>
        <w:pStyle w:val="ListParagraph"/>
        <w:numPr>
          <w:ilvl w:val="0"/>
          <w:numId w:val="93"/>
        </w:numPr>
        <w:tabs>
          <w:tab w:pos="1507" w:val="left" w:leader="none"/>
          <w:tab w:pos="1508" w:val="left" w:leader="none"/>
        </w:tabs>
        <w:spacing w:line="235" w:lineRule="auto" w:before="0" w:after="0"/>
        <w:ind w:left="827" w:right="1898" w:firstLine="0"/>
        <w:jc w:val="left"/>
        <w:rPr>
          <w:sz w:val="20"/>
        </w:rPr>
      </w:pPr>
      <w:r>
        <w:rPr>
          <w:w w:val="120"/>
          <w:sz w:val="20"/>
        </w:rPr>
        <w:t>General Assembly is asked to approve the definition in order to provide clarity as to who has the privileges and responsibilities of being an active</w:t>
      </w:r>
      <w:r>
        <w:rPr>
          <w:spacing w:val="26"/>
          <w:w w:val="120"/>
          <w:sz w:val="20"/>
        </w:rPr>
        <w:t> </w:t>
      </w:r>
      <w:r>
        <w:rPr>
          <w:w w:val="120"/>
          <w:sz w:val="20"/>
        </w:rPr>
        <w:t>Minister.</w:t>
      </w:r>
    </w:p>
    <w:p>
      <w:pPr>
        <w:pStyle w:val="BodyText"/>
        <w:spacing w:before="9"/>
        <w:rPr>
          <w:sz w:val="19"/>
        </w:rPr>
      </w:pPr>
    </w:p>
    <w:p>
      <w:pPr>
        <w:pStyle w:val="ListParagraph"/>
        <w:numPr>
          <w:ilvl w:val="0"/>
          <w:numId w:val="93"/>
        </w:numPr>
        <w:tabs>
          <w:tab w:pos="1507" w:val="left" w:leader="none"/>
          <w:tab w:pos="1508" w:val="left" w:leader="none"/>
        </w:tabs>
        <w:spacing w:line="235" w:lineRule="auto" w:before="0" w:after="0"/>
        <w:ind w:left="827" w:right="1652" w:firstLine="0"/>
        <w:jc w:val="left"/>
        <w:rPr>
          <w:sz w:val="20"/>
        </w:rPr>
      </w:pPr>
      <w:r>
        <w:rPr>
          <w:w w:val="120"/>
          <w:sz w:val="20"/>
        </w:rPr>
        <w:t>The roll of Ministers will continue to include others who are rightly listed but not undertaking an active role, mainly retired Ministers who do not wish, or are not able,   to remain</w:t>
      </w:r>
      <w:r>
        <w:rPr>
          <w:spacing w:val="3"/>
          <w:w w:val="120"/>
          <w:sz w:val="20"/>
        </w:rPr>
        <w:t> </w:t>
      </w:r>
      <w:r>
        <w:rPr>
          <w:w w:val="120"/>
          <w:sz w:val="20"/>
        </w:rPr>
        <w:t>active.</w:t>
      </w:r>
    </w:p>
    <w:p>
      <w:pPr>
        <w:pStyle w:val="BodyText"/>
        <w:rPr>
          <w:sz w:val="24"/>
        </w:rPr>
      </w:pPr>
    </w:p>
    <w:p>
      <w:pPr>
        <w:pStyle w:val="BodyText"/>
        <w:spacing w:before="9"/>
        <w:rPr>
          <w:sz w:val="18"/>
        </w:rPr>
      </w:pPr>
    </w:p>
    <w:p>
      <w:pPr>
        <w:pStyle w:val="Heading2"/>
        <w:spacing w:before="0"/>
        <w:ind w:left="827"/>
        <w:rPr>
          <w:b/>
        </w:rPr>
      </w:pPr>
      <w:r>
        <w:rPr>
          <w:b/>
          <w:spacing w:val="-8"/>
          <w:w w:val="110"/>
        </w:rPr>
        <w:t>Definition </w:t>
      </w:r>
      <w:r>
        <w:rPr>
          <w:b/>
          <w:spacing w:val="-5"/>
          <w:w w:val="110"/>
        </w:rPr>
        <w:t>of </w:t>
      </w:r>
      <w:r>
        <w:rPr>
          <w:b/>
          <w:spacing w:val="-7"/>
          <w:w w:val="110"/>
        </w:rPr>
        <w:t>an </w:t>
      </w:r>
      <w:r>
        <w:rPr>
          <w:b/>
          <w:spacing w:val="-9"/>
          <w:w w:val="110"/>
        </w:rPr>
        <w:t>active </w:t>
      </w:r>
      <w:r>
        <w:rPr>
          <w:b/>
          <w:spacing w:val="6"/>
          <w:w w:val="110"/>
        </w:rPr>
        <w:t> </w:t>
      </w:r>
      <w:r>
        <w:rPr>
          <w:b/>
          <w:spacing w:val="-10"/>
          <w:w w:val="110"/>
        </w:rPr>
        <w:t>Minister</w:t>
      </w:r>
    </w:p>
    <w:p>
      <w:pPr>
        <w:pStyle w:val="BodyText"/>
        <w:spacing w:line="235" w:lineRule="auto" w:before="125"/>
        <w:ind w:left="827" w:right="1528"/>
      </w:pPr>
      <w:r>
        <w:rPr>
          <w:w w:val="120"/>
        </w:rPr>
        <w:t>A Minister of Word and Sacraments or Church Related Community Worker is considered active if they are on the URC roll of Ministers and at least one of the following</w:t>
      </w:r>
      <w:r>
        <w:rPr>
          <w:spacing w:val="22"/>
          <w:w w:val="120"/>
        </w:rPr>
        <w:t> </w:t>
      </w:r>
      <w:r>
        <w:rPr>
          <w:w w:val="120"/>
        </w:rPr>
        <w:t>applies.</w:t>
      </w:r>
    </w:p>
    <w:p>
      <w:pPr>
        <w:pStyle w:val="BodyText"/>
        <w:spacing w:line="240" w:lineRule="exact"/>
        <w:ind w:left="827"/>
      </w:pPr>
      <w:r>
        <w:rPr>
          <w:w w:val="120"/>
        </w:rPr>
        <w:t>They are:</w:t>
      </w:r>
    </w:p>
    <w:p>
      <w:pPr>
        <w:pStyle w:val="ListParagraph"/>
        <w:numPr>
          <w:ilvl w:val="0"/>
          <w:numId w:val="94"/>
        </w:numPr>
        <w:tabs>
          <w:tab w:pos="1507" w:val="left" w:leader="none"/>
          <w:tab w:pos="1508" w:val="left" w:leader="none"/>
        </w:tabs>
        <w:spacing w:line="235" w:lineRule="auto" w:before="2" w:after="0"/>
        <w:ind w:left="1507" w:right="1848" w:hanging="681"/>
        <w:jc w:val="left"/>
        <w:rPr>
          <w:sz w:val="20"/>
        </w:rPr>
      </w:pPr>
      <w:r>
        <w:rPr>
          <w:w w:val="120"/>
          <w:sz w:val="20"/>
        </w:rPr>
        <w:t>in a pastorate or post for which they are receiving a stipend </w:t>
      </w:r>
      <w:r>
        <w:rPr>
          <w:spacing w:val="-3"/>
          <w:w w:val="120"/>
          <w:sz w:val="20"/>
        </w:rPr>
        <w:t>(either </w:t>
      </w:r>
      <w:r>
        <w:rPr>
          <w:w w:val="120"/>
          <w:sz w:val="20"/>
        </w:rPr>
        <w:t>full or part) from the United Reformed Church </w:t>
      </w:r>
      <w:r>
        <w:rPr>
          <w:spacing w:val="-5"/>
          <w:w w:val="120"/>
          <w:sz w:val="20"/>
        </w:rPr>
        <w:t>(e.g. </w:t>
      </w:r>
      <w:r>
        <w:rPr>
          <w:w w:val="120"/>
          <w:sz w:val="20"/>
        </w:rPr>
        <w:t>deployed post, SCM post, Assembly appointment);</w:t>
      </w:r>
    </w:p>
    <w:p>
      <w:pPr>
        <w:pStyle w:val="ListParagraph"/>
        <w:numPr>
          <w:ilvl w:val="0"/>
          <w:numId w:val="94"/>
        </w:numPr>
        <w:tabs>
          <w:tab w:pos="1507" w:val="left" w:leader="none"/>
          <w:tab w:pos="1508" w:val="left" w:leader="none"/>
        </w:tabs>
        <w:spacing w:line="240" w:lineRule="exact" w:before="0" w:after="0"/>
        <w:ind w:left="1507" w:right="0" w:hanging="681"/>
        <w:jc w:val="left"/>
        <w:rPr>
          <w:sz w:val="20"/>
        </w:rPr>
      </w:pPr>
      <w:r>
        <w:rPr>
          <w:w w:val="120"/>
          <w:sz w:val="20"/>
        </w:rPr>
        <w:t>in</w:t>
      </w:r>
      <w:r>
        <w:rPr>
          <w:spacing w:val="5"/>
          <w:w w:val="120"/>
          <w:sz w:val="20"/>
        </w:rPr>
        <w:t> </w:t>
      </w:r>
      <w:r>
        <w:rPr>
          <w:w w:val="120"/>
          <w:sz w:val="20"/>
        </w:rPr>
        <w:t>non-stipendiary</w:t>
      </w:r>
      <w:r>
        <w:rPr>
          <w:spacing w:val="5"/>
          <w:w w:val="120"/>
          <w:sz w:val="20"/>
        </w:rPr>
        <w:t> </w:t>
      </w:r>
      <w:r>
        <w:rPr>
          <w:w w:val="120"/>
          <w:sz w:val="20"/>
        </w:rPr>
        <w:t>service</w:t>
      </w:r>
      <w:r>
        <w:rPr>
          <w:spacing w:val="5"/>
          <w:w w:val="120"/>
          <w:sz w:val="20"/>
        </w:rPr>
        <w:t> </w:t>
      </w:r>
      <w:r>
        <w:rPr>
          <w:w w:val="120"/>
          <w:sz w:val="20"/>
        </w:rPr>
        <w:t>in</w:t>
      </w:r>
      <w:r>
        <w:rPr>
          <w:spacing w:val="5"/>
          <w:w w:val="120"/>
          <w:sz w:val="20"/>
        </w:rPr>
        <w:t> </w:t>
      </w:r>
      <w:r>
        <w:rPr>
          <w:w w:val="120"/>
          <w:sz w:val="20"/>
        </w:rPr>
        <w:t>a</w:t>
      </w:r>
      <w:r>
        <w:rPr>
          <w:spacing w:val="5"/>
          <w:w w:val="120"/>
          <w:sz w:val="20"/>
        </w:rPr>
        <w:t> </w:t>
      </w:r>
      <w:r>
        <w:rPr>
          <w:w w:val="120"/>
          <w:sz w:val="20"/>
        </w:rPr>
        <w:t>recognised</w:t>
      </w:r>
      <w:r>
        <w:rPr>
          <w:spacing w:val="5"/>
          <w:w w:val="120"/>
          <w:sz w:val="20"/>
        </w:rPr>
        <w:t> </w:t>
      </w:r>
      <w:r>
        <w:rPr>
          <w:w w:val="120"/>
          <w:sz w:val="20"/>
        </w:rPr>
        <w:t>ministry</w:t>
      </w:r>
      <w:r>
        <w:rPr>
          <w:spacing w:val="5"/>
          <w:w w:val="120"/>
          <w:sz w:val="20"/>
        </w:rPr>
        <w:t> </w:t>
      </w:r>
      <w:r>
        <w:rPr>
          <w:w w:val="120"/>
          <w:sz w:val="20"/>
        </w:rPr>
        <w:t>post</w:t>
      </w:r>
      <w:r>
        <w:rPr>
          <w:spacing w:val="5"/>
          <w:w w:val="120"/>
          <w:sz w:val="20"/>
        </w:rPr>
        <w:t> </w:t>
      </w:r>
      <w:r>
        <w:rPr>
          <w:spacing w:val="-5"/>
          <w:w w:val="120"/>
          <w:sz w:val="20"/>
        </w:rPr>
        <w:t>(e.g.</w:t>
      </w:r>
      <w:r>
        <w:rPr>
          <w:spacing w:val="5"/>
          <w:w w:val="120"/>
          <w:sz w:val="20"/>
        </w:rPr>
        <w:t> </w:t>
      </w:r>
      <w:r>
        <w:rPr>
          <w:w w:val="120"/>
          <w:sz w:val="20"/>
        </w:rPr>
        <w:t>model</w:t>
      </w:r>
      <w:r>
        <w:rPr>
          <w:spacing w:val="5"/>
          <w:w w:val="120"/>
          <w:sz w:val="20"/>
        </w:rPr>
        <w:t> </w:t>
      </w:r>
      <w:r>
        <w:rPr>
          <w:spacing w:val="-7"/>
          <w:w w:val="120"/>
          <w:sz w:val="20"/>
        </w:rPr>
        <w:t>1,</w:t>
      </w:r>
      <w:r>
        <w:rPr>
          <w:spacing w:val="5"/>
          <w:w w:val="120"/>
          <w:sz w:val="20"/>
        </w:rPr>
        <w:t> </w:t>
      </w:r>
      <w:r>
        <w:rPr>
          <w:w w:val="120"/>
          <w:sz w:val="20"/>
        </w:rPr>
        <w:t>2</w:t>
      </w:r>
      <w:r>
        <w:rPr>
          <w:spacing w:val="5"/>
          <w:w w:val="120"/>
          <w:sz w:val="20"/>
        </w:rPr>
        <w:t> </w:t>
      </w:r>
      <w:r>
        <w:rPr>
          <w:w w:val="120"/>
          <w:sz w:val="20"/>
        </w:rPr>
        <w:t>or</w:t>
      </w:r>
      <w:r>
        <w:rPr>
          <w:spacing w:val="5"/>
          <w:w w:val="120"/>
          <w:sz w:val="20"/>
        </w:rPr>
        <w:t> </w:t>
      </w:r>
      <w:r>
        <w:rPr>
          <w:spacing w:val="-8"/>
          <w:w w:val="120"/>
          <w:sz w:val="20"/>
        </w:rPr>
        <w:t>3)</w:t>
      </w:r>
    </w:p>
    <w:p>
      <w:pPr>
        <w:pStyle w:val="ListParagraph"/>
        <w:numPr>
          <w:ilvl w:val="0"/>
          <w:numId w:val="94"/>
        </w:numPr>
        <w:tabs>
          <w:tab w:pos="1507" w:val="left" w:leader="none"/>
          <w:tab w:pos="1508" w:val="left" w:leader="none"/>
        </w:tabs>
        <w:spacing w:line="235" w:lineRule="auto" w:before="2" w:after="0"/>
        <w:ind w:left="1507" w:right="2092" w:hanging="681"/>
        <w:jc w:val="left"/>
        <w:rPr>
          <w:sz w:val="20"/>
        </w:rPr>
      </w:pPr>
      <w:r>
        <w:rPr>
          <w:w w:val="120"/>
          <w:sz w:val="20"/>
        </w:rPr>
        <w:t>exercising a ministry with another organisation </w:t>
      </w:r>
      <w:r>
        <w:rPr>
          <w:spacing w:val="-5"/>
          <w:w w:val="120"/>
          <w:sz w:val="20"/>
        </w:rPr>
        <w:t>(e.g. </w:t>
      </w:r>
      <w:r>
        <w:rPr>
          <w:w w:val="120"/>
          <w:sz w:val="20"/>
        </w:rPr>
        <w:t>chaplaincy, educational establishment, ecumenical body) for which they receive a stipend, salary or serve in a voluntary</w:t>
      </w:r>
      <w:r>
        <w:rPr>
          <w:spacing w:val="8"/>
          <w:w w:val="120"/>
          <w:sz w:val="20"/>
        </w:rPr>
        <w:t> </w:t>
      </w:r>
      <w:r>
        <w:rPr>
          <w:w w:val="120"/>
          <w:sz w:val="20"/>
        </w:rPr>
        <w:t>capacity;</w:t>
      </w:r>
    </w:p>
    <w:p>
      <w:pPr>
        <w:pStyle w:val="ListParagraph"/>
        <w:numPr>
          <w:ilvl w:val="0"/>
          <w:numId w:val="94"/>
        </w:numPr>
        <w:tabs>
          <w:tab w:pos="1507" w:val="left" w:leader="none"/>
          <w:tab w:pos="1508" w:val="left" w:leader="none"/>
        </w:tabs>
        <w:spacing w:line="235" w:lineRule="auto" w:before="2" w:after="0"/>
        <w:ind w:left="1507" w:right="1835" w:hanging="681"/>
        <w:jc w:val="left"/>
        <w:rPr>
          <w:sz w:val="20"/>
        </w:rPr>
      </w:pPr>
      <w:r>
        <w:rPr>
          <w:w w:val="120"/>
          <w:sz w:val="20"/>
        </w:rPr>
        <w:t>providing recognised voluntary service on behalf of the Church </w:t>
      </w:r>
      <w:r>
        <w:rPr>
          <w:spacing w:val="-5"/>
          <w:w w:val="120"/>
          <w:sz w:val="20"/>
        </w:rPr>
        <w:t>(e.g. </w:t>
      </w:r>
      <w:r>
        <w:rPr>
          <w:w w:val="120"/>
          <w:sz w:val="20"/>
        </w:rPr>
        <w:t>Interim Moderator, serving on a synod or area committee, representing the URC on an external</w:t>
      </w:r>
      <w:r>
        <w:rPr>
          <w:spacing w:val="2"/>
          <w:w w:val="120"/>
          <w:sz w:val="20"/>
        </w:rPr>
        <w:t> </w:t>
      </w:r>
      <w:r>
        <w:rPr>
          <w:spacing w:val="-3"/>
          <w:w w:val="120"/>
          <w:sz w:val="20"/>
        </w:rPr>
        <w:t>body);</w:t>
      </w:r>
    </w:p>
    <w:p>
      <w:pPr>
        <w:pStyle w:val="ListParagraph"/>
        <w:numPr>
          <w:ilvl w:val="0"/>
          <w:numId w:val="94"/>
        </w:numPr>
        <w:tabs>
          <w:tab w:pos="1507" w:val="left" w:leader="none"/>
          <w:tab w:pos="1508" w:val="left" w:leader="none"/>
        </w:tabs>
        <w:spacing w:line="235" w:lineRule="auto" w:before="2" w:after="0"/>
        <w:ind w:left="1507" w:right="1747" w:hanging="681"/>
        <w:jc w:val="left"/>
        <w:rPr>
          <w:sz w:val="20"/>
        </w:rPr>
      </w:pPr>
      <w:r>
        <w:rPr>
          <w:w w:val="120"/>
          <w:sz w:val="20"/>
        </w:rPr>
        <w:t>not in a formal position but whose expertise and experience means that, enjoying the confidence of synod officers, they are asked to undertake pieces of work from time to</w:t>
      </w:r>
      <w:r>
        <w:rPr>
          <w:spacing w:val="7"/>
          <w:w w:val="120"/>
          <w:sz w:val="20"/>
        </w:rPr>
        <w:t> </w:t>
      </w:r>
      <w:r>
        <w:rPr>
          <w:w w:val="120"/>
          <w:sz w:val="20"/>
        </w:rPr>
        <w:t>time;</w:t>
      </w:r>
    </w:p>
    <w:p>
      <w:pPr>
        <w:pStyle w:val="ListParagraph"/>
        <w:numPr>
          <w:ilvl w:val="0"/>
          <w:numId w:val="94"/>
        </w:numPr>
        <w:tabs>
          <w:tab w:pos="1507" w:val="left" w:leader="none"/>
          <w:tab w:pos="1508" w:val="left" w:leader="none"/>
        </w:tabs>
        <w:spacing w:line="235" w:lineRule="auto" w:before="2" w:after="0"/>
        <w:ind w:left="1507" w:right="1616" w:hanging="681"/>
        <w:jc w:val="left"/>
        <w:rPr>
          <w:sz w:val="20"/>
        </w:rPr>
      </w:pPr>
      <w:r>
        <w:rPr>
          <w:w w:val="120"/>
          <w:sz w:val="20"/>
        </w:rPr>
        <w:t>frequently leading worship in a church other than where they are a member </w:t>
      </w:r>
      <w:r>
        <w:rPr>
          <w:spacing w:val="-4"/>
          <w:w w:val="120"/>
          <w:sz w:val="20"/>
        </w:rPr>
        <w:t>(this </w:t>
      </w:r>
      <w:r>
        <w:rPr>
          <w:w w:val="120"/>
          <w:sz w:val="20"/>
        </w:rPr>
        <w:t>criterion does not apply in the case of Church Related Community</w:t>
      </w:r>
      <w:r>
        <w:rPr>
          <w:spacing w:val="51"/>
          <w:w w:val="120"/>
          <w:sz w:val="20"/>
        </w:rPr>
        <w:t> </w:t>
      </w:r>
      <w:r>
        <w:rPr>
          <w:spacing w:val="-3"/>
          <w:w w:val="120"/>
          <w:sz w:val="20"/>
        </w:rPr>
        <w:t>Workers).</w:t>
      </w:r>
    </w:p>
    <w:p>
      <w:pPr>
        <w:pStyle w:val="BodyText"/>
        <w:spacing w:before="9"/>
        <w:rPr>
          <w:sz w:val="19"/>
        </w:rPr>
      </w:pPr>
    </w:p>
    <w:p>
      <w:pPr>
        <w:pStyle w:val="BodyText"/>
        <w:spacing w:line="235" w:lineRule="auto"/>
        <w:ind w:left="827" w:right="1967"/>
      </w:pPr>
      <w:r>
        <w:rPr>
          <w:w w:val="120"/>
        </w:rPr>
        <w:t>Where there is uncertainty as to whether or not a Minister of Word and Sacraments or Church Related Community Worker falls within any of the six descriptions given above the judgment shall be made by the Minister’s synod, which may delegate the responsibility to one of its committees. Any appeal against the decision of a synod in this respect should be directed to the Secretary for Ministries.</w:t>
      </w:r>
    </w:p>
    <w:p>
      <w:pPr>
        <w:spacing w:after="0" w:line="235" w:lineRule="auto"/>
        <w:sectPr>
          <w:headerReference w:type="even" r:id="rId373"/>
          <w:footerReference w:type="even" r:id="rId374"/>
          <w:pgSz w:w="11910" w:h="16840"/>
          <w:pgMar w:header="0" w:footer="647" w:top="0" w:bottom="840" w:left="420" w:right="380"/>
          <w:pgNumType w:start="134"/>
        </w:sectPr>
      </w:pPr>
    </w:p>
    <w:p>
      <w:pPr>
        <w:pStyle w:val="BodyText"/>
      </w:pPr>
      <w:r>
        <w:rPr/>
        <w:pict>
          <v:rect style="position:absolute;margin-left:1.417pt;margin-top:.000015pt;width:547.79pt;height:841.89pt;mso-position-horizontal-relative:page;mso-position-vertical-relative:page;z-index:-267269120" filled="true" fillcolor="#d4e9f7" stroked="false">
            <v:fill type="solid"/>
            <w10:wrap type="none"/>
          </v:rect>
        </w:pict>
      </w:r>
      <w:r>
        <w:rPr/>
        <w:drawing>
          <wp:anchor distT="0" distB="0" distL="0" distR="0" allowOverlap="1" layoutInCell="1" locked="0" behindDoc="0" simplePos="0" relativeHeight="252015616">
            <wp:simplePos x="0" y="0"/>
            <wp:positionH relativeFrom="page">
              <wp:posOffset>6974928</wp:posOffset>
            </wp:positionH>
            <wp:positionV relativeFrom="page">
              <wp:posOffset>0</wp:posOffset>
            </wp:positionV>
            <wp:extent cx="585063" cy="10692003"/>
            <wp:effectExtent l="0" t="0" r="0" b="0"/>
            <wp:wrapNone/>
            <wp:docPr id="259" name="image57.png"/>
            <wp:cNvGraphicFramePr>
              <a:graphicFrameLocks noChangeAspect="1"/>
            </wp:cNvGraphicFramePr>
            <a:graphic>
              <a:graphicData uri="http://schemas.openxmlformats.org/drawingml/2006/picture">
                <pic:pic>
                  <pic:nvPicPr>
                    <pic:cNvPr id="26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3"/>
        <w:rPr>
          <w:sz w:val="27"/>
        </w:rPr>
      </w:pPr>
    </w:p>
    <w:p>
      <w:pPr>
        <w:pStyle w:val="Heading2"/>
        <w:spacing w:line="213" w:lineRule="auto"/>
        <w:ind w:left="1294" w:right="2478"/>
        <w:rPr>
          <w:b/>
        </w:rPr>
      </w:pPr>
      <w:r>
        <w:rPr/>
        <w:pict>
          <v:shape style="position:absolute;margin-left:554.141174pt;margin-top:-5.280777pt;width:26pt;height:344.6pt;mso-position-horizontal-relative:page;mso-position-vertical-relative:paragraph;z-index:252016640" type="#_x0000_t202" filled="false" stroked="false">
            <v:textbox inset="0,0,0,0" style="layout-flow:vertical">
              <w:txbxContent>
                <w:p>
                  <w:pPr>
                    <w:spacing w:before="29"/>
                    <w:ind w:left="20" w:right="0" w:firstLine="0"/>
                    <w:jc w:val="left"/>
                    <w:rPr>
                      <w:sz w:val="39"/>
                    </w:rPr>
                  </w:pPr>
                  <w:r>
                    <w:rPr>
                      <w:color w:val="FFFFFF"/>
                      <w:spacing w:val="10"/>
                      <w:w w:val="125"/>
                      <w:sz w:val="39"/>
                    </w:rPr>
                    <w:t>Ministries </w:t>
                  </w:r>
                  <w:r>
                    <w:rPr>
                      <w:color w:val="FFFFFF"/>
                      <w:w w:val="125"/>
                      <w:sz w:val="39"/>
                    </w:rPr>
                    <w:t>– </w:t>
                  </w:r>
                  <w:r>
                    <w:rPr>
                      <w:spacing w:val="10"/>
                      <w:w w:val="125"/>
                      <w:sz w:val="39"/>
                    </w:rPr>
                    <w:t>Discerning </w:t>
                  </w:r>
                  <w:r>
                    <w:rPr>
                      <w:spacing w:val="-3"/>
                      <w:w w:val="125"/>
                      <w:sz w:val="39"/>
                    </w:rPr>
                    <w:t>God’s</w:t>
                  </w:r>
                  <w:r>
                    <w:rPr>
                      <w:spacing w:val="79"/>
                      <w:w w:val="125"/>
                      <w:sz w:val="39"/>
                    </w:rPr>
                    <w:t> </w:t>
                  </w:r>
                  <w:r>
                    <w:rPr>
                      <w:spacing w:val="11"/>
                      <w:w w:val="125"/>
                      <w:sz w:val="39"/>
                    </w:rPr>
                    <w:t>call</w:t>
                  </w:r>
                </w:p>
              </w:txbxContent>
            </v:textbox>
            <w10:wrap type="none"/>
          </v:shape>
        </w:pict>
      </w:r>
      <w:bookmarkStart w:name="_bookmark24" w:id="32"/>
      <w:bookmarkEnd w:id="32"/>
      <w:r>
        <w:rPr>
          <w:b w:val="0"/>
        </w:rPr>
      </w:r>
      <w:r>
        <w:rPr>
          <w:b/>
          <w:color w:val="0090D4"/>
          <w:spacing w:val="-10"/>
          <w:w w:val="110"/>
        </w:rPr>
        <w:t>Ministries committee </w:t>
      </w:r>
      <w:r>
        <w:rPr>
          <w:b/>
          <w:spacing w:val="-10"/>
          <w:w w:val="110"/>
        </w:rPr>
        <w:t>Discerning </w:t>
      </w:r>
      <w:r>
        <w:rPr>
          <w:b/>
          <w:spacing w:val="-13"/>
          <w:w w:val="110"/>
        </w:rPr>
        <w:t>God’s </w:t>
      </w:r>
      <w:r>
        <w:rPr>
          <w:b/>
          <w:spacing w:val="-9"/>
          <w:w w:val="110"/>
        </w:rPr>
        <w:t>call </w:t>
      </w:r>
      <w:r>
        <w:rPr>
          <w:b/>
          <w:spacing w:val="-10"/>
          <w:w w:val="110"/>
        </w:rPr>
        <w:t>to </w:t>
      </w:r>
      <w:r>
        <w:rPr>
          <w:b/>
          <w:spacing w:val="-5"/>
          <w:w w:val="110"/>
        </w:rPr>
        <w:t>URC </w:t>
      </w:r>
      <w:r>
        <w:rPr>
          <w:b/>
          <w:spacing w:val="-10"/>
          <w:w w:val="110"/>
        </w:rPr>
        <w:t>Ministers </w:t>
      </w:r>
      <w:r>
        <w:rPr>
          <w:b/>
          <w:spacing w:val="-5"/>
          <w:w w:val="110"/>
        </w:rPr>
        <w:t>of </w:t>
      </w:r>
      <w:r>
        <w:rPr>
          <w:b/>
          <w:spacing w:val="-11"/>
          <w:w w:val="110"/>
        </w:rPr>
        <w:t>Word </w:t>
      </w:r>
      <w:r>
        <w:rPr>
          <w:b/>
          <w:spacing w:val="-7"/>
          <w:w w:val="110"/>
        </w:rPr>
        <w:t>and </w:t>
      </w:r>
      <w:r>
        <w:rPr>
          <w:b/>
          <w:spacing w:val="-10"/>
          <w:w w:val="110"/>
        </w:rPr>
        <w:t>Sacraments</w:t>
      </w:r>
    </w:p>
    <w:p>
      <w:pPr>
        <w:spacing w:before="352" w:after="10"/>
        <w:ind w:left="1294"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04"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The Revd Paul Whittle: </w:t>
            </w:r>
            <w:hyperlink r:id="rId372">
              <w:r>
                <w:rPr>
                  <w:color w:val="006AB3"/>
                  <w:w w:val="120"/>
                  <w:sz w:val="20"/>
                </w:rPr>
                <w:t>moderator@urceastern.org.uk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Decision.</w:t>
            </w:r>
          </w:p>
        </w:tc>
      </w:tr>
      <w:tr>
        <w:trPr>
          <w:trHeight w:val="136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tabs>
                <w:tab w:pos="760" w:val="left" w:leader="none"/>
              </w:tabs>
              <w:spacing w:line="213" w:lineRule="auto" w:before="117"/>
              <w:ind w:left="80" w:right="213"/>
              <w:rPr>
                <w:rFonts w:ascii="Stone Sans II ITC Std Bk"/>
                <w:b/>
                <w:sz w:val="20"/>
              </w:rPr>
            </w:pPr>
            <w:r>
              <w:rPr>
                <w:rFonts w:ascii="Stone Sans II ITC Std Bk"/>
                <w:b/>
                <w:w w:val="110"/>
                <w:sz w:val="20"/>
              </w:rPr>
              <w:t>28.</w:t>
              <w:tab/>
              <w:t>General Assembly encourages a flexible approach to how ministerial calls are issued and concurred, noting the variety of existing practice and the provisions of sections </w:t>
            </w:r>
            <w:r>
              <w:rPr>
                <w:rFonts w:ascii="Stone Sans II ITC Std Bk"/>
                <w:b/>
                <w:spacing w:val="-10"/>
                <w:w w:val="110"/>
                <w:sz w:val="20"/>
              </w:rPr>
              <w:t>1(1)(b), </w:t>
            </w:r>
            <w:r>
              <w:rPr>
                <w:rFonts w:ascii="Stone Sans II ITC Std Bk"/>
                <w:b/>
                <w:spacing w:val="-11"/>
                <w:w w:val="110"/>
                <w:sz w:val="20"/>
              </w:rPr>
              <w:t>1(1)(c), </w:t>
            </w:r>
            <w:r>
              <w:rPr>
                <w:rFonts w:ascii="Stone Sans II ITC Std Bk"/>
                <w:b/>
                <w:spacing w:val="-7"/>
                <w:w w:val="110"/>
                <w:sz w:val="20"/>
              </w:rPr>
              <w:t>2(1)(vii), </w:t>
            </w:r>
            <w:r>
              <w:rPr>
                <w:rFonts w:ascii="Stone Sans II ITC Std Bk"/>
                <w:b/>
                <w:spacing w:val="-6"/>
                <w:w w:val="110"/>
                <w:sz w:val="20"/>
              </w:rPr>
              <w:t>2(4)(A)(iii) </w:t>
            </w:r>
            <w:r>
              <w:rPr>
                <w:rFonts w:ascii="Stone Sans II ITC Std Bk"/>
                <w:b/>
                <w:w w:val="110"/>
                <w:sz w:val="20"/>
              </w:rPr>
              <w:t>and </w:t>
            </w:r>
            <w:r>
              <w:rPr>
                <w:rFonts w:ascii="Stone Sans II ITC Std Bk"/>
                <w:b/>
                <w:spacing w:val="-7"/>
                <w:w w:val="110"/>
                <w:sz w:val="20"/>
              </w:rPr>
              <w:t>2(4)(A)(vii) </w:t>
            </w:r>
            <w:r>
              <w:rPr>
                <w:rFonts w:ascii="Stone Sans II ITC Std Bk"/>
                <w:b/>
                <w:w w:val="110"/>
                <w:sz w:val="20"/>
              </w:rPr>
              <w:t>of the Structure of the</w:t>
            </w:r>
            <w:r>
              <w:rPr>
                <w:rFonts w:ascii="Stone Sans II ITC Std Bk"/>
                <w:b/>
                <w:spacing w:val="-1"/>
                <w:w w:val="110"/>
                <w:sz w:val="20"/>
              </w:rPr>
              <w:t> </w:t>
            </w:r>
            <w:r>
              <w:rPr>
                <w:rFonts w:ascii="Stone Sans II ITC Std Bk"/>
                <w:b/>
                <w:w w:val="110"/>
                <w:sz w:val="20"/>
              </w:rPr>
              <w:t>URC.</w:t>
            </w:r>
          </w:p>
        </w:tc>
      </w:tr>
    </w:tbl>
    <w:p>
      <w:pPr>
        <w:spacing w:before="187" w:after="9"/>
        <w:ind w:left="1294"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04"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395"/>
              <w:rPr>
                <w:sz w:val="20"/>
              </w:rPr>
            </w:pPr>
            <w:r>
              <w:rPr>
                <w:w w:val="120"/>
                <w:sz w:val="20"/>
              </w:rPr>
              <w:t>This is an important reminder that ministers are, and can be, called in a variety of ways.</w:t>
            </w:r>
          </w:p>
        </w:tc>
      </w:tr>
      <w:tr>
        <w:trPr>
          <w:trHeight w:val="184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Pr>
                <w:sz w:val="20"/>
              </w:rPr>
            </w:pPr>
            <w:r>
              <w:rPr>
                <w:w w:val="120"/>
                <w:sz w:val="20"/>
              </w:rPr>
              <w:t>This paper recognises the various ways in which ministers are called to particular posts.</w:t>
            </w:r>
          </w:p>
          <w:p>
            <w:pPr>
              <w:pStyle w:val="TableParagraph"/>
              <w:spacing w:line="235" w:lineRule="auto" w:before="2"/>
              <w:ind w:left="80"/>
              <w:rPr>
                <w:sz w:val="20"/>
              </w:rPr>
            </w:pPr>
            <w:r>
              <w:rPr>
                <w:w w:val="120"/>
                <w:sz w:val="20"/>
              </w:rPr>
              <w:t>It values the traditional calling of a minister by church meeting(s), but also recognises the value of flexibility, and believes it right to call the attention of General Assembly to what is possible.</w:t>
            </w:r>
          </w:p>
          <w:p>
            <w:pPr>
              <w:pStyle w:val="TableParagraph"/>
              <w:spacing w:line="235" w:lineRule="auto" w:before="2"/>
              <w:ind w:left="80" w:right="395"/>
              <w:rPr>
                <w:sz w:val="20"/>
              </w:rPr>
            </w:pPr>
            <w:r>
              <w:rPr>
                <w:w w:val="120"/>
                <w:sz w:val="20"/>
              </w:rPr>
              <w:t>It emphasises the importance of undertaking such processes with clarity and good order.</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2015"/>
              <w:rPr>
                <w:sz w:val="20"/>
              </w:rPr>
            </w:pPr>
            <w:r>
              <w:rPr>
                <w:w w:val="120"/>
                <w:sz w:val="20"/>
              </w:rPr>
              <w:t>Paper H2 Mission Council October 2016. Paper H1 Mission Council May 2017.</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42" w:lineRule="exact" w:before="108"/>
              <w:ind w:left="80"/>
              <w:rPr>
                <w:sz w:val="20"/>
              </w:rPr>
            </w:pPr>
            <w:r>
              <w:rPr>
                <w:w w:val="120"/>
                <w:sz w:val="20"/>
              </w:rPr>
              <w:t>Mission Council.</w:t>
            </w:r>
          </w:p>
          <w:p>
            <w:pPr>
              <w:pStyle w:val="TableParagraph"/>
              <w:spacing w:line="242" w:lineRule="exact"/>
              <w:ind w:left="80"/>
              <w:rPr>
                <w:sz w:val="20"/>
              </w:rPr>
            </w:pPr>
            <w:r>
              <w:rPr>
                <w:w w:val="120"/>
                <w:sz w:val="20"/>
              </w:rPr>
              <w:t>The synod moderators.</w:t>
            </w:r>
          </w:p>
        </w:tc>
      </w:tr>
    </w:tbl>
    <w:p>
      <w:pPr>
        <w:spacing w:before="187" w:after="9"/>
        <w:ind w:left="1294"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04"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No immediate impact on the budget.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0"/>
                <w:sz w:val="20"/>
              </w:rPr>
              <w:t>No direct immediate impact.</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spacing w:before="195"/>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135</w:t>
      </w:r>
    </w:p>
    <w:p>
      <w:pPr>
        <w:spacing w:after="0"/>
        <w:jc w:val="left"/>
        <w:rPr>
          <w:rFonts w:ascii="Stone Sans II ITC Std X Bd" w:hAnsi="Stone Sans II ITC Std X Bd"/>
          <w:sz w:val="24"/>
        </w:rPr>
        <w:sectPr>
          <w:headerReference w:type="default" r:id="rId375"/>
          <w:footerReference w:type="default" r:id="rId376"/>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6050432">
            <wp:simplePos x="0" y="0"/>
            <wp:positionH relativeFrom="page">
              <wp:posOffset>0</wp:posOffset>
            </wp:positionH>
            <wp:positionV relativeFrom="page">
              <wp:posOffset>0</wp:posOffset>
            </wp:positionV>
            <wp:extent cx="594067" cy="10692003"/>
            <wp:effectExtent l="0" t="0" r="0" b="0"/>
            <wp:wrapNone/>
            <wp:docPr id="261" name="image70.png"/>
            <wp:cNvGraphicFramePr>
              <a:graphicFrameLocks noChangeAspect="1"/>
            </wp:cNvGraphicFramePr>
            <a:graphic>
              <a:graphicData uri="http://schemas.openxmlformats.org/drawingml/2006/picture">
                <pic:pic>
                  <pic:nvPicPr>
                    <pic:cNvPr id="26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line="213" w:lineRule="auto" w:before="153"/>
        <w:ind w:left="1501" w:right="2276" w:hanging="1"/>
        <w:jc w:val="center"/>
        <w:rPr>
          <w:rFonts w:ascii="Stone Sans II ITC Std X Bd" w:hAnsi="Stone Sans II ITC Std X Bd"/>
          <w:b/>
          <w:sz w:val="50"/>
        </w:rPr>
      </w:pPr>
      <w:r>
        <w:rPr/>
        <w:pict>
          <v:shape style="position:absolute;margin-left:20.519100pt;margin-top:-5.989334pt;width:26pt;height:344.6pt;mso-position-horizontal-relative:page;mso-position-vertical-relative:paragraph;z-index:252018688" type="#_x0000_t202" filled="false" stroked="false">
            <v:textbox inset="0,0,0,0" style="layout-flow:vertical">
              <w:txbxContent>
                <w:p>
                  <w:pPr>
                    <w:spacing w:before="29"/>
                    <w:ind w:left="20" w:right="0" w:firstLine="0"/>
                    <w:jc w:val="left"/>
                    <w:rPr>
                      <w:sz w:val="39"/>
                    </w:rPr>
                  </w:pPr>
                  <w:r>
                    <w:rPr>
                      <w:color w:val="FFFFFF"/>
                      <w:spacing w:val="10"/>
                      <w:w w:val="125"/>
                      <w:sz w:val="39"/>
                    </w:rPr>
                    <w:t>Ministries </w:t>
                  </w:r>
                  <w:r>
                    <w:rPr>
                      <w:color w:val="FFFFFF"/>
                      <w:w w:val="125"/>
                      <w:sz w:val="39"/>
                    </w:rPr>
                    <w:t>– </w:t>
                  </w:r>
                  <w:r>
                    <w:rPr>
                      <w:spacing w:val="10"/>
                      <w:w w:val="125"/>
                      <w:sz w:val="39"/>
                    </w:rPr>
                    <w:t>Discerning </w:t>
                  </w:r>
                  <w:r>
                    <w:rPr>
                      <w:spacing w:val="-3"/>
                      <w:w w:val="125"/>
                      <w:sz w:val="39"/>
                    </w:rPr>
                    <w:t>God’s</w:t>
                  </w:r>
                  <w:r>
                    <w:rPr>
                      <w:spacing w:val="79"/>
                      <w:w w:val="125"/>
                      <w:sz w:val="39"/>
                    </w:rPr>
                    <w:t> </w:t>
                  </w:r>
                  <w:r>
                    <w:rPr>
                      <w:spacing w:val="11"/>
                      <w:w w:val="125"/>
                      <w:sz w:val="39"/>
                    </w:rPr>
                    <w:t>call</w:t>
                  </w:r>
                </w:p>
              </w:txbxContent>
            </v:textbox>
            <w10:wrap type="none"/>
          </v:shape>
        </w:pict>
      </w:r>
      <w:r>
        <w:rPr>
          <w:rFonts w:ascii="Stone Sans II ITC Std X Bd" w:hAnsi="Stone Sans II ITC Std X Bd"/>
          <w:b/>
          <w:spacing w:val="-10"/>
          <w:w w:val="110"/>
          <w:sz w:val="50"/>
        </w:rPr>
        <w:t>Discerning </w:t>
      </w:r>
      <w:r>
        <w:rPr>
          <w:rFonts w:ascii="Stone Sans II ITC Std X Bd" w:hAnsi="Stone Sans II ITC Std X Bd"/>
          <w:b/>
          <w:spacing w:val="-13"/>
          <w:w w:val="110"/>
          <w:sz w:val="50"/>
        </w:rPr>
        <w:t>God’s </w:t>
      </w:r>
      <w:r>
        <w:rPr>
          <w:rFonts w:ascii="Stone Sans II ITC Std X Bd" w:hAnsi="Stone Sans II ITC Std X Bd"/>
          <w:b/>
          <w:spacing w:val="-9"/>
          <w:w w:val="110"/>
          <w:sz w:val="50"/>
        </w:rPr>
        <w:t>call </w:t>
      </w:r>
      <w:r>
        <w:rPr>
          <w:rFonts w:ascii="Stone Sans II ITC Std X Bd" w:hAnsi="Stone Sans II ITC Std X Bd"/>
          <w:b/>
          <w:spacing w:val="-10"/>
          <w:w w:val="110"/>
          <w:sz w:val="50"/>
        </w:rPr>
        <w:t>to </w:t>
      </w:r>
      <w:r>
        <w:rPr>
          <w:rFonts w:ascii="Stone Sans II ITC Std X Bd" w:hAnsi="Stone Sans II ITC Std X Bd"/>
          <w:b/>
          <w:spacing w:val="-5"/>
          <w:w w:val="110"/>
          <w:sz w:val="50"/>
        </w:rPr>
        <w:t>URC </w:t>
      </w:r>
      <w:r>
        <w:rPr>
          <w:rFonts w:ascii="Stone Sans II ITC Std X Bd" w:hAnsi="Stone Sans II ITC Std X Bd"/>
          <w:b/>
          <w:spacing w:val="-10"/>
          <w:w w:val="110"/>
          <w:sz w:val="50"/>
        </w:rPr>
        <w:t>Ministers </w:t>
      </w:r>
      <w:r>
        <w:rPr>
          <w:rFonts w:ascii="Stone Sans II ITC Std X Bd" w:hAnsi="Stone Sans II ITC Std X Bd"/>
          <w:b/>
          <w:spacing w:val="-5"/>
          <w:w w:val="110"/>
          <w:sz w:val="50"/>
        </w:rPr>
        <w:t>of </w:t>
      </w:r>
      <w:r>
        <w:rPr>
          <w:rFonts w:ascii="Stone Sans II ITC Std X Bd" w:hAnsi="Stone Sans II ITC Std X Bd"/>
          <w:b/>
          <w:spacing w:val="-11"/>
          <w:w w:val="110"/>
          <w:sz w:val="50"/>
        </w:rPr>
        <w:t>Word </w:t>
      </w:r>
      <w:r>
        <w:rPr>
          <w:rFonts w:ascii="Stone Sans II ITC Std X Bd" w:hAnsi="Stone Sans II ITC Std X Bd"/>
          <w:b/>
          <w:spacing w:val="-7"/>
          <w:w w:val="110"/>
          <w:sz w:val="50"/>
        </w:rPr>
        <w:t>and </w:t>
      </w:r>
      <w:r>
        <w:rPr>
          <w:rFonts w:ascii="Stone Sans II ITC Std X Bd" w:hAnsi="Stone Sans II ITC Std X Bd"/>
          <w:b/>
          <w:spacing w:val="-10"/>
          <w:w w:val="110"/>
          <w:sz w:val="50"/>
        </w:rPr>
        <w:t>Sacraments</w:t>
      </w:r>
    </w:p>
    <w:p>
      <w:pPr>
        <w:pStyle w:val="ListParagraph"/>
        <w:numPr>
          <w:ilvl w:val="0"/>
          <w:numId w:val="95"/>
        </w:numPr>
        <w:tabs>
          <w:tab w:pos="1507" w:val="left" w:leader="none"/>
          <w:tab w:pos="1508" w:val="left" w:leader="none"/>
        </w:tabs>
        <w:spacing w:line="235" w:lineRule="auto" w:before="381" w:after="0"/>
        <w:ind w:left="827" w:right="1624" w:firstLine="0"/>
        <w:jc w:val="left"/>
        <w:rPr>
          <w:sz w:val="20"/>
        </w:rPr>
      </w:pPr>
      <w:r>
        <w:rPr>
          <w:w w:val="120"/>
          <w:sz w:val="20"/>
        </w:rPr>
        <w:t>The United Reformed Church believes that all are called by God. There is a ministry for each one of us, and those ministries are many and varied, but all are valued. We also recognise that calls come in many different ways just as, for example, David was picked out of a procession of candidates, </w:t>
      </w:r>
      <w:r>
        <w:rPr>
          <w:spacing w:val="2"/>
          <w:w w:val="120"/>
          <w:sz w:val="20"/>
        </w:rPr>
        <w:t>Mary </w:t>
      </w:r>
      <w:r>
        <w:rPr>
          <w:w w:val="120"/>
          <w:sz w:val="20"/>
        </w:rPr>
        <w:t>was visited by an angel, and Matthias was appointed through the drawing of</w:t>
      </w:r>
      <w:r>
        <w:rPr>
          <w:spacing w:val="16"/>
          <w:w w:val="120"/>
          <w:sz w:val="20"/>
        </w:rPr>
        <w:t> </w:t>
      </w:r>
      <w:r>
        <w:rPr>
          <w:w w:val="120"/>
          <w:sz w:val="20"/>
        </w:rPr>
        <w:t>lots.</w:t>
      </w:r>
    </w:p>
    <w:p>
      <w:pPr>
        <w:pStyle w:val="BodyText"/>
        <w:spacing w:before="11"/>
        <w:rPr>
          <w:sz w:val="19"/>
        </w:rPr>
      </w:pPr>
    </w:p>
    <w:p>
      <w:pPr>
        <w:pStyle w:val="ListParagraph"/>
        <w:numPr>
          <w:ilvl w:val="0"/>
          <w:numId w:val="95"/>
        </w:numPr>
        <w:tabs>
          <w:tab w:pos="1507" w:val="left" w:leader="none"/>
          <w:tab w:pos="1508" w:val="left" w:leader="none"/>
        </w:tabs>
        <w:spacing w:line="235" w:lineRule="auto" w:before="0" w:after="0"/>
        <w:ind w:left="827" w:right="1788" w:firstLine="0"/>
        <w:jc w:val="left"/>
        <w:rPr>
          <w:sz w:val="20"/>
        </w:rPr>
      </w:pPr>
      <w:r>
        <w:rPr>
          <w:w w:val="120"/>
          <w:sz w:val="20"/>
        </w:rPr>
        <w:t>One particular point of interest, not least because it is where we spend much   of our money, but also because it is how we deploy one of our largest resources, is the matter of calling ministers of word and sacraments to particular</w:t>
      </w:r>
      <w:r>
        <w:rPr>
          <w:spacing w:val="14"/>
          <w:w w:val="120"/>
          <w:sz w:val="20"/>
        </w:rPr>
        <w:t> </w:t>
      </w:r>
      <w:r>
        <w:rPr>
          <w:w w:val="120"/>
          <w:sz w:val="20"/>
        </w:rPr>
        <w:t>roles.</w:t>
      </w:r>
    </w:p>
    <w:p>
      <w:pPr>
        <w:pStyle w:val="BodyText"/>
        <w:spacing w:before="10"/>
        <w:rPr>
          <w:sz w:val="19"/>
        </w:rPr>
      </w:pPr>
    </w:p>
    <w:p>
      <w:pPr>
        <w:pStyle w:val="ListParagraph"/>
        <w:numPr>
          <w:ilvl w:val="0"/>
          <w:numId w:val="95"/>
        </w:numPr>
        <w:tabs>
          <w:tab w:pos="1507" w:val="left" w:leader="none"/>
          <w:tab w:pos="1508" w:val="left" w:leader="none"/>
        </w:tabs>
        <w:spacing w:line="235" w:lineRule="auto" w:before="0" w:after="0"/>
        <w:ind w:left="827" w:right="1772" w:firstLine="0"/>
        <w:jc w:val="left"/>
        <w:rPr>
          <w:sz w:val="20"/>
        </w:rPr>
      </w:pPr>
      <w:r>
        <w:rPr>
          <w:spacing w:val="2"/>
          <w:w w:val="120"/>
          <w:sz w:val="20"/>
        </w:rPr>
        <w:t>Though there </w:t>
      </w:r>
      <w:r>
        <w:rPr>
          <w:w w:val="120"/>
          <w:sz w:val="20"/>
        </w:rPr>
        <w:t>is, and increasingly so, a </w:t>
      </w:r>
      <w:r>
        <w:rPr>
          <w:spacing w:val="3"/>
          <w:w w:val="120"/>
          <w:sz w:val="20"/>
        </w:rPr>
        <w:t>variety </w:t>
      </w:r>
      <w:r>
        <w:rPr>
          <w:w w:val="120"/>
          <w:sz w:val="20"/>
        </w:rPr>
        <w:t>of </w:t>
      </w:r>
      <w:r>
        <w:rPr>
          <w:spacing w:val="2"/>
          <w:w w:val="120"/>
          <w:sz w:val="20"/>
        </w:rPr>
        <w:t>practice, </w:t>
      </w:r>
      <w:r>
        <w:rPr>
          <w:w w:val="120"/>
          <w:sz w:val="20"/>
        </w:rPr>
        <w:t>the ‘normal’ way in which this has </w:t>
      </w:r>
      <w:r>
        <w:rPr>
          <w:spacing w:val="2"/>
          <w:w w:val="120"/>
          <w:sz w:val="20"/>
        </w:rPr>
        <w:t>happened </w:t>
      </w:r>
      <w:r>
        <w:rPr>
          <w:w w:val="120"/>
          <w:sz w:val="20"/>
        </w:rPr>
        <w:t>is by a congregation, or group of congregations, </w:t>
      </w:r>
      <w:r>
        <w:rPr>
          <w:spacing w:val="2"/>
          <w:w w:val="120"/>
          <w:sz w:val="20"/>
        </w:rPr>
        <w:t>through    </w:t>
      </w:r>
      <w:r>
        <w:rPr>
          <w:w w:val="120"/>
          <w:sz w:val="20"/>
        </w:rPr>
        <w:t>the church meeting(s), issuing a call to a </w:t>
      </w:r>
      <w:r>
        <w:rPr>
          <w:spacing w:val="2"/>
          <w:w w:val="120"/>
          <w:sz w:val="20"/>
        </w:rPr>
        <w:t>prospective </w:t>
      </w:r>
      <w:r>
        <w:rPr>
          <w:w w:val="120"/>
          <w:sz w:val="20"/>
        </w:rPr>
        <w:t>minister. </w:t>
      </w:r>
      <w:r>
        <w:rPr>
          <w:spacing w:val="2"/>
          <w:w w:val="120"/>
          <w:sz w:val="20"/>
        </w:rPr>
        <w:t>If </w:t>
      </w:r>
      <w:r>
        <w:rPr>
          <w:w w:val="120"/>
          <w:sz w:val="20"/>
        </w:rPr>
        <w:t>that call is accepted,  it then </w:t>
      </w:r>
      <w:r>
        <w:rPr>
          <w:spacing w:val="2"/>
          <w:w w:val="120"/>
          <w:sz w:val="20"/>
        </w:rPr>
        <w:t>requires </w:t>
      </w:r>
      <w:r>
        <w:rPr>
          <w:w w:val="120"/>
          <w:sz w:val="20"/>
        </w:rPr>
        <w:t>concurrence </w:t>
      </w:r>
      <w:r>
        <w:rPr>
          <w:spacing w:val="2"/>
          <w:w w:val="120"/>
          <w:sz w:val="20"/>
        </w:rPr>
        <w:t>from </w:t>
      </w:r>
      <w:r>
        <w:rPr>
          <w:w w:val="120"/>
          <w:sz w:val="20"/>
        </w:rPr>
        <w:t>the </w:t>
      </w:r>
      <w:r>
        <w:rPr>
          <w:spacing w:val="2"/>
          <w:w w:val="120"/>
          <w:sz w:val="20"/>
        </w:rPr>
        <w:t>synod. The </w:t>
      </w:r>
      <w:r>
        <w:rPr>
          <w:w w:val="120"/>
          <w:sz w:val="20"/>
        </w:rPr>
        <w:t>issuing and accepting of a call in   this way creates a </w:t>
      </w:r>
      <w:r>
        <w:rPr>
          <w:spacing w:val="2"/>
          <w:w w:val="120"/>
          <w:sz w:val="20"/>
        </w:rPr>
        <w:t>valuable bond between </w:t>
      </w:r>
      <w:r>
        <w:rPr>
          <w:w w:val="120"/>
          <w:sz w:val="20"/>
        </w:rPr>
        <w:t>minister and congregation(s). However,   this is not </w:t>
      </w:r>
      <w:r>
        <w:rPr>
          <w:spacing w:val="2"/>
          <w:w w:val="120"/>
          <w:sz w:val="20"/>
        </w:rPr>
        <w:t>normal practice </w:t>
      </w:r>
      <w:r>
        <w:rPr>
          <w:w w:val="120"/>
          <w:sz w:val="20"/>
        </w:rPr>
        <w:t>for NSM, SCM and </w:t>
      </w:r>
      <w:r>
        <w:rPr>
          <w:spacing w:val="2"/>
          <w:w w:val="120"/>
          <w:sz w:val="20"/>
        </w:rPr>
        <w:t>Assembly-appointed </w:t>
      </w:r>
      <w:r>
        <w:rPr>
          <w:w w:val="120"/>
          <w:sz w:val="20"/>
        </w:rPr>
        <w:t>ministerial </w:t>
      </w:r>
      <w:r>
        <w:rPr>
          <w:spacing w:val="3"/>
          <w:w w:val="120"/>
          <w:sz w:val="20"/>
        </w:rPr>
        <w:t>posts, </w:t>
      </w:r>
      <w:r>
        <w:rPr>
          <w:spacing w:val="2"/>
          <w:w w:val="120"/>
          <w:sz w:val="20"/>
        </w:rPr>
        <w:t>amongst</w:t>
      </w:r>
      <w:r>
        <w:rPr>
          <w:spacing w:val="6"/>
          <w:w w:val="120"/>
          <w:sz w:val="20"/>
        </w:rPr>
        <w:t> </w:t>
      </w:r>
      <w:r>
        <w:rPr>
          <w:spacing w:val="2"/>
          <w:w w:val="120"/>
          <w:sz w:val="20"/>
        </w:rPr>
        <w:t>others.</w:t>
      </w:r>
    </w:p>
    <w:p>
      <w:pPr>
        <w:pStyle w:val="BodyText"/>
        <w:spacing w:before="1"/>
      </w:pPr>
    </w:p>
    <w:p>
      <w:pPr>
        <w:pStyle w:val="ListParagraph"/>
        <w:numPr>
          <w:ilvl w:val="0"/>
          <w:numId w:val="95"/>
        </w:numPr>
        <w:tabs>
          <w:tab w:pos="1507" w:val="left" w:leader="none"/>
          <w:tab w:pos="1508" w:val="left" w:leader="none"/>
        </w:tabs>
        <w:spacing w:line="235" w:lineRule="auto" w:before="0" w:after="0"/>
        <w:ind w:left="827" w:right="1658" w:firstLine="0"/>
        <w:jc w:val="left"/>
        <w:rPr>
          <w:sz w:val="20"/>
        </w:rPr>
      </w:pPr>
      <w:r>
        <w:rPr>
          <w:w w:val="120"/>
          <w:sz w:val="20"/>
        </w:rPr>
        <w:t>Since General Assembly last met, Mission Council has spent a significant amount of time discussing questions around the provision and distribution of ministry, and how individuals are called to ministry. One of the key points, supported by the vast majority at Mission Council, has been the importance of flexibility as we look to offer effective ministry in a changing society and a changing</w:t>
      </w:r>
      <w:r>
        <w:rPr>
          <w:spacing w:val="29"/>
          <w:w w:val="120"/>
          <w:sz w:val="20"/>
        </w:rPr>
        <w:t> </w:t>
      </w:r>
      <w:r>
        <w:rPr>
          <w:w w:val="120"/>
          <w:sz w:val="20"/>
        </w:rPr>
        <w:t>church.</w:t>
      </w:r>
    </w:p>
    <w:p>
      <w:pPr>
        <w:pStyle w:val="BodyText"/>
        <w:spacing w:before="12"/>
        <w:rPr>
          <w:sz w:val="19"/>
        </w:rPr>
      </w:pPr>
    </w:p>
    <w:p>
      <w:pPr>
        <w:pStyle w:val="ListParagraph"/>
        <w:numPr>
          <w:ilvl w:val="0"/>
          <w:numId w:val="95"/>
        </w:numPr>
        <w:tabs>
          <w:tab w:pos="1507" w:val="left" w:leader="none"/>
          <w:tab w:pos="1508" w:val="left" w:leader="none"/>
        </w:tabs>
        <w:spacing w:line="235" w:lineRule="auto" w:before="0" w:after="0"/>
        <w:ind w:left="827" w:right="1977" w:firstLine="0"/>
        <w:jc w:val="left"/>
        <w:rPr>
          <w:sz w:val="20"/>
        </w:rPr>
      </w:pPr>
      <w:r>
        <w:rPr>
          <w:w w:val="120"/>
          <w:sz w:val="20"/>
        </w:rPr>
        <w:t>Ministries Committee was asked to explore whether the locus of call should change and move away from the local church meeting, though in a way that did not exclude church meeting from the</w:t>
      </w:r>
      <w:r>
        <w:rPr>
          <w:spacing w:val="13"/>
          <w:w w:val="120"/>
          <w:sz w:val="20"/>
        </w:rPr>
        <w:t> </w:t>
      </w:r>
      <w:r>
        <w:rPr>
          <w:w w:val="120"/>
          <w:sz w:val="20"/>
        </w:rPr>
        <w:t>decision.</w:t>
      </w:r>
    </w:p>
    <w:p>
      <w:pPr>
        <w:pStyle w:val="BodyText"/>
        <w:spacing w:before="10"/>
        <w:rPr>
          <w:sz w:val="19"/>
        </w:rPr>
      </w:pPr>
    </w:p>
    <w:p>
      <w:pPr>
        <w:pStyle w:val="ListParagraph"/>
        <w:numPr>
          <w:ilvl w:val="0"/>
          <w:numId w:val="95"/>
        </w:numPr>
        <w:tabs>
          <w:tab w:pos="1507" w:val="left" w:leader="none"/>
          <w:tab w:pos="1508" w:val="left" w:leader="none"/>
        </w:tabs>
        <w:spacing w:line="235" w:lineRule="auto" w:before="0" w:after="0"/>
        <w:ind w:left="827" w:right="1720" w:firstLine="0"/>
        <w:jc w:val="left"/>
        <w:rPr>
          <w:sz w:val="20"/>
        </w:rPr>
      </w:pPr>
      <w:r>
        <w:rPr>
          <w:w w:val="120"/>
          <w:sz w:val="20"/>
        </w:rPr>
        <w:t>However, consideration of this question led us to realise that there are already examples in several synods of calls from a group of churches, and even of changing pastoral responsibility during a ministry, in some of those situations where the ministry has been provided by a</w:t>
      </w:r>
      <w:r>
        <w:rPr>
          <w:spacing w:val="10"/>
          <w:w w:val="120"/>
          <w:sz w:val="20"/>
        </w:rPr>
        <w:t> </w:t>
      </w:r>
      <w:r>
        <w:rPr>
          <w:w w:val="120"/>
          <w:sz w:val="20"/>
        </w:rPr>
        <w:t>team.</w:t>
      </w:r>
    </w:p>
    <w:p>
      <w:pPr>
        <w:pStyle w:val="BodyText"/>
        <w:spacing w:before="11"/>
        <w:rPr>
          <w:sz w:val="19"/>
        </w:rPr>
      </w:pPr>
    </w:p>
    <w:p>
      <w:pPr>
        <w:pStyle w:val="ListParagraph"/>
        <w:numPr>
          <w:ilvl w:val="0"/>
          <w:numId w:val="95"/>
        </w:numPr>
        <w:tabs>
          <w:tab w:pos="1507" w:val="left" w:leader="none"/>
          <w:tab w:pos="1508" w:val="left" w:leader="none"/>
        </w:tabs>
        <w:spacing w:line="235" w:lineRule="auto" w:before="0" w:after="0"/>
        <w:ind w:left="827" w:right="1738" w:firstLine="0"/>
        <w:jc w:val="left"/>
        <w:rPr>
          <w:sz w:val="20"/>
        </w:rPr>
      </w:pPr>
      <w:r>
        <w:rPr>
          <w:w w:val="120"/>
          <w:sz w:val="20"/>
        </w:rPr>
        <w:t>The Manual already provides an appropriate framework for such an approach   in those situations where such seems to be right – see Part B, the Structure of the URC, sections </w:t>
      </w:r>
      <w:r>
        <w:rPr>
          <w:spacing w:val="-9"/>
          <w:w w:val="120"/>
          <w:sz w:val="20"/>
        </w:rPr>
        <w:t>1(1)(b), </w:t>
      </w:r>
      <w:r>
        <w:rPr>
          <w:spacing w:val="-11"/>
          <w:w w:val="120"/>
          <w:sz w:val="20"/>
        </w:rPr>
        <w:t>1(1)(c), </w:t>
      </w:r>
      <w:r>
        <w:rPr>
          <w:spacing w:val="-6"/>
          <w:w w:val="120"/>
          <w:sz w:val="20"/>
        </w:rPr>
        <w:t>2(1)(vii), </w:t>
      </w:r>
      <w:r>
        <w:rPr>
          <w:spacing w:val="-5"/>
          <w:w w:val="120"/>
          <w:sz w:val="20"/>
        </w:rPr>
        <w:t>2(4)(A)(iii) </w:t>
      </w:r>
      <w:r>
        <w:rPr>
          <w:w w:val="120"/>
          <w:sz w:val="20"/>
        </w:rPr>
        <w:t>and</w:t>
      </w:r>
      <w:r>
        <w:rPr>
          <w:spacing w:val="9"/>
          <w:w w:val="120"/>
          <w:sz w:val="20"/>
        </w:rPr>
        <w:t> </w:t>
      </w:r>
      <w:r>
        <w:rPr>
          <w:spacing w:val="-6"/>
          <w:w w:val="120"/>
          <w:sz w:val="20"/>
        </w:rPr>
        <w:t>2(4)(A)(vii).</w:t>
      </w:r>
    </w:p>
    <w:p>
      <w:pPr>
        <w:pStyle w:val="BodyText"/>
        <w:spacing w:before="10"/>
        <w:rPr>
          <w:sz w:val="19"/>
        </w:rPr>
      </w:pPr>
    </w:p>
    <w:p>
      <w:pPr>
        <w:pStyle w:val="ListParagraph"/>
        <w:numPr>
          <w:ilvl w:val="0"/>
          <w:numId w:val="95"/>
        </w:numPr>
        <w:tabs>
          <w:tab w:pos="1507" w:val="left" w:leader="none"/>
          <w:tab w:pos="1508" w:val="left" w:leader="none"/>
        </w:tabs>
        <w:spacing w:line="235" w:lineRule="auto" w:before="0" w:after="0"/>
        <w:ind w:left="827" w:right="1637" w:firstLine="0"/>
        <w:jc w:val="left"/>
        <w:rPr>
          <w:sz w:val="20"/>
        </w:rPr>
      </w:pPr>
      <w:r>
        <w:rPr>
          <w:w w:val="120"/>
          <w:sz w:val="20"/>
        </w:rPr>
        <w:t>The resolution offers a reminder of the range ways in which a call may appropriately be issued and concurred, stressing that where a call comes from a group, that group must be properly constituted with agreement from all church meetings with clarity as to how pastoral responsibility is established and, if relevant,</w:t>
      </w:r>
      <w:r>
        <w:rPr>
          <w:spacing w:val="14"/>
          <w:w w:val="120"/>
          <w:sz w:val="20"/>
        </w:rPr>
        <w:t> </w:t>
      </w:r>
      <w:r>
        <w:rPr>
          <w:w w:val="120"/>
          <w:sz w:val="20"/>
        </w:rPr>
        <w:t>altered.</w:t>
      </w:r>
    </w:p>
    <w:p>
      <w:pPr>
        <w:spacing w:after="0" w:line="235" w:lineRule="auto"/>
        <w:jc w:val="left"/>
        <w:rPr>
          <w:sz w:val="20"/>
        </w:rPr>
        <w:sectPr>
          <w:headerReference w:type="even" r:id="rId377"/>
          <w:footerReference w:type="even" r:id="rId378"/>
          <w:pgSz w:w="11910" w:h="16840"/>
          <w:pgMar w:header="0" w:footer="647" w:top="0" w:bottom="840" w:left="420" w:right="380"/>
          <w:pgNumType w:start="136"/>
        </w:sectPr>
      </w:pPr>
    </w:p>
    <w:p>
      <w:pPr>
        <w:pStyle w:val="BodyText"/>
      </w:pPr>
      <w:r>
        <w:rPr/>
        <w:pict>
          <v:rect style="position:absolute;margin-left:1.417pt;margin-top:.000015pt;width:547.79pt;height:841.89pt;mso-position-horizontal-relative:page;mso-position-vertical-relative:page;z-index:-267264000" filled="true" fillcolor="#d4e9f7" stroked="false">
            <v:fill type="solid"/>
            <w10:wrap type="none"/>
          </v:rect>
        </w:pict>
      </w:r>
      <w:r>
        <w:rPr/>
        <w:drawing>
          <wp:anchor distT="0" distB="0" distL="0" distR="0" allowOverlap="1" layoutInCell="1" locked="0" behindDoc="0" simplePos="0" relativeHeight="252020736">
            <wp:simplePos x="0" y="0"/>
            <wp:positionH relativeFrom="page">
              <wp:posOffset>6974928</wp:posOffset>
            </wp:positionH>
            <wp:positionV relativeFrom="page">
              <wp:posOffset>0</wp:posOffset>
            </wp:positionV>
            <wp:extent cx="585063" cy="10692003"/>
            <wp:effectExtent l="0" t="0" r="0" b="0"/>
            <wp:wrapNone/>
            <wp:docPr id="263" name="image57.png"/>
            <wp:cNvGraphicFramePr>
              <a:graphicFrameLocks noChangeAspect="1"/>
            </wp:cNvGraphicFramePr>
            <a:graphic>
              <a:graphicData uri="http://schemas.openxmlformats.org/drawingml/2006/picture">
                <pic:pic>
                  <pic:nvPicPr>
                    <pic:cNvPr id="26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638" w:lineRule="exact" w:before="97"/>
        <w:ind w:left="1323"/>
        <w:rPr>
          <w:b/>
        </w:rPr>
      </w:pPr>
      <w:r>
        <w:rPr/>
        <w:pict>
          <v:shape style="position:absolute;margin-left:554.141174pt;margin-top:-5.998084pt;width:26pt;height:385.45pt;mso-position-horizontal-relative:page;mso-position-vertical-relative:paragraph;z-index:252021760" type="#_x0000_t202" filled="false" stroked="false">
            <v:textbox inset="0,0,0,0" style="layout-flow:vertical">
              <w:txbxContent>
                <w:p>
                  <w:pPr>
                    <w:spacing w:before="29"/>
                    <w:ind w:left="20" w:right="0" w:firstLine="0"/>
                    <w:jc w:val="left"/>
                    <w:rPr>
                      <w:sz w:val="39"/>
                    </w:rPr>
                  </w:pPr>
                  <w:r>
                    <w:rPr>
                      <w:color w:val="FFFFFF"/>
                      <w:spacing w:val="10"/>
                      <w:w w:val="125"/>
                      <w:sz w:val="39"/>
                    </w:rPr>
                    <w:t>Ministries </w:t>
                  </w:r>
                  <w:r>
                    <w:rPr>
                      <w:color w:val="FFFFFF"/>
                      <w:w w:val="125"/>
                      <w:sz w:val="39"/>
                    </w:rPr>
                    <w:t>– </w:t>
                  </w:r>
                  <w:r>
                    <w:rPr>
                      <w:spacing w:val="11"/>
                      <w:w w:val="125"/>
                      <w:sz w:val="39"/>
                    </w:rPr>
                    <w:t>Non-stipendiary</w:t>
                  </w:r>
                  <w:r>
                    <w:rPr>
                      <w:spacing w:val="-43"/>
                      <w:w w:val="125"/>
                      <w:sz w:val="39"/>
                    </w:rPr>
                    <w:t> </w:t>
                  </w:r>
                  <w:r>
                    <w:rPr>
                      <w:spacing w:val="12"/>
                      <w:w w:val="125"/>
                      <w:sz w:val="39"/>
                    </w:rPr>
                    <w:t>ministry</w:t>
                  </w:r>
                </w:p>
              </w:txbxContent>
            </v:textbox>
            <w10:wrap type="none"/>
          </v:shape>
        </w:pict>
      </w:r>
      <w:bookmarkStart w:name="_bookmark25" w:id="33"/>
      <w:bookmarkEnd w:id="33"/>
      <w:r>
        <w:rPr>
          <w:b w:val="0"/>
        </w:rPr>
      </w:r>
      <w:r>
        <w:rPr>
          <w:b/>
          <w:color w:val="0090D4"/>
          <w:w w:val="110"/>
        </w:rPr>
        <w:t>Ministries committee</w:t>
      </w:r>
    </w:p>
    <w:p>
      <w:pPr>
        <w:spacing w:line="213" w:lineRule="auto" w:before="18"/>
        <w:ind w:left="1323" w:right="1528" w:firstLine="0"/>
        <w:jc w:val="left"/>
        <w:rPr>
          <w:rFonts w:ascii="Stone Sans II ITC Std X Bd"/>
          <w:b/>
          <w:sz w:val="50"/>
        </w:rPr>
      </w:pPr>
      <w:r>
        <w:rPr>
          <w:rFonts w:ascii="Stone Sans II ITC Std X Bd"/>
          <w:b/>
          <w:w w:val="110"/>
          <w:sz w:val="50"/>
        </w:rPr>
        <w:t>Non-stipendiary ministry of Word and Sacraments</w:t>
      </w:r>
    </w:p>
    <w:p>
      <w:pPr>
        <w:spacing w:before="356" w:after="9"/>
        <w:ind w:left="1323"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before="108"/>
              <w:ind w:left="80"/>
              <w:rPr>
                <w:sz w:val="20"/>
              </w:rPr>
            </w:pPr>
            <w:r>
              <w:rPr>
                <w:w w:val="120"/>
                <w:sz w:val="20"/>
              </w:rPr>
              <w:t>The Revd Paul Whittle: </w:t>
            </w:r>
            <w:hyperlink r:id="rId372">
              <w:r>
                <w:rPr>
                  <w:color w:val="006AB3"/>
                  <w:w w:val="120"/>
                  <w:sz w:val="20"/>
                </w:rPr>
                <w:t>moderator@urceastern.org.uk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Decision.</w:t>
            </w:r>
          </w:p>
        </w:tc>
      </w:tr>
      <w:tr>
        <w:trPr>
          <w:trHeight w:val="376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numPr>
                <w:ilvl w:val="0"/>
                <w:numId w:val="96"/>
              </w:numPr>
              <w:tabs>
                <w:tab w:pos="760" w:val="left" w:leader="none"/>
                <w:tab w:pos="761" w:val="left" w:leader="none"/>
              </w:tabs>
              <w:spacing w:line="213" w:lineRule="auto" w:before="117" w:after="0"/>
              <w:ind w:left="80" w:right="141" w:firstLine="0"/>
              <w:jc w:val="left"/>
              <w:rPr>
                <w:rFonts w:ascii="Stone Sans II ITC Std Bk"/>
                <w:b/>
                <w:sz w:val="20"/>
              </w:rPr>
            </w:pPr>
            <w:r>
              <w:rPr>
                <w:rFonts w:ascii="Stone Sans II ITC Std Bk"/>
                <w:b/>
                <w:w w:val="110"/>
                <w:sz w:val="20"/>
              </w:rPr>
              <w:t>General Assembly authorises a model four non- stipendiary ministry which will provide for locally ordained ministers, taking account of how that fits with the other ministries of the church, including stipendiary ministry, non-stipendiary ministry as it currently is, local leadership (recognising that there is no denominational scheme as </w:t>
            </w:r>
            <w:r>
              <w:rPr>
                <w:rFonts w:ascii="Stone Sans II ITC Std Bk"/>
                <w:b/>
                <w:spacing w:val="-3"/>
                <w:w w:val="110"/>
                <w:sz w:val="20"/>
              </w:rPr>
              <w:t>such) </w:t>
            </w:r>
            <w:r>
              <w:rPr>
                <w:rFonts w:ascii="Stone Sans II ITC Std Bk"/>
                <w:b/>
                <w:w w:val="110"/>
                <w:sz w:val="20"/>
              </w:rPr>
              <w:t>and the eldership, including the specific role of authorised elders, this model to be as outlined on pages </w:t>
            </w:r>
            <w:r>
              <w:rPr>
                <w:rFonts w:ascii="Stone Sans II ITC Std Bk"/>
                <w:b/>
                <w:spacing w:val="-7"/>
                <w:w w:val="110"/>
                <w:sz w:val="20"/>
              </w:rPr>
              <w:t>138 </w:t>
            </w:r>
            <w:r>
              <w:rPr>
                <w:rFonts w:ascii="Stone Sans II ITC Std Bk"/>
                <w:b/>
                <w:w w:val="110"/>
                <w:sz w:val="20"/>
              </w:rPr>
              <w:t>to </w:t>
            </w:r>
            <w:r>
              <w:rPr>
                <w:rFonts w:ascii="Stone Sans II ITC Std Bk"/>
                <w:b/>
                <w:spacing w:val="-8"/>
                <w:w w:val="110"/>
                <w:sz w:val="20"/>
              </w:rPr>
              <w:t>139 </w:t>
            </w:r>
            <w:r>
              <w:rPr>
                <w:rFonts w:ascii="Stone Sans II ITC Std Bk"/>
                <w:b/>
                <w:w w:val="110"/>
                <w:sz w:val="20"/>
              </w:rPr>
              <w:t>of the </w:t>
            </w:r>
            <w:r>
              <w:rPr>
                <w:rFonts w:ascii="Stone Sans II ITC Std Bk"/>
                <w:b/>
                <w:i/>
                <w:w w:val="110"/>
                <w:sz w:val="20"/>
              </w:rPr>
              <w:t>Book of</w:t>
            </w:r>
            <w:r>
              <w:rPr>
                <w:rFonts w:ascii="Stone Sans II ITC Std Bk"/>
                <w:b/>
                <w:i/>
                <w:spacing w:val="13"/>
                <w:w w:val="110"/>
                <w:sz w:val="20"/>
              </w:rPr>
              <w:t> </w:t>
            </w:r>
            <w:r>
              <w:rPr>
                <w:rFonts w:ascii="Stone Sans II ITC Std Bk"/>
                <w:b/>
                <w:i/>
                <w:w w:val="110"/>
                <w:sz w:val="20"/>
              </w:rPr>
              <w:t>Reports</w:t>
            </w:r>
            <w:r>
              <w:rPr>
                <w:rFonts w:ascii="Stone Sans II ITC Std Bk"/>
                <w:b/>
                <w:w w:val="110"/>
                <w:sz w:val="20"/>
              </w:rPr>
              <w:t>.</w:t>
            </w:r>
          </w:p>
          <w:p>
            <w:pPr>
              <w:pStyle w:val="TableParagraph"/>
              <w:spacing w:before="4"/>
              <w:rPr>
                <w:rFonts w:ascii="Stone Sans II ITC Std Bk"/>
                <w:b/>
                <w:sz w:val="17"/>
              </w:rPr>
            </w:pPr>
          </w:p>
          <w:p>
            <w:pPr>
              <w:pStyle w:val="TableParagraph"/>
              <w:numPr>
                <w:ilvl w:val="0"/>
                <w:numId w:val="96"/>
              </w:numPr>
              <w:tabs>
                <w:tab w:pos="760" w:val="left" w:leader="none"/>
                <w:tab w:pos="761" w:val="left" w:leader="none"/>
              </w:tabs>
              <w:spacing w:line="213" w:lineRule="auto" w:before="0" w:after="0"/>
              <w:ind w:left="80" w:right="157" w:firstLine="0"/>
              <w:jc w:val="left"/>
              <w:rPr>
                <w:rFonts w:ascii="Stone Sans II ITC Std Bk"/>
                <w:b/>
                <w:sz w:val="20"/>
              </w:rPr>
            </w:pPr>
            <w:r>
              <w:rPr>
                <w:rFonts w:ascii="Stone Sans II ITC Std Bk"/>
                <w:b/>
                <w:w w:val="110"/>
                <w:sz w:val="20"/>
              </w:rPr>
              <w:t>General Assembly instructs the ministries committee and education and learning committee to implement model four non-stipendiary ministry in</w:t>
            </w:r>
            <w:r>
              <w:rPr>
                <w:rFonts w:ascii="Stone Sans II ITC Std Bk"/>
                <w:b/>
                <w:spacing w:val="8"/>
                <w:w w:val="110"/>
                <w:sz w:val="20"/>
              </w:rPr>
              <w:t> </w:t>
            </w:r>
            <w:r>
              <w:rPr>
                <w:rFonts w:ascii="Stone Sans II ITC Std Bk"/>
                <w:b/>
                <w:w w:val="110"/>
                <w:sz w:val="20"/>
              </w:rPr>
              <w:t>consultation</w:t>
            </w:r>
          </w:p>
          <w:p>
            <w:pPr>
              <w:pStyle w:val="TableParagraph"/>
              <w:spacing w:line="213" w:lineRule="auto"/>
              <w:ind w:left="80" w:right="495"/>
              <w:rPr>
                <w:rFonts w:ascii="Stone Sans II ITC Std Bk"/>
                <w:b/>
                <w:sz w:val="20"/>
              </w:rPr>
            </w:pPr>
            <w:r>
              <w:rPr>
                <w:rFonts w:ascii="Stone Sans II ITC Std Bk"/>
                <w:b/>
                <w:w w:val="110"/>
                <w:sz w:val="20"/>
              </w:rPr>
              <w:t>with the assessment board and the Resource Centres for Learning.</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391"/>
              <w:jc w:val="both"/>
              <w:rPr>
                <w:sz w:val="20"/>
              </w:rPr>
            </w:pPr>
            <w:r>
              <w:rPr>
                <w:w w:val="120"/>
                <w:sz w:val="20"/>
              </w:rPr>
              <w:t>Welcoming the contribution of non-stipendiary ministry since its introduction, this paper offers a way of extending this form of ministry.</w:t>
            </w:r>
          </w:p>
        </w:tc>
      </w:tr>
      <w:tr>
        <w:trPr>
          <w:trHeight w:val="112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ight="130"/>
              <w:rPr>
                <w:sz w:val="20"/>
              </w:rPr>
            </w:pPr>
            <w:r>
              <w:rPr>
                <w:w w:val="120"/>
                <w:sz w:val="20"/>
              </w:rPr>
              <w:t>This paper recognises the value of non-stipendiary ministry and its contribution to the current challenges of church leadership.   It introduces a form of locally ordained non-stipendiary ministry, model</w:t>
            </w:r>
            <w:r>
              <w:rPr>
                <w:spacing w:val="2"/>
                <w:w w:val="120"/>
                <w:sz w:val="20"/>
              </w:rPr>
              <w:t> </w:t>
            </w:r>
            <w:r>
              <w:rPr>
                <w:spacing w:val="-3"/>
                <w:w w:val="120"/>
                <w:sz w:val="20"/>
              </w:rPr>
              <w:t>four.</w:t>
            </w:r>
          </w:p>
        </w:tc>
      </w:tr>
      <w:tr>
        <w:trPr>
          <w:trHeight w:val="1126" w:hRule="atLeast"/>
        </w:trPr>
        <w:tc>
          <w:tcPr>
            <w:tcW w:w="2660" w:type="dxa"/>
            <w:shd w:val="clear" w:color="auto" w:fill="FFFFFF"/>
          </w:tcPr>
          <w:p>
            <w:pPr>
              <w:pStyle w:val="TableParagraph"/>
              <w:spacing w:line="213" w:lineRule="auto" w:before="117"/>
              <w:ind w:left="79" w:right="702"/>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35" w:lineRule="auto" w:before="111"/>
              <w:ind w:left="80" w:right="148"/>
              <w:rPr>
                <w:sz w:val="20"/>
              </w:rPr>
            </w:pPr>
            <w:r>
              <w:rPr>
                <w:w w:val="120"/>
                <w:sz w:val="20"/>
              </w:rPr>
              <w:t>Numerous reports which have concerned non-stipendiary ministry, notably reports to General Assembly 1982 and reflections on non-stipendiary ministry within the 1995 Patterns of Ministry Report.</w:t>
            </w:r>
          </w:p>
        </w:tc>
      </w:tr>
      <w:tr>
        <w:trPr>
          <w:trHeight w:val="1606" w:hRule="atLeast"/>
        </w:trPr>
        <w:tc>
          <w:tcPr>
            <w:tcW w:w="2660" w:type="dxa"/>
            <w:shd w:val="clear" w:color="auto" w:fill="FFFFFF"/>
          </w:tcPr>
          <w:p>
            <w:pPr>
              <w:pStyle w:val="TableParagraph"/>
              <w:spacing w:line="213" w:lineRule="auto" w:before="117"/>
              <w:ind w:left="80" w:right="576" w:hanging="1"/>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42" w:lineRule="exact" w:before="108"/>
              <w:ind w:left="80"/>
              <w:rPr>
                <w:sz w:val="20"/>
              </w:rPr>
            </w:pPr>
            <w:r>
              <w:rPr>
                <w:w w:val="125"/>
                <w:sz w:val="20"/>
              </w:rPr>
              <w:t>All 13 Synods.</w:t>
            </w:r>
          </w:p>
          <w:p>
            <w:pPr>
              <w:pStyle w:val="TableParagraph"/>
              <w:spacing w:line="235" w:lineRule="auto" w:before="1"/>
              <w:ind w:left="80" w:right="148"/>
              <w:rPr>
                <w:sz w:val="20"/>
              </w:rPr>
            </w:pPr>
            <w:r>
              <w:rPr>
                <w:w w:val="120"/>
                <w:sz w:val="20"/>
              </w:rPr>
              <w:t>The Revd Fiona Thomas, Secretary for Education and Learning. The Revd Rosalind Selby, Principal, Northern College.</w:t>
            </w:r>
          </w:p>
          <w:p>
            <w:pPr>
              <w:pStyle w:val="TableParagraph"/>
              <w:spacing w:line="235" w:lineRule="auto" w:before="2"/>
              <w:ind w:left="80" w:right="752"/>
              <w:rPr>
                <w:sz w:val="20"/>
              </w:rPr>
            </w:pPr>
            <w:r>
              <w:rPr>
                <w:w w:val="120"/>
                <w:sz w:val="20"/>
              </w:rPr>
              <w:t>The Revd Neil Thorogood, Principal, Westminster College. Faith and order committee.</w:t>
            </w:r>
          </w:p>
          <w:p>
            <w:pPr>
              <w:pStyle w:val="TableParagraph"/>
              <w:spacing w:line="242" w:lineRule="exact"/>
              <w:ind w:left="80"/>
              <w:rPr>
                <w:sz w:val="20"/>
              </w:rPr>
            </w:pPr>
            <w:r>
              <w:rPr>
                <w:w w:val="125"/>
                <w:sz w:val="20"/>
              </w:rPr>
              <w:t>CRCW programme subcommittee.</w:t>
            </w:r>
          </w:p>
        </w:tc>
      </w:tr>
    </w:tbl>
    <w:p>
      <w:pPr>
        <w:spacing w:before="187" w:after="9"/>
        <w:ind w:left="1323"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33"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No immediate impact on the budget.</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0"/>
                <w:sz w:val="20"/>
              </w:rPr>
              <w:t>No direct immediate impact.</w:t>
            </w:r>
          </w:p>
        </w:tc>
      </w:tr>
    </w:tbl>
    <w:p>
      <w:pPr>
        <w:pStyle w:val="BodyText"/>
        <w:rPr>
          <w:rFonts w:ascii="Stone Sans II ITC Std Bk"/>
          <w:b/>
          <w:sz w:val="26"/>
        </w:rPr>
      </w:pPr>
    </w:p>
    <w:p>
      <w:pPr>
        <w:spacing w:before="233"/>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137</w:t>
      </w:r>
    </w:p>
    <w:p>
      <w:pPr>
        <w:spacing w:after="0"/>
        <w:jc w:val="left"/>
        <w:rPr>
          <w:rFonts w:ascii="Stone Sans II ITC Std X Bd" w:hAnsi="Stone Sans II ITC Std X Bd"/>
          <w:sz w:val="24"/>
        </w:rPr>
        <w:sectPr>
          <w:headerReference w:type="default" r:id="rId379"/>
          <w:footerReference w:type="default" r:id="rId380"/>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6055552">
            <wp:simplePos x="0" y="0"/>
            <wp:positionH relativeFrom="page">
              <wp:posOffset>0</wp:posOffset>
            </wp:positionH>
            <wp:positionV relativeFrom="page">
              <wp:posOffset>0</wp:posOffset>
            </wp:positionV>
            <wp:extent cx="594067" cy="10692003"/>
            <wp:effectExtent l="0" t="0" r="0" b="0"/>
            <wp:wrapNone/>
            <wp:docPr id="265" name="image70.png"/>
            <wp:cNvGraphicFramePr>
              <a:graphicFrameLocks noChangeAspect="1"/>
            </wp:cNvGraphicFramePr>
            <a:graphic>
              <a:graphicData uri="http://schemas.openxmlformats.org/drawingml/2006/picture">
                <pic:pic>
                  <pic:nvPicPr>
                    <pic:cNvPr id="26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line="213" w:lineRule="auto" w:before="153"/>
        <w:ind w:left="1261" w:right="2035" w:firstLine="0"/>
        <w:jc w:val="center"/>
        <w:rPr>
          <w:rFonts w:ascii="Stone Sans II ITC Std X Bd"/>
          <w:b/>
          <w:sz w:val="50"/>
        </w:rPr>
      </w:pPr>
      <w:r>
        <w:rPr/>
        <w:pict>
          <v:shape style="position:absolute;margin-left:20.519100pt;margin-top:-5.989334pt;width:26pt;height:385.45pt;mso-position-horizontal-relative:page;mso-position-vertical-relative:paragraph;z-index:252023808" type="#_x0000_t202" filled="false" stroked="false">
            <v:textbox inset="0,0,0,0" style="layout-flow:vertical">
              <w:txbxContent>
                <w:p>
                  <w:pPr>
                    <w:spacing w:before="29"/>
                    <w:ind w:left="20" w:right="0" w:firstLine="0"/>
                    <w:jc w:val="left"/>
                    <w:rPr>
                      <w:sz w:val="39"/>
                    </w:rPr>
                  </w:pPr>
                  <w:r>
                    <w:rPr>
                      <w:color w:val="FFFFFF"/>
                      <w:spacing w:val="10"/>
                      <w:w w:val="125"/>
                      <w:sz w:val="39"/>
                    </w:rPr>
                    <w:t>Ministries </w:t>
                  </w:r>
                  <w:r>
                    <w:rPr>
                      <w:color w:val="FFFFFF"/>
                      <w:w w:val="125"/>
                      <w:sz w:val="39"/>
                    </w:rPr>
                    <w:t>– </w:t>
                  </w:r>
                  <w:r>
                    <w:rPr>
                      <w:spacing w:val="11"/>
                      <w:w w:val="125"/>
                      <w:sz w:val="39"/>
                    </w:rPr>
                    <w:t>Non-stipendiary</w:t>
                  </w:r>
                  <w:r>
                    <w:rPr>
                      <w:spacing w:val="-43"/>
                      <w:w w:val="125"/>
                      <w:sz w:val="39"/>
                    </w:rPr>
                    <w:t> </w:t>
                  </w:r>
                  <w:r>
                    <w:rPr>
                      <w:spacing w:val="12"/>
                      <w:w w:val="125"/>
                      <w:sz w:val="39"/>
                    </w:rPr>
                    <w:t>ministry</w:t>
                  </w:r>
                </w:p>
              </w:txbxContent>
            </v:textbox>
            <w10:wrap type="none"/>
          </v:shape>
        </w:pict>
      </w:r>
      <w:r>
        <w:rPr>
          <w:rFonts w:ascii="Stone Sans II ITC Std X Bd"/>
          <w:b/>
          <w:w w:val="110"/>
          <w:sz w:val="50"/>
        </w:rPr>
        <w:t>Non-stipendiary ministry of Word and Sacraments (Model four)</w:t>
      </w:r>
    </w:p>
    <w:p>
      <w:pPr>
        <w:pStyle w:val="ListParagraph"/>
        <w:numPr>
          <w:ilvl w:val="0"/>
          <w:numId w:val="97"/>
        </w:numPr>
        <w:tabs>
          <w:tab w:pos="1507" w:val="left" w:leader="none"/>
          <w:tab w:pos="1508" w:val="left" w:leader="none"/>
        </w:tabs>
        <w:spacing w:line="235" w:lineRule="auto" w:before="381" w:after="0"/>
        <w:ind w:left="827" w:right="2111" w:firstLine="0"/>
        <w:jc w:val="left"/>
        <w:rPr>
          <w:sz w:val="20"/>
        </w:rPr>
      </w:pPr>
      <w:r>
        <w:rPr>
          <w:w w:val="120"/>
          <w:sz w:val="20"/>
        </w:rPr>
        <w:t>Like all ministries, non-stipendiary ministry of Word and Sacraments (NSM) is</w:t>
      </w:r>
      <w:r>
        <w:rPr>
          <w:spacing w:val="5"/>
          <w:w w:val="120"/>
          <w:sz w:val="20"/>
        </w:rPr>
        <w:t> </w:t>
      </w:r>
      <w:r>
        <w:rPr>
          <w:w w:val="120"/>
          <w:sz w:val="20"/>
        </w:rPr>
        <w:t>both</w:t>
      </w:r>
      <w:r>
        <w:rPr>
          <w:spacing w:val="6"/>
          <w:w w:val="120"/>
          <w:sz w:val="20"/>
        </w:rPr>
        <w:t> </w:t>
      </w:r>
      <w:r>
        <w:rPr>
          <w:w w:val="120"/>
          <w:sz w:val="20"/>
        </w:rPr>
        <w:t>a</w:t>
      </w:r>
      <w:r>
        <w:rPr>
          <w:spacing w:val="5"/>
          <w:w w:val="120"/>
          <w:sz w:val="20"/>
        </w:rPr>
        <w:t> </w:t>
      </w:r>
      <w:r>
        <w:rPr>
          <w:spacing w:val="2"/>
          <w:w w:val="120"/>
          <w:sz w:val="20"/>
        </w:rPr>
        <w:t>gift</w:t>
      </w:r>
      <w:r>
        <w:rPr>
          <w:spacing w:val="6"/>
          <w:w w:val="120"/>
          <w:sz w:val="20"/>
        </w:rPr>
        <w:t> </w:t>
      </w:r>
      <w:r>
        <w:rPr>
          <w:w w:val="120"/>
          <w:sz w:val="20"/>
        </w:rPr>
        <w:t>and</w:t>
      </w:r>
      <w:r>
        <w:rPr>
          <w:spacing w:val="6"/>
          <w:w w:val="120"/>
          <w:sz w:val="20"/>
        </w:rPr>
        <w:t> </w:t>
      </w:r>
      <w:r>
        <w:rPr>
          <w:w w:val="120"/>
          <w:sz w:val="20"/>
        </w:rPr>
        <w:t>a</w:t>
      </w:r>
      <w:r>
        <w:rPr>
          <w:spacing w:val="5"/>
          <w:w w:val="120"/>
          <w:sz w:val="20"/>
        </w:rPr>
        <w:t> </w:t>
      </w:r>
      <w:r>
        <w:rPr>
          <w:w w:val="120"/>
          <w:sz w:val="20"/>
        </w:rPr>
        <w:t>calling.</w:t>
      </w:r>
      <w:r>
        <w:rPr>
          <w:spacing w:val="6"/>
          <w:w w:val="120"/>
          <w:sz w:val="20"/>
        </w:rPr>
        <w:t> </w:t>
      </w:r>
      <w:r>
        <w:rPr>
          <w:w w:val="120"/>
          <w:sz w:val="20"/>
        </w:rPr>
        <w:t>Much</w:t>
      </w:r>
      <w:r>
        <w:rPr>
          <w:spacing w:val="5"/>
          <w:w w:val="120"/>
          <w:sz w:val="20"/>
        </w:rPr>
        <w:t> </w:t>
      </w:r>
      <w:r>
        <w:rPr>
          <w:w w:val="120"/>
          <w:sz w:val="20"/>
        </w:rPr>
        <w:t>valuable</w:t>
      </w:r>
      <w:r>
        <w:rPr>
          <w:spacing w:val="6"/>
          <w:w w:val="120"/>
          <w:sz w:val="20"/>
        </w:rPr>
        <w:t> </w:t>
      </w:r>
      <w:r>
        <w:rPr>
          <w:w w:val="120"/>
          <w:sz w:val="20"/>
        </w:rPr>
        <w:t>ministry</w:t>
      </w:r>
      <w:r>
        <w:rPr>
          <w:spacing w:val="6"/>
          <w:w w:val="120"/>
          <w:sz w:val="20"/>
        </w:rPr>
        <w:t> </w:t>
      </w:r>
      <w:r>
        <w:rPr>
          <w:w w:val="120"/>
          <w:sz w:val="20"/>
        </w:rPr>
        <w:t>has</w:t>
      </w:r>
      <w:r>
        <w:rPr>
          <w:spacing w:val="5"/>
          <w:w w:val="120"/>
          <w:sz w:val="20"/>
        </w:rPr>
        <w:t> </w:t>
      </w:r>
      <w:r>
        <w:rPr>
          <w:w w:val="120"/>
          <w:sz w:val="20"/>
        </w:rPr>
        <w:t>been</w:t>
      </w:r>
      <w:r>
        <w:rPr>
          <w:spacing w:val="6"/>
          <w:w w:val="120"/>
          <w:sz w:val="20"/>
        </w:rPr>
        <w:t> </w:t>
      </w:r>
      <w:r>
        <w:rPr>
          <w:w w:val="120"/>
          <w:sz w:val="20"/>
        </w:rPr>
        <w:t>undertaken</w:t>
      </w:r>
      <w:r>
        <w:rPr>
          <w:spacing w:val="5"/>
          <w:w w:val="120"/>
          <w:sz w:val="20"/>
        </w:rPr>
        <w:t> </w:t>
      </w:r>
      <w:r>
        <w:rPr>
          <w:w w:val="120"/>
          <w:sz w:val="20"/>
        </w:rPr>
        <w:t>within</w:t>
      </w:r>
      <w:r>
        <w:rPr>
          <w:spacing w:val="6"/>
          <w:w w:val="120"/>
          <w:sz w:val="20"/>
        </w:rPr>
        <w:t> </w:t>
      </w:r>
      <w:r>
        <w:rPr>
          <w:w w:val="120"/>
          <w:sz w:val="20"/>
        </w:rPr>
        <w:t>the</w:t>
      </w:r>
    </w:p>
    <w:p>
      <w:pPr>
        <w:pStyle w:val="BodyText"/>
        <w:spacing w:line="235" w:lineRule="auto" w:before="1"/>
        <w:ind w:left="827" w:right="1528"/>
      </w:pPr>
      <w:r>
        <w:rPr>
          <w:w w:val="120"/>
        </w:rPr>
        <w:t>United Reformed Church by non-stipendiary Ministers (NSMs). In many cases this could equally have been undertaken by stipendiary ministers. It is an important principle</w:t>
      </w:r>
    </w:p>
    <w:p>
      <w:pPr>
        <w:pStyle w:val="BodyText"/>
        <w:spacing w:line="235" w:lineRule="auto" w:before="1"/>
        <w:ind w:left="827" w:right="1528"/>
      </w:pPr>
      <w:r>
        <w:rPr>
          <w:w w:val="120"/>
        </w:rPr>
        <w:t>that there is parity within the ordained ministry of Word and Sacraments. It is also an important principle that we sometimes respond to God’s call to </w:t>
      </w:r>
      <w:r>
        <w:rPr>
          <w:spacing w:val="-3"/>
          <w:w w:val="120"/>
        </w:rPr>
        <w:t>new, </w:t>
      </w:r>
      <w:r>
        <w:rPr>
          <w:w w:val="120"/>
        </w:rPr>
        <w:t>emerging and pioneering ministries, as well as ministry in particular sectors, often referred to as chaplaincy. NSM has often been an important component of such</w:t>
      </w:r>
      <w:r>
        <w:rPr>
          <w:spacing w:val="26"/>
          <w:w w:val="120"/>
        </w:rPr>
        <w:t> </w:t>
      </w:r>
      <w:r>
        <w:rPr>
          <w:w w:val="120"/>
        </w:rPr>
        <w:t>initiatives.</w:t>
      </w:r>
    </w:p>
    <w:p>
      <w:pPr>
        <w:pStyle w:val="BodyText"/>
        <w:spacing w:before="11"/>
        <w:rPr>
          <w:sz w:val="19"/>
        </w:rPr>
      </w:pPr>
    </w:p>
    <w:p>
      <w:pPr>
        <w:pStyle w:val="ListParagraph"/>
        <w:numPr>
          <w:ilvl w:val="0"/>
          <w:numId w:val="97"/>
        </w:numPr>
        <w:tabs>
          <w:tab w:pos="1507" w:val="left" w:leader="none"/>
          <w:tab w:pos="1508" w:val="left" w:leader="none"/>
        </w:tabs>
        <w:spacing w:line="235" w:lineRule="auto" w:before="0" w:after="0"/>
        <w:ind w:left="827" w:right="1601" w:firstLine="0"/>
        <w:jc w:val="left"/>
        <w:rPr>
          <w:sz w:val="20"/>
        </w:rPr>
      </w:pPr>
      <w:r>
        <w:rPr>
          <w:w w:val="120"/>
          <w:sz w:val="20"/>
        </w:rPr>
        <w:t>The original vision for NSM within the URC was established by resolutions passed in </w:t>
      </w:r>
      <w:r>
        <w:rPr>
          <w:spacing w:val="-7"/>
          <w:w w:val="120"/>
          <w:sz w:val="20"/>
        </w:rPr>
        <w:t>1979 </w:t>
      </w:r>
      <w:r>
        <w:rPr>
          <w:spacing w:val="-4"/>
          <w:w w:val="120"/>
          <w:sz w:val="20"/>
        </w:rPr>
        <w:t>and1980 </w:t>
      </w:r>
      <w:r>
        <w:rPr>
          <w:w w:val="120"/>
          <w:sz w:val="20"/>
        </w:rPr>
        <w:t>and was incorporated into Section K of the Manual as</w:t>
      </w:r>
      <w:r>
        <w:rPr>
          <w:spacing w:val="1"/>
          <w:w w:val="120"/>
          <w:sz w:val="20"/>
        </w:rPr>
        <w:t> </w:t>
      </w:r>
      <w:r>
        <w:rPr>
          <w:w w:val="120"/>
          <w:sz w:val="20"/>
        </w:rPr>
        <w:t>follows:</w:t>
      </w:r>
    </w:p>
    <w:p>
      <w:pPr>
        <w:pStyle w:val="BodyText"/>
        <w:spacing w:before="6"/>
        <w:rPr>
          <w:sz w:val="19"/>
        </w:rPr>
      </w:pPr>
    </w:p>
    <w:p>
      <w:pPr>
        <w:pStyle w:val="BodyText"/>
        <w:spacing w:line="242" w:lineRule="exact"/>
        <w:ind w:left="827"/>
        <w:jc w:val="both"/>
      </w:pPr>
      <w:r>
        <w:rPr>
          <w:w w:val="120"/>
        </w:rPr>
        <w:t>There are three models of non-stipendiary ministry:</w:t>
      </w:r>
    </w:p>
    <w:p>
      <w:pPr>
        <w:pStyle w:val="BodyText"/>
        <w:spacing w:line="235" w:lineRule="auto" w:before="2"/>
        <w:ind w:left="2641" w:right="1673" w:hanging="1134"/>
        <w:jc w:val="both"/>
      </w:pPr>
      <w:r>
        <w:rPr>
          <w:w w:val="120"/>
        </w:rPr>
        <w:t>Model I – service in a congregation as part of a team. The pattern is taken from the former eldership of the Churches of Christ and is limited in scope and local in nature.</w:t>
      </w:r>
    </w:p>
    <w:p>
      <w:pPr>
        <w:pStyle w:val="BodyText"/>
        <w:spacing w:line="235" w:lineRule="auto" w:before="2"/>
        <w:ind w:left="2641" w:right="1868" w:hanging="1134"/>
      </w:pPr>
      <w:r>
        <w:rPr>
          <w:w w:val="120"/>
        </w:rPr>
        <w:t>Model II – pastoral charge of a small congregation, or service as part of a team of ministers caring for a group of churches.</w:t>
      </w:r>
    </w:p>
    <w:p>
      <w:pPr>
        <w:pStyle w:val="BodyText"/>
        <w:spacing w:line="235" w:lineRule="auto" w:before="1"/>
        <w:ind w:left="2641" w:right="1528" w:hanging="1134"/>
      </w:pPr>
      <w:r>
        <w:rPr>
          <w:w w:val="120"/>
        </w:rPr>
        <w:t>Model III – ministers in secular employment. Service set apart to be a focus for mission in the place of work or leisure. It is related to a local church or district council.</w:t>
      </w:r>
    </w:p>
    <w:p>
      <w:pPr>
        <w:pStyle w:val="BodyText"/>
        <w:spacing w:before="10"/>
        <w:rPr>
          <w:sz w:val="19"/>
        </w:rPr>
      </w:pPr>
    </w:p>
    <w:p>
      <w:pPr>
        <w:pStyle w:val="ListParagraph"/>
        <w:numPr>
          <w:ilvl w:val="0"/>
          <w:numId w:val="97"/>
        </w:numPr>
        <w:tabs>
          <w:tab w:pos="1507" w:val="left" w:leader="none"/>
          <w:tab w:pos="1508" w:val="left" w:leader="none"/>
        </w:tabs>
        <w:spacing w:line="235" w:lineRule="auto" w:before="1" w:after="0"/>
        <w:ind w:left="827" w:right="1673" w:firstLine="0"/>
        <w:jc w:val="left"/>
        <w:rPr>
          <w:sz w:val="20"/>
        </w:rPr>
      </w:pPr>
      <w:r>
        <w:rPr>
          <w:w w:val="120"/>
          <w:sz w:val="20"/>
        </w:rPr>
        <w:t>In practice the majority of NSMs now serve under model two, arguably filling gaps in deployment. However, as the decrease in the number of congregations is much slower than the decrease in the number of ministers, the question arises as to whether the number of ministers is sufficient. One of the frequent ‘cries’ is to stop spreading ministers ever more </w:t>
      </w:r>
      <w:r>
        <w:rPr>
          <w:spacing w:val="-3"/>
          <w:w w:val="120"/>
          <w:sz w:val="20"/>
        </w:rPr>
        <w:t>thinly, </w:t>
      </w:r>
      <w:r>
        <w:rPr>
          <w:w w:val="120"/>
          <w:sz w:val="20"/>
        </w:rPr>
        <w:t>but the number of churches readily offering to accept lengthy periods without a minister remains very</w:t>
      </w:r>
      <w:r>
        <w:rPr>
          <w:spacing w:val="14"/>
          <w:w w:val="120"/>
          <w:sz w:val="20"/>
        </w:rPr>
        <w:t> </w:t>
      </w:r>
      <w:r>
        <w:rPr>
          <w:w w:val="120"/>
          <w:sz w:val="20"/>
        </w:rPr>
        <w:t>small.</w:t>
      </w:r>
    </w:p>
    <w:p>
      <w:pPr>
        <w:pStyle w:val="BodyText"/>
        <w:spacing w:before="12"/>
        <w:rPr>
          <w:sz w:val="19"/>
        </w:rPr>
      </w:pPr>
    </w:p>
    <w:p>
      <w:pPr>
        <w:pStyle w:val="ListParagraph"/>
        <w:numPr>
          <w:ilvl w:val="0"/>
          <w:numId w:val="97"/>
        </w:numPr>
        <w:tabs>
          <w:tab w:pos="1507" w:val="left" w:leader="none"/>
          <w:tab w:pos="1508" w:val="left" w:leader="none"/>
        </w:tabs>
        <w:spacing w:line="235" w:lineRule="auto" w:before="0" w:after="0"/>
        <w:ind w:left="827" w:right="1722" w:firstLine="0"/>
        <w:jc w:val="left"/>
        <w:rPr>
          <w:sz w:val="20"/>
        </w:rPr>
      </w:pPr>
      <w:r>
        <w:rPr>
          <w:w w:val="120"/>
          <w:sz w:val="20"/>
        </w:rPr>
        <w:t>In a denomination well served by ordained eldership in every congregation and with a strong emphasis on the priesthood of all believers, it might be suggested that this should be</w:t>
      </w:r>
      <w:r>
        <w:rPr>
          <w:spacing w:val="6"/>
          <w:w w:val="120"/>
          <w:sz w:val="20"/>
        </w:rPr>
        <w:t> </w:t>
      </w:r>
      <w:r>
        <w:rPr>
          <w:w w:val="120"/>
          <w:sz w:val="20"/>
        </w:rPr>
        <w:t>unimportant.</w:t>
      </w:r>
    </w:p>
    <w:p>
      <w:pPr>
        <w:pStyle w:val="BodyText"/>
        <w:spacing w:before="10"/>
        <w:rPr>
          <w:sz w:val="19"/>
        </w:rPr>
      </w:pPr>
    </w:p>
    <w:p>
      <w:pPr>
        <w:pStyle w:val="ListParagraph"/>
        <w:numPr>
          <w:ilvl w:val="0"/>
          <w:numId w:val="97"/>
        </w:numPr>
        <w:tabs>
          <w:tab w:pos="1507" w:val="left" w:leader="none"/>
          <w:tab w:pos="1508" w:val="left" w:leader="none"/>
        </w:tabs>
        <w:spacing w:line="235" w:lineRule="auto" w:before="0" w:after="0"/>
        <w:ind w:left="827" w:right="1918" w:firstLine="0"/>
        <w:jc w:val="left"/>
        <w:rPr>
          <w:sz w:val="20"/>
        </w:rPr>
      </w:pPr>
      <w:r>
        <w:rPr>
          <w:w w:val="120"/>
          <w:sz w:val="20"/>
        </w:rPr>
        <w:t>However, while great value is placed on all forms of ministry within the URC,  it is clear that most congregations want to be able to relate to an ordained minister and to have a sufficient </w:t>
      </w:r>
      <w:r>
        <w:rPr>
          <w:spacing w:val="-3"/>
          <w:w w:val="120"/>
          <w:sz w:val="20"/>
        </w:rPr>
        <w:t>‘slice’ </w:t>
      </w:r>
      <w:r>
        <w:rPr>
          <w:w w:val="120"/>
          <w:sz w:val="20"/>
        </w:rPr>
        <w:t>of that person. The introduction of authorised elders at General Assembly </w:t>
      </w:r>
      <w:r>
        <w:rPr>
          <w:spacing w:val="-7"/>
          <w:w w:val="120"/>
          <w:sz w:val="20"/>
        </w:rPr>
        <w:t>2016 </w:t>
      </w:r>
      <w:r>
        <w:rPr>
          <w:w w:val="120"/>
          <w:sz w:val="20"/>
        </w:rPr>
        <w:t>clarified and strengthened questions of lay presidency at</w:t>
      </w:r>
      <w:r>
        <w:rPr>
          <w:spacing w:val="46"/>
          <w:w w:val="120"/>
          <w:sz w:val="20"/>
        </w:rPr>
        <w:t> </w:t>
      </w:r>
      <w:r>
        <w:rPr>
          <w:w w:val="120"/>
          <w:sz w:val="20"/>
        </w:rPr>
        <w:t>the</w:t>
      </w:r>
    </w:p>
    <w:p>
      <w:pPr>
        <w:pStyle w:val="BodyText"/>
        <w:spacing w:line="243" w:lineRule="exact"/>
        <w:ind w:left="827"/>
      </w:pPr>
      <w:r>
        <w:rPr>
          <w:w w:val="120"/>
        </w:rPr>
        <w:t>sacraments, but was not intended to address broader questions of ministry provision.</w:t>
      </w:r>
    </w:p>
    <w:p>
      <w:pPr>
        <w:pStyle w:val="BodyText"/>
        <w:spacing w:before="8"/>
        <w:rPr>
          <w:sz w:val="19"/>
        </w:rPr>
      </w:pPr>
    </w:p>
    <w:p>
      <w:pPr>
        <w:pStyle w:val="ListParagraph"/>
        <w:numPr>
          <w:ilvl w:val="0"/>
          <w:numId w:val="97"/>
        </w:numPr>
        <w:tabs>
          <w:tab w:pos="1507" w:val="left" w:leader="none"/>
          <w:tab w:pos="1508" w:val="left" w:leader="none"/>
        </w:tabs>
        <w:spacing w:line="235" w:lineRule="auto" w:before="0" w:after="0"/>
        <w:ind w:left="827" w:right="1673" w:firstLine="0"/>
        <w:jc w:val="left"/>
        <w:rPr>
          <w:sz w:val="20"/>
        </w:rPr>
      </w:pPr>
      <w:r>
        <w:rPr>
          <w:w w:val="120"/>
          <w:sz w:val="20"/>
        </w:rPr>
        <w:t>The ministries committee believes that General Assembly should authorise a model four NSM, a non-stipendiary form of the ministry of Word and Sacraments, aimed at engaging those with an appropriately tested sense of call to ministry, but who wish to train locally and to serve primarily in a localised</w:t>
      </w:r>
      <w:r>
        <w:rPr>
          <w:spacing w:val="21"/>
          <w:w w:val="120"/>
          <w:sz w:val="20"/>
        </w:rPr>
        <w:t> </w:t>
      </w:r>
      <w:r>
        <w:rPr>
          <w:w w:val="120"/>
          <w:sz w:val="20"/>
        </w:rPr>
        <w:t>ministry.</w:t>
      </w:r>
    </w:p>
    <w:p>
      <w:pPr>
        <w:pStyle w:val="BodyText"/>
        <w:spacing w:before="10"/>
        <w:rPr>
          <w:sz w:val="19"/>
        </w:rPr>
      </w:pPr>
    </w:p>
    <w:p>
      <w:pPr>
        <w:pStyle w:val="ListParagraph"/>
        <w:numPr>
          <w:ilvl w:val="0"/>
          <w:numId w:val="97"/>
        </w:numPr>
        <w:tabs>
          <w:tab w:pos="1507" w:val="left" w:leader="none"/>
          <w:tab w:pos="1508" w:val="left" w:leader="none"/>
        </w:tabs>
        <w:spacing w:line="235" w:lineRule="auto" w:before="1" w:after="0"/>
        <w:ind w:left="827" w:right="1749" w:firstLine="0"/>
        <w:jc w:val="left"/>
        <w:rPr>
          <w:sz w:val="20"/>
        </w:rPr>
      </w:pPr>
      <w:r>
        <w:rPr>
          <w:w w:val="120"/>
          <w:sz w:val="20"/>
        </w:rPr>
        <w:t>The call to ministry for model four NSM should be determined in the same way as other calls to ministry of Word and Sacraments through both the synod candidating process and the Assembly Assessment Conference. It shall be for the assessment board with the guidance of the education and learning panel to determine what training needs to be</w:t>
      </w:r>
      <w:r>
        <w:rPr>
          <w:spacing w:val="6"/>
          <w:w w:val="120"/>
          <w:sz w:val="20"/>
        </w:rPr>
        <w:t> </w:t>
      </w:r>
      <w:r>
        <w:rPr>
          <w:w w:val="120"/>
          <w:sz w:val="20"/>
        </w:rPr>
        <w:t>undertaken.</w:t>
      </w:r>
    </w:p>
    <w:p>
      <w:pPr>
        <w:spacing w:after="0" w:line="235" w:lineRule="auto"/>
        <w:jc w:val="left"/>
        <w:rPr>
          <w:sz w:val="20"/>
        </w:rPr>
        <w:sectPr>
          <w:headerReference w:type="even" r:id="rId381"/>
          <w:footerReference w:type="even" r:id="rId382"/>
          <w:footerReference w:type="default" r:id="rId383"/>
          <w:pgSz w:w="11910" w:h="16840"/>
          <w:pgMar w:header="0" w:footer="647" w:top="0" w:bottom="840" w:left="420" w:right="380"/>
          <w:pgNumType w:start="138"/>
        </w:sectPr>
      </w:pPr>
    </w:p>
    <w:p>
      <w:pPr>
        <w:pStyle w:val="BodyText"/>
      </w:pPr>
      <w:r>
        <w:rPr/>
        <w:drawing>
          <wp:anchor distT="0" distB="0" distL="0" distR="0" allowOverlap="1" layoutInCell="1" locked="0" behindDoc="0" simplePos="0" relativeHeight="252024832">
            <wp:simplePos x="0" y="0"/>
            <wp:positionH relativeFrom="page">
              <wp:posOffset>6974928</wp:posOffset>
            </wp:positionH>
            <wp:positionV relativeFrom="page">
              <wp:posOffset>0</wp:posOffset>
            </wp:positionV>
            <wp:extent cx="585063" cy="10692003"/>
            <wp:effectExtent l="0" t="0" r="0" b="0"/>
            <wp:wrapNone/>
            <wp:docPr id="267" name="image57.png"/>
            <wp:cNvGraphicFramePr>
              <a:graphicFrameLocks noChangeAspect="1"/>
            </wp:cNvGraphicFramePr>
            <a:graphic>
              <a:graphicData uri="http://schemas.openxmlformats.org/drawingml/2006/picture">
                <pic:pic>
                  <pic:nvPicPr>
                    <pic:cNvPr id="26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385.45pt;mso-position-horizontal-relative:page;mso-position-vertical-relative:paragraph;z-index:252025856" type="#_x0000_t202" filled="false" stroked="false">
            <v:textbox inset="0,0,0,0" style="layout-flow:vertical">
              <w:txbxContent>
                <w:p>
                  <w:pPr>
                    <w:spacing w:before="29"/>
                    <w:ind w:left="20" w:right="0" w:firstLine="0"/>
                    <w:jc w:val="left"/>
                    <w:rPr>
                      <w:sz w:val="39"/>
                    </w:rPr>
                  </w:pPr>
                  <w:r>
                    <w:rPr>
                      <w:color w:val="FFFFFF"/>
                      <w:spacing w:val="10"/>
                      <w:w w:val="125"/>
                      <w:sz w:val="39"/>
                    </w:rPr>
                    <w:t>Ministries </w:t>
                  </w:r>
                  <w:r>
                    <w:rPr>
                      <w:color w:val="FFFFFF"/>
                      <w:w w:val="125"/>
                      <w:sz w:val="39"/>
                    </w:rPr>
                    <w:t>– </w:t>
                  </w:r>
                  <w:r>
                    <w:rPr>
                      <w:spacing w:val="11"/>
                      <w:w w:val="125"/>
                      <w:sz w:val="39"/>
                    </w:rPr>
                    <w:t>Non-stipendiary</w:t>
                  </w:r>
                  <w:r>
                    <w:rPr>
                      <w:spacing w:val="-43"/>
                      <w:w w:val="125"/>
                      <w:sz w:val="39"/>
                    </w:rPr>
                    <w:t> </w:t>
                  </w:r>
                  <w:r>
                    <w:rPr>
                      <w:spacing w:val="12"/>
                      <w:w w:val="125"/>
                      <w:sz w:val="39"/>
                    </w:rPr>
                    <w:t>ministry</w:t>
                  </w:r>
                </w:p>
              </w:txbxContent>
            </v:textbox>
            <w10:wrap type="none"/>
          </v:shape>
        </w:pict>
      </w:r>
      <w:r>
        <w:rPr>
          <w:color w:val="7EAABF"/>
          <w:w w:val="110"/>
          <w:sz w:val="26"/>
        </w:rPr>
        <w:t>Ministries</w:t>
      </w:r>
    </w:p>
    <w:p>
      <w:pPr>
        <w:pStyle w:val="ListParagraph"/>
        <w:numPr>
          <w:ilvl w:val="0"/>
          <w:numId w:val="97"/>
        </w:numPr>
        <w:tabs>
          <w:tab w:pos="2244" w:val="left" w:leader="none"/>
          <w:tab w:pos="2245" w:val="left" w:leader="none"/>
        </w:tabs>
        <w:spacing w:line="235" w:lineRule="auto" w:before="222" w:after="0"/>
        <w:ind w:left="1564" w:right="893" w:hanging="1"/>
        <w:jc w:val="left"/>
        <w:rPr>
          <w:sz w:val="20"/>
        </w:rPr>
      </w:pPr>
      <w:r>
        <w:rPr>
          <w:w w:val="120"/>
          <w:sz w:val="20"/>
        </w:rPr>
        <w:t>Training would be tailored according to previous experience </w:t>
      </w:r>
      <w:r>
        <w:rPr>
          <w:spacing w:val="-5"/>
          <w:w w:val="120"/>
          <w:sz w:val="20"/>
        </w:rPr>
        <w:t>(e.g.  </w:t>
      </w:r>
      <w:r>
        <w:rPr>
          <w:w w:val="120"/>
          <w:sz w:val="20"/>
        </w:rPr>
        <w:t>elders’  training, </w:t>
      </w:r>
      <w:r>
        <w:rPr>
          <w:spacing w:val="2"/>
          <w:w w:val="120"/>
          <w:sz w:val="20"/>
        </w:rPr>
        <w:t>TLS </w:t>
      </w:r>
      <w:r>
        <w:rPr>
          <w:w w:val="120"/>
          <w:sz w:val="20"/>
        </w:rPr>
        <w:t>and Stepwise would be considered in determining a training programme) with a minimum standard. Training should be placement-based and should include distance learning, under the auspices of one of the RCLs, and, as well as addressing any need for biblical and doctrinal studies, should ensure a clear understanding of practices within the URC and include personal formation for ministry. Should a model</w:t>
      </w:r>
      <w:r>
        <w:rPr>
          <w:spacing w:val="43"/>
          <w:w w:val="120"/>
          <w:sz w:val="20"/>
        </w:rPr>
        <w:t> </w:t>
      </w:r>
      <w:r>
        <w:rPr>
          <w:w w:val="120"/>
          <w:sz w:val="20"/>
        </w:rPr>
        <w:t>four</w:t>
      </w:r>
    </w:p>
    <w:p>
      <w:pPr>
        <w:pStyle w:val="BodyText"/>
        <w:spacing w:line="235" w:lineRule="auto" w:before="4"/>
        <w:ind w:left="1564" w:right="923"/>
      </w:pPr>
      <w:r>
        <w:rPr>
          <w:w w:val="120"/>
        </w:rPr>
        <w:t>NSM wish to move into another sphere of non-stipendiary ministry, it shall be for the assessment board to test that call and, with guidance from the education and learning panel, determine what further training may be required.</w:t>
      </w:r>
    </w:p>
    <w:p>
      <w:pPr>
        <w:pStyle w:val="BodyText"/>
        <w:spacing w:before="10"/>
        <w:rPr>
          <w:sz w:val="19"/>
        </w:rPr>
      </w:pPr>
    </w:p>
    <w:p>
      <w:pPr>
        <w:pStyle w:val="ListParagraph"/>
        <w:numPr>
          <w:ilvl w:val="0"/>
          <w:numId w:val="97"/>
        </w:numPr>
        <w:tabs>
          <w:tab w:pos="2244" w:val="left" w:leader="none"/>
          <w:tab w:pos="2245" w:val="left" w:leader="none"/>
        </w:tabs>
        <w:spacing w:line="235" w:lineRule="auto" w:before="0" w:after="0"/>
        <w:ind w:left="1564" w:right="1106" w:firstLine="0"/>
        <w:jc w:val="left"/>
        <w:rPr>
          <w:sz w:val="20"/>
        </w:rPr>
      </w:pPr>
      <w:r>
        <w:rPr>
          <w:w w:val="120"/>
          <w:sz w:val="20"/>
        </w:rPr>
        <w:t>Each synod should determine the boundaries of model four NSM according to their need in planning for mission. There is no definitive list of ways in which a model four NSM might serve, but likely options include pastoral charge of one congregation under the oversight of a pastoral advisor; being attached to a particular congregation or grouping to offer support within a ministries team; and offering key support in priority areas to enable other leadership</w:t>
      </w:r>
      <w:r>
        <w:rPr>
          <w:spacing w:val="10"/>
          <w:w w:val="120"/>
          <w:sz w:val="20"/>
        </w:rPr>
        <w:t> </w:t>
      </w:r>
      <w:r>
        <w:rPr>
          <w:w w:val="120"/>
          <w:sz w:val="20"/>
        </w:rPr>
        <w:t>locally.</w:t>
      </w:r>
    </w:p>
    <w:p>
      <w:pPr>
        <w:pStyle w:val="BodyText"/>
      </w:pPr>
    </w:p>
    <w:p>
      <w:pPr>
        <w:pStyle w:val="ListParagraph"/>
        <w:numPr>
          <w:ilvl w:val="0"/>
          <w:numId w:val="97"/>
        </w:numPr>
        <w:tabs>
          <w:tab w:pos="2244" w:val="left" w:leader="none"/>
          <w:tab w:pos="2245" w:val="left" w:leader="none"/>
        </w:tabs>
        <w:spacing w:line="235" w:lineRule="auto" w:before="0" w:after="0"/>
        <w:ind w:left="1564" w:right="1123" w:firstLine="0"/>
        <w:jc w:val="left"/>
        <w:rPr>
          <w:sz w:val="20"/>
        </w:rPr>
      </w:pPr>
      <w:r>
        <w:rPr>
          <w:w w:val="120"/>
          <w:sz w:val="20"/>
        </w:rPr>
        <w:t>Such a minister would be appointed by the synod to a termed, but renewable, post, possibly for three years in the first</w:t>
      </w:r>
      <w:r>
        <w:rPr>
          <w:spacing w:val="12"/>
          <w:w w:val="120"/>
          <w:sz w:val="20"/>
        </w:rPr>
        <w:t> </w:t>
      </w:r>
      <w:r>
        <w:rPr>
          <w:w w:val="120"/>
          <w:sz w:val="20"/>
        </w:rPr>
        <w:t>instance.</w:t>
      </w:r>
    </w:p>
    <w:p>
      <w:pPr>
        <w:spacing w:after="0" w:line="235" w:lineRule="auto"/>
        <w:jc w:val="left"/>
        <w:rPr>
          <w:sz w:val="20"/>
        </w:rPr>
        <w:sectPr>
          <w:headerReference w:type="default" r:id="rId384"/>
          <w:pgSz w:w="11910" w:h="16840"/>
          <w:pgMar w:header="0" w:footer="647" w:top="0" w:bottom="840" w:left="420" w:right="380"/>
        </w:sectPr>
      </w:pPr>
    </w:p>
    <w:p>
      <w:pPr>
        <w:pStyle w:val="BodyText"/>
      </w:pPr>
      <w:r>
        <w:rPr/>
        <w:pict>
          <v:rect style="position:absolute;margin-left:46.777pt;margin-top:.000015pt;width:548.498pt;height:841.89pt;mso-position-horizontal-relative:page;mso-position-vertical-relative:page;z-index:-267256832" filled="true" fillcolor="#d4e9f7" stroked="false">
            <v:fill type="solid"/>
            <w10:wrap type="none"/>
          </v:rect>
        </w:pict>
      </w:r>
      <w:r>
        <w:rPr/>
        <w:drawing>
          <wp:anchor distT="0" distB="0" distL="0" distR="0" allowOverlap="1" layoutInCell="1" locked="0" behindDoc="1" simplePos="0" relativeHeight="236060672">
            <wp:simplePos x="0" y="0"/>
            <wp:positionH relativeFrom="page">
              <wp:posOffset>0</wp:posOffset>
            </wp:positionH>
            <wp:positionV relativeFrom="page">
              <wp:posOffset>0</wp:posOffset>
            </wp:positionV>
            <wp:extent cx="594067" cy="10692003"/>
            <wp:effectExtent l="0" t="0" r="0" b="0"/>
            <wp:wrapNone/>
            <wp:docPr id="269" name="image70.png"/>
            <wp:cNvGraphicFramePr>
              <a:graphicFrameLocks noChangeAspect="1"/>
            </wp:cNvGraphicFramePr>
            <a:graphic>
              <a:graphicData uri="http://schemas.openxmlformats.org/drawingml/2006/picture">
                <pic:pic>
                  <pic:nvPicPr>
                    <pic:cNvPr id="27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827" w:right="5063"/>
        <w:rPr>
          <w:b/>
        </w:rPr>
      </w:pPr>
      <w:r>
        <w:rPr/>
        <w:pict>
          <v:shape style="position:absolute;margin-left:20.519100pt;margin-top:-5.989334pt;width:26pt;height:80.1pt;mso-position-horizontal-relative:page;mso-position-vertical-relative:paragraph;z-index:25202892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bookmarkStart w:name="_bookmark26" w:id="34"/>
      <w:bookmarkEnd w:id="34"/>
      <w:r>
        <w:rPr>
          <w:b w:val="0"/>
        </w:rPr>
      </w:r>
      <w:r>
        <w:rPr>
          <w:b/>
          <w:color w:val="0090D4"/>
          <w:w w:val="110"/>
        </w:rPr>
        <w:t>Mission committee </w:t>
      </w:r>
      <w:r>
        <w:rPr>
          <w:b/>
          <w:w w:val="110"/>
        </w:rPr>
        <w:t>General report</w:t>
      </w:r>
    </w:p>
    <w:p>
      <w:pPr>
        <w:spacing w:before="356" w:after="9"/>
        <w:ind w:left="827"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88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35" w:lineRule="auto" w:before="111"/>
              <w:ind w:left="80" w:right="1843"/>
              <w:rPr>
                <w:sz w:val="20"/>
              </w:rPr>
            </w:pPr>
            <w:r>
              <w:rPr>
                <w:w w:val="120"/>
                <w:sz w:val="20"/>
              </w:rPr>
              <w:t>Bernie Collins: </w:t>
            </w:r>
            <w:hyperlink r:id="rId387">
              <w:r>
                <w:rPr>
                  <w:color w:val="006AB3"/>
                  <w:w w:val="120"/>
                  <w:sz w:val="20"/>
                </w:rPr>
                <w:t>bernie.collins@thecrocker.net</w:t>
              </w:r>
            </w:hyperlink>
            <w:r>
              <w:rPr>
                <w:color w:val="006AB3"/>
                <w:w w:val="120"/>
                <w:sz w:val="20"/>
              </w:rPr>
              <w:t> </w:t>
            </w:r>
            <w:r>
              <w:rPr>
                <w:w w:val="120"/>
                <w:sz w:val="20"/>
              </w:rPr>
              <w:t>Francis Brienen: </w:t>
            </w:r>
            <w:hyperlink r:id="rId161">
              <w:r>
                <w:rPr>
                  <w:color w:val="006AB3"/>
                  <w:w w:val="120"/>
                  <w:sz w:val="20"/>
                </w:rPr>
                <w:t>francis.brienen@urc.org.uk</w:t>
              </w:r>
            </w:hyperlink>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8"/>
              <w:ind w:left="80"/>
              <w:rPr>
                <w:sz w:val="20"/>
              </w:rPr>
            </w:pPr>
            <w:r>
              <w:rPr>
                <w:w w:val="120"/>
                <w:sz w:val="20"/>
              </w:rPr>
              <w:t>For information and discussion.</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spacing w:before="95"/>
              <w:ind w:left="80"/>
              <w:rPr>
                <w:rFonts w:ascii="Stone Sans II ITC Std Bk"/>
                <w:b/>
                <w:sz w:val="20"/>
              </w:rPr>
            </w:pPr>
            <w:r>
              <w:rPr>
                <w:rFonts w:ascii="Stone Sans II ITC Std Bk"/>
                <w:b/>
                <w:w w:val="110"/>
                <w:sz w:val="20"/>
              </w:rPr>
              <w:t>None.</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88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line="235" w:lineRule="auto" w:before="111"/>
              <w:ind w:left="80" w:right="563"/>
              <w:jc w:val="both"/>
              <w:rPr>
                <w:sz w:val="20"/>
              </w:rPr>
            </w:pPr>
            <w:r>
              <w:rPr>
                <w:w w:val="120"/>
                <w:sz w:val="20"/>
              </w:rPr>
              <w:t>This report provides an overview of the work of the mission committee and mission team in the period from July 2016 to March 2018. It describes completed and ongoing work.</w:t>
            </w:r>
          </w:p>
        </w:tc>
      </w:tr>
      <w:tr>
        <w:trPr>
          <w:trHeight w:val="112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line="235" w:lineRule="auto" w:before="111"/>
              <w:ind w:left="80"/>
              <w:rPr>
                <w:sz w:val="20"/>
              </w:rPr>
            </w:pPr>
            <w:r>
              <w:rPr>
                <w:w w:val="120"/>
                <w:sz w:val="20"/>
              </w:rPr>
              <w:t>A progress report is given on the work of: Church and society, Commitment for Life, ecumenical and interfaith relations, global and intercultural ministries, mission and evangelism, Fresh Expressions, and rural mission.</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line="242" w:lineRule="exact" w:before="107"/>
              <w:ind w:left="80"/>
              <w:rPr>
                <w:sz w:val="20"/>
              </w:rPr>
            </w:pPr>
            <w:r>
              <w:rPr>
                <w:w w:val="120"/>
                <w:sz w:val="20"/>
              </w:rPr>
              <w:t>Mission committee report to General Assembly 2016.</w:t>
            </w:r>
          </w:p>
          <w:p>
            <w:pPr>
              <w:pStyle w:val="TableParagraph"/>
              <w:spacing w:line="242" w:lineRule="exact"/>
              <w:ind w:left="80"/>
              <w:rPr>
                <w:sz w:val="20"/>
              </w:rPr>
            </w:pPr>
            <w:r>
              <w:rPr>
                <w:w w:val="120"/>
                <w:sz w:val="20"/>
              </w:rPr>
              <w:t>General Assembly 2016: Resolutions 31, 32, 33, 34, 37 and 50.</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Pr>
                <w:sz w:val="20"/>
              </w:rPr>
            </w:pPr>
            <w:r>
              <w:rPr>
                <w:w w:val="120"/>
                <w:sz w:val="20"/>
              </w:rPr>
              <w:t>All synods are represented on the committee, and between Assemblies it reports regularly to Mission Council.</w:t>
            </w:r>
          </w:p>
        </w:tc>
      </w:tr>
    </w:tbl>
    <w:p>
      <w:pPr>
        <w:spacing w:before="187" w:after="9"/>
        <w:ind w:left="827"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37"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0"/>
                <w:sz w:val="20"/>
              </w:rPr>
              <w:t>The committee works carefully within its allocated budget.</w:t>
            </w:r>
          </w:p>
        </w:tc>
      </w:tr>
      <w:tr>
        <w:trPr>
          <w:trHeight w:val="88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line="235" w:lineRule="auto" w:before="111"/>
              <w:ind w:left="80"/>
              <w:rPr>
                <w:sz w:val="20"/>
              </w:rPr>
            </w:pPr>
            <w:r>
              <w:rPr>
                <w:w w:val="120"/>
                <w:sz w:val="20"/>
              </w:rPr>
              <w:t>All the committee’s work concerns the external impact of the Church’s life – on ecumenical and international Church partners, on public life and on the wider community.</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spacing w:before="232"/>
        <w:ind w:left="827" w:right="0" w:firstLine="0"/>
        <w:jc w:val="left"/>
        <w:rPr>
          <w:sz w:val="23"/>
        </w:rPr>
      </w:pPr>
      <w:r>
        <w:rPr>
          <w:rFonts w:ascii="Stone Sans II ITC Std X Bd" w:hAnsi="Stone Sans II ITC Std X Bd"/>
          <w:b/>
          <w:w w:val="110"/>
          <w:sz w:val="24"/>
        </w:rPr>
        <w:t>140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p>
      <w:pPr>
        <w:spacing w:after="0"/>
        <w:jc w:val="left"/>
        <w:rPr>
          <w:sz w:val="23"/>
        </w:rPr>
        <w:sectPr>
          <w:headerReference w:type="even" r:id="rId385"/>
          <w:footerReference w:type="even" r:id="rId386"/>
          <w:pgSz w:w="11910" w:h="16840"/>
          <w:pgMar w:header="0" w:footer="0" w:top="0" w:bottom="0" w:left="420" w:right="380"/>
        </w:sectPr>
      </w:pPr>
    </w:p>
    <w:p>
      <w:pPr>
        <w:pStyle w:val="BodyText"/>
      </w:pPr>
      <w:r>
        <w:rPr/>
        <w:drawing>
          <wp:anchor distT="0" distB="0" distL="0" distR="0" allowOverlap="1" layoutInCell="1" locked="0" behindDoc="0" simplePos="0" relativeHeight="252029952">
            <wp:simplePos x="0" y="0"/>
            <wp:positionH relativeFrom="page">
              <wp:posOffset>6974928</wp:posOffset>
            </wp:positionH>
            <wp:positionV relativeFrom="page">
              <wp:posOffset>0</wp:posOffset>
            </wp:positionV>
            <wp:extent cx="585063" cy="10692003"/>
            <wp:effectExtent l="0" t="0" r="0" b="0"/>
            <wp:wrapNone/>
            <wp:docPr id="271" name="image57.png"/>
            <wp:cNvGraphicFramePr>
              <a:graphicFrameLocks noChangeAspect="1"/>
            </wp:cNvGraphicFramePr>
            <a:graphic>
              <a:graphicData uri="http://schemas.openxmlformats.org/drawingml/2006/picture">
                <pic:pic>
                  <pic:nvPicPr>
                    <pic:cNvPr id="272"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before="97"/>
        <w:ind w:left="1261" w:right="1047" w:firstLine="0"/>
        <w:jc w:val="center"/>
        <w:rPr>
          <w:rFonts w:ascii="Stone Sans II ITC Std X Bd"/>
          <w:b/>
          <w:sz w:val="50"/>
        </w:rPr>
      </w:pPr>
      <w:r>
        <w:rPr/>
        <w:pict>
          <v:shape style="position:absolute;margin-left:554.141174pt;margin-top:-5.998084pt;width:26pt;height:80.1pt;mso-position-horizontal-relative:page;mso-position-vertical-relative:paragraph;z-index:25203200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rFonts w:ascii="Stone Sans II ITC Std X Bd"/>
          <w:b/>
          <w:w w:val="110"/>
          <w:sz w:val="50"/>
        </w:rPr>
        <w:t>General report</w:t>
      </w:r>
    </w:p>
    <w:p>
      <w:pPr>
        <w:spacing w:line="261" w:lineRule="auto" w:before="141"/>
        <w:ind w:left="1436" w:right="1130" w:firstLine="0"/>
        <w:jc w:val="left"/>
        <w:rPr>
          <w:sz w:val="18"/>
        </w:rPr>
      </w:pPr>
      <w:r>
        <w:rPr/>
        <w:pict>
          <v:line style="position:absolute;mso-position-horizontal-relative:page;mso-position-vertical-relative:paragraph;z-index:252030976" from="86.165398pt,8.554453pt" to="86.165398pt,304.775453pt" stroked="true" strokeweight="1pt" strokecolor="#0090d4">
            <v:stroke dashstyle="solid"/>
            <w10:wrap type="none"/>
          </v:line>
        </w:pict>
      </w:r>
      <w:r>
        <w:rPr>
          <w:color w:val="707172"/>
          <w:w w:val="125"/>
          <w:sz w:val="18"/>
        </w:rPr>
        <w:t>The central task of the mission committee is to focus on mission, working with the whole of the</w:t>
      </w:r>
      <w:r>
        <w:rPr>
          <w:color w:val="707172"/>
          <w:spacing w:val="-9"/>
          <w:w w:val="125"/>
          <w:sz w:val="18"/>
        </w:rPr>
        <w:t> </w:t>
      </w:r>
      <w:r>
        <w:rPr>
          <w:color w:val="707172"/>
          <w:w w:val="125"/>
          <w:sz w:val="18"/>
        </w:rPr>
        <w:t>Church</w:t>
      </w:r>
      <w:r>
        <w:rPr>
          <w:color w:val="707172"/>
          <w:spacing w:val="-9"/>
          <w:w w:val="125"/>
          <w:sz w:val="18"/>
        </w:rPr>
        <w:t> </w:t>
      </w:r>
      <w:r>
        <w:rPr>
          <w:color w:val="707172"/>
          <w:w w:val="125"/>
          <w:sz w:val="18"/>
        </w:rPr>
        <w:t>to</w:t>
      </w:r>
      <w:r>
        <w:rPr>
          <w:color w:val="707172"/>
          <w:spacing w:val="-9"/>
          <w:w w:val="125"/>
          <w:sz w:val="18"/>
        </w:rPr>
        <w:t> </w:t>
      </w:r>
      <w:r>
        <w:rPr>
          <w:color w:val="707172"/>
          <w:w w:val="125"/>
          <w:sz w:val="18"/>
        </w:rPr>
        <w:t>formulate</w:t>
      </w:r>
      <w:r>
        <w:rPr>
          <w:color w:val="707172"/>
          <w:spacing w:val="-9"/>
          <w:w w:val="125"/>
          <w:sz w:val="18"/>
        </w:rPr>
        <w:t> </w:t>
      </w:r>
      <w:r>
        <w:rPr>
          <w:color w:val="707172"/>
          <w:w w:val="125"/>
          <w:sz w:val="18"/>
        </w:rPr>
        <w:t>and</w:t>
      </w:r>
      <w:r>
        <w:rPr>
          <w:color w:val="707172"/>
          <w:spacing w:val="-8"/>
          <w:w w:val="125"/>
          <w:sz w:val="18"/>
        </w:rPr>
        <w:t> </w:t>
      </w:r>
      <w:r>
        <w:rPr>
          <w:color w:val="707172"/>
          <w:w w:val="125"/>
          <w:sz w:val="18"/>
        </w:rPr>
        <w:t>give</w:t>
      </w:r>
      <w:r>
        <w:rPr>
          <w:color w:val="707172"/>
          <w:spacing w:val="-9"/>
          <w:w w:val="125"/>
          <w:sz w:val="18"/>
        </w:rPr>
        <w:t> </w:t>
      </w:r>
      <w:r>
        <w:rPr>
          <w:color w:val="707172"/>
          <w:w w:val="125"/>
          <w:sz w:val="18"/>
        </w:rPr>
        <w:t>expression</w:t>
      </w:r>
      <w:r>
        <w:rPr>
          <w:color w:val="707172"/>
          <w:spacing w:val="-9"/>
          <w:w w:val="125"/>
          <w:sz w:val="18"/>
        </w:rPr>
        <w:t> </w:t>
      </w:r>
      <w:r>
        <w:rPr>
          <w:color w:val="707172"/>
          <w:w w:val="125"/>
          <w:sz w:val="18"/>
        </w:rPr>
        <w:t>to</w:t>
      </w:r>
      <w:r>
        <w:rPr>
          <w:color w:val="707172"/>
          <w:spacing w:val="-9"/>
          <w:w w:val="125"/>
          <w:sz w:val="18"/>
        </w:rPr>
        <w:t> </w:t>
      </w:r>
      <w:r>
        <w:rPr>
          <w:color w:val="707172"/>
          <w:w w:val="125"/>
          <w:sz w:val="18"/>
        </w:rPr>
        <w:t>our</w:t>
      </w:r>
      <w:r>
        <w:rPr>
          <w:color w:val="707172"/>
          <w:spacing w:val="-9"/>
          <w:w w:val="125"/>
          <w:sz w:val="18"/>
        </w:rPr>
        <w:t> </w:t>
      </w:r>
      <w:r>
        <w:rPr>
          <w:color w:val="707172"/>
          <w:w w:val="125"/>
          <w:sz w:val="18"/>
        </w:rPr>
        <w:t>mission</w:t>
      </w:r>
      <w:r>
        <w:rPr>
          <w:color w:val="707172"/>
          <w:spacing w:val="-8"/>
          <w:w w:val="125"/>
          <w:sz w:val="18"/>
        </w:rPr>
        <w:t> </w:t>
      </w:r>
      <w:r>
        <w:rPr>
          <w:color w:val="707172"/>
          <w:w w:val="125"/>
          <w:sz w:val="18"/>
        </w:rPr>
        <w:t>and</w:t>
      </w:r>
      <w:r>
        <w:rPr>
          <w:color w:val="707172"/>
          <w:spacing w:val="-9"/>
          <w:w w:val="125"/>
          <w:sz w:val="18"/>
        </w:rPr>
        <w:t> </w:t>
      </w:r>
      <w:r>
        <w:rPr>
          <w:color w:val="707172"/>
          <w:w w:val="125"/>
          <w:sz w:val="18"/>
        </w:rPr>
        <w:t>faith</w:t>
      </w:r>
      <w:r>
        <w:rPr>
          <w:color w:val="707172"/>
          <w:spacing w:val="-9"/>
          <w:w w:val="125"/>
          <w:sz w:val="18"/>
        </w:rPr>
        <w:t> </w:t>
      </w:r>
      <w:r>
        <w:rPr>
          <w:color w:val="707172"/>
          <w:w w:val="125"/>
          <w:sz w:val="18"/>
        </w:rPr>
        <w:t>in</w:t>
      </w:r>
      <w:r>
        <w:rPr>
          <w:color w:val="707172"/>
          <w:spacing w:val="-9"/>
          <w:w w:val="125"/>
          <w:sz w:val="18"/>
        </w:rPr>
        <w:t> </w:t>
      </w:r>
      <w:r>
        <w:rPr>
          <w:color w:val="707172"/>
          <w:w w:val="125"/>
          <w:sz w:val="18"/>
        </w:rPr>
        <w:t>ways</w:t>
      </w:r>
      <w:r>
        <w:rPr>
          <w:color w:val="707172"/>
          <w:spacing w:val="-9"/>
          <w:w w:val="125"/>
          <w:sz w:val="18"/>
        </w:rPr>
        <w:t> </w:t>
      </w:r>
      <w:r>
        <w:rPr>
          <w:color w:val="707172"/>
          <w:w w:val="125"/>
          <w:sz w:val="18"/>
        </w:rPr>
        <w:t>which</w:t>
      </w:r>
      <w:r>
        <w:rPr>
          <w:color w:val="707172"/>
          <w:spacing w:val="-8"/>
          <w:w w:val="125"/>
          <w:sz w:val="18"/>
        </w:rPr>
        <w:t> </w:t>
      </w:r>
      <w:r>
        <w:rPr>
          <w:color w:val="707172"/>
          <w:w w:val="125"/>
          <w:sz w:val="18"/>
        </w:rPr>
        <w:t>bring</w:t>
      </w:r>
      <w:r>
        <w:rPr>
          <w:color w:val="707172"/>
          <w:spacing w:val="-9"/>
          <w:w w:val="125"/>
          <w:sz w:val="18"/>
        </w:rPr>
        <w:t> </w:t>
      </w:r>
      <w:r>
        <w:rPr>
          <w:color w:val="707172"/>
          <w:w w:val="125"/>
          <w:sz w:val="18"/>
        </w:rPr>
        <w:t>alive our vision of ‘being Christ’s people, transformed by the Gospel, making a difference to the world’ (General Assembly, 2007). The committee seeks to encourage growth in discipleship, evangelism and witness</w:t>
      </w:r>
      <w:r>
        <w:rPr>
          <w:color w:val="707172"/>
          <w:spacing w:val="-2"/>
          <w:w w:val="125"/>
          <w:sz w:val="18"/>
        </w:rPr>
        <w:t> </w:t>
      </w:r>
      <w:r>
        <w:rPr>
          <w:color w:val="707172"/>
          <w:w w:val="125"/>
          <w:sz w:val="18"/>
        </w:rPr>
        <w:t>by:</w:t>
      </w:r>
    </w:p>
    <w:p>
      <w:pPr>
        <w:pStyle w:val="ListParagraph"/>
        <w:numPr>
          <w:ilvl w:val="0"/>
          <w:numId w:val="98"/>
        </w:numPr>
        <w:tabs>
          <w:tab w:pos="2003" w:val="left" w:leader="none"/>
          <w:tab w:pos="2004" w:val="left" w:leader="none"/>
        </w:tabs>
        <w:spacing w:line="240" w:lineRule="auto" w:before="2" w:after="0"/>
        <w:ind w:left="2003" w:right="0" w:hanging="568"/>
        <w:jc w:val="left"/>
        <w:rPr>
          <w:sz w:val="18"/>
        </w:rPr>
      </w:pPr>
      <w:r>
        <w:rPr>
          <w:color w:val="707172"/>
          <w:w w:val="120"/>
          <w:sz w:val="18"/>
        </w:rPr>
        <w:t>reflecting on the Church’s mission practice and</w:t>
      </w:r>
      <w:r>
        <w:rPr>
          <w:color w:val="707172"/>
          <w:spacing w:val="25"/>
          <w:w w:val="120"/>
          <w:sz w:val="18"/>
        </w:rPr>
        <w:t> </w:t>
      </w:r>
      <w:r>
        <w:rPr>
          <w:color w:val="707172"/>
          <w:w w:val="120"/>
          <w:sz w:val="18"/>
        </w:rPr>
        <w:t>theology;</w:t>
      </w:r>
    </w:p>
    <w:p>
      <w:pPr>
        <w:pStyle w:val="ListParagraph"/>
        <w:numPr>
          <w:ilvl w:val="0"/>
          <w:numId w:val="98"/>
        </w:numPr>
        <w:tabs>
          <w:tab w:pos="2003" w:val="left" w:leader="none"/>
          <w:tab w:pos="2004" w:val="left" w:leader="none"/>
        </w:tabs>
        <w:spacing w:line="240" w:lineRule="auto" w:before="20" w:after="0"/>
        <w:ind w:left="2003" w:right="0" w:hanging="568"/>
        <w:jc w:val="left"/>
        <w:rPr>
          <w:sz w:val="18"/>
        </w:rPr>
      </w:pPr>
      <w:r>
        <w:rPr>
          <w:color w:val="707172"/>
          <w:w w:val="120"/>
          <w:sz w:val="18"/>
        </w:rPr>
        <w:t>formulating policy, strategies and programme </w:t>
      </w:r>
      <w:r>
        <w:rPr>
          <w:color w:val="707172"/>
          <w:spacing w:val="-3"/>
          <w:w w:val="120"/>
          <w:sz w:val="18"/>
        </w:rPr>
        <w:t>(action)</w:t>
      </w:r>
      <w:r>
        <w:rPr>
          <w:color w:val="707172"/>
          <w:spacing w:val="25"/>
          <w:w w:val="120"/>
          <w:sz w:val="18"/>
        </w:rPr>
        <w:t> </w:t>
      </w:r>
      <w:r>
        <w:rPr>
          <w:color w:val="707172"/>
          <w:w w:val="120"/>
          <w:sz w:val="18"/>
        </w:rPr>
        <w:t>priorities;</w:t>
      </w:r>
    </w:p>
    <w:p>
      <w:pPr>
        <w:pStyle w:val="ListParagraph"/>
        <w:numPr>
          <w:ilvl w:val="0"/>
          <w:numId w:val="98"/>
        </w:numPr>
        <w:tabs>
          <w:tab w:pos="2003" w:val="left" w:leader="none"/>
          <w:tab w:pos="2004" w:val="left" w:leader="none"/>
        </w:tabs>
        <w:spacing w:line="240" w:lineRule="auto" w:before="20" w:after="0"/>
        <w:ind w:left="2003" w:right="0" w:hanging="568"/>
        <w:jc w:val="left"/>
        <w:rPr>
          <w:sz w:val="18"/>
        </w:rPr>
      </w:pPr>
      <w:r>
        <w:rPr>
          <w:color w:val="707172"/>
          <w:w w:val="120"/>
          <w:sz w:val="18"/>
        </w:rPr>
        <w:t>reading the signs of the times and speaking</w:t>
      </w:r>
      <w:r>
        <w:rPr>
          <w:color w:val="707172"/>
          <w:spacing w:val="27"/>
          <w:w w:val="120"/>
          <w:sz w:val="18"/>
        </w:rPr>
        <w:t> </w:t>
      </w:r>
      <w:r>
        <w:rPr>
          <w:color w:val="707172"/>
          <w:w w:val="120"/>
          <w:sz w:val="18"/>
        </w:rPr>
        <w:t>prophetically;</w:t>
      </w:r>
    </w:p>
    <w:p>
      <w:pPr>
        <w:pStyle w:val="ListParagraph"/>
        <w:numPr>
          <w:ilvl w:val="0"/>
          <w:numId w:val="98"/>
        </w:numPr>
        <w:tabs>
          <w:tab w:pos="2003" w:val="left" w:leader="none"/>
          <w:tab w:pos="2004" w:val="left" w:leader="none"/>
        </w:tabs>
        <w:spacing w:line="240" w:lineRule="auto" w:before="20" w:after="0"/>
        <w:ind w:left="2003" w:right="0" w:hanging="568"/>
        <w:jc w:val="left"/>
        <w:rPr>
          <w:sz w:val="18"/>
        </w:rPr>
      </w:pPr>
      <w:r>
        <w:rPr>
          <w:color w:val="707172"/>
          <w:w w:val="120"/>
          <w:sz w:val="18"/>
        </w:rPr>
        <w:t>working with partners;</w:t>
      </w:r>
      <w:r>
        <w:rPr>
          <w:color w:val="707172"/>
          <w:spacing w:val="7"/>
          <w:w w:val="120"/>
          <w:sz w:val="18"/>
        </w:rPr>
        <w:t> </w:t>
      </w:r>
      <w:r>
        <w:rPr>
          <w:color w:val="707172"/>
          <w:w w:val="120"/>
          <w:sz w:val="18"/>
        </w:rPr>
        <w:t>and</w:t>
      </w:r>
    </w:p>
    <w:p>
      <w:pPr>
        <w:pStyle w:val="ListParagraph"/>
        <w:numPr>
          <w:ilvl w:val="0"/>
          <w:numId w:val="98"/>
        </w:numPr>
        <w:tabs>
          <w:tab w:pos="2003" w:val="left" w:leader="none"/>
          <w:tab w:pos="2004" w:val="left" w:leader="none"/>
        </w:tabs>
        <w:spacing w:line="261" w:lineRule="auto" w:before="21" w:after="0"/>
        <w:ind w:left="2003" w:right="1942" w:hanging="567"/>
        <w:jc w:val="left"/>
        <w:rPr>
          <w:sz w:val="18"/>
        </w:rPr>
      </w:pPr>
      <w:r>
        <w:rPr>
          <w:color w:val="707172"/>
          <w:w w:val="120"/>
          <w:sz w:val="18"/>
        </w:rPr>
        <w:t>continuously evaluating the place of mission and evangelism within the work of General</w:t>
      </w:r>
      <w:r>
        <w:rPr>
          <w:color w:val="707172"/>
          <w:spacing w:val="2"/>
          <w:w w:val="120"/>
          <w:sz w:val="18"/>
        </w:rPr>
        <w:t> </w:t>
      </w:r>
      <w:r>
        <w:rPr>
          <w:color w:val="707172"/>
          <w:w w:val="120"/>
          <w:sz w:val="18"/>
        </w:rPr>
        <w:t>Assembly.</w:t>
      </w:r>
    </w:p>
    <w:p>
      <w:pPr>
        <w:pStyle w:val="BodyText"/>
        <w:spacing w:before="9"/>
        <w:rPr>
          <w:sz w:val="18"/>
        </w:rPr>
      </w:pPr>
    </w:p>
    <w:p>
      <w:pPr>
        <w:spacing w:before="1"/>
        <w:ind w:left="1436" w:right="0" w:firstLine="0"/>
        <w:jc w:val="left"/>
        <w:rPr>
          <w:rFonts w:ascii="Stone Sans II ITC Std Bk"/>
          <w:b/>
          <w:sz w:val="18"/>
        </w:rPr>
      </w:pPr>
      <w:r>
        <w:rPr>
          <w:rFonts w:ascii="Stone Sans II ITC Std Bk"/>
          <w:b/>
          <w:color w:val="707172"/>
          <w:w w:val="110"/>
          <w:sz w:val="18"/>
        </w:rPr>
        <w:t>Committee members</w:t>
      </w:r>
    </w:p>
    <w:p>
      <w:pPr>
        <w:spacing w:before="7"/>
        <w:ind w:left="1436" w:right="0" w:firstLine="0"/>
        <w:jc w:val="left"/>
        <w:rPr>
          <w:sz w:val="18"/>
        </w:rPr>
      </w:pPr>
      <w:r>
        <w:rPr>
          <w:color w:val="707172"/>
          <w:w w:val="125"/>
          <w:sz w:val="18"/>
        </w:rPr>
        <w:t>Convenor: Bernie Collins</w:t>
      </w:r>
    </w:p>
    <w:p>
      <w:pPr>
        <w:spacing w:line="261" w:lineRule="auto" w:before="21"/>
        <w:ind w:left="1436" w:right="1169" w:firstLine="0"/>
        <w:jc w:val="left"/>
        <w:rPr>
          <w:sz w:val="18"/>
        </w:rPr>
      </w:pPr>
      <w:r>
        <w:rPr>
          <w:color w:val="707172"/>
          <w:w w:val="120"/>
          <w:sz w:val="18"/>
        </w:rPr>
        <w:t>Staff: Francis Brienen (Deputy General Secretary, </w:t>
      </w:r>
      <w:r>
        <w:rPr>
          <w:color w:val="707172"/>
          <w:spacing w:val="-4"/>
          <w:w w:val="120"/>
          <w:sz w:val="18"/>
        </w:rPr>
        <w:t>Mission), </w:t>
      </w:r>
      <w:r>
        <w:rPr>
          <w:color w:val="707172"/>
          <w:w w:val="120"/>
          <w:sz w:val="18"/>
        </w:rPr>
        <w:t>Philip Brooks (Secretary for Ecumenical and Interfaith </w:t>
      </w:r>
      <w:r>
        <w:rPr>
          <w:color w:val="707172"/>
          <w:spacing w:val="-4"/>
          <w:w w:val="120"/>
          <w:sz w:val="18"/>
        </w:rPr>
        <w:t>Relations), </w:t>
      </w:r>
      <w:r>
        <w:rPr>
          <w:color w:val="707172"/>
          <w:w w:val="120"/>
          <w:sz w:val="18"/>
        </w:rPr>
        <w:t>Elizabeth Clark (National Rural </w:t>
      </w:r>
      <w:r>
        <w:rPr>
          <w:color w:val="707172"/>
          <w:spacing w:val="-3"/>
          <w:w w:val="120"/>
          <w:sz w:val="18"/>
        </w:rPr>
        <w:t>Officer), </w:t>
      </w:r>
      <w:r>
        <w:rPr>
          <w:color w:val="707172"/>
          <w:w w:val="120"/>
          <w:sz w:val="18"/>
        </w:rPr>
        <w:t>Michael Jagessar (Secretary for Global and Intercultural </w:t>
      </w:r>
      <w:r>
        <w:rPr>
          <w:color w:val="707172"/>
          <w:spacing w:val="-3"/>
          <w:w w:val="120"/>
          <w:sz w:val="18"/>
        </w:rPr>
        <w:t>Ministries), </w:t>
      </w:r>
      <w:r>
        <w:rPr>
          <w:color w:val="707172"/>
          <w:w w:val="120"/>
          <w:sz w:val="18"/>
        </w:rPr>
        <w:t>Linda Mead </w:t>
      </w:r>
      <w:r>
        <w:rPr>
          <w:color w:val="707172"/>
          <w:spacing w:val="-3"/>
          <w:w w:val="120"/>
          <w:sz w:val="18"/>
        </w:rPr>
        <w:t>(Commitment </w:t>
      </w:r>
      <w:r>
        <w:rPr>
          <w:color w:val="707172"/>
          <w:w w:val="120"/>
          <w:sz w:val="18"/>
        </w:rPr>
        <w:t>for Life Programme </w:t>
      </w:r>
      <w:r>
        <w:rPr>
          <w:color w:val="707172"/>
          <w:spacing w:val="-3"/>
          <w:w w:val="120"/>
          <w:sz w:val="18"/>
        </w:rPr>
        <w:t>Coordinator), </w:t>
      </w:r>
      <w:r>
        <w:rPr>
          <w:color w:val="707172"/>
          <w:w w:val="120"/>
          <w:sz w:val="18"/>
        </w:rPr>
        <w:t>Simeon Mitchell (Secretary for Church and Society) and Linda Rayner (Coordinator for Fresh</w:t>
      </w:r>
      <w:r>
        <w:rPr>
          <w:color w:val="707172"/>
          <w:spacing w:val="3"/>
          <w:w w:val="120"/>
          <w:sz w:val="18"/>
        </w:rPr>
        <w:t> </w:t>
      </w:r>
      <w:r>
        <w:rPr>
          <w:color w:val="707172"/>
          <w:w w:val="120"/>
          <w:sz w:val="18"/>
        </w:rPr>
        <w:t>Expressions)</w:t>
      </w:r>
    </w:p>
    <w:p>
      <w:pPr>
        <w:spacing w:line="261" w:lineRule="auto" w:before="2"/>
        <w:ind w:left="1436" w:right="923" w:firstLine="0"/>
        <w:jc w:val="left"/>
        <w:rPr>
          <w:sz w:val="18"/>
        </w:rPr>
      </w:pPr>
      <w:r>
        <w:rPr>
          <w:color w:val="707172"/>
          <w:w w:val="125"/>
          <w:sz w:val="18"/>
        </w:rPr>
        <w:t>Members:</w:t>
      </w:r>
      <w:r>
        <w:rPr>
          <w:color w:val="707172"/>
          <w:spacing w:val="-9"/>
          <w:w w:val="125"/>
          <w:sz w:val="18"/>
        </w:rPr>
        <w:t> </w:t>
      </w:r>
      <w:r>
        <w:rPr>
          <w:color w:val="707172"/>
          <w:w w:val="125"/>
          <w:sz w:val="18"/>
        </w:rPr>
        <w:t>Chris</w:t>
      </w:r>
      <w:r>
        <w:rPr>
          <w:color w:val="707172"/>
          <w:spacing w:val="-9"/>
          <w:w w:val="125"/>
          <w:sz w:val="18"/>
        </w:rPr>
        <w:t> </w:t>
      </w:r>
      <w:r>
        <w:rPr>
          <w:color w:val="707172"/>
          <w:w w:val="125"/>
          <w:sz w:val="18"/>
        </w:rPr>
        <w:t>Eddowes</w:t>
      </w:r>
      <w:r>
        <w:rPr>
          <w:color w:val="707172"/>
          <w:spacing w:val="-8"/>
          <w:w w:val="125"/>
          <w:sz w:val="18"/>
        </w:rPr>
        <w:t> </w:t>
      </w:r>
      <w:r>
        <w:rPr>
          <w:color w:val="707172"/>
          <w:w w:val="125"/>
          <w:sz w:val="18"/>
        </w:rPr>
        <w:t>(Northern</w:t>
      </w:r>
      <w:r>
        <w:rPr>
          <w:color w:val="707172"/>
          <w:spacing w:val="-9"/>
          <w:w w:val="125"/>
          <w:sz w:val="18"/>
        </w:rPr>
        <w:t> </w:t>
      </w:r>
      <w:r>
        <w:rPr>
          <w:color w:val="707172"/>
          <w:w w:val="125"/>
          <w:sz w:val="18"/>
        </w:rPr>
        <w:t>Synod),</w:t>
      </w:r>
      <w:r>
        <w:rPr>
          <w:color w:val="707172"/>
          <w:spacing w:val="-8"/>
          <w:w w:val="125"/>
          <w:sz w:val="18"/>
        </w:rPr>
        <w:t> </w:t>
      </w:r>
      <w:r>
        <w:rPr>
          <w:color w:val="707172"/>
          <w:w w:val="125"/>
          <w:sz w:val="18"/>
        </w:rPr>
        <w:t>Stuart</w:t>
      </w:r>
      <w:r>
        <w:rPr>
          <w:color w:val="707172"/>
          <w:spacing w:val="-9"/>
          <w:w w:val="125"/>
          <w:sz w:val="18"/>
        </w:rPr>
        <w:t> </w:t>
      </w:r>
      <w:r>
        <w:rPr>
          <w:color w:val="707172"/>
          <w:w w:val="125"/>
          <w:sz w:val="18"/>
        </w:rPr>
        <w:t>Nixon</w:t>
      </w:r>
      <w:r>
        <w:rPr>
          <w:color w:val="707172"/>
          <w:spacing w:val="-8"/>
          <w:w w:val="125"/>
          <w:sz w:val="18"/>
        </w:rPr>
        <w:t> </w:t>
      </w:r>
      <w:r>
        <w:rPr>
          <w:color w:val="707172"/>
          <w:w w:val="125"/>
          <w:sz w:val="18"/>
        </w:rPr>
        <w:t>(North</w:t>
      </w:r>
      <w:r>
        <w:rPr>
          <w:color w:val="707172"/>
          <w:spacing w:val="-9"/>
          <w:w w:val="125"/>
          <w:sz w:val="18"/>
        </w:rPr>
        <w:t> </w:t>
      </w:r>
      <w:r>
        <w:rPr>
          <w:color w:val="707172"/>
          <w:w w:val="125"/>
          <w:sz w:val="18"/>
        </w:rPr>
        <w:t>Western</w:t>
      </w:r>
      <w:r>
        <w:rPr>
          <w:color w:val="707172"/>
          <w:spacing w:val="-8"/>
          <w:w w:val="125"/>
          <w:sz w:val="18"/>
        </w:rPr>
        <w:t> </w:t>
      </w:r>
      <w:r>
        <w:rPr>
          <w:color w:val="707172"/>
          <w:w w:val="125"/>
          <w:sz w:val="18"/>
        </w:rPr>
        <w:t>Synod),</w:t>
      </w:r>
      <w:r>
        <w:rPr>
          <w:color w:val="707172"/>
          <w:spacing w:val="-9"/>
          <w:w w:val="125"/>
          <w:sz w:val="18"/>
        </w:rPr>
        <w:t> </w:t>
      </w:r>
      <w:r>
        <w:rPr>
          <w:color w:val="707172"/>
          <w:spacing w:val="2"/>
          <w:w w:val="125"/>
          <w:sz w:val="18"/>
        </w:rPr>
        <w:t>Hilary</w:t>
      </w:r>
      <w:r>
        <w:rPr>
          <w:color w:val="707172"/>
          <w:spacing w:val="-9"/>
          <w:w w:val="125"/>
          <w:sz w:val="18"/>
        </w:rPr>
        <w:t> </w:t>
      </w:r>
      <w:r>
        <w:rPr>
          <w:color w:val="707172"/>
          <w:w w:val="125"/>
          <w:sz w:val="18"/>
        </w:rPr>
        <w:t>Smith (Mersey Synod), John Cornell (Yorkshire Synod), Lesley Moseley (East Midlands Synod), John Davey (West Midlands Synod), David Sebley (Eastern Synod), Stephen Newell (South Western </w:t>
      </w:r>
      <w:r>
        <w:rPr>
          <w:color w:val="707172"/>
          <w:spacing w:val="-3"/>
          <w:w w:val="125"/>
          <w:sz w:val="18"/>
        </w:rPr>
        <w:t>Synod)</w:t>
      </w:r>
      <w:r>
        <w:rPr>
          <w:color w:val="707172"/>
          <w:spacing w:val="-15"/>
          <w:w w:val="125"/>
          <w:sz w:val="18"/>
        </w:rPr>
        <w:t> </w:t>
      </w:r>
      <w:r>
        <w:rPr>
          <w:color w:val="707172"/>
          <w:w w:val="125"/>
          <w:sz w:val="18"/>
        </w:rPr>
        <w:t>until</w:t>
      </w:r>
      <w:r>
        <w:rPr>
          <w:color w:val="707172"/>
          <w:spacing w:val="-15"/>
          <w:w w:val="125"/>
          <w:sz w:val="18"/>
        </w:rPr>
        <w:t> </w:t>
      </w:r>
      <w:r>
        <w:rPr>
          <w:color w:val="707172"/>
          <w:w w:val="125"/>
          <w:sz w:val="18"/>
        </w:rPr>
        <w:t>February</w:t>
      </w:r>
      <w:r>
        <w:rPr>
          <w:color w:val="707172"/>
          <w:spacing w:val="-15"/>
          <w:w w:val="125"/>
          <w:sz w:val="18"/>
        </w:rPr>
        <w:t> </w:t>
      </w:r>
      <w:r>
        <w:rPr>
          <w:color w:val="707172"/>
          <w:spacing w:val="-5"/>
          <w:w w:val="125"/>
          <w:sz w:val="18"/>
        </w:rPr>
        <w:t>2018,</w:t>
      </w:r>
      <w:r>
        <w:rPr>
          <w:color w:val="707172"/>
          <w:spacing w:val="-15"/>
          <w:w w:val="125"/>
          <w:sz w:val="18"/>
        </w:rPr>
        <w:t> </w:t>
      </w:r>
      <w:r>
        <w:rPr>
          <w:color w:val="707172"/>
          <w:w w:val="125"/>
          <w:sz w:val="18"/>
        </w:rPr>
        <w:t>Ray</w:t>
      </w:r>
      <w:r>
        <w:rPr>
          <w:color w:val="707172"/>
          <w:spacing w:val="-15"/>
          <w:w w:val="125"/>
          <w:sz w:val="18"/>
        </w:rPr>
        <w:t> </w:t>
      </w:r>
      <w:r>
        <w:rPr>
          <w:color w:val="707172"/>
          <w:w w:val="125"/>
          <w:sz w:val="18"/>
        </w:rPr>
        <w:t>Stanyon</w:t>
      </w:r>
      <w:r>
        <w:rPr>
          <w:color w:val="707172"/>
          <w:spacing w:val="-15"/>
          <w:w w:val="125"/>
          <w:sz w:val="18"/>
        </w:rPr>
        <w:t> </w:t>
      </w:r>
      <w:r>
        <w:rPr>
          <w:color w:val="707172"/>
          <w:w w:val="125"/>
          <w:sz w:val="18"/>
        </w:rPr>
        <w:t>(Wessex</w:t>
      </w:r>
      <w:r>
        <w:rPr>
          <w:color w:val="707172"/>
          <w:spacing w:val="-15"/>
          <w:w w:val="125"/>
          <w:sz w:val="18"/>
        </w:rPr>
        <w:t> </w:t>
      </w:r>
      <w:r>
        <w:rPr>
          <w:color w:val="707172"/>
          <w:spacing w:val="-3"/>
          <w:w w:val="125"/>
          <w:sz w:val="18"/>
        </w:rPr>
        <w:t>Synod),</w:t>
      </w:r>
      <w:r>
        <w:rPr>
          <w:color w:val="707172"/>
          <w:spacing w:val="-15"/>
          <w:w w:val="125"/>
          <w:sz w:val="18"/>
        </w:rPr>
        <w:t> </w:t>
      </w:r>
      <w:r>
        <w:rPr>
          <w:color w:val="707172"/>
          <w:w w:val="125"/>
          <w:sz w:val="18"/>
        </w:rPr>
        <w:t>Vivien</w:t>
      </w:r>
      <w:r>
        <w:rPr>
          <w:color w:val="707172"/>
          <w:spacing w:val="-15"/>
          <w:w w:val="125"/>
          <w:sz w:val="18"/>
        </w:rPr>
        <w:t> </w:t>
      </w:r>
      <w:r>
        <w:rPr>
          <w:color w:val="707172"/>
          <w:w w:val="125"/>
          <w:sz w:val="18"/>
        </w:rPr>
        <w:t>Andrew</w:t>
      </w:r>
      <w:r>
        <w:rPr>
          <w:color w:val="707172"/>
          <w:spacing w:val="-15"/>
          <w:w w:val="125"/>
          <w:sz w:val="18"/>
        </w:rPr>
        <w:t> </w:t>
      </w:r>
      <w:r>
        <w:rPr>
          <w:color w:val="707172"/>
          <w:w w:val="125"/>
          <w:sz w:val="18"/>
        </w:rPr>
        <w:t>(Thames</w:t>
      </w:r>
      <w:r>
        <w:rPr>
          <w:color w:val="707172"/>
          <w:spacing w:val="-14"/>
          <w:w w:val="125"/>
          <w:sz w:val="18"/>
        </w:rPr>
        <w:t> </w:t>
      </w:r>
      <w:r>
        <w:rPr>
          <w:color w:val="707172"/>
          <w:w w:val="125"/>
          <w:sz w:val="18"/>
        </w:rPr>
        <w:t>North</w:t>
      </w:r>
      <w:r>
        <w:rPr>
          <w:color w:val="707172"/>
          <w:spacing w:val="-15"/>
          <w:w w:val="125"/>
          <w:sz w:val="18"/>
        </w:rPr>
        <w:t> </w:t>
      </w:r>
      <w:r>
        <w:rPr>
          <w:color w:val="707172"/>
          <w:spacing w:val="-3"/>
          <w:w w:val="125"/>
          <w:sz w:val="18"/>
        </w:rPr>
        <w:t>Synod), </w:t>
      </w:r>
      <w:r>
        <w:rPr>
          <w:color w:val="707172"/>
          <w:spacing w:val="2"/>
          <w:w w:val="125"/>
          <w:sz w:val="18"/>
        </w:rPr>
        <w:t>Martin</w:t>
      </w:r>
      <w:r>
        <w:rPr>
          <w:color w:val="707172"/>
          <w:spacing w:val="-9"/>
          <w:w w:val="125"/>
          <w:sz w:val="18"/>
        </w:rPr>
        <w:t> </w:t>
      </w:r>
      <w:r>
        <w:rPr>
          <w:color w:val="707172"/>
          <w:w w:val="125"/>
          <w:sz w:val="18"/>
        </w:rPr>
        <w:t>Hayward</w:t>
      </w:r>
      <w:r>
        <w:rPr>
          <w:color w:val="707172"/>
          <w:spacing w:val="-9"/>
          <w:w w:val="125"/>
          <w:sz w:val="18"/>
        </w:rPr>
        <w:t> </w:t>
      </w:r>
      <w:r>
        <w:rPr>
          <w:color w:val="707172"/>
          <w:w w:val="125"/>
          <w:sz w:val="18"/>
        </w:rPr>
        <w:t>(Southern)</w:t>
      </w:r>
      <w:r>
        <w:rPr>
          <w:color w:val="707172"/>
          <w:spacing w:val="-9"/>
          <w:w w:val="125"/>
          <w:sz w:val="18"/>
        </w:rPr>
        <w:t> </w:t>
      </w:r>
      <w:r>
        <w:rPr>
          <w:color w:val="707172"/>
          <w:w w:val="125"/>
          <w:sz w:val="18"/>
        </w:rPr>
        <w:t>John</w:t>
      </w:r>
      <w:r>
        <w:rPr>
          <w:color w:val="707172"/>
          <w:spacing w:val="-9"/>
          <w:w w:val="125"/>
          <w:sz w:val="18"/>
        </w:rPr>
        <w:t> </w:t>
      </w:r>
      <w:r>
        <w:rPr>
          <w:color w:val="707172"/>
          <w:w w:val="125"/>
          <w:sz w:val="18"/>
        </w:rPr>
        <w:t>Collings</w:t>
      </w:r>
      <w:r>
        <w:rPr>
          <w:color w:val="707172"/>
          <w:spacing w:val="-9"/>
          <w:w w:val="125"/>
          <w:sz w:val="18"/>
        </w:rPr>
        <w:t> </w:t>
      </w:r>
      <w:r>
        <w:rPr>
          <w:color w:val="707172"/>
          <w:w w:val="125"/>
          <w:sz w:val="18"/>
        </w:rPr>
        <w:t>(Synod</w:t>
      </w:r>
      <w:r>
        <w:rPr>
          <w:color w:val="707172"/>
          <w:spacing w:val="-9"/>
          <w:w w:val="125"/>
          <w:sz w:val="18"/>
        </w:rPr>
        <w:t> </w:t>
      </w:r>
      <w:r>
        <w:rPr>
          <w:color w:val="707172"/>
          <w:w w:val="125"/>
          <w:sz w:val="18"/>
        </w:rPr>
        <w:t>of</w:t>
      </w:r>
      <w:r>
        <w:rPr>
          <w:color w:val="707172"/>
          <w:spacing w:val="-9"/>
          <w:w w:val="125"/>
          <w:sz w:val="18"/>
        </w:rPr>
        <w:t> </w:t>
      </w:r>
      <w:r>
        <w:rPr>
          <w:color w:val="707172"/>
          <w:w w:val="125"/>
          <w:sz w:val="18"/>
        </w:rPr>
        <w:t>Scotland)</w:t>
      </w:r>
      <w:r>
        <w:rPr>
          <w:color w:val="707172"/>
          <w:spacing w:val="-9"/>
          <w:w w:val="125"/>
          <w:sz w:val="18"/>
        </w:rPr>
        <w:t> </w:t>
      </w:r>
      <w:r>
        <w:rPr>
          <w:color w:val="707172"/>
          <w:w w:val="125"/>
          <w:sz w:val="18"/>
        </w:rPr>
        <w:t>and</w:t>
      </w:r>
      <w:r>
        <w:rPr>
          <w:color w:val="707172"/>
          <w:spacing w:val="-8"/>
          <w:w w:val="125"/>
          <w:sz w:val="18"/>
        </w:rPr>
        <w:t> </w:t>
      </w:r>
      <w:r>
        <w:rPr>
          <w:color w:val="707172"/>
          <w:w w:val="125"/>
          <w:sz w:val="18"/>
        </w:rPr>
        <w:t>Sue</w:t>
      </w:r>
      <w:r>
        <w:rPr>
          <w:color w:val="707172"/>
          <w:spacing w:val="-9"/>
          <w:w w:val="125"/>
          <w:sz w:val="18"/>
        </w:rPr>
        <w:t> </w:t>
      </w:r>
      <w:r>
        <w:rPr>
          <w:color w:val="707172"/>
          <w:w w:val="125"/>
          <w:sz w:val="18"/>
        </w:rPr>
        <w:t>Fender</w:t>
      </w:r>
      <w:r>
        <w:rPr>
          <w:color w:val="707172"/>
          <w:spacing w:val="-9"/>
          <w:w w:val="125"/>
          <w:sz w:val="18"/>
        </w:rPr>
        <w:t> </w:t>
      </w:r>
      <w:r>
        <w:rPr>
          <w:color w:val="707172"/>
          <w:w w:val="125"/>
          <w:sz w:val="18"/>
        </w:rPr>
        <w:t>(Synod</w:t>
      </w:r>
      <w:r>
        <w:rPr>
          <w:color w:val="707172"/>
          <w:spacing w:val="-9"/>
          <w:w w:val="125"/>
          <w:sz w:val="18"/>
        </w:rPr>
        <w:t> </w:t>
      </w:r>
      <w:r>
        <w:rPr>
          <w:color w:val="707172"/>
          <w:w w:val="125"/>
          <w:sz w:val="18"/>
        </w:rPr>
        <w:t>of</w:t>
      </w:r>
      <w:r>
        <w:rPr>
          <w:color w:val="707172"/>
          <w:spacing w:val="-9"/>
          <w:w w:val="125"/>
          <w:sz w:val="18"/>
        </w:rPr>
        <w:t> </w:t>
      </w:r>
      <w:r>
        <w:rPr>
          <w:color w:val="707172"/>
          <w:spacing w:val="-3"/>
          <w:w w:val="125"/>
          <w:sz w:val="18"/>
        </w:rPr>
        <w:t>Wales) </w:t>
      </w:r>
      <w:r>
        <w:rPr>
          <w:color w:val="707172"/>
          <w:w w:val="125"/>
          <w:sz w:val="18"/>
        </w:rPr>
        <w:t>until </w:t>
      </w:r>
      <w:r>
        <w:rPr>
          <w:color w:val="707172"/>
          <w:spacing w:val="2"/>
          <w:w w:val="125"/>
          <w:sz w:val="18"/>
        </w:rPr>
        <w:t>February </w:t>
      </w:r>
      <w:r>
        <w:rPr>
          <w:color w:val="707172"/>
          <w:spacing w:val="-4"/>
          <w:w w:val="125"/>
          <w:sz w:val="18"/>
        </w:rPr>
        <w:t>2018, </w:t>
      </w:r>
      <w:r>
        <w:rPr>
          <w:color w:val="707172"/>
          <w:w w:val="125"/>
          <w:sz w:val="18"/>
        </w:rPr>
        <w:t>after which she will be replaced by Branwen</w:t>
      </w:r>
      <w:r>
        <w:rPr>
          <w:color w:val="707172"/>
          <w:spacing w:val="-25"/>
          <w:w w:val="125"/>
          <w:sz w:val="18"/>
        </w:rPr>
        <w:t> </w:t>
      </w:r>
      <w:r>
        <w:rPr>
          <w:color w:val="707172"/>
          <w:w w:val="125"/>
          <w:sz w:val="18"/>
        </w:rPr>
        <w:t>Rees.</w:t>
      </w:r>
    </w:p>
    <w:p>
      <w:pPr>
        <w:pStyle w:val="BodyText"/>
        <w:rPr>
          <w:sz w:val="22"/>
        </w:rPr>
      </w:pPr>
    </w:p>
    <w:p>
      <w:pPr>
        <w:pStyle w:val="BodyText"/>
        <w:spacing w:before="9"/>
        <w:rPr>
          <w:sz w:val="18"/>
        </w:rPr>
      </w:pPr>
    </w:p>
    <w:p>
      <w:pPr>
        <w:spacing w:before="0"/>
        <w:ind w:left="1323" w:right="0" w:firstLine="0"/>
        <w:jc w:val="left"/>
        <w:rPr>
          <w:rFonts w:ascii="Stone Sans II ITC Std Bk"/>
          <w:b/>
          <w:sz w:val="29"/>
        </w:rPr>
      </w:pPr>
      <w:r>
        <w:rPr>
          <w:rFonts w:ascii="Stone Sans II ITC Std Bk"/>
          <w:b/>
          <w:w w:val="110"/>
          <w:sz w:val="29"/>
        </w:rPr>
        <w:t>Introduction</w:t>
      </w:r>
    </w:p>
    <w:p>
      <w:pPr>
        <w:pStyle w:val="ListParagraph"/>
        <w:numPr>
          <w:ilvl w:val="1"/>
          <w:numId w:val="99"/>
        </w:numPr>
        <w:tabs>
          <w:tab w:pos="2003" w:val="left" w:leader="none"/>
          <w:tab w:pos="2004" w:val="left" w:leader="none"/>
        </w:tabs>
        <w:spacing w:line="235" w:lineRule="auto" w:before="69" w:after="0"/>
        <w:ind w:left="1323" w:right="1130" w:firstLine="0"/>
        <w:jc w:val="left"/>
        <w:rPr>
          <w:sz w:val="20"/>
        </w:rPr>
      </w:pPr>
      <w:r>
        <w:rPr>
          <w:w w:val="120"/>
          <w:sz w:val="20"/>
        </w:rPr>
        <w:t>The work of the mission committee and the staff team during the past two years, seeking to fulfil our remit, has concentrated around major concerns in society and some significant anniversaries. In these, we have endeavoured to resource, stimulate and help to coordinate local mission </w:t>
      </w:r>
      <w:r>
        <w:rPr>
          <w:spacing w:val="2"/>
          <w:w w:val="120"/>
          <w:sz w:val="20"/>
        </w:rPr>
        <w:t>efforts, </w:t>
      </w:r>
      <w:r>
        <w:rPr>
          <w:w w:val="120"/>
          <w:sz w:val="20"/>
        </w:rPr>
        <w:t>as well as bring our combined influence to </w:t>
      </w:r>
      <w:r>
        <w:rPr>
          <w:spacing w:val="-3"/>
          <w:w w:val="120"/>
          <w:sz w:val="20"/>
        </w:rPr>
        <w:t>bear,  </w:t>
      </w:r>
      <w:r>
        <w:rPr>
          <w:w w:val="120"/>
          <w:sz w:val="20"/>
        </w:rPr>
        <w:t>with partners, on national and international</w:t>
      </w:r>
      <w:r>
        <w:rPr>
          <w:spacing w:val="10"/>
          <w:w w:val="120"/>
          <w:sz w:val="20"/>
        </w:rPr>
        <w:t> </w:t>
      </w:r>
      <w:r>
        <w:rPr>
          <w:w w:val="120"/>
          <w:sz w:val="20"/>
        </w:rPr>
        <w:t>issues.</w:t>
      </w:r>
    </w:p>
    <w:p>
      <w:pPr>
        <w:pStyle w:val="BodyText"/>
      </w:pPr>
    </w:p>
    <w:p>
      <w:pPr>
        <w:pStyle w:val="ListParagraph"/>
        <w:numPr>
          <w:ilvl w:val="1"/>
          <w:numId w:val="99"/>
        </w:numPr>
        <w:tabs>
          <w:tab w:pos="2003" w:val="left" w:leader="none"/>
          <w:tab w:pos="2004" w:val="left" w:leader="none"/>
        </w:tabs>
        <w:spacing w:line="235" w:lineRule="auto" w:before="0" w:after="0"/>
        <w:ind w:left="1323" w:right="1136" w:firstLine="0"/>
        <w:jc w:val="left"/>
        <w:rPr>
          <w:sz w:val="20"/>
        </w:rPr>
      </w:pPr>
      <w:r>
        <w:rPr>
          <w:w w:val="120"/>
          <w:sz w:val="20"/>
        </w:rPr>
        <w:t>The Deputy General Secretaries (Mission and Discipleship) have collaborated to lead preparations for the United Reformed </w:t>
      </w:r>
      <w:r>
        <w:rPr>
          <w:spacing w:val="-3"/>
          <w:w w:val="120"/>
          <w:sz w:val="20"/>
        </w:rPr>
        <w:t>Church’s </w:t>
      </w:r>
      <w:r>
        <w:rPr>
          <w:w w:val="120"/>
          <w:sz w:val="20"/>
        </w:rPr>
        <w:t>emphasis on ‘Walking the Way: Living the life of Jesus </w:t>
      </w:r>
      <w:r>
        <w:rPr>
          <w:spacing w:val="-3"/>
          <w:w w:val="120"/>
          <w:sz w:val="20"/>
        </w:rPr>
        <w:t>today’. </w:t>
      </w:r>
      <w:r>
        <w:rPr>
          <w:w w:val="120"/>
          <w:sz w:val="20"/>
        </w:rPr>
        <w:t>The mission committee </w:t>
      </w:r>
      <w:r>
        <w:rPr>
          <w:spacing w:val="-3"/>
          <w:w w:val="120"/>
          <w:sz w:val="20"/>
        </w:rPr>
        <w:t>convenor, </w:t>
      </w:r>
      <w:r>
        <w:rPr>
          <w:w w:val="120"/>
          <w:sz w:val="20"/>
        </w:rPr>
        <w:t>reading the Great </w:t>
      </w:r>
      <w:r>
        <w:rPr>
          <w:spacing w:val="-3"/>
          <w:w w:val="120"/>
          <w:sz w:val="20"/>
        </w:rPr>
        <w:t>Commission </w:t>
      </w:r>
      <w:r>
        <w:rPr>
          <w:w w:val="120"/>
          <w:sz w:val="20"/>
        </w:rPr>
        <w:t>in Matthew </w:t>
      </w:r>
      <w:r>
        <w:rPr>
          <w:spacing w:val="-7"/>
          <w:w w:val="120"/>
          <w:sz w:val="20"/>
        </w:rPr>
        <w:t>28:18-20 </w:t>
      </w:r>
      <w:r>
        <w:rPr>
          <w:w w:val="120"/>
          <w:sz w:val="20"/>
        </w:rPr>
        <w:t>in Greek </w:t>
      </w:r>
      <w:r>
        <w:rPr>
          <w:spacing w:val="-3"/>
          <w:w w:val="120"/>
          <w:sz w:val="20"/>
        </w:rPr>
        <w:t>to </w:t>
      </w:r>
      <w:r>
        <w:rPr>
          <w:spacing w:val="2"/>
          <w:w w:val="120"/>
          <w:sz w:val="20"/>
        </w:rPr>
        <w:t>try </w:t>
      </w:r>
      <w:r>
        <w:rPr>
          <w:spacing w:val="-3"/>
          <w:w w:val="120"/>
          <w:sz w:val="20"/>
        </w:rPr>
        <w:t>to </w:t>
      </w:r>
      <w:r>
        <w:rPr>
          <w:w w:val="120"/>
          <w:sz w:val="20"/>
        </w:rPr>
        <w:t>see </w:t>
      </w:r>
      <w:r>
        <w:rPr>
          <w:spacing w:val="-2"/>
          <w:w w:val="120"/>
          <w:sz w:val="20"/>
        </w:rPr>
        <w:t>how </w:t>
      </w:r>
      <w:r>
        <w:rPr>
          <w:w w:val="120"/>
          <w:sz w:val="20"/>
        </w:rPr>
        <w:t>the early </w:t>
      </w:r>
      <w:r>
        <w:rPr>
          <w:spacing w:val="-3"/>
          <w:w w:val="120"/>
          <w:sz w:val="20"/>
        </w:rPr>
        <w:t>Church </w:t>
      </w:r>
      <w:r>
        <w:rPr>
          <w:w w:val="120"/>
          <w:sz w:val="20"/>
        </w:rPr>
        <w:t>understood it, finds that Jesus said: </w:t>
      </w:r>
      <w:r>
        <w:rPr>
          <w:spacing w:val="-4"/>
          <w:w w:val="120"/>
          <w:sz w:val="20"/>
        </w:rPr>
        <w:t>‘As </w:t>
      </w:r>
      <w:r>
        <w:rPr>
          <w:w w:val="120"/>
          <w:sz w:val="20"/>
        </w:rPr>
        <w:t>you are going, disciple all the nations/ethnic groups, baptising them into the name of the </w:t>
      </w:r>
      <w:r>
        <w:rPr>
          <w:spacing w:val="-3"/>
          <w:w w:val="120"/>
          <w:sz w:val="20"/>
        </w:rPr>
        <w:t>Father, </w:t>
      </w:r>
      <w:r>
        <w:rPr>
          <w:w w:val="120"/>
          <w:sz w:val="20"/>
        </w:rPr>
        <w:t>and of the Son and of the Holy Spirit, teaching them to observe/live out all that I have commanded </w:t>
      </w:r>
      <w:r>
        <w:rPr>
          <w:spacing w:val="-4"/>
          <w:w w:val="120"/>
          <w:sz w:val="20"/>
        </w:rPr>
        <w:t>you.’ </w:t>
      </w:r>
      <w:r>
        <w:rPr>
          <w:w w:val="120"/>
          <w:sz w:val="20"/>
        </w:rPr>
        <w:t>The mission</w:t>
      </w:r>
      <w:r>
        <w:rPr>
          <w:spacing w:val="35"/>
          <w:w w:val="120"/>
          <w:sz w:val="20"/>
        </w:rPr>
        <w:t> </w:t>
      </w:r>
      <w:r>
        <w:rPr>
          <w:w w:val="120"/>
          <w:sz w:val="20"/>
        </w:rPr>
        <w:t>team</w:t>
      </w:r>
    </w:p>
    <w:p>
      <w:pPr>
        <w:pStyle w:val="BodyText"/>
        <w:spacing w:line="235" w:lineRule="auto" w:before="5"/>
        <w:ind w:left="1323" w:right="1380"/>
      </w:pPr>
      <w:r>
        <w:rPr>
          <w:w w:val="120"/>
        </w:rPr>
        <w:t>is developing links between the focus on whole-life discipleship and mission, and their particular pieces of work.</w:t>
      </w:r>
    </w:p>
    <w:p>
      <w:pPr>
        <w:pStyle w:val="BodyText"/>
        <w:spacing w:before="9"/>
        <w:rPr>
          <w:sz w:val="19"/>
        </w:rPr>
      </w:pPr>
    </w:p>
    <w:p>
      <w:pPr>
        <w:pStyle w:val="ListParagraph"/>
        <w:numPr>
          <w:ilvl w:val="1"/>
          <w:numId w:val="99"/>
        </w:numPr>
        <w:tabs>
          <w:tab w:pos="2003" w:val="left" w:leader="none"/>
          <w:tab w:pos="2004" w:val="left" w:leader="none"/>
        </w:tabs>
        <w:spacing w:line="235" w:lineRule="auto" w:before="0" w:after="0"/>
        <w:ind w:left="1323" w:right="1288" w:firstLine="0"/>
        <w:jc w:val="left"/>
        <w:rPr>
          <w:sz w:val="20"/>
        </w:rPr>
      </w:pPr>
      <w:r>
        <w:rPr>
          <w:w w:val="120"/>
          <w:sz w:val="20"/>
        </w:rPr>
        <w:t>Areas of work will be reported here in alphabetical order. There will be opportunity to engage with current concerns and issues, with staff and invited guests, in the parallel sessions at General Assembly. Our thanks to all who have contributed, and our encouragement for further participation. We would welcome feedback and suggestions for future work through your representatives on the</w:t>
      </w:r>
      <w:r>
        <w:rPr>
          <w:spacing w:val="21"/>
          <w:w w:val="120"/>
          <w:sz w:val="20"/>
        </w:rPr>
        <w:t> </w:t>
      </w:r>
      <w:r>
        <w:rPr>
          <w:w w:val="120"/>
          <w:sz w:val="20"/>
        </w:rPr>
        <w:t>committee.</w:t>
      </w:r>
    </w:p>
    <w:p>
      <w:pPr>
        <w:pStyle w:val="BodyText"/>
        <w:spacing w:before="5"/>
        <w:rPr>
          <w:sz w:val="22"/>
        </w:rPr>
      </w:pPr>
    </w:p>
    <w:p>
      <w:pPr>
        <w:pStyle w:val="Heading4"/>
        <w:ind w:left="1323" w:firstLine="0"/>
      </w:pPr>
      <w:r>
        <w:rPr>
          <w:w w:val="110"/>
        </w:rPr>
        <w:t>Church and Society</w:t>
      </w:r>
    </w:p>
    <w:p>
      <w:pPr>
        <w:pStyle w:val="ListParagraph"/>
        <w:numPr>
          <w:ilvl w:val="1"/>
          <w:numId w:val="100"/>
        </w:numPr>
        <w:tabs>
          <w:tab w:pos="2003" w:val="left" w:leader="none"/>
          <w:tab w:pos="2004" w:val="left" w:leader="none"/>
        </w:tabs>
        <w:spacing w:line="235" w:lineRule="auto" w:before="69" w:after="0"/>
        <w:ind w:left="1323" w:right="1251" w:firstLine="0"/>
        <w:jc w:val="left"/>
        <w:rPr>
          <w:sz w:val="20"/>
        </w:rPr>
      </w:pPr>
      <w:r>
        <w:rPr>
          <w:w w:val="120"/>
          <w:sz w:val="20"/>
        </w:rPr>
        <w:t>The church and society programme helps the Church to speak prophetically about justice and peace issues in the public square, and supports local churches by providing</w:t>
      </w:r>
      <w:r>
        <w:rPr>
          <w:spacing w:val="6"/>
          <w:w w:val="120"/>
          <w:sz w:val="20"/>
        </w:rPr>
        <w:t> </w:t>
      </w:r>
      <w:r>
        <w:rPr>
          <w:w w:val="120"/>
          <w:sz w:val="20"/>
        </w:rPr>
        <w:t>resources</w:t>
      </w:r>
      <w:r>
        <w:rPr>
          <w:spacing w:val="7"/>
          <w:w w:val="120"/>
          <w:sz w:val="20"/>
        </w:rPr>
        <w:t> </w:t>
      </w:r>
      <w:r>
        <w:rPr>
          <w:w w:val="120"/>
          <w:sz w:val="20"/>
        </w:rPr>
        <w:t>and</w:t>
      </w:r>
      <w:r>
        <w:rPr>
          <w:spacing w:val="7"/>
          <w:w w:val="120"/>
          <w:sz w:val="20"/>
        </w:rPr>
        <w:t> </w:t>
      </w:r>
      <w:r>
        <w:rPr>
          <w:w w:val="120"/>
          <w:sz w:val="20"/>
        </w:rPr>
        <w:t>campaigns</w:t>
      </w:r>
      <w:r>
        <w:rPr>
          <w:spacing w:val="6"/>
          <w:w w:val="120"/>
          <w:sz w:val="20"/>
        </w:rPr>
        <w:t> </w:t>
      </w:r>
      <w:r>
        <w:rPr>
          <w:w w:val="120"/>
          <w:sz w:val="20"/>
        </w:rPr>
        <w:t>that</w:t>
      </w:r>
      <w:r>
        <w:rPr>
          <w:spacing w:val="7"/>
          <w:w w:val="120"/>
          <w:sz w:val="20"/>
        </w:rPr>
        <w:t> </w:t>
      </w:r>
      <w:r>
        <w:rPr>
          <w:w w:val="120"/>
          <w:sz w:val="20"/>
        </w:rPr>
        <w:t>help</w:t>
      </w:r>
      <w:r>
        <w:rPr>
          <w:spacing w:val="7"/>
          <w:w w:val="120"/>
          <w:sz w:val="20"/>
        </w:rPr>
        <w:t> </w:t>
      </w:r>
      <w:r>
        <w:rPr>
          <w:w w:val="120"/>
          <w:sz w:val="20"/>
        </w:rPr>
        <w:t>individuals</w:t>
      </w:r>
      <w:r>
        <w:rPr>
          <w:spacing w:val="7"/>
          <w:w w:val="120"/>
          <w:sz w:val="20"/>
        </w:rPr>
        <w:t> </w:t>
      </w:r>
      <w:r>
        <w:rPr>
          <w:w w:val="120"/>
          <w:sz w:val="20"/>
        </w:rPr>
        <w:t>make</w:t>
      </w:r>
      <w:r>
        <w:rPr>
          <w:spacing w:val="6"/>
          <w:w w:val="120"/>
          <w:sz w:val="20"/>
        </w:rPr>
        <w:t> </w:t>
      </w:r>
      <w:r>
        <w:rPr>
          <w:w w:val="120"/>
          <w:sz w:val="20"/>
        </w:rPr>
        <w:t>the</w:t>
      </w:r>
      <w:r>
        <w:rPr>
          <w:spacing w:val="7"/>
          <w:w w:val="120"/>
          <w:sz w:val="20"/>
        </w:rPr>
        <w:t> </w:t>
      </w:r>
      <w:r>
        <w:rPr>
          <w:w w:val="120"/>
          <w:sz w:val="20"/>
        </w:rPr>
        <w:t>links</w:t>
      </w:r>
      <w:r>
        <w:rPr>
          <w:spacing w:val="7"/>
          <w:w w:val="120"/>
          <w:sz w:val="20"/>
        </w:rPr>
        <w:t> </w:t>
      </w:r>
      <w:r>
        <w:rPr>
          <w:w w:val="120"/>
          <w:sz w:val="20"/>
        </w:rPr>
        <w:t>between</w:t>
      </w:r>
      <w:r>
        <w:rPr>
          <w:spacing w:val="6"/>
          <w:w w:val="120"/>
          <w:sz w:val="20"/>
        </w:rPr>
        <w:t> </w:t>
      </w:r>
      <w:r>
        <w:rPr>
          <w:w w:val="120"/>
          <w:sz w:val="20"/>
        </w:rPr>
        <w:t>faith,</w:t>
      </w:r>
    </w:p>
    <w:p>
      <w:pPr>
        <w:spacing w:after="0" w:line="235" w:lineRule="auto"/>
        <w:jc w:val="left"/>
        <w:rPr>
          <w:sz w:val="20"/>
        </w:rPr>
        <w:sectPr>
          <w:headerReference w:type="default" r:id="rId388"/>
          <w:footerReference w:type="default" r:id="rId389"/>
          <w:footerReference w:type="even" r:id="rId390"/>
          <w:pgSz w:w="11910" w:h="16840"/>
          <w:pgMar w:header="0" w:footer="647" w:top="0" w:bottom="840" w:left="420" w:right="380"/>
        </w:sectPr>
      </w:pPr>
    </w:p>
    <w:p>
      <w:pPr>
        <w:pStyle w:val="BodyText"/>
      </w:pPr>
      <w:r>
        <w:rPr/>
        <w:drawing>
          <wp:anchor distT="0" distB="0" distL="0" distR="0" allowOverlap="1" layoutInCell="1" locked="0" behindDoc="1" simplePos="0" relativeHeight="236065792">
            <wp:simplePos x="0" y="0"/>
            <wp:positionH relativeFrom="page">
              <wp:posOffset>0</wp:posOffset>
            </wp:positionH>
            <wp:positionV relativeFrom="page">
              <wp:posOffset>0</wp:posOffset>
            </wp:positionV>
            <wp:extent cx="594067" cy="10692003"/>
            <wp:effectExtent l="0" t="0" r="0" b="0"/>
            <wp:wrapNone/>
            <wp:docPr id="273" name="image70.png"/>
            <wp:cNvGraphicFramePr>
              <a:graphicFrameLocks noChangeAspect="1"/>
            </wp:cNvGraphicFramePr>
            <a:graphic>
              <a:graphicData uri="http://schemas.openxmlformats.org/drawingml/2006/picture">
                <pic:pic>
                  <pic:nvPicPr>
                    <pic:cNvPr id="27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3404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bookmarkStart w:name="_TOC_250002" w:id="35"/>
      <w:bookmarkEnd w:id="35"/>
      <w:r>
        <w:rPr>
          <w:color w:val="7EAABF"/>
          <w:w w:val="115"/>
        </w:rPr>
        <w:t>Mission</w:t>
      </w:r>
    </w:p>
    <w:p>
      <w:pPr>
        <w:pStyle w:val="BodyText"/>
        <w:spacing w:line="235" w:lineRule="auto" w:before="222"/>
        <w:ind w:left="827" w:right="1528"/>
      </w:pPr>
      <w:r>
        <w:rPr>
          <w:w w:val="120"/>
        </w:rPr>
        <w:t>politics and social action. In January 2018 we welcomed Simeon Mitchell as the new Secretary for Church and Society.</w:t>
      </w:r>
    </w:p>
    <w:p>
      <w:pPr>
        <w:pStyle w:val="BodyText"/>
        <w:spacing w:before="9"/>
        <w:rPr>
          <w:sz w:val="19"/>
        </w:rPr>
      </w:pPr>
    </w:p>
    <w:p>
      <w:pPr>
        <w:pStyle w:val="ListParagraph"/>
        <w:numPr>
          <w:ilvl w:val="2"/>
          <w:numId w:val="101"/>
        </w:numPr>
        <w:tabs>
          <w:tab w:pos="1507" w:val="left" w:leader="none"/>
          <w:tab w:pos="1508" w:val="left" w:leader="none"/>
        </w:tabs>
        <w:spacing w:line="235" w:lineRule="auto" w:before="0" w:after="0"/>
        <w:ind w:left="1507" w:right="2039" w:hanging="681"/>
        <w:jc w:val="left"/>
        <w:rPr>
          <w:sz w:val="20"/>
        </w:rPr>
      </w:pPr>
      <w:r>
        <w:rPr>
          <w:w w:val="120"/>
          <w:sz w:val="20"/>
        </w:rPr>
        <w:t>Most of the United Reformed </w:t>
      </w:r>
      <w:r>
        <w:rPr>
          <w:spacing w:val="-3"/>
          <w:w w:val="120"/>
          <w:sz w:val="20"/>
        </w:rPr>
        <w:t>Church’s </w:t>
      </w:r>
      <w:r>
        <w:rPr>
          <w:w w:val="120"/>
          <w:sz w:val="20"/>
        </w:rPr>
        <w:t>church and society work is carried   out through membership of the Joint Public Issues </w:t>
      </w:r>
      <w:r>
        <w:rPr>
          <w:spacing w:val="-4"/>
          <w:w w:val="120"/>
          <w:sz w:val="20"/>
        </w:rPr>
        <w:t>Team </w:t>
      </w:r>
      <w:r>
        <w:rPr>
          <w:w w:val="120"/>
          <w:sz w:val="20"/>
        </w:rPr>
        <w:t>(JPIT), a partnership</w:t>
      </w:r>
    </w:p>
    <w:p>
      <w:pPr>
        <w:pStyle w:val="BodyText"/>
        <w:spacing w:line="235" w:lineRule="auto" w:before="1"/>
        <w:ind w:left="1507" w:right="1620"/>
      </w:pPr>
      <w:r>
        <w:rPr>
          <w:w w:val="120"/>
        </w:rPr>
        <w:t>between the URC, the Methodist Church, the Baptist Union of Great Britain and the Church of Scotland. Over the last two years, JPIT’s work has been focused around helping the Church to work, witness and pray for:</w:t>
      </w:r>
    </w:p>
    <w:p>
      <w:pPr>
        <w:pStyle w:val="ListParagraph"/>
        <w:numPr>
          <w:ilvl w:val="3"/>
          <w:numId w:val="101"/>
        </w:numPr>
        <w:tabs>
          <w:tab w:pos="2187" w:val="left" w:leader="none"/>
          <w:tab w:pos="2188" w:val="left" w:leader="none"/>
        </w:tabs>
        <w:spacing w:line="235" w:lineRule="exact" w:before="0" w:after="0"/>
        <w:ind w:left="2187" w:right="0" w:hanging="681"/>
        <w:jc w:val="left"/>
        <w:rPr>
          <w:sz w:val="20"/>
        </w:rPr>
      </w:pPr>
      <w:r>
        <w:rPr>
          <w:w w:val="120"/>
          <w:sz w:val="20"/>
        </w:rPr>
        <w:t>a society that welcomes the</w:t>
      </w:r>
      <w:r>
        <w:rPr>
          <w:spacing w:val="9"/>
          <w:w w:val="120"/>
          <w:sz w:val="20"/>
        </w:rPr>
        <w:t> </w:t>
      </w:r>
      <w:r>
        <w:rPr>
          <w:w w:val="120"/>
          <w:sz w:val="20"/>
        </w:rPr>
        <w:t>stranger;</w:t>
      </w:r>
    </w:p>
    <w:p>
      <w:pPr>
        <w:pStyle w:val="ListParagraph"/>
        <w:numPr>
          <w:ilvl w:val="3"/>
          <w:numId w:val="101"/>
        </w:numPr>
        <w:tabs>
          <w:tab w:pos="2187" w:val="left" w:leader="none"/>
          <w:tab w:pos="2188" w:val="left" w:leader="none"/>
        </w:tabs>
        <w:spacing w:line="240" w:lineRule="exact" w:before="0" w:after="0"/>
        <w:ind w:left="2187" w:right="0" w:hanging="681"/>
        <w:jc w:val="left"/>
        <w:rPr>
          <w:sz w:val="20"/>
        </w:rPr>
      </w:pPr>
      <w:r>
        <w:rPr>
          <w:w w:val="120"/>
          <w:sz w:val="20"/>
        </w:rPr>
        <w:t>a society where those who are the poorest are at the</w:t>
      </w:r>
      <w:r>
        <w:rPr>
          <w:spacing w:val="14"/>
          <w:w w:val="120"/>
          <w:sz w:val="20"/>
        </w:rPr>
        <w:t> </w:t>
      </w:r>
      <w:r>
        <w:rPr>
          <w:w w:val="120"/>
          <w:sz w:val="20"/>
        </w:rPr>
        <w:t>centre;</w:t>
      </w:r>
    </w:p>
    <w:p>
      <w:pPr>
        <w:pStyle w:val="ListParagraph"/>
        <w:numPr>
          <w:ilvl w:val="3"/>
          <w:numId w:val="101"/>
        </w:numPr>
        <w:tabs>
          <w:tab w:pos="2187" w:val="left" w:leader="none"/>
          <w:tab w:pos="2188" w:val="left" w:leader="none"/>
        </w:tabs>
        <w:spacing w:line="240" w:lineRule="exact" w:before="0" w:after="0"/>
        <w:ind w:left="2187" w:right="0" w:hanging="681"/>
        <w:jc w:val="left"/>
        <w:rPr>
          <w:sz w:val="20"/>
        </w:rPr>
      </w:pPr>
      <w:r>
        <w:rPr>
          <w:w w:val="120"/>
          <w:sz w:val="20"/>
        </w:rPr>
        <w:t>a society which values young</w:t>
      </w:r>
      <w:r>
        <w:rPr>
          <w:spacing w:val="12"/>
          <w:w w:val="120"/>
          <w:sz w:val="20"/>
        </w:rPr>
        <w:t> </w:t>
      </w:r>
      <w:r>
        <w:rPr>
          <w:w w:val="120"/>
          <w:sz w:val="20"/>
        </w:rPr>
        <w:t>people;</w:t>
      </w:r>
    </w:p>
    <w:p>
      <w:pPr>
        <w:pStyle w:val="ListParagraph"/>
        <w:numPr>
          <w:ilvl w:val="3"/>
          <w:numId w:val="101"/>
        </w:numPr>
        <w:tabs>
          <w:tab w:pos="2187" w:val="left" w:leader="none"/>
          <w:tab w:pos="2188" w:val="left" w:leader="none"/>
        </w:tabs>
        <w:spacing w:line="240" w:lineRule="exact" w:before="0" w:after="0"/>
        <w:ind w:left="2187" w:right="0" w:hanging="681"/>
        <w:jc w:val="left"/>
        <w:rPr>
          <w:sz w:val="20"/>
        </w:rPr>
      </w:pPr>
      <w:r>
        <w:rPr>
          <w:w w:val="120"/>
          <w:sz w:val="20"/>
        </w:rPr>
        <w:t>a world which shares a single planet</w:t>
      </w:r>
      <w:r>
        <w:rPr>
          <w:spacing w:val="14"/>
          <w:w w:val="120"/>
          <w:sz w:val="20"/>
        </w:rPr>
        <w:t> </w:t>
      </w:r>
      <w:r>
        <w:rPr>
          <w:w w:val="120"/>
          <w:sz w:val="20"/>
        </w:rPr>
        <w:t>fairly;</w:t>
      </w:r>
    </w:p>
    <w:p>
      <w:pPr>
        <w:pStyle w:val="ListParagraph"/>
        <w:numPr>
          <w:ilvl w:val="3"/>
          <w:numId w:val="101"/>
        </w:numPr>
        <w:tabs>
          <w:tab w:pos="2187" w:val="left" w:leader="none"/>
          <w:tab w:pos="2188" w:val="left" w:leader="none"/>
        </w:tabs>
        <w:spacing w:line="240" w:lineRule="exact" w:before="0" w:after="0"/>
        <w:ind w:left="2187" w:right="0" w:hanging="681"/>
        <w:jc w:val="left"/>
        <w:rPr>
          <w:sz w:val="20"/>
        </w:rPr>
      </w:pPr>
      <w:r>
        <w:rPr>
          <w:w w:val="120"/>
          <w:sz w:val="20"/>
        </w:rPr>
        <w:t>a society which works for global peace;</w:t>
      </w:r>
      <w:r>
        <w:rPr>
          <w:spacing w:val="16"/>
          <w:w w:val="120"/>
          <w:sz w:val="20"/>
        </w:rPr>
        <w:t> </w:t>
      </w:r>
      <w:r>
        <w:rPr>
          <w:w w:val="120"/>
          <w:sz w:val="20"/>
        </w:rPr>
        <w:t>and</w:t>
      </w:r>
    </w:p>
    <w:p>
      <w:pPr>
        <w:pStyle w:val="ListParagraph"/>
        <w:numPr>
          <w:ilvl w:val="3"/>
          <w:numId w:val="101"/>
        </w:numPr>
        <w:tabs>
          <w:tab w:pos="2187" w:val="left" w:leader="none"/>
          <w:tab w:pos="2188" w:val="left" w:leader="none"/>
        </w:tabs>
        <w:spacing w:line="247" w:lineRule="exact" w:before="0" w:after="0"/>
        <w:ind w:left="2187" w:right="0" w:hanging="681"/>
        <w:jc w:val="left"/>
        <w:rPr>
          <w:sz w:val="20"/>
        </w:rPr>
      </w:pPr>
      <w:r>
        <w:rPr>
          <w:w w:val="120"/>
          <w:sz w:val="20"/>
        </w:rPr>
        <w:t>a society which participates fully in</w:t>
      </w:r>
      <w:r>
        <w:rPr>
          <w:spacing w:val="13"/>
          <w:w w:val="120"/>
          <w:sz w:val="20"/>
        </w:rPr>
        <w:t> </w:t>
      </w:r>
      <w:r>
        <w:rPr>
          <w:w w:val="120"/>
          <w:sz w:val="20"/>
        </w:rPr>
        <w:t>democracy.</w:t>
      </w:r>
    </w:p>
    <w:p>
      <w:pPr>
        <w:pStyle w:val="BodyText"/>
        <w:spacing w:before="1"/>
        <w:rPr>
          <w:sz w:val="22"/>
        </w:rPr>
      </w:pPr>
    </w:p>
    <w:p>
      <w:pPr>
        <w:pStyle w:val="Heading4"/>
        <w:ind w:firstLine="0"/>
      </w:pPr>
      <w:r>
        <w:rPr>
          <w:w w:val="110"/>
        </w:rPr>
        <w:t>Political engagement</w:t>
      </w:r>
    </w:p>
    <w:p>
      <w:pPr>
        <w:pStyle w:val="ListParagraph"/>
        <w:numPr>
          <w:ilvl w:val="1"/>
          <w:numId w:val="100"/>
        </w:numPr>
        <w:tabs>
          <w:tab w:pos="1507" w:val="left" w:leader="none"/>
          <w:tab w:pos="1508" w:val="left" w:leader="none"/>
        </w:tabs>
        <w:spacing w:line="235" w:lineRule="auto" w:before="69" w:after="0"/>
        <w:ind w:left="827" w:right="1671" w:firstLine="0"/>
        <w:jc w:val="left"/>
        <w:rPr>
          <w:sz w:val="20"/>
        </w:rPr>
      </w:pPr>
      <w:r>
        <w:rPr>
          <w:w w:val="120"/>
          <w:sz w:val="20"/>
        </w:rPr>
        <w:t>Since June </w:t>
      </w:r>
      <w:r>
        <w:rPr>
          <w:spacing w:val="-6"/>
          <w:w w:val="120"/>
          <w:sz w:val="20"/>
        </w:rPr>
        <w:t>2016, </w:t>
      </w:r>
      <w:r>
        <w:rPr>
          <w:w w:val="120"/>
          <w:sz w:val="20"/>
        </w:rPr>
        <w:t>British political life has been dominated by the outworking of the referendum decision that Britain should leave the European Union. Recognising the deep divisions exposed by the Brexit vote, a new resource, ‘Conversation </w:t>
      </w:r>
      <w:r>
        <w:rPr>
          <w:spacing w:val="-4"/>
          <w:w w:val="120"/>
          <w:sz w:val="20"/>
        </w:rPr>
        <w:t>Welcome’,  </w:t>
      </w:r>
      <w:r>
        <w:rPr>
          <w:w w:val="120"/>
          <w:sz w:val="20"/>
        </w:rPr>
        <w:t>was launched to encourage constructive discussions about the big political issues. With supporting videos, it has equipped churches to have healthy conversations about the </w:t>
      </w:r>
      <w:r>
        <w:rPr>
          <w:spacing w:val="2"/>
          <w:w w:val="120"/>
          <w:sz w:val="20"/>
        </w:rPr>
        <w:t>sort </w:t>
      </w:r>
      <w:r>
        <w:rPr>
          <w:w w:val="120"/>
          <w:sz w:val="20"/>
        </w:rPr>
        <w:t>of society we wish to live</w:t>
      </w:r>
      <w:r>
        <w:rPr>
          <w:spacing w:val="11"/>
          <w:w w:val="120"/>
          <w:sz w:val="20"/>
        </w:rPr>
        <w:t> </w:t>
      </w:r>
      <w:r>
        <w:rPr>
          <w:w w:val="120"/>
          <w:sz w:val="20"/>
        </w:rPr>
        <w:t>in.</w:t>
      </w:r>
    </w:p>
    <w:p>
      <w:pPr>
        <w:pStyle w:val="BodyText"/>
      </w:pPr>
    </w:p>
    <w:p>
      <w:pPr>
        <w:pStyle w:val="ListParagraph"/>
        <w:numPr>
          <w:ilvl w:val="2"/>
          <w:numId w:val="100"/>
        </w:numPr>
        <w:tabs>
          <w:tab w:pos="1508" w:val="left" w:leader="none"/>
        </w:tabs>
        <w:spacing w:line="235" w:lineRule="auto" w:before="0" w:after="0"/>
        <w:ind w:left="1507" w:right="1639" w:hanging="681"/>
        <w:jc w:val="left"/>
        <w:rPr>
          <w:sz w:val="20"/>
        </w:rPr>
      </w:pPr>
      <w:r>
        <w:rPr>
          <w:w w:val="120"/>
          <w:sz w:val="20"/>
        </w:rPr>
        <w:t>A range of materials were produced to help church members to engage with the snap general election in June </w:t>
      </w:r>
      <w:r>
        <w:rPr>
          <w:spacing w:val="-12"/>
          <w:w w:val="120"/>
          <w:sz w:val="20"/>
        </w:rPr>
        <w:t>2017, </w:t>
      </w:r>
      <w:r>
        <w:rPr>
          <w:w w:val="120"/>
          <w:sz w:val="20"/>
        </w:rPr>
        <w:t>including Bible reflections, an issues briefing and a hustings guide. Church leaders issued a statement reflecting on the election in the light of Jesus’ promise of abundant life. After the vote, postcards were produced to encourage people to write and welcome their new</w:t>
      </w:r>
      <w:r>
        <w:rPr>
          <w:spacing w:val="49"/>
          <w:w w:val="120"/>
          <w:sz w:val="20"/>
        </w:rPr>
        <w:t> </w:t>
      </w:r>
      <w:r>
        <w:rPr>
          <w:w w:val="120"/>
          <w:sz w:val="20"/>
        </w:rPr>
        <w:t>MPs.</w:t>
      </w:r>
    </w:p>
    <w:p>
      <w:pPr>
        <w:pStyle w:val="BodyText"/>
        <w:spacing w:before="11"/>
        <w:rPr>
          <w:sz w:val="19"/>
        </w:rPr>
      </w:pPr>
    </w:p>
    <w:p>
      <w:pPr>
        <w:pStyle w:val="ListParagraph"/>
        <w:numPr>
          <w:ilvl w:val="2"/>
          <w:numId w:val="100"/>
        </w:numPr>
        <w:tabs>
          <w:tab w:pos="1508" w:val="left" w:leader="none"/>
        </w:tabs>
        <w:spacing w:line="235" w:lineRule="auto" w:before="1" w:after="0"/>
        <w:ind w:left="1507" w:right="1744" w:hanging="681"/>
        <w:jc w:val="left"/>
        <w:rPr>
          <w:sz w:val="20"/>
        </w:rPr>
      </w:pPr>
      <w:r>
        <w:rPr>
          <w:w w:val="120"/>
          <w:sz w:val="20"/>
        </w:rPr>
        <w:t>Each autumn, our General Assembly Moderators and other URC representatives have attended political </w:t>
      </w:r>
      <w:r>
        <w:rPr>
          <w:spacing w:val="2"/>
          <w:w w:val="120"/>
          <w:sz w:val="20"/>
        </w:rPr>
        <w:t>party </w:t>
      </w:r>
      <w:r>
        <w:rPr>
          <w:w w:val="120"/>
          <w:sz w:val="20"/>
        </w:rPr>
        <w:t>conferences as </w:t>
      </w:r>
      <w:r>
        <w:rPr>
          <w:spacing w:val="2"/>
          <w:w w:val="120"/>
          <w:sz w:val="20"/>
        </w:rPr>
        <w:t>part </w:t>
      </w:r>
      <w:r>
        <w:rPr>
          <w:w w:val="120"/>
          <w:sz w:val="20"/>
        </w:rPr>
        <w:t>of the Free Church leaders’ delegation. The representatives attend fringe events and meet with MPs and government ministers. Our presence is notable and often elicits productive conversations on policy areas of concern to the</w:t>
      </w:r>
      <w:r>
        <w:rPr>
          <w:spacing w:val="17"/>
          <w:w w:val="120"/>
          <w:sz w:val="20"/>
        </w:rPr>
        <w:t> </w:t>
      </w:r>
      <w:r>
        <w:rPr>
          <w:w w:val="120"/>
          <w:sz w:val="20"/>
        </w:rPr>
        <w:t>church.</w:t>
      </w:r>
    </w:p>
    <w:p>
      <w:pPr>
        <w:pStyle w:val="BodyText"/>
        <w:spacing w:before="4"/>
        <w:rPr>
          <w:sz w:val="22"/>
        </w:rPr>
      </w:pPr>
    </w:p>
    <w:p>
      <w:pPr>
        <w:pStyle w:val="Heading4"/>
        <w:ind w:firstLine="0"/>
      </w:pPr>
      <w:r>
        <w:rPr>
          <w:w w:val="110"/>
        </w:rPr>
        <w:t>Influencing policy</w:t>
      </w:r>
    </w:p>
    <w:p>
      <w:pPr>
        <w:pStyle w:val="ListParagraph"/>
        <w:numPr>
          <w:ilvl w:val="1"/>
          <w:numId w:val="100"/>
        </w:numPr>
        <w:tabs>
          <w:tab w:pos="1507" w:val="left" w:leader="none"/>
          <w:tab w:pos="1508" w:val="left" w:leader="none"/>
        </w:tabs>
        <w:spacing w:line="235" w:lineRule="auto" w:before="69" w:after="0"/>
        <w:ind w:left="827" w:right="1719" w:firstLine="0"/>
        <w:jc w:val="left"/>
        <w:rPr>
          <w:sz w:val="20"/>
        </w:rPr>
      </w:pPr>
      <w:r>
        <w:rPr>
          <w:w w:val="120"/>
          <w:sz w:val="20"/>
        </w:rPr>
        <w:t>A major issue of continuing concern to the Church over this period has been poverty and inequality in Britain, and especially the impact of welfare changes.  Through briefings, statements and engagement with policymakers, we have  highlighted the cruelty of the benefit sanctions policy and the growth of food poverty, and raised concerns about the implementation of universal credit and about the benefits cap. The Church has become a prominent, outspoken and respected voice on these issues and it will continue to be a major focus for our</w:t>
      </w:r>
      <w:r>
        <w:rPr>
          <w:spacing w:val="18"/>
          <w:w w:val="120"/>
          <w:sz w:val="20"/>
        </w:rPr>
        <w:t> </w:t>
      </w:r>
      <w:r>
        <w:rPr>
          <w:w w:val="120"/>
          <w:sz w:val="20"/>
        </w:rPr>
        <w:t>work.</w:t>
      </w:r>
    </w:p>
    <w:p>
      <w:pPr>
        <w:pStyle w:val="BodyText"/>
        <w:spacing w:before="1"/>
      </w:pPr>
    </w:p>
    <w:p>
      <w:pPr>
        <w:pStyle w:val="ListParagraph"/>
        <w:numPr>
          <w:ilvl w:val="2"/>
          <w:numId w:val="100"/>
        </w:numPr>
        <w:tabs>
          <w:tab w:pos="1508" w:val="left" w:leader="none"/>
        </w:tabs>
        <w:spacing w:line="235" w:lineRule="auto" w:before="0" w:after="0"/>
        <w:ind w:left="1507" w:right="1624" w:hanging="681"/>
        <w:jc w:val="left"/>
        <w:rPr>
          <w:sz w:val="20"/>
        </w:rPr>
      </w:pPr>
      <w:r>
        <w:rPr>
          <w:w w:val="120"/>
          <w:sz w:val="20"/>
        </w:rPr>
        <w:t>Another area of longstanding concern for the Church has been nuclear weapons. Since the URC added its voice to the call for a nuclear ban treaty through the resolution at the last General Assembly, this global initiative has gained further momentum and support, and the Treaty on the Prohibition of Nuclear Weapons opened for signatures at the United Nations in September </w:t>
      </w:r>
      <w:r>
        <w:rPr>
          <w:spacing w:val="-12"/>
          <w:w w:val="120"/>
          <w:sz w:val="20"/>
        </w:rPr>
        <w:t>2017. </w:t>
      </w:r>
      <w:r>
        <w:rPr>
          <w:w w:val="120"/>
          <w:sz w:val="20"/>
        </w:rPr>
        <w:t>Over 50 nations have already signed up. A short film was created to encourage church members to add their names to the call for the UK to support the treaty, and a photo petition was presented to the Foreign</w:t>
      </w:r>
      <w:r>
        <w:rPr>
          <w:spacing w:val="12"/>
          <w:w w:val="120"/>
          <w:sz w:val="20"/>
        </w:rPr>
        <w:t> </w:t>
      </w:r>
      <w:r>
        <w:rPr>
          <w:w w:val="120"/>
          <w:sz w:val="20"/>
        </w:rPr>
        <w:t>Office.</w:t>
      </w:r>
    </w:p>
    <w:p>
      <w:pPr>
        <w:pStyle w:val="BodyText"/>
        <w:spacing w:before="2"/>
      </w:pPr>
    </w:p>
    <w:p>
      <w:pPr>
        <w:pStyle w:val="ListParagraph"/>
        <w:numPr>
          <w:ilvl w:val="2"/>
          <w:numId w:val="100"/>
        </w:numPr>
        <w:tabs>
          <w:tab w:pos="1508" w:val="left" w:leader="none"/>
        </w:tabs>
        <w:spacing w:line="235" w:lineRule="auto" w:before="0" w:after="0"/>
        <w:ind w:left="1507" w:right="1989" w:hanging="681"/>
        <w:jc w:val="left"/>
        <w:rPr>
          <w:sz w:val="20"/>
        </w:rPr>
      </w:pPr>
      <w:r>
        <w:rPr>
          <w:w w:val="120"/>
          <w:sz w:val="20"/>
        </w:rPr>
        <w:t>The</w:t>
      </w:r>
      <w:r>
        <w:rPr>
          <w:spacing w:val="-13"/>
          <w:w w:val="120"/>
          <w:sz w:val="20"/>
        </w:rPr>
        <w:t> </w:t>
      </w:r>
      <w:r>
        <w:rPr>
          <w:w w:val="120"/>
          <w:sz w:val="20"/>
        </w:rPr>
        <w:t>plight</w:t>
      </w:r>
      <w:r>
        <w:rPr>
          <w:spacing w:val="-13"/>
          <w:w w:val="120"/>
          <w:sz w:val="20"/>
        </w:rPr>
        <w:t> </w:t>
      </w:r>
      <w:r>
        <w:rPr>
          <w:w w:val="120"/>
          <w:sz w:val="20"/>
        </w:rPr>
        <w:t>of</w:t>
      </w:r>
      <w:r>
        <w:rPr>
          <w:spacing w:val="-13"/>
          <w:w w:val="120"/>
          <w:sz w:val="20"/>
        </w:rPr>
        <w:t> </w:t>
      </w:r>
      <w:r>
        <w:rPr>
          <w:w w:val="120"/>
          <w:sz w:val="20"/>
        </w:rPr>
        <w:t>refugees</w:t>
      </w:r>
      <w:r>
        <w:rPr>
          <w:spacing w:val="-13"/>
          <w:w w:val="120"/>
          <w:sz w:val="20"/>
        </w:rPr>
        <w:t> </w:t>
      </w:r>
      <w:r>
        <w:rPr>
          <w:w w:val="120"/>
          <w:sz w:val="20"/>
        </w:rPr>
        <w:t>and</w:t>
      </w:r>
      <w:r>
        <w:rPr>
          <w:spacing w:val="-13"/>
          <w:w w:val="120"/>
          <w:sz w:val="20"/>
        </w:rPr>
        <w:t> </w:t>
      </w:r>
      <w:r>
        <w:rPr>
          <w:w w:val="120"/>
          <w:sz w:val="20"/>
        </w:rPr>
        <w:t>asylum</w:t>
      </w:r>
      <w:r>
        <w:rPr>
          <w:spacing w:val="-13"/>
          <w:w w:val="120"/>
          <w:sz w:val="20"/>
        </w:rPr>
        <w:t> </w:t>
      </w:r>
      <w:r>
        <w:rPr>
          <w:w w:val="120"/>
          <w:sz w:val="20"/>
        </w:rPr>
        <w:t>seekers</w:t>
      </w:r>
      <w:r>
        <w:rPr>
          <w:spacing w:val="-13"/>
          <w:w w:val="120"/>
          <w:sz w:val="20"/>
        </w:rPr>
        <w:t> </w:t>
      </w:r>
      <w:r>
        <w:rPr>
          <w:w w:val="120"/>
          <w:sz w:val="20"/>
        </w:rPr>
        <w:t>has</w:t>
      </w:r>
      <w:r>
        <w:rPr>
          <w:spacing w:val="-13"/>
          <w:w w:val="120"/>
          <w:sz w:val="20"/>
        </w:rPr>
        <w:t> </w:t>
      </w:r>
      <w:r>
        <w:rPr>
          <w:spacing w:val="-3"/>
          <w:w w:val="120"/>
          <w:sz w:val="20"/>
        </w:rPr>
        <w:t>continued</w:t>
      </w:r>
      <w:r>
        <w:rPr>
          <w:spacing w:val="-13"/>
          <w:w w:val="120"/>
          <w:sz w:val="20"/>
        </w:rPr>
        <w:t> </w:t>
      </w:r>
      <w:r>
        <w:rPr>
          <w:spacing w:val="-3"/>
          <w:w w:val="120"/>
          <w:sz w:val="20"/>
        </w:rPr>
        <w:t>to</w:t>
      </w:r>
      <w:r>
        <w:rPr>
          <w:spacing w:val="-13"/>
          <w:w w:val="120"/>
          <w:sz w:val="20"/>
        </w:rPr>
        <w:t> </w:t>
      </w:r>
      <w:r>
        <w:rPr>
          <w:w w:val="120"/>
          <w:sz w:val="20"/>
        </w:rPr>
        <w:t>generate</w:t>
      </w:r>
      <w:r>
        <w:rPr>
          <w:spacing w:val="-13"/>
          <w:w w:val="120"/>
          <w:sz w:val="20"/>
        </w:rPr>
        <w:t> </w:t>
      </w:r>
      <w:r>
        <w:rPr>
          <w:w w:val="120"/>
          <w:sz w:val="20"/>
        </w:rPr>
        <w:t>headlines </w:t>
      </w:r>
      <w:r>
        <w:rPr>
          <w:spacing w:val="-3"/>
          <w:w w:val="120"/>
          <w:sz w:val="20"/>
        </w:rPr>
        <w:t>since </w:t>
      </w:r>
      <w:r>
        <w:rPr>
          <w:w w:val="120"/>
          <w:sz w:val="20"/>
        </w:rPr>
        <w:t>our last </w:t>
      </w:r>
      <w:r>
        <w:rPr>
          <w:spacing w:val="-3"/>
          <w:w w:val="120"/>
          <w:sz w:val="20"/>
        </w:rPr>
        <w:t>Assembly. Church </w:t>
      </w:r>
      <w:r>
        <w:rPr>
          <w:w w:val="120"/>
          <w:sz w:val="20"/>
        </w:rPr>
        <w:t>leaders joined </w:t>
      </w:r>
      <w:r>
        <w:rPr>
          <w:spacing w:val="-3"/>
          <w:w w:val="120"/>
          <w:sz w:val="20"/>
        </w:rPr>
        <w:t>calls </w:t>
      </w:r>
      <w:r>
        <w:rPr>
          <w:w w:val="120"/>
          <w:sz w:val="20"/>
        </w:rPr>
        <w:t>for the government </w:t>
      </w:r>
      <w:r>
        <w:rPr>
          <w:spacing w:val="-3"/>
          <w:w w:val="120"/>
          <w:sz w:val="20"/>
        </w:rPr>
        <w:t>to </w:t>
      </w:r>
      <w:r>
        <w:rPr>
          <w:w w:val="120"/>
          <w:sz w:val="20"/>
        </w:rPr>
        <w:t>provide more help </w:t>
      </w:r>
      <w:r>
        <w:rPr>
          <w:spacing w:val="-3"/>
          <w:w w:val="120"/>
          <w:sz w:val="20"/>
        </w:rPr>
        <w:t>to </w:t>
      </w:r>
      <w:r>
        <w:rPr>
          <w:w w:val="120"/>
          <w:sz w:val="20"/>
        </w:rPr>
        <w:t>refugees fleeing </w:t>
      </w:r>
      <w:r>
        <w:rPr>
          <w:spacing w:val="-3"/>
          <w:w w:val="120"/>
          <w:sz w:val="20"/>
        </w:rPr>
        <w:t>Syria, </w:t>
      </w:r>
      <w:r>
        <w:rPr>
          <w:w w:val="120"/>
          <w:sz w:val="20"/>
        </w:rPr>
        <w:t>Iraq and other areas of conflict, while</w:t>
      </w:r>
      <w:r>
        <w:rPr>
          <w:spacing w:val="-12"/>
          <w:w w:val="120"/>
          <w:sz w:val="20"/>
        </w:rPr>
        <w:t> </w:t>
      </w:r>
      <w:r>
        <w:rPr>
          <w:w w:val="120"/>
          <w:sz w:val="20"/>
        </w:rPr>
        <w:t>the</w:t>
      </w:r>
      <w:r>
        <w:rPr>
          <w:spacing w:val="-12"/>
          <w:w w:val="120"/>
          <w:sz w:val="20"/>
        </w:rPr>
        <w:t> </w:t>
      </w:r>
      <w:r>
        <w:rPr>
          <w:spacing w:val="-3"/>
          <w:w w:val="120"/>
          <w:sz w:val="20"/>
        </w:rPr>
        <w:t>publication</w:t>
      </w:r>
      <w:r>
        <w:rPr>
          <w:spacing w:val="-12"/>
          <w:w w:val="120"/>
          <w:sz w:val="20"/>
        </w:rPr>
        <w:t> </w:t>
      </w:r>
      <w:r>
        <w:rPr>
          <w:w w:val="120"/>
          <w:sz w:val="20"/>
        </w:rPr>
        <w:t>of</w:t>
      </w:r>
      <w:r>
        <w:rPr>
          <w:spacing w:val="-12"/>
          <w:w w:val="120"/>
          <w:sz w:val="20"/>
        </w:rPr>
        <w:t> </w:t>
      </w:r>
      <w:r>
        <w:rPr>
          <w:w w:val="120"/>
          <w:sz w:val="20"/>
        </w:rPr>
        <w:t>the</w:t>
      </w:r>
      <w:r>
        <w:rPr>
          <w:spacing w:val="-12"/>
          <w:w w:val="120"/>
          <w:sz w:val="20"/>
        </w:rPr>
        <w:t> </w:t>
      </w:r>
      <w:r>
        <w:rPr>
          <w:spacing w:val="-3"/>
          <w:w w:val="120"/>
          <w:sz w:val="20"/>
        </w:rPr>
        <w:t>resource</w:t>
      </w:r>
      <w:r>
        <w:rPr>
          <w:spacing w:val="-12"/>
          <w:w w:val="120"/>
          <w:sz w:val="20"/>
        </w:rPr>
        <w:t> </w:t>
      </w:r>
      <w:r>
        <w:rPr>
          <w:w w:val="120"/>
          <w:sz w:val="20"/>
        </w:rPr>
        <w:t>‘Made</w:t>
      </w:r>
      <w:r>
        <w:rPr>
          <w:spacing w:val="-11"/>
          <w:w w:val="120"/>
          <w:sz w:val="20"/>
        </w:rPr>
        <w:t> </w:t>
      </w:r>
      <w:r>
        <w:rPr>
          <w:w w:val="120"/>
          <w:sz w:val="20"/>
        </w:rPr>
        <w:t>for</w:t>
      </w:r>
      <w:r>
        <w:rPr>
          <w:spacing w:val="-12"/>
          <w:w w:val="120"/>
          <w:sz w:val="20"/>
        </w:rPr>
        <w:t> </w:t>
      </w:r>
      <w:r>
        <w:rPr>
          <w:w w:val="120"/>
          <w:sz w:val="20"/>
        </w:rPr>
        <w:t>Goodness’</w:t>
      </w:r>
      <w:r>
        <w:rPr>
          <w:spacing w:val="-12"/>
          <w:w w:val="120"/>
          <w:sz w:val="20"/>
        </w:rPr>
        <w:t> </w:t>
      </w:r>
      <w:r>
        <w:rPr>
          <w:w w:val="120"/>
          <w:sz w:val="20"/>
        </w:rPr>
        <w:t>supported</w:t>
      </w:r>
      <w:r>
        <w:rPr>
          <w:spacing w:val="-12"/>
          <w:w w:val="120"/>
          <w:sz w:val="20"/>
        </w:rPr>
        <w:t> </w:t>
      </w:r>
      <w:r>
        <w:rPr>
          <w:w w:val="120"/>
          <w:sz w:val="20"/>
        </w:rPr>
        <w:t>reflection on</w:t>
      </w:r>
      <w:r>
        <w:rPr>
          <w:spacing w:val="-11"/>
          <w:w w:val="120"/>
          <w:sz w:val="20"/>
        </w:rPr>
        <w:t> </w:t>
      </w:r>
      <w:r>
        <w:rPr>
          <w:w w:val="120"/>
          <w:sz w:val="20"/>
        </w:rPr>
        <w:t>a</w:t>
      </w:r>
      <w:r>
        <w:rPr>
          <w:spacing w:val="-10"/>
          <w:w w:val="120"/>
          <w:sz w:val="20"/>
        </w:rPr>
        <w:t> </w:t>
      </w:r>
      <w:r>
        <w:rPr>
          <w:w w:val="120"/>
          <w:sz w:val="20"/>
        </w:rPr>
        <w:t>Christian</w:t>
      </w:r>
      <w:r>
        <w:rPr>
          <w:spacing w:val="-10"/>
          <w:w w:val="120"/>
          <w:sz w:val="20"/>
        </w:rPr>
        <w:t> </w:t>
      </w:r>
      <w:r>
        <w:rPr>
          <w:w w:val="120"/>
          <w:sz w:val="20"/>
        </w:rPr>
        <w:t>response</w:t>
      </w:r>
      <w:r>
        <w:rPr>
          <w:spacing w:val="-10"/>
          <w:w w:val="120"/>
          <w:sz w:val="20"/>
        </w:rPr>
        <w:t> </w:t>
      </w:r>
      <w:r>
        <w:rPr>
          <w:spacing w:val="-3"/>
          <w:w w:val="120"/>
          <w:sz w:val="20"/>
        </w:rPr>
        <w:t>to</w:t>
      </w:r>
      <w:r>
        <w:rPr>
          <w:spacing w:val="-10"/>
          <w:w w:val="120"/>
          <w:sz w:val="20"/>
        </w:rPr>
        <w:t> </w:t>
      </w:r>
      <w:r>
        <w:rPr>
          <w:w w:val="120"/>
          <w:sz w:val="20"/>
        </w:rPr>
        <w:t>the</w:t>
      </w:r>
      <w:r>
        <w:rPr>
          <w:spacing w:val="-10"/>
          <w:w w:val="120"/>
          <w:sz w:val="20"/>
        </w:rPr>
        <w:t> </w:t>
      </w:r>
      <w:r>
        <w:rPr>
          <w:w w:val="120"/>
          <w:sz w:val="20"/>
        </w:rPr>
        <w:t>refugee</w:t>
      </w:r>
      <w:r>
        <w:rPr>
          <w:spacing w:val="-10"/>
          <w:w w:val="120"/>
          <w:sz w:val="20"/>
        </w:rPr>
        <w:t> </w:t>
      </w:r>
      <w:r>
        <w:rPr>
          <w:spacing w:val="-3"/>
          <w:w w:val="120"/>
          <w:sz w:val="20"/>
        </w:rPr>
        <w:t>crisis.</w:t>
      </w:r>
      <w:r>
        <w:rPr>
          <w:spacing w:val="-10"/>
          <w:w w:val="120"/>
          <w:sz w:val="20"/>
        </w:rPr>
        <w:t> </w:t>
      </w:r>
      <w:r>
        <w:rPr>
          <w:w w:val="120"/>
          <w:sz w:val="20"/>
        </w:rPr>
        <w:t>In</w:t>
      </w:r>
      <w:r>
        <w:rPr>
          <w:spacing w:val="-10"/>
          <w:w w:val="120"/>
          <w:sz w:val="20"/>
        </w:rPr>
        <w:t> </w:t>
      </w:r>
      <w:r>
        <w:rPr>
          <w:spacing w:val="-2"/>
          <w:w w:val="120"/>
          <w:sz w:val="20"/>
        </w:rPr>
        <w:t>Advent</w:t>
      </w:r>
      <w:r>
        <w:rPr>
          <w:spacing w:val="-10"/>
          <w:w w:val="120"/>
          <w:sz w:val="20"/>
        </w:rPr>
        <w:t> </w:t>
      </w:r>
      <w:r>
        <w:rPr>
          <w:spacing w:val="-7"/>
          <w:w w:val="120"/>
          <w:sz w:val="20"/>
        </w:rPr>
        <w:t>2016,</w:t>
      </w:r>
      <w:r>
        <w:rPr>
          <w:spacing w:val="-10"/>
          <w:w w:val="120"/>
          <w:sz w:val="20"/>
        </w:rPr>
        <w:t> </w:t>
      </w:r>
      <w:r>
        <w:rPr>
          <w:spacing w:val="-4"/>
          <w:w w:val="120"/>
          <w:sz w:val="20"/>
        </w:rPr>
        <w:t>JPIT’s</w:t>
      </w:r>
      <w:r>
        <w:rPr>
          <w:spacing w:val="-10"/>
          <w:w w:val="120"/>
          <w:sz w:val="20"/>
        </w:rPr>
        <w:t> </w:t>
      </w:r>
      <w:r>
        <w:rPr>
          <w:w w:val="120"/>
          <w:sz w:val="20"/>
        </w:rPr>
        <w:t>film,</w:t>
      </w:r>
      <w:r>
        <w:rPr>
          <w:spacing w:val="-10"/>
          <w:w w:val="120"/>
          <w:sz w:val="20"/>
        </w:rPr>
        <w:t> </w:t>
      </w:r>
      <w:r>
        <w:rPr>
          <w:spacing w:val="-9"/>
          <w:w w:val="120"/>
          <w:sz w:val="20"/>
        </w:rPr>
        <w:t>‘A</w:t>
      </w:r>
      <w:r>
        <w:rPr>
          <w:spacing w:val="-11"/>
          <w:w w:val="120"/>
          <w:sz w:val="20"/>
        </w:rPr>
        <w:t> </w:t>
      </w:r>
      <w:r>
        <w:rPr>
          <w:w w:val="120"/>
          <w:sz w:val="20"/>
        </w:rPr>
        <w:t>Very</w:t>
      </w:r>
    </w:p>
    <w:p>
      <w:pPr>
        <w:spacing w:after="0" w:line="235" w:lineRule="auto"/>
        <w:jc w:val="left"/>
        <w:rPr>
          <w:sz w:val="20"/>
        </w:rPr>
        <w:sectPr>
          <w:headerReference w:type="even" r:id="rId391"/>
          <w:pgSz w:w="11910" w:h="16840"/>
          <w:pgMar w:header="0" w:footer="647" w:top="0" w:bottom="840" w:left="420" w:right="380"/>
        </w:sectPr>
      </w:pPr>
    </w:p>
    <w:p>
      <w:pPr>
        <w:pStyle w:val="BodyText"/>
      </w:pPr>
      <w:r>
        <w:rPr/>
        <w:drawing>
          <wp:anchor distT="0" distB="0" distL="0" distR="0" allowOverlap="1" layoutInCell="1" locked="0" behindDoc="0" simplePos="0" relativeHeight="252035072">
            <wp:simplePos x="0" y="0"/>
            <wp:positionH relativeFrom="page">
              <wp:posOffset>6974928</wp:posOffset>
            </wp:positionH>
            <wp:positionV relativeFrom="page">
              <wp:posOffset>0</wp:posOffset>
            </wp:positionV>
            <wp:extent cx="585063" cy="10692003"/>
            <wp:effectExtent l="0" t="0" r="0" b="0"/>
            <wp:wrapNone/>
            <wp:docPr id="275" name="image57.png"/>
            <wp:cNvGraphicFramePr>
              <a:graphicFrameLocks noChangeAspect="1"/>
            </wp:cNvGraphicFramePr>
            <a:graphic>
              <a:graphicData uri="http://schemas.openxmlformats.org/drawingml/2006/picture">
                <pic:pic>
                  <pic:nvPicPr>
                    <pic:cNvPr id="27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36096"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BodyText"/>
        <w:spacing w:line="235" w:lineRule="auto" w:before="222"/>
        <w:ind w:left="2244" w:right="881"/>
      </w:pPr>
      <w:r>
        <w:rPr>
          <w:w w:val="120"/>
        </w:rPr>
        <w:t>British Nativity’ was very </w:t>
      </w:r>
      <w:r>
        <w:rPr>
          <w:spacing w:val="-3"/>
          <w:w w:val="120"/>
        </w:rPr>
        <w:t>successful </w:t>
      </w:r>
      <w:r>
        <w:rPr>
          <w:w w:val="120"/>
        </w:rPr>
        <w:t>in drawing attention </w:t>
      </w:r>
      <w:r>
        <w:rPr>
          <w:spacing w:val="-3"/>
          <w:w w:val="120"/>
        </w:rPr>
        <w:t>to </w:t>
      </w:r>
      <w:r>
        <w:rPr>
          <w:w w:val="120"/>
        </w:rPr>
        <w:t>the challenges facing asylum seekers in the UK, and enabled the </w:t>
      </w:r>
      <w:r>
        <w:rPr>
          <w:spacing w:val="-3"/>
          <w:w w:val="120"/>
        </w:rPr>
        <w:t>team to </w:t>
      </w:r>
      <w:r>
        <w:rPr>
          <w:w w:val="120"/>
        </w:rPr>
        <w:t>campaign widely and </w:t>
      </w:r>
      <w:r>
        <w:rPr>
          <w:spacing w:val="-3"/>
          <w:w w:val="120"/>
        </w:rPr>
        <w:t>to </w:t>
      </w:r>
      <w:r>
        <w:rPr>
          <w:w w:val="120"/>
        </w:rPr>
        <w:t>new </w:t>
      </w:r>
      <w:r>
        <w:rPr>
          <w:spacing w:val="-3"/>
          <w:w w:val="120"/>
        </w:rPr>
        <w:t>audiences. We have </w:t>
      </w:r>
      <w:r>
        <w:rPr>
          <w:w w:val="120"/>
        </w:rPr>
        <w:t>used </w:t>
      </w:r>
      <w:r>
        <w:rPr>
          <w:spacing w:val="-3"/>
          <w:w w:val="120"/>
        </w:rPr>
        <w:t>evidence </w:t>
      </w:r>
      <w:r>
        <w:rPr>
          <w:w w:val="120"/>
        </w:rPr>
        <w:t>from </w:t>
      </w:r>
      <w:r>
        <w:rPr>
          <w:spacing w:val="-3"/>
          <w:w w:val="120"/>
        </w:rPr>
        <w:t>churches </w:t>
      </w:r>
      <w:r>
        <w:rPr>
          <w:w w:val="120"/>
        </w:rPr>
        <w:t>and </w:t>
      </w:r>
      <w:r>
        <w:rPr>
          <w:spacing w:val="-3"/>
          <w:w w:val="120"/>
        </w:rPr>
        <w:t>church </w:t>
      </w:r>
      <w:r>
        <w:rPr>
          <w:w w:val="120"/>
        </w:rPr>
        <w:t>members supporting asylum seekers and refugees </w:t>
      </w:r>
      <w:r>
        <w:rPr>
          <w:spacing w:val="-3"/>
          <w:w w:val="120"/>
        </w:rPr>
        <w:t>to </w:t>
      </w:r>
      <w:r>
        <w:rPr>
          <w:w w:val="120"/>
        </w:rPr>
        <w:t>respond </w:t>
      </w:r>
      <w:r>
        <w:rPr>
          <w:spacing w:val="-3"/>
          <w:w w:val="120"/>
        </w:rPr>
        <w:t>to </w:t>
      </w:r>
      <w:r>
        <w:rPr>
          <w:w w:val="120"/>
        </w:rPr>
        <w:t>relevant government </w:t>
      </w:r>
      <w:r>
        <w:rPr>
          <w:spacing w:val="-3"/>
          <w:w w:val="120"/>
        </w:rPr>
        <w:t>consultations.</w:t>
      </w:r>
    </w:p>
    <w:p>
      <w:pPr>
        <w:pStyle w:val="BodyText"/>
        <w:spacing w:before="10"/>
        <w:rPr>
          <w:sz w:val="19"/>
        </w:rPr>
      </w:pPr>
    </w:p>
    <w:p>
      <w:pPr>
        <w:pStyle w:val="ListParagraph"/>
        <w:numPr>
          <w:ilvl w:val="2"/>
          <w:numId w:val="100"/>
        </w:numPr>
        <w:tabs>
          <w:tab w:pos="2245" w:val="left" w:leader="none"/>
        </w:tabs>
        <w:spacing w:line="235" w:lineRule="auto" w:before="1" w:after="0"/>
        <w:ind w:left="1564" w:right="1109" w:firstLine="0"/>
        <w:jc w:val="left"/>
        <w:rPr>
          <w:sz w:val="20"/>
        </w:rPr>
      </w:pPr>
      <w:r>
        <w:rPr>
          <w:w w:val="120"/>
          <w:sz w:val="20"/>
        </w:rPr>
        <w:t>JPIT has also enabled our churches collectively to respond to government consultations and proposed legislation on a number of other issues of longstanding concern, including alcohol policy (especially minimum unit pricing), gambling policy (regulation of fixed odds betting </w:t>
      </w:r>
      <w:r>
        <w:rPr>
          <w:spacing w:val="-3"/>
          <w:w w:val="120"/>
          <w:sz w:val="20"/>
        </w:rPr>
        <w:t>terminals), </w:t>
      </w:r>
      <w:r>
        <w:rPr>
          <w:w w:val="120"/>
          <w:sz w:val="20"/>
        </w:rPr>
        <w:t>organ donation, climate policy and the persecution of religious minorities. Submissions were supported with media activities and meetings with MPs, ministers and other</w:t>
      </w:r>
      <w:r>
        <w:rPr>
          <w:spacing w:val="14"/>
          <w:w w:val="120"/>
          <w:sz w:val="20"/>
        </w:rPr>
        <w:t> </w:t>
      </w:r>
      <w:r>
        <w:rPr>
          <w:w w:val="120"/>
          <w:sz w:val="20"/>
        </w:rPr>
        <w:t>policymakers.</w:t>
      </w:r>
    </w:p>
    <w:p>
      <w:pPr>
        <w:pStyle w:val="BodyText"/>
        <w:spacing w:before="4"/>
        <w:rPr>
          <w:sz w:val="22"/>
        </w:rPr>
      </w:pPr>
    </w:p>
    <w:p>
      <w:pPr>
        <w:pStyle w:val="Heading4"/>
        <w:ind w:left="1564" w:firstLine="0"/>
      </w:pPr>
      <w:r>
        <w:rPr>
          <w:w w:val="110"/>
        </w:rPr>
        <w:t>Resourcing churches</w:t>
      </w:r>
    </w:p>
    <w:p>
      <w:pPr>
        <w:pStyle w:val="ListParagraph"/>
        <w:numPr>
          <w:ilvl w:val="1"/>
          <w:numId w:val="100"/>
        </w:numPr>
        <w:tabs>
          <w:tab w:pos="2244" w:val="left" w:leader="none"/>
          <w:tab w:pos="2245" w:val="left" w:leader="none"/>
        </w:tabs>
        <w:spacing w:line="235" w:lineRule="auto" w:before="70" w:after="0"/>
        <w:ind w:left="1564" w:right="1764" w:firstLine="0"/>
        <w:jc w:val="left"/>
        <w:rPr>
          <w:sz w:val="20"/>
        </w:rPr>
      </w:pPr>
      <w:r>
        <w:rPr>
          <w:w w:val="120"/>
          <w:sz w:val="20"/>
        </w:rPr>
        <w:t>Through this period, JPIT has given increasing priority to engaging, communicating</w:t>
      </w:r>
      <w:r>
        <w:rPr>
          <w:spacing w:val="20"/>
          <w:w w:val="120"/>
          <w:sz w:val="20"/>
        </w:rPr>
        <w:t> </w:t>
      </w:r>
      <w:r>
        <w:rPr>
          <w:w w:val="120"/>
          <w:sz w:val="20"/>
        </w:rPr>
        <w:t>with</w:t>
      </w:r>
      <w:r>
        <w:rPr>
          <w:spacing w:val="20"/>
          <w:w w:val="120"/>
          <w:sz w:val="20"/>
        </w:rPr>
        <w:t> </w:t>
      </w:r>
      <w:r>
        <w:rPr>
          <w:w w:val="120"/>
          <w:sz w:val="20"/>
        </w:rPr>
        <w:t>and</w:t>
      </w:r>
      <w:r>
        <w:rPr>
          <w:spacing w:val="21"/>
          <w:w w:val="120"/>
          <w:sz w:val="20"/>
        </w:rPr>
        <w:t> </w:t>
      </w:r>
      <w:r>
        <w:rPr>
          <w:w w:val="120"/>
          <w:sz w:val="20"/>
        </w:rPr>
        <w:t>equipping</w:t>
      </w:r>
      <w:r>
        <w:rPr>
          <w:spacing w:val="20"/>
          <w:w w:val="120"/>
          <w:sz w:val="20"/>
        </w:rPr>
        <w:t> </w:t>
      </w:r>
      <w:r>
        <w:rPr>
          <w:w w:val="120"/>
          <w:sz w:val="20"/>
        </w:rPr>
        <w:t>local</w:t>
      </w:r>
      <w:r>
        <w:rPr>
          <w:spacing w:val="21"/>
          <w:w w:val="120"/>
          <w:sz w:val="20"/>
        </w:rPr>
        <w:t> </w:t>
      </w:r>
      <w:r>
        <w:rPr>
          <w:w w:val="120"/>
          <w:sz w:val="20"/>
        </w:rPr>
        <w:t>church</w:t>
      </w:r>
      <w:r>
        <w:rPr>
          <w:spacing w:val="20"/>
          <w:w w:val="120"/>
          <w:sz w:val="20"/>
        </w:rPr>
        <w:t> </w:t>
      </w:r>
      <w:r>
        <w:rPr>
          <w:w w:val="120"/>
          <w:sz w:val="20"/>
        </w:rPr>
        <w:t>members</w:t>
      </w:r>
      <w:r>
        <w:rPr>
          <w:spacing w:val="21"/>
          <w:w w:val="120"/>
          <w:sz w:val="20"/>
        </w:rPr>
        <w:t> </w:t>
      </w:r>
      <w:r>
        <w:rPr>
          <w:w w:val="120"/>
          <w:sz w:val="20"/>
        </w:rPr>
        <w:t>and</w:t>
      </w:r>
      <w:r>
        <w:rPr>
          <w:spacing w:val="20"/>
          <w:w w:val="120"/>
          <w:sz w:val="20"/>
        </w:rPr>
        <w:t> </w:t>
      </w:r>
      <w:r>
        <w:rPr>
          <w:w w:val="120"/>
          <w:sz w:val="20"/>
        </w:rPr>
        <w:t>congregations.</w:t>
      </w:r>
    </w:p>
    <w:p>
      <w:pPr>
        <w:pStyle w:val="BodyText"/>
        <w:spacing w:before="11"/>
        <w:rPr>
          <w:sz w:val="18"/>
        </w:rPr>
      </w:pPr>
    </w:p>
    <w:p>
      <w:pPr>
        <w:pStyle w:val="ListParagraph"/>
        <w:numPr>
          <w:ilvl w:val="2"/>
          <w:numId w:val="100"/>
        </w:numPr>
        <w:tabs>
          <w:tab w:pos="2244" w:val="left" w:leader="none"/>
          <w:tab w:pos="2245" w:val="left" w:leader="none"/>
        </w:tabs>
        <w:spacing w:line="232" w:lineRule="auto" w:before="0" w:after="0"/>
        <w:ind w:left="2244" w:right="986" w:hanging="681"/>
        <w:jc w:val="left"/>
        <w:rPr>
          <w:sz w:val="20"/>
        </w:rPr>
      </w:pPr>
      <w:r>
        <w:rPr>
          <w:rFonts w:ascii="Stone Sans II ITC Std Bk" w:hAnsi="Stone Sans II ITC Std Bk"/>
          <w:b/>
          <w:w w:val="120"/>
          <w:sz w:val="20"/>
        </w:rPr>
        <w:t>Events: </w:t>
      </w:r>
      <w:r>
        <w:rPr>
          <w:w w:val="120"/>
          <w:sz w:val="20"/>
        </w:rPr>
        <w:t>A major conference was held in Manchester in March </w:t>
      </w:r>
      <w:r>
        <w:rPr>
          <w:spacing w:val="-5"/>
          <w:w w:val="120"/>
          <w:sz w:val="20"/>
        </w:rPr>
        <w:t>2018, </w:t>
      </w:r>
      <w:r>
        <w:rPr>
          <w:w w:val="120"/>
          <w:sz w:val="20"/>
        </w:rPr>
        <w:t>enabling over 250 people to reflect on the theme of a ‘brave new </w:t>
      </w:r>
      <w:r>
        <w:rPr>
          <w:spacing w:val="-3"/>
          <w:w w:val="120"/>
          <w:sz w:val="20"/>
        </w:rPr>
        <w:t>world’, </w:t>
      </w:r>
      <w:r>
        <w:rPr>
          <w:w w:val="120"/>
          <w:sz w:val="20"/>
        </w:rPr>
        <w:t>with guest speakers and practical workshops. A new youth forum was established to bring together young leaders in the churches and equip them for advocacy. During </w:t>
      </w:r>
      <w:r>
        <w:rPr>
          <w:spacing w:val="-7"/>
          <w:w w:val="120"/>
          <w:sz w:val="20"/>
        </w:rPr>
        <w:t>2016 </w:t>
      </w:r>
      <w:r>
        <w:rPr>
          <w:w w:val="120"/>
          <w:sz w:val="20"/>
        </w:rPr>
        <w:t>and </w:t>
      </w:r>
      <w:r>
        <w:rPr>
          <w:spacing w:val="-12"/>
          <w:w w:val="120"/>
          <w:sz w:val="20"/>
        </w:rPr>
        <w:t>2017, </w:t>
      </w:r>
      <w:r>
        <w:rPr>
          <w:w w:val="120"/>
          <w:sz w:val="20"/>
        </w:rPr>
        <w:t>the URC participated in the Act Community, a joint project with Christian Aid and Tearfund which sought to train and support a new generation of environmental</w:t>
      </w:r>
      <w:r>
        <w:rPr>
          <w:spacing w:val="3"/>
          <w:w w:val="120"/>
          <w:sz w:val="20"/>
        </w:rPr>
        <w:t> </w:t>
      </w:r>
      <w:r>
        <w:rPr>
          <w:w w:val="120"/>
          <w:sz w:val="20"/>
        </w:rPr>
        <w:t>activists.</w:t>
      </w:r>
    </w:p>
    <w:p>
      <w:pPr>
        <w:pStyle w:val="BodyText"/>
        <w:spacing w:before="6"/>
        <w:rPr>
          <w:sz w:val="19"/>
        </w:rPr>
      </w:pPr>
    </w:p>
    <w:p>
      <w:pPr>
        <w:pStyle w:val="ListParagraph"/>
        <w:numPr>
          <w:ilvl w:val="2"/>
          <w:numId w:val="100"/>
        </w:numPr>
        <w:tabs>
          <w:tab w:pos="2245" w:val="left" w:leader="none"/>
        </w:tabs>
        <w:spacing w:line="230" w:lineRule="auto" w:before="1" w:after="0"/>
        <w:ind w:left="2244" w:right="1025" w:hanging="681"/>
        <w:jc w:val="left"/>
        <w:rPr>
          <w:sz w:val="20"/>
        </w:rPr>
      </w:pPr>
      <w:r>
        <w:rPr>
          <w:rFonts w:ascii="Stone Sans II ITC Std Bk" w:hAnsi="Stone Sans II ITC Std Bk"/>
          <w:b/>
          <w:w w:val="120"/>
          <w:sz w:val="20"/>
        </w:rPr>
        <w:t>Resources: </w:t>
      </w:r>
      <w:r>
        <w:rPr>
          <w:w w:val="120"/>
          <w:sz w:val="20"/>
        </w:rPr>
        <w:t>Several new resources have encouraged reflection on faith and political participation. ‘The </w:t>
      </w:r>
      <w:r>
        <w:rPr>
          <w:spacing w:val="3"/>
          <w:w w:val="120"/>
          <w:sz w:val="20"/>
        </w:rPr>
        <w:t>art </w:t>
      </w:r>
      <w:r>
        <w:rPr>
          <w:w w:val="120"/>
          <w:sz w:val="20"/>
        </w:rPr>
        <w:t>of the possible’ is a set of Bible studies exploring what Christianity has to say about politics. During Advent </w:t>
      </w:r>
      <w:r>
        <w:rPr>
          <w:spacing w:val="-12"/>
          <w:w w:val="120"/>
          <w:sz w:val="20"/>
        </w:rPr>
        <w:t>2017, </w:t>
      </w:r>
      <w:r>
        <w:rPr>
          <w:w w:val="120"/>
          <w:sz w:val="20"/>
        </w:rPr>
        <w:t>‘Prepare</w:t>
      </w:r>
      <w:r>
        <w:rPr>
          <w:spacing w:val="32"/>
          <w:w w:val="120"/>
          <w:sz w:val="20"/>
        </w:rPr>
        <w:t> </w:t>
      </w:r>
      <w:r>
        <w:rPr>
          <w:w w:val="120"/>
          <w:sz w:val="20"/>
        </w:rPr>
        <w:t>ye</w:t>
      </w:r>
    </w:p>
    <w:p>
      <w:pPr>
        <w:pStyle w:val="BodyText"/>
        <w:spacing w:line="235" w:lineRule="auto"/>
        <w:ind w:left="2244" w:right="1130"/>
        <w:jc w:val="both"/>
      </w:pPr>
      <w:r>
        <w:rPr>
          <w:w w:val="120"/>
        </w:rPr>
        <w:t>the way’ worship materials enabled congregations to consider how and where we would want Christ to find us on his return. In the spring of 2018, the 100th anniversary of the Representation of the People Act was marked by a series</w:t>
      </w:r>
    </w:p>
    <w:p>
      <w:pPr>
        <w:pStyle w:val="BodyText"/>
        <w:spacing w:line="235" w:lineRule="auto" w:before="2"/>
        <w:ind w:left="2244" w:right="1024"/>
      </w:pPr>
      <w:r>
        <w:rPr>
          <w:w w:val="120"/>
        </w:rPr>
        <w:t>of blog posts from female church leaders and the launch of ‘Women and the </w:t>
      </w:r>
      <w:r>
        <w:rPr>
          <w:spacing w:val="-5"/>
          <w:w w:val="120"/>
        </w:rPr>
        <w:t>vote’, </w:t>
      </w:r>
      <w:r>
        <w:rPr>
          <w:w w:val="120"/>
        </w:rPr>
        <w:t>which invited learning, reflection and prayer on the experience of women around the world </w:t>
      </w:r>
      <w:r>
        <w:rPr>
          <w:spacing w:val="-3"/>
          <w:w w:val="120"/>
        </w:rPr>
        <w:t>today. </w:t>
      </w:r>
      <w:r>
        <w:rPr>
          <w:w w:val="120"/>
        </w:rPr>
        <w:t>JPIT has also produced periodic briefings on other public issues of interest to churches, such as</w:t>
      </w:r>
      <w:r>
        <w:rPr>
          <w:spacing w:val="16"/>
          <w:w w:val="120"/>
        </w:rPr>
        <w:t> </w:t>
      </w:r>
      <w:r>
        <w:rPr>
          <w:w w:val="120"/>
        </w:rPr>
        <w:t>fracking.</w:t>
      </w:r>
    </w:p>
    <w:p>
      <w:pPr>
        <w:pStyle w:val="BodyText"/>
        <w:spacing w:before="10"/>
        <w:rPr>
          <w:sz w:val="19"/>
        </w:rPr>
      </w:pPr>
    </w:p>
    <w:p>
      <w:pPr>
        <w:pStyle w:val="ListParagraph"/>
        <w:numPr>
          <w:ilvl w:val="2"/>
          <w:numId w:val="100"/>
        </w:numPr>
        <w:tabs>
          <w:tab w:pos="2245" w:val="left" w:leader="none"/>
        </w:tabs>
        <w:spacing w:line="235" w:lineRule="auto" w:before="1" w:after="0"/>
        <w:ind w:left="2244" w:right="1322" w:hanging="681"/>
        <w:jc w:val="left"/>
        <w:rPr>
          <w:sz w:val="20"/>
        </w:rPr>
      </w:pPr>
      <w:r>
        <w:rPr>
          <w:w w:val="120"/>
          <w:sz w:val="20"/>
        </w:rPr>
        <w:t>In </w:t>
      </w:r>
      <w:r>
        <w:rPr>
          <w:spacing w:val="-5"/>
          <w:w w:val="120"/>
          <w:sz w:val="20"/>
        </w:rPr>
        <w:t>2018, </w:t>
      </w:r>
      <w:r>
        <w:rPr>
          <w:w w:val="120"/>
          <w:sz w:val="20"/>
        </w:rPr>
        <w:t>a monthly JPIT podcast was launched. Each edition of </w:t>
      </w:r>
      <w:r>
        <w:rPr>
          <w:i/>
          <w:w w:val="120"/>
          <w:sz w:val="20"/>
        </w:rPr>
        <w:t>Faith in Politics </w:t>
      </w:r>
      <w:r>
        <w:rPr>
          <w:w w:val="120"/>
          <w:sz w:val="20"/>
        </w:rPr>
        <w:t>includes an interview with a leading political figure about how their faith impacts their politics, and discussion of news stories. A Twitter account, @URCCAS, has been established to provide daily inspiration and useful</w:t>
      </w:r>
      <w:r>
        <w:rPr>
          <w:spacing w:val="43"/>
          <w:w w:val="120"/>
          <w:sz w:val="20"/>
        </w:rPr>
        <w:t> </w:t>
      </w:r>
      <w:r>
        <w:rPr>
          <w:w w:val="120"/>
          <w:sz w:val="20"/>
        </w:rPr>
        <w:t>links.</w:t>
      </w:r>
    </w:p>
    <w:p>
      <w:pPr>
        <w:pStyle w:val="BodyText"/>
        <w:spacing w:before="1"/>
        <w:rPr>
          <w:sz w:val="19"/>
        </w:rPr>
      </w:pPr>
    </w:p>
    <w:p>
      <w:pPr>
        <w:pStyle w:val="ListParagraph"/>
        <w:numPr>
          <w:ilvl w:val="2"/>
          <w:numId w:val="100"/>
        </w:numPr>
        <w:tabs>
          <w:tab w:pos="2245" w:val="left" w:leader="none"/>
        </w:tabs>
        <w:spacing w:line="232" w:lineRule="auto" w:before="0" w:after="0"/>
        <w:ind w:left="2244" w:right="1121" w:hanging="681"/>
        <w:jc w:val="left"/>
        <w:rPr>
          <w:sz w:val="20"/>
        </w:rPr>
      </w:pPr>
      <w:r>
        <w:rPr>
          <w:rFonts w:ascii="Stone Sans II ITC Std Bk"/>
          <w:b/>
          <w:w w:val="120"/>
          <w:sz w:val="20"/>
        </w:rPr>
        <w:t>Networks: </w:t>
      </w:r>
      <w:r>
        <w:rPr>
          <w:w w:val="120"/>
          <w:sz w:val="20"/>
        </w:rPr>
        <w:t>Although staff resources are limited, we have welcomed opportunities to speak at synod meetings, training days and network events, and would be keen to receive further invitations. JPIT staff have also supported the development of regional </w:t>
      </w:r>
      <w:r>
        <w:rPr>
          <w:spacing w:val="-3"/>
          <w:w w:val="120"/>
          <w:sz w:val="20"/>
        </w:rPr>
        <w:t>JPITs, </w:t>
      </w:r>
      <w:r>
        <w:rPr>
          <w:w w:val="120"/>
          <w:sz w:val="20"/>
        </w:rPr>
        <w:t>though there has not yet been as much progress with these as was originally</w:t>
      </w:r>
      <w:r>
        <w:rPr>
          <w:spacing w:val="15"/>
          <w:w w:val="120"/>
          <w:sz w:val="20"/>
        </w:rPr>
        <w:t> </w:t>
      </w:r>
      <w:r>
        <w:rPr>
          <w:w w:val="120"/>
          <w:sz w:val="20"/>
        </w:rPr>
        <w:t>hoped.</w:t>
      </w:r>
    </w:p>
    <w:p>
      <w:pPr>
        <w:pStyle w:val="BodyText"/>
        <w:spacing w:before="1"/>
        <w:rPr>
          <w:sz w:val="22"/>
        </w:rPr>
      </w:pPr>
    </w:p>
    <w:p>
      <w:pPr>
        <w:pStyle w:val="Heading4"/>
        <w:ind w:left="1564" w:firstLine="0"/>
      </w:pPr>
      <w:r>
        <w:rPr>
          <w:w w:val="110"/>
        </w:rPr>
        <w:t>Living out the Gospel</w:t>
      </w:r>
    </w:p>
    <w:p>
      <w:pPr>
        <w:pStyle w:val="ListParagraph"/>
        <w:numPr>
          <w:ilvl w:val="1"/>
          <w:numId w:val="100"/>
        </w:numPr>
        <w:tabs>
          <w:tab w:pos="2244" w:val="left" w:leader="none"/>
          <w:tab w:pos="2245" w:val="left" w:leader="none"/>
        </w:tabs>
        <w:spacing w:line="235" w:lineRule="auto" w:before="69" w:after="0"/>
        <w:ind w:left="1564" w:right="1426" w:firstLine="0"/>
        <w:jc w:val="left"/>
        <w:rPr>
          <w:sz w:val="20"/>
        </w:rPr>
      </w:pPr>
      <w:r>
        <w:rPr>
          <w:w w:val="120"/>
          <w:sz w:val="20"/>
        </w:rPr>
        <w:t>Alongside political engagement and policy work, we also support churches and church members in living out the Gospel in daily life, working closely with Commitment for</w:t>
      </w:r>
      <w:r>
        <w:rPr>
          <w:spacing w:val="4"/>
          <w:w w:val="120"/>
          <w:sz w:val="20"/>
        </w:rPr>
        <w:t> </w:t>
      </w:r>
      <w:r>
        <w:rPr>
          <w:w w:val="120"/>
          <w:sz w:val="20"/>
        </w:rPr>
        <w:t>Life.</w:t>
      </w:r>
    </w:p>
    <w:p>
      <w:pPr>
        <w:pStyle w:val="BodyText"/>
        <w:rPr>
          <w:sz w:val="19"/>
        </w:rPr>
      </w:pPr>
    </w:p>
    <w:p>
      <w:pPr>
        <w:pStyle w:val="ListParagraph"/>
        <w:numPr>
          <w:ilvl w:val="2"/>
          <w:numId w:val="100"/>
        </w:numPr>
        <w:tabs>
          <w:tab w:pos="2245" w:val="left" w:leader="none"/>
        </w:tabs>
        <w:spacing w:line="232" w:lineRule="auto" w:before="0" w:after="0"/>
        <w:ind w:left="2244" w:right="1144" w:hanging="681"/>
        <w:jc w:val="left"/>
        <w:rPr>
          <w:sz w:val="20"/>
        </w:rPr>
      </w:pPr>
      <w:r>
        <w:rPr>
          <w:rFonts w:ascii="Stone Sans II ITC Std Bk" w:hAnsi="Stone Sans II ITC Std Bk"/>
          <w:b/>
          <w:w w:val="120"/>
          <w:sz w:val="20"/>
        </w:rPr>
        <w:t>Fairtrade: </w:t>
      </w:r>
      <w:r>
        <w:rPr>
          <w:w w:val="120"/>
          <w:sz w:val="20"/>
        </w:rPr>
        <w:t>The URC is a strong supporter of Fairtrade and many URCs are Fairtrade Churches. There was therefore great concern about the decision by Sainsbury’s in May </w:t>
      </w:r>
      <w:r>
        <w:rPr>
          <w:spacing w:val="-9"/>
          <w:w w:val="120"/>
          <w:sz w:val="20"/>
        </w:rPr>
        <w:t>2017 </w:t>
      </w:r>
      <w:r>
        <w:rPr>
          <w:w w:val="120"/>
          <w:sz w:val="20"/>
        </w:rPr>
        <w:t>to drop the Fairtrade Mark from their own label tea, losing the assurances about standards and producer prices provided by the independent consumer label. The General Secretary issued a statement of concern, and members were encouraged to write to the supermarket. We also encouraged participation in Fairtrade</w:t>
      </w:r>
      <w:r>
        <w:rPr>
          <w:spacing w:val="12"/>
          <w:w w:val="120"/>
          <w:sz w:val="20"/>
        </w:rPr>
        <w:t> </w:t>
      </w:r>
      <w:r>
        <w:rPr>
          <w:w w:val="120"/>
          <w:sz w:val="20"/>
        </w:rPr>
        <w:t>Fortnight.</w:t>
      </w:r>
    </w:p>
    <w:p>
      <w:pPr>
        <w:spacing w:after="0" w:line="232" w:lineRule="auto"/>
        <w:jc w:val="left"/>
        <w:rPr>
          <w:sz w:val="20"/>
        </w:rPr>
        <w:sectPr>
          <w:headerReference w:type="default" r:id="rId392"/>
          <w:footerReference w:type="default" r:id="rId393"/>
          <w:footerReference w:type="even" r:id="rId394"/>
          <w:pgSz w:w="11910" w:h="16840"/>
          <w:pgMar w:header="0" w:footer="647" w:top="0" w:bottom="840" w:left="420" w:right="380"/>
          <w:pgNumType w:start="143"/>
        </w:sectPr>
      </w:pPr>
    </w:p>
    <w:p>
      <w:pPr>
        <w:pStyle w:val="BodyText"/>
      </w:pPr>
      <w:r>
        <w:rPr/>
        <w:drawing>
          <wp:anchor distT="0" distB="0" distL="0" distR="0" allowOverlap="1" layoutInCell="1" locked="0" behindDoc="1" simplePos="0" relativeHeight="236069888">
            <wp:simplePos x="0" y="0"/>
            <wp:positionH relativeFrom="page">
              <wp:posOffset>0</wp:posOffset>
            </wp:positionH>
            <wp:positionV relativeFrom="page">
              <wp:posOffset>0</wp:posOffset>
            </wp:positionV>
            <wp:extent cx="594067" cy="10692003"/>
            <wp:effectExtent l="0" t="0" r="0" b="0"/>
            <wp:wrapNone/>
            <wp:docPr id="277" name="image70.png"/>
            <wp:cNvGraphicFramePr>
              <a:graphicFrameLocks noChangeAspect="1"/>
            </wp:cNvGraphicFramePr>
            <a:graphic>
              <a:graphicData uri="http://schemas.openxmlformats.org/drawingml/2006/picture">
                <pic:pic>
                  <pic:nvPicPr>
                    <pic:cNvPr id="27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38144"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2"/>
          <w:numId w:val="100"/>
        </w:numPr>
        <w:tabs>
          <w:tab w:pos="1508" w:val="left" w:leader="none"/>
        </w:tabs>
        <w:spacing w:line="232" w:lineRule="auto" w:before="211" w:after="0"/>
        <w:ind w:left="1507" w:right="1614" w:hanging="681"/>
        <w:jc w:val="left"/>
        <w:rPr>
          <w:sz w:val="20"/>
        </w:rPr>
      </w:pPr>
      <w:r>
        <w:rPr>
          <w:rFonts w:ascii="Stone Sans II ITC Std Bk" w:hAnsi="Stone Sans II ITC Std Bk"/>
          <w:b/>
          <w:w w:val="120"/>
          <w:sz w:val="20"/>
        </w:rPr>
        <w:t>Environmental responsibility: </w:t>
      </w:r>
      <w:r>
        <w:rPr>
          <w:w w:val="120"/>
          <w:sz w:val="20"/>
        </w:rPr>
        <w:t>The environmental task group, established by General Assembly </w:t>
      </w:r>
      <w:r>
        <w:rPr>
          <w:spacing w:val="-7"/>
          <w:w w:val="120"/>
          <w:sz w:val="20"/>
        </w:rPr>
        <w:t>2016 </w:t>
      </w:r>
      <w:r>
        <w:rPr>
          <w:w w:val="120"/>
          <w:sz w:val="20"/>
        </w:rPr>
        <w:t>to champion and implement the environmental policy adopted by the same meeting, has developed its work in partnership with the reinvigorated network of Green Apostles from the synods. It is encouraging   every URC to register with A </w:t>
      </w:r>
      <w:r>
        <w:rPr>
          <w:spacing w:val="-3"/>
          <w:w w:val="120"/>
          <w:sz w:val="20"/>
        </w:rPr>
        <w:t>Rocha’s Eco </w:t>
      </w:r>
      <w:r>
        <w:rPr>
          <w:w w:val="120"/>
          <w:sz w:val="20"/>
        </w:rPr>
        <w:t>Church scheme (for England and </w:t>
      </w:r>
      <w:r>
        <w:rPr>
          <w:spacing w:val="-4"/>
          <w:w w:val="120"/>
          <w:sz w:val="20"/>
        </w:rPr>
        <w:t>Wales) </w:t>
      </w:r>
      <w:r>
        <w:rPr>
          <w:w w:val="120"/>
          <w:sz w:val="20"/>
        </w:rPr>
        <w:t>or </w:t>
      </w:r>
      <w:r>
        <w:rPr>
          <w:spacing w:val="-3"/>
          <w:w w:val="120"/>
          <w:sz w:val="20"/>
        </w:rPr>
        <w:t>Eco </w:t>
      </w:r>
      <w:r>
        <w:rPr>
          <w:w w:val="120"/>
          <w:sz w:val="20"/>
        </w:rPr>
        <w:t>Congregation (in Scotland) to help churches to reduce their carbon footprints and become more environmentally aware. It is also looking</w:t>
      </w:r>
      <w:r>
        <w:rPr>
          <w:spacing w:val="29"/>
          <w:w w:val="120"/>
          <w:sz w:val="20"/>
        </w:rPr>
        <w:t> </w:t>
      </w:r>
      <w:r>
        <w:rPr>
          <w:w w:val="120"/>
          <w:sz w:val="20"/>
        </w:rPr>
        <w:t>forward</w:t>
      </w:r>
    </w:p>
    <w:p>
      <w:pPr>
        <w:pStyle w:val="BodyText"/>
        <w:spacing w:line="235" w:lineRule="auto" w:before="7"/>
        <w:ind w:left="1507" w:right="1528"/>
      </w:pPr>
      <w:r>
        <w:rPr>
          <w:w w:val="120"/>
        </w:rPr>
        <w:t>to the first Eco Synod award. The group continues to liaise with the finance committee on the issue of disinvestment in fossil fuels.</w:t>
      </w:r>
    </w:p>
    <w:p>
      <w:pPr>
        <w:pStyle w:val="BodyText"/>
        <w:spacing w:before="2"/>
        <w:rPr>
          <w:sz w:val="22"/>
        </w:rPr>
      </w:pPr>
    </w:p>
    <w:p>
      <w:pPr>
        <w:pStyle w:val="Heading4"/>
        <w:ind w:firstLine="0"/>
      </w:pPr>
      <w:r>
        <w:rPr>
          <w:w w:val="110"/>
        </w:rPr>
        <w:t>Commitment for Life</w:t>
      </w:r>
    </w:p>
    <w:p>
      <w:pPr>
        <w:pStyle w:val="ListParagraph"/>
        <w:numPr>
          <w:ilvl w:val="1"/>
          <w:numId w:val="102"/>
        </w:numPr>
        <w:tabs>
          <w:tab w:pos="1507" w:val="left" w:leader="none"/>
          <w:tab w:pos="1508" w:val="left" w:leader="none"/>
        </w:tabs>
        <w:spacing w:line="235" w:lineRule="auto" w:before="69" w:after="0"/>
        <w:ind w:left="827" w:right="1757" w:firstLine="0"/>
        <w:jc w:val="left"/>
        <w:rPr>
          <w:sz w:val="20"/>
        </w:rPr>
      </w:pPr>
      <w:r>
        <w:rPr>
          <w:w w:val="120"/>
          <w:sz w:val="20"/>
        </w:rPr>
        <w:t>Commitment for Life has been working in partnership with Christian Aid and Global Justice Now since </w:t>
      </w:r>
      <w:r>
        <w:rPr>
          <w:spacing w:val="-5"/>
          <w:w w:val="120"/>
          <w:sz w:val="20"/>
        </w:rPr>
        <w:t>1992. </w:t>
      </w:r>
      <w:r>
        <w:rPr>
          <w:w w:val="120"/>
          <w:sz w:val="20"/>
        </w:rPr>
        <w:t>The </w:t>
      </w:r>
      <w:r>
        <w:rPr>
          <w:spacing w:val="2"/>
          <w:w w:val="120"/>
          <w:sz w:val="20"/>
        </w:rPr>
        <w:t>report </w:t>
      </w:r>
      <w:r>
        <w:rPr>
          <w:w w:val="120"/>
          <w:sz w:val="20"/>
        </w:rPr>
        <w:t>to General Assembly stated: ‘Commitment for Life was offered to the Assembly, congregations and members of the United Reformed </w:t>
      </w:r>
      <w:r>
        <w:rPr>
          <w:spacing w:val="-3"/>
          <w:w w:val="120"/>
          <w:sz w:val="20"/>
        </w:rPr>
        <w:t>Church </w:t>
      </w:r>
      <w:r>
        <w:rPr>
          <w:w w:val="120"/>
          <w:sz w:val="20"/>
        </w:rPr>
        <w:t>as a challenge and an </w:t>
      </w:r>
      <w:r>
        <w:rPr>
          <w:spacing w:val="-3"/>
          <w:w w:val="120"/>
          <w:sz w:val="20"/>
        </w:rPr>
        <w:t>invitation, </w:t>
      </w:r>
      <w:r>
        <w:rPr>
          <w:w w:val="120"/>
          <w:sz w:val="20"/>
        </w:rPr>
        <w:t>one </w:t>
      </w:r>
      <w:r>
        <w:rPr>
          <w:spacing w:val="-2"/>
          <w:w w:val="120"/>
          <w:sz w:val="20"/>
        </w:rPr>
        <w:t>way </w:t>
      </w:r>
      <w:r>
        <w:rPr>
          <w:w w:val="120"/>
          <w:sz w:val="20"/>
        </w:rPr>
        <w:t>of expressing our obedience to the words of Jesus as we follow in his </w:t>
      </w:r>
      <w:r>
        <w:rPr>
          <w:spacing w:val="-4"/>
          <w:w w:val="120"/>
          <w:sz w:val="20"/>
        </w:rPr>
        <w:t>way, </w:t>
      </w:r>
      <w:r>
        <w:rPr>
          <w:w w:val="120"/>
          <w:sz w:val="20"/>
        </w:rPr>
        <w:t>our solidarity in the Spirit with our partners and the poor with whom they are striving for justice, and our faith in the    God of hope, of peace, of </w:t>
      </w:r>
      <w:r>
        <w:rPr>
          <w:spacing w:val="-4"/>
          <w:w w:val="120"/>
          <w:sz w:val="20"/>
        </w:rPr>
        <w:t>love.’ </w:t>
      </w:r>
      <w:r>
        <w:rPr>
          <w:w w:val="120"/>
          <w:sz w:val="20"/>
        </w:rPr>
        <w:t>The money-raising scheme grew out of the </w:t>
      </w:r>
      <w:r>
        <w:rPr>
          <w:spacing w:val="-7"/>
          <w:w w:val="120"/>
          <w:sz w:val="20"/>
        </w:rPr>
        <w:t>1% </w:t>
      </w:r>
      <w:r>
        <w:rPr>
          <w:w w:val="120"/>
          <w:sz w:val="20"/>
        </w:rPr>
        <w:t>appeal that called on Christians across the world to give </w:t>
      </w:r>
      <w:r>
        <w:rPr>
          <w:spacing w:val="-7"/>
          <w:w w:val="120"/>
          <w:sz w:val="20"/>
        </w:rPr>
        <w:t>1% </w:t>
      </w:r>
      <w:r>
        <w:rPr>
          <w:w w:val="120"/>
          <w:sz w:val="20"/>
        </w:rPr>
        <w:t>of their disposable income to aid development in southern</w:t>
      </w:r>
      <w:r>
        <w:rPr>
          <w:spacing w:val="6"/>
          <w:w w:val="120"/>
          <w:sz w:val="20"/>
        </w:rPr>
        <w:t> </w:t>
      </w:r>
      <w:r>
        <w:rPr>
          <w:w w:val="120"/>
          <w:sz w:val="20"/>
        </w:rPr>
        <w:t>countries.</w:t>
      </w:r>
    </w:p>
    <w:p>
      <w:pPr>
        <w:pStyle w:val="BodyText"/>
        <w:spacing w:before="2"/>
      </w:pPr>
    </w:p>
    <w:p>
      <w:pPr>
        <w:pStyle w:val="ListParagraph"/>
        <w:numPr>
          <w:ilvl w:val="2"/>
          <w:numId w:val="102"/>
        </w:numPr>
        <w:tabs>
          <w:tab w:pos="1507" w:val="left" w:leader="none"/>
          <w:tab w:pos="1508" w:val="left" w:leader="none"/>
        </w:tabs>
        <w:spacing w:line="235" w:lineRule="auto" w:before="1" w:after="0"/>
        <w:ind w:left="1507" w:right="1786" w:hanging="681"/>
        <w:jc w:val="left"/>
        <w:rPr>
          <w:sz w:val="20"/>
        </w:rPr>
      </w:pPr>
      <w:r>
        <w:rPr>
          <w:w w:val="120"/>
          <w:sz w:val="20"/>
        </w:rPr>
        <w:t>The programme is promoted by the Commitment for Life Coordinator, Linda Mead, with a volunteer reference group and network of synod advocates and church link people. The Revd Alan McGougan, from the Synod of Scotland, is the present reference group </w:t>
      </w:r>
      <w:r>
        <w:rPr>
          <w:spacing w:val="-3"/>
          <w:w w:val="120"/>
          <w:sz w:val="20"/>
        </w:rPr>
        <w:t>convenor. </w:t>
      </w:r>
      <w:r>
        <w:rPr>
          <w:w w:val="120"/>
          <w:sz w:val="20"/>
        </w:rPr>
        <w:t>The group meets twice a year and is the regulating and supportive body for the programme’s</w:t>
      </w:r>
      <w:r>
        <w:rPr>
          <w:spacing w:val="30"/>
          <w:w w:val="120"/>
          <w:sz w:val="20"/>
        </w:rPr>
        <w:t> </w:t>
      </w:r>
      <w:r>
        <w:rPr>
          <w:w w:val="120"/>
          <w:sz w:val="20"/>
        </w:rPr>
        <w:t>coordinator.</w:t>
      </w:r>
    </w:p>
    <w:p>
      <w:pPr>
        <w:pStyle w:val="BodyText"/>
        <w:spacing w:before="11"/>
        <w:rPr>
          <w:sz w:val="19"/>
        </w:rPr>
      </w:pPr>
    </w:p>
    <w:p>
      <w:pPr>
        <w:pStyle w:val="ListParagraph"/>
        <w:numPr>
          <w:ilvl w:val="2"/>
          <w:numId w:val="102"/>
        </w:numPr>
        <w:tabs>
          <w:tab w:pos="1507" w:val="left" w:leader="none"/>
          <w:tab w:pos="1508" w:val="left" w:leader="none"/>
        </w:tabs>
        <w:spacing w:line="235" w:lineRule="auto" w:before="0" w:after="0"/>
        <w:ind w:left="1507" w:right="1602" w:hanging="681"/>
        <w:jc w:val="left"/>
        <w:rPr>
          <w:sz w:val="20"/>
        </w:rPr>
      </w:pPr>
      <w:r>
        <w:rPr>
          <w:w w:val="120"/>
          <w:sz w:val="20"/>
        </w:rPr>
        <w:t>The group always saw the intern scheme, through Christian Aid, as a legacy for the future, so we are delighted to </w:t>
      </w:r>
      <w:r>
        <w:rPr>
          <w:spacing w:val="2"/>
          <w:w w:val="120"/>
          <w:sz w:val="20"/>
        </w:rPr>
        <w:t>report </w:t>
      </w:r>
      <w:r>
        <w:rPr>
          <w:w w:val="120"/>
          <w:sz w:val="20"/>
        </w:rPr>
        <w:t>that Charis Ollerenshaw </w:t>
      </w:r>
      <w:r>
        <w:rPr>
          <w:spacing w:val="-9"/>
          <w:w w:val="120"/>
          <w:sz w:val="20"/>
        </w:rPr>
        <w:t>(2011  </w:t>
      </w:r>
      <w:r>
        <w:rPr>
          <w:w w:val="120"/>
          <w:sz w:val="20"/>
        </w:rPr>
        <w:t>to </w:t>
      </w:r>
      <w:r>
        <w:rPr>
          <w:spacing w:val="-8"/>
          <w:w w:val="120"/>
          <w:sz w:val="20"/>
        </w:rPr>
        <w:t>2012)  </w:t>
      </w:r>
      <w:r>
        <w:rPr>
          <w:w w:val="120"/>
          <w:sz w:val="20"/>
        </w:rPr>
        <w:t>is </w:t>
      </w:r>
      <w:r>
        <w:rPr>
          <w:spacing w:val="2"/>
          <w:w w:val="120"/>
          <w:sz w:val="20"/>
        </w:rPr>
        <w:t>part </w:t>
      </w:r>
      <w:r>
        <w:rPr>
          <w:w w:val="120"/>
          <w:sz w:val="20"/>
        </w:rPr>
        <w:t>of the URC environmental group. Miriam Webb </w:t>
      </w:r>
      <w:r>
        <w:rPr>
          <w:spacing w:val="-8"/>
          <w:w w:val="120"/>
          <w:sz w:val="20"/>
        </w:rPr>
        <w:t>(2012 </w:t>
      </w:r>
      <w:r>
        <w:rPr>
          <w:w w:val="120"/>
          <w:sz w:val="20"/>
        </w:rPr>
        <w:t>to </w:t>
      </w:r>
      <w:r>
        <w:rPr>
          <w:spacing w:val="-10"/>
          <w:w w:val="120"/>
          <w:sz w:val="20"/>
        </w:rPr>
        <w:t>2013) </w:t>
      </w:r>
      <w:r>
        <w:rPr>
          <w:w w:val="120"/>
          <w:sz w:val="20"/>
        </w:rPr>
        <w:t>now works as the sustainability engagement manager for the University of Gloucestershire. She saw her internship as a very positive and influential catalyst in the direction her career took. Ian Rowe </w:t>
      </w:r>
      <w:r>
        <w:rPr>
          <w:spacing w:val="-9"/>
          <w:w w:val="120"/>
          <w:sz w:val="20"/>
        </w:rPr>
        <w:t>(2013 </w:t>
      </w:r>
      <w:r>
        <w:rPr>
          <w:w w:val="120"/>
          <w:sz w:val="20"/>
        </w:rPr>
        <w:t>to </w:t>
      </w:r>
      <w:r>
        <w:rPr>
          <w:spacing w:val="-8"/>
          <w:w w:val="120"/>
          <w:sz w:val="20"/>
        </w:rPr>
        <w:t>2014) </w:t>
      </w:r>
      <w:r>
        <w:rPr>
          <w:w w:val="120"/>
          <w:sz w:val="20"/>
        </w:rPr>
        <w:t>volunteers with Christian </w:t>
      </w:r>
      <w:r>
        <w:rPr>
          <w:spacing w:val="-3"/>
          <w:w w:val="120"/>
          <w:sz w:val="20"/>
        </w:rPr>
        <w:t>Aid’s </w:t>
      </w:r>
      <w:r>
        <w:rPr>
          <w:w w:val="120"/>
          <w:sz w:val="20"/>
        </w:rPr>
        <w:t>South- East </w:t>
      </w:r>
      <w:r>
        <w:rPr>
          <w:spacing w:val="-3"/>
          <w:w w:val="120"/>
          <w:sz w:val="20"/>
        </w:rPr>
        <w:t>Team. </w:t>
      </w:r>
      <w:r>
        <w:rPr>
          <w:spacing w:val="-5"/>
          <w:w w:val="120"/>
          <w:sz w:val="20"/>
        </w:rPr>
        <w:t>Tom </w:t>
      </w:r>
      <w:r>
        <w:rPr>
          <w:w w:val="120"/>
          <w:sz w:val="20"/>
        </w:rPr>
        <w:t>Hackett </w:t>
      </w:r>
      <w:r>
        <w:rPr>
          <w:spacing w:val="-8"/>
          <w:w w:val="120"/>
          <w:sz w:val="20"/>
        </w:rPr>
        <w:t>(2014 </w:t>
      </w:r>
      <w:r>
        <w:rPr>
          <w:w w:val="120"/>
          <w:sz w:val="20"/>
        </w:rPr>
        <w:t>to </w:t>
      </w:r>
      <w:r>
        <w:rPr>
          <w:spacing w:val="-7"/>
          <w:w w:val="120"/>
          <w:sz w:val="20"/>
        </w:rPr>
        <w:t>2015) </w:t>
      </w:r>
      <w:r>
        <w:rPr>
          <w:w w:val="120"/>
          <w:sz w:val="20"/>
        </w:rPr>
        <w:t>is now a children and youth development officer in Southern Synod and Amelia Sutcliffe </w:t>
      </w:r>
      <w:r>
        <w:rPr>
          <w:spacing w:val="-8"/>
          <w:w w:val="120"/>
          <w:sz w:val="20"/>
        </w:rPr>
        <w:t>(2015 </w:t>
      </w:r>
      <w:r>
        <w:rPr>
          <w:w w:val="120"/>
          <w:sz w:val="20"/>
        </w:rPr>
        <w:t>to </w:t>
      </w:r>
      <w:r>
        <w:rPr>
          <w:spacing w:val="-6"/>
          <w:w w:val="120"/>
          <w:sz w:val="20"/>
        </w:rPr>
        <w:t>2016) </w:t>
      </w:r>
      <w:r>
        <w:rPr>
          <w:w w:val="120"/>
          <w:sz w:val="20"/>
        </w:rPr>
        <w:t>went on to study theology in New York, with thoughts of seeking ordination. We should be proud of all they have</w:t>
      </w:r>
      <w:r>
        <w:rPr>
          <w:spacing w:val="7"/>
          <w:w w:val="120"/>
          <w:sz w:val="20"/>
        </w:rPr>
        <w:t> </w:t>
      </w:r>
      <w:r>
        <w:rPr>
          <w:w w:val="120"/>
          <w:sz w:val="20"/>
        </w:rPr>
        <w:t>achieved.</w:t>
      </w:r>
    </w:p>
    <w:p>
      <w:pPr>
        <w:pStyle w:val="BodyText"/>
        <w:spacing w:before="4"/>
      </w:pPr>
    </w:p>
    <w:p>
      <w:pPr>
        <w:pStyle w:val="ListParagraph"/>
        <w:numPr>
          <w:ilvl w:val="1"/>
          <w:numId w:val="102"/>
        </w:numPr>
        <w:tabs>
          <w:tab w:pos="1507" w:val="left" w:leader="none"/>
          <w:tab w:pos="1508" w:val="left" w:leader="none"/>
        </w:tabs>
        <w:spacing w:line="235" w:lineRule="auto" w:before="0" w:after="0"/>
        <w:ind w:left="827" w:right="1615" w:hanging="1"/>
        <w:jc w:val="left"/>
        <w:rPr>
          <w:sz w:val="20"/>
        </w:rPr>
      </w:pPr>
      <w:r>
        <w:rPr>
          <w:w w:val="120"/>
          <w:sz w:val="20"/>
        </w:rPr>
        <w:t>Our</w:t>
      </w:r>
      <w:r>
        <w:rPr>
          <w:spacing w:val="-11"/>
          <w:w w:val="120"/>
          <w:sz w:val="20"/>
        </w:rPr>
        <w:t> </w:t>
      </w:r>
      <w:r>
        <w:rPr>
          <w:w w:val="120"/>
          <w:sz w:val="20"/>
        </w:rPr>
        <w:t>partner</w:t>
      </w:r>
      <w:r>
        <w:rPr>
          <w:spacing w:val="-11"/>
          <w:w w:val="120"/>
          <w:sz w:val="20"/>
        </w:rPr>
        <w:t> </w:t>
      </w:r>
      <w:r>
        <w:rPr>
          <w:spacing w:val="-3"/>
          <w:w w:val="120"/>
          <w:sz w:val="20"/>
        </w:rPr>
        <w:t>countries</w:t>
      </w:r>
      <w:r>
        <w:rPr>
          <w:spacing w:val="-10"/>
          <w:w w:val="120"/>
          <w:sz w:val="20"/>
        </w:rPr>
        <w:t> </w:t>
      </w:r>
      <w:r>
        <w:rPr>
          <w:w w:val="120"/>
          <w:sz w:val="20"/>
        </w:rPr>
        <w:t>of</w:t>
      </w:r>
      <w:r>
        <w:rPr>
          <w:spacing w:val="-11"/>
          <w:w w:val="120"/>
          <w:sz w:val="20"/>
        </w:rPr>
        <w:t> </w:t>
      </w:r>
      <w:r>
        <w:rPr>
          <w:w w:val="120"/>
          <w:sz w:val="20"/>
        </w:rPr>
        <w:t>Bangladesh,</w:t>
      </w:r>
      <w:r>
        <w:rPr>
          <w:spacing w:val="-11"/>
          <w:w w:val="120"/>
          <w:sz w:val="20"/>
        </w:rPr>
        <w:t> </w:t>
      </w:r>
      <w:r>
        <w:rPr>
          <w:w w:val="120"/>
          <w:sz w:val="20"/>
        </w:rPr>
        <w:t>Honduras,</w:t>
      </w:r>
      <w:r>
        <w:rPr>
          <w:spacing w:val="-10"/>
          <w:w w:val="120"/>
          <w:sz w:val="20"/>
        </w:rPr>
        <w:t> </w:t>
      </w:r>
      <w:r>
        <w:rPr>
          <w:w w:val="120"/>
          <w:sz w:val="20"/>
        </w:rPr>
        <w:t>El</w:t>
      </w:r>
      <w:r>
        <w:rPr>
          <w:spacing w:val="-11"/>
          <w:w w:val="120"/>
          <w:sz w:val="20"/>
        </w:rPr>
        <w:t> </w:t>
      </w:r>
      <w:r>
        <w:rPr>
          <w:spacing w:val="-3"/>
          <w:w w:val="120"/>
          <w:sz w:val="20"/>
        </w:rPr>
        <w:t>Salvador,</w:t>
      </w:r>
      <w:r>
        <w:rPr>
          <w:spacing w:val="-10"/>
          <w:w w:val="120"/>
          <w:sz w:val="20"/>
        </w:rPr>
        <w:t> </w:t>
      </w:r>
      <w:r>
        <w:rPr>
          <w:spacing w:val="-3"/>
          <w:w w:val="120"/>
          <w:sz w:val="20"/>
        </w:rPr>
        <w:t>Guatemala,</w:t>
      </w:r>
      <w:r>
        <w:rPr>
          <w:spacing w:val="-11"/>
          <w:w w:val="120"/>
          <w:sz w:val="20"/>
        </w:rPr>
        <w:t> </w:t>
      </w:r>
      <w:r>
        <w:rPr>
          <w:w w:val="120"/>
          <w:sz w:val="20"/>
        </w:rPr>
        <w:t>Nicaragua, Israel and the </w:t>
      </w:r>
      <w:r>
        <w:rPr>
          <w:spacing w:val="-3"/>
          <w:w w:val="120"/>
          <w:sz w:val="20"/>
        </w:rPr>
        <w:t>occupied </w:t>
      </w:r>
      <w:r>
        <w:rPr>
          <w:w w:val="120"/>
          <w:sz w:val="20"/>
        </w:rPr>
        <w:t>Palestinian territory (IOPT) and </w:t>
      </w:r>
      <w:r>
        <w:rPr>
          <w:spacing w:val="-3"/>
          <w:w w:val="120"/>
          <w:sz w:val="20"/>
        </w:rPr>
        <w:t>Zimbabwe </w:t>
      </w:r>
      <w:r>
        <w:rPr>
          <w:w w:val="120"/>
          <w:sz w:val="20"/>
        </w:rPr>
        <w:t>all </w:t>
      </w:r>
      <w:r>
        <w:rPr>
          <w:spacing w:val="-3"/>
          <w:w w:val="120"/>
          <w:sz w:val="20"/>
        </w:rPr>
        <w:t>continue to  </w:t>
      </w:r>
      <w:r>
        <w:rPr>
          <w:w w:val="120"/>
          <w:sz w:val="20"/>
        </w:rPr>
        <w:t>struggle with </w:t>
      </w:r>
      <w:r>
        <w:rPr>
          <w:spacing w:val="-3"/>
          <w:w w:val="120"/>
          <w:sz w:val="20"/>
        </w:rPr>
        <w:t>environmental </w:t>
      </w:r>
      <w:r>
        <w:rPr>
          <w:w w:val="120"/>
          <w:sz w:val="20"/>
        </w:rPr>
        <w:t>and political </w:t>
      </w:r>
      <w:r>
        <w:rPr>
          <w:spacing w:val="-3"/>
          <w:w w:val="120"/>
          <w:sz w:val="20"/>
        </w:rPr>
        <w:t>concerns </w:t>
      </w:r>
      <w:r>
        <w:rPr>
          <w:w w:val="120"/>
          <w:sz w:val="20"/>
        </w:rPr>
        <w:t>that affect </w:t>
      </w:r>
      <w:r>
        <w:rPr>
          <w:spacing w:val="-3"/>
          <w:w w:val="120"/>
          <w:sz w:val="20"/>
        </w:rPr>
        <w:t>those </w:t>
      </w:r>
      <w:r>
        <w:rPr>
          <w:w w:val="120"/>
          <w:sz w:val="20"/>
        </w:rPr>
        <w:t>living with</w:t>
      </w:r>
      <w:r>
        <w:rPr>
          <w:spacing w:val="-16"/>
          <w:w w:val="120"/>
          <w:sz w:val="20"/>
        </w:rPr>
        <w:t> </w:t>
      </w:r>
      <w:r>
        <w:rPr>
          <w:w w:val="120"/>
          <w:sz w:val="20"/>
        </w:rPr>
        <w:t>poverty.</w:t>
      </w:r>
    </w:p>
    <w:p>
      <w:pPr>
        <w:pStyle w:val="BodyText"/>
        <w:spacing w:before="10"/>
        <w:rPr>
          <w:sz w:val="19"/>
        </w:rPr>
      </w:pPr>
    </w:p>
    <w:p>
      <w:pPr>
        <w:pStyle w:val="ListParagraph"/>
        <w:numPr>
          <w:ilvl w:val="2"/>
          <w:numId w:val="102"/>
        </w:numPr>
        <w:tabs>
          <w:tab w:pos="1508" w:val="left" w:leader="none"/>
        </w:tabs>
        <w:spacing w:line="235" w:lineRule="auto" w:before="0" w:after="0"/>
        <w:ind w:left="1507" w:right="1640" w:hanging="681"/>
        <w:jc w:val="left"/>
        <w:rPr>
          <w:sz w:val="20"/>
        </w:rPr>
      </w:pPr>
      <w:r>
        <w:rPr>
          <w:w w:val="120"/>
          <w:sz w:val="20"/>
        </w:rPr>
        <w:t>Christian Aid partners in Bangladesh are focusing on resilience, climate change, inclusion and market and humanitarian responses. Christian Aid is the site manager for the Jamtoli Camp, and with over 650,000 Rohingya refugees fleeing Myanmar and seeking safety in camps, this is a huge</w:t>
      </w:r>
      <w:r>
        <w:rPr>
          <w:spacing w:val="18"/>
          <w:w w:val="120"/>
          <w:sz w:val="20"/>
        </w:rPr>
        <w:t> </w:t>
      </w:r>
      <w:r>
        <w:rPr>
          <w:w w:val="120"/>
          <w:sz w:val="20"/>
        </w:rPr>
        <w:t>responsibility.</w:t>
      </w:r>
    </w:p>
    <w:p>
      <w:pPr>
        <w:pStyle w:val="BodyText"/>
        <w:spacing w:before="11"/>
        <w:rPr>
          <w:sz w:val="19"/>
        </w:rPr>
      </w:pPr>
    </w:p>
    <w:p>
      <w:pPr>
        <w:pStyle w:val="ListParagraph"/>
        <w:numPr>
          <w:ilvl w:val="2"/>
          <w:numId w:val="102"/>
        </w:numPr>
        <w:tabs>
          <w:tab w:pos="1508" w:val="left" w:leader="none"/>
        </w:tabs>
        <w:spacing w:line="235" w:lineRule="auto" w:before="0" w:after="0"/>
        <w:ind w:left="1507" w:right="1615" w:hanging="681"/>
        <w:jc w:val="left"/>
        <w:rPr>
          <w:sz w:val="20"/>
        </w:rPr>
      </w:pPr>
      <w:r>
        <w:rPr>
          <w:w w:val="120"/>
          <w:sz w:val="20"/>
        </w:rPr>
        <w:t>Recent news of the </w:t>
      </w:r>
      <w:r>
        <w:rPr>
          <w:spacing w:val="-3"/>
          <w:w w:val="120"/>
          <w:sz w:val="20"/>
        </w:rPr>
        <w:t>Trump </w:t>
      </w:r>
      <w:r>
        <w:rPr>
          <w:w w:val="120"/>
          <w:sz w:val="20"/>
        </w:rPr>
        <w:t>administration not being sympathetic to Central American countries or people will have implications for the work of non- governmental organisations. Projects continue on political transparency, tackling gender violence, inclusive markets, resilience in the face of climate change and reforming</w:t>
      </w:r>
      <w:r>
        <w:rPr>
          <w:spacing w:val="2"/>
          <w:w w:val="120"/>
          <w:sz w:val="20"/>
        </w:rPr>
        <w:t> </w:t>
      </w:r>
      <w:r>
        <w:rPr>
          <w:w w:val="120"/>
          <w:sz w:val="20"/>
        </w:rPr>
        <w:t>institutions.</w:t>
      </w:r>
    </w:p>
    <w:p>
      <w:pPr>
        <w:pStyle w:val="BodyText"/>
        <w:spacing w:before="11"/>
        <w:rPr>
          <w:sz w:val="19"/>
        </w:rPr>
      </w:pPr>
    </w:p>
    <w:p>
      <w:pPr>
        <w:pStyle w:val="ListParagraph"/>
        <w:numPr>
          <w:ilvl w:val="2"/>
          <w:numId w:val="102"/>
        </w:numPr>
        <w:tabs>
          <w:tab w:pos="1508" w:val="left" w:leader="none"/>
        </w:tabs>
        <w:spacing w:line="235" w:lineRule="auto" w:before="1" w:after="0"/>
        <w:ind w:left="1507" w:right="1658" w:hanging="681"/>
        <w:jc w:val="left"/>
        <w:rPr>
          <w:sz w:val="20"/>
        </w:rPr>
      </w:pPr>
      <w:r>
        <w:rPr>
          <w:w w:val="120"/>
          <w:sz w:val="20"/>
        </w:rPr>
        <w:t>The conditions in IOPT continue to deteriorate. Christian </w:t>
      </w:r>
      <w:r>
        <w:rPr>
          <w:spacing w:val="-3"/>
          <w:w w:val="120"/>
          <w:sz w:val="20"/>
        </w:rPr>
        <w:t>Aid’s </w:t>
      </w:r>
      <w:r>
        <w:rPr>
          <w:w w:val="120"/>
          <w:sz w:val="20"/>
        </w:rPr>
        <w:t>work focuses on the issues common across the region, which include displacement, livelihoods (particularly for young people) and the need to tackle violence and build peace. Advocacy is fundamental to their work in IOPT, and they are unequivocal in their support for the rights of all Palestinians and Israelis to live safely and securely, and for a viable, sustainable peace based on accountability and justice for all, guided by international</w:t>
      </w:r>
      <w:r>
        <w:rPr>
          <w:spacing w:val="7"/>
          <w:w w:val="120"/>
          <w:sz w:val="20"/>
        </w:rPr>
        <w:t> </w:t>
      </w:r>
      <w:r>
        <w:rPr>
          <w:spacing w:val="-3"/>
          <w:w w:val="120"/>
          <w:sz w:val="20"/>
        </w:rPr>
        <w:t>law.</w:t>
      </w:r>
    </w:p>
    <w:p>
      <w:pPr>
        <w:spacing w:after="0" w:line="235" w:lineRule="auto"/>
        <w:jc w:val="left"/>
        <w:rPr>
          <w:sz w:val="20"/>
        </w:rPr>
        <w:sectPr>
          <w:headerReference w:type="even" r:id="rId395"/>
          <w:pgSz w:w="11910" w:h="16840"/>
          <w:pgMar w:header="0" w:footer="647" w:top="0" w:bottom="840" w:left="420" w:right="380"/>
        </w:sectPr>
      </w:pPr>
    </w:p>
    <w:p>
      <w:pPr>
        <w:pStyle w:val="BodyText"/>
      </w:pPr>
      <w:r>
        <w:rPr/>
        <w:drawing>
          <wp:anchor distT="0" distB="0" distL="0" distR="0" allowOverlap="1" layoutInCell="1" locked="0" behindDoc="0" simplePos="0" relativeHeight="252039168">
            <wp:simplePos x="0" y="0"/>
            <wp:positionH relativeFrom="page">
              <wp:posOffset>6974928</wp:posOffset>
            </wp:positionH>
            <wp:positionV relativeFrom="page">
              <wp:posOffset>0</wp:posOffset>
            </wp:positionV>
            <wp:extent cx="585063" cy="10692003"/>
            <wp:effectExtent l="0" t="0" r="0" b="0"/>
            <wp:wrapNone/>
            <wp:docPr id="279" name="image57.png"/>
            <wp:cNvGraphicFramePr>
              <a:graphicFrameLocks noChangeAspect="1"/>
            </wp:cNvGraphicFramePr>
            <a:graphic>
              <a:graphicData uri="http://schemas.openxmlformats.org/drawingml/2006/picture">
                <pic:pic>
                  <pic:nvPicPr>
                    <pic:cNvPr id="28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40192"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2"/>
          <w:numId w:val="102"/>
        </w:numPr>
        <w:tabs>
          <w:tab w:pos="2245" w:val="left" w:leader="none"/>
        </w:tabs>
        <w:spacing w:line="235" w:lineRule="auto" w:before="222" w:after="0"/>
        <w:ind w:left="2244" w:right="1046" w:hanging="681"/>
        <w:jc w:val="left"/>
        <w:rPr>
          <w:sz w:val="20"/>
        </w:rPr>
      </w:pPr>
      <w:r>
        <w:rPr>
          <w:w w:val="120"/>
          <w:sz w:val="20"/>
        </w:rPr>
        <w:t>The political changes in Zimbabwe have been significant in the last few months and have raised a number of challenges for Christian </w:t>
      </w:r>
      <w:r>
        <w:rPr>
          <w:spacing w:val="-3"/>
          <w:w w:val="120"/>
          <w:sz w:val="20"/>
        </w:rPr>
        <w:t>Aid’s </w:t>
      </w:r>
      <w:r>
        <w:rPr>
          <w:w w:val="120"/>
          <w:sz w:val="20"/>
        </w:rPr>
        <w:t>work there. During the few days of the coup in November </w:t>
      </w:r>
      <w:r>
        <w:rPr>
          <w:spacing w:val="-12"/>
          <w:w w:val="120"/>
          <w:sz w:val="20"/>
        </w:rPr>
        <w:t>2017, </w:t>
      </w:r>
      <w:r>
        <w:rPr>
          <w:w w:val="120"/>
          <w:sz w:val="20"/>
        </w:rPr>
        <w:t>Christian Aid programmes were suspended due to the uprising. However, work now continues as normal on household resilience and strengthening livelihoods. Advocacy work on gender has been very successful with more training through</w:t>
      </w:r>
      <w:r>
        <w:rPr>
          <w:spacing w:val="25"/>
          <w:w w:val="120"/>
          <w:sz w:val="20"/>
        </w:rPr>
        <w:t> </w:t>
      </w:r>
      <w:r>
        <w:rPr>
          <w:w w:val="120"/>
          <w:sz w:val="20"/>
        </w:rPr>
        <w:t>churches.</w:t>
      </w:r>
    </w:p>
    <w:p>
      <w:pPr>
        <w:pStyle w:val="BodyText"/>
      </w:pPr>
    </w:p>
    <w:p>
      <w:pPr>
        <w:pStyle w:val="ListParagraph"/>
        <w:numPr>
          <w:ilvl w:val="1"/>
          <w:numId w:val="102"/>
        </w:numPr>
        <w:tabs>
          <w:tab w:pos="2244" w:val="left" w:leader="none"/>
          <w:tab w:pos="2245" w:val="left" w:leader="none"/>
        </w:tabs>
        <w:spacing w:line="235" w:lineRule="auto" w:before="0" w:after="0"/>
        <w:ind w:left="1564" w:right="877" w:firstLine="0"/>
        <w:jc w:val="left"/>
        <w:rPr>
          <w:sz w:val="20"/>
        </w:rPr>
      </w:pPr>
      <w:r>
        <w:rPr>
          <w:w w:val="120"/>
          <w:sz w:val="20"/>
        </w:rPr>
        <w:t>The usual yearly cycle of mailings, finance, thank-you letters, database updating and providing useful educational and worship resources continues. The website (</w:t>
      </w:r>
      <w:hyperlink r:id="rId399">
        <w:r>
          <w:rPr>
            <w:color w:val="006AB3"/>
            <w:w w:val="120"/>
            <w:sz w:val="20"/>
          </w:rPr>
          <w:t>www.urc.org.uk/our-work/commitment-for-life.html</w:t>
        </w:r>
        <w:r>
          <w:rPr>
            <w:w w:val="120"/>
            <w:sz w:val="20"/>
          </w:rPr>
          <w:t>) </w:t>
        </w:r>
      </w:hyperlink>
      <w:r>
        <w:rPr>
          <w:w w:val="120"/>
          <w:sz w:val="20"/>
        </w:rPr>
        <w:t>offers information and inspiration for churches. Campaigns and events are publicised, together with resources which are available to download and</w:t>
      </w:r>
      <w:r>
        <w:rPr>
          <w:spacing w:val="9"/>
          <w:w w:val="120"/>
          <w:sz w:val="20"/>
        </w:rPr>
        <w:t> </w:t>
      </w:r>
      <w:r>
        <w:rPr>
          <w:w w:val="120"/>
          <w:sz w:val="20"/>
        </w:rPr>
        <w:t>print.</w:t>
      </w:r>
    </w:p>
    <w:p>
      <w:pPr>
        <w:pStyle w:val="BodyText"/>
        <w:spacing w:before="11"/>
        <w:rPr>
          <w:sz w:val="19"/>
        </w:rPr>
      </w:pPr>
    </w:p>
    <w:p>
      <w:pPr>
        <w:pStyle w:val="ListParagraph"/>
        <w:numPr>
          <w:ilvl w:val="1"/>
          <w:numId w:val="102"/>
        </w:numPr>
        <w:tabs>
          <w:tab w:pos="2244" w:val="left" w:leader="none"/>
          <w:tab w:pos="2245" w:val="left" w:leader="none"/>
        </w:tabs>
        <w:spacing w:line="235" w:lineRule="auto" w:before="1" w:after="0"/>
        <w:ind w:left="1564" w:right="988" w:firstLine="0"/>
        <w:jc w:val="left"/>
        <w:rPr>
          <w:sz w:val="20"/>
        </w:rPr>
      </w:pPr>
      <w:r>
        <w:rPr>
          <w:w w:val="120"/>
          <w:sz w:val="20"/>
        </w:rPr>
        <w:t>Commitment for Life is </w:t>
      </w:r>
      <w:r>
        <w:rPr>
          <w:spacing w:val="2"/>
          <w:w w:val="120"/>
          <w:sz w:val="20"/>
        </w:rPr>
        <w:t>part </w:t>
      </w:r>
      <w:r>
        <w:rPr>
          <w:w w:val="120"/>
          <w:sz w:val="20"/>
        </w:rPr>
        <w:t>of the Stop Climate Chaos Coalition. We have become an associate of the Jubilee Debt Campaign and remain a stakeholder for the Fairtrade Foundation. We publicised the ‘Show the Love’ campaign, encouraging people to think about what would be lost with rising sea levels and changing climates. Christian </w:t>
      </w:r>
      <w:r>
        <w:rPr>
          <w:spacing w:val="-3"/>
          <w:w w:val="120"/>
          <w:sz w:val="20"/>
        </w:rPr>
        <w:t>Aid’s </w:t>
      </w:r>
      <w:r>
        <w:rPr>
          <w:w w:val="120"/>
          <w:sz w:val="20"/>
        </w:rPr>
        <w:t>‘Big Shift’ campaign saw much activity in </w:t>
      </w:r>
      <w:r>
        <w:rPr>
          <w:spacing w:val="-9"/>
          <w:w w:val="120"/>
          <w:sz w:val="20"/>
        </w:rPr>
        <w:t>2017 </w:t>
      </w:r>
      <w:r>
        <w:rPr>
          <w:w w:val="120"/>
          <w:sz w:val="20"/>
        </w:rPr>
        <w:t>with over 20,000 people taking action, including visiting local bank branches to take the campaign directly to them. Future work will include research to find examples of banks’ funding new coal power plants in South East</w:t>
      </w:r>
      <w:r>
        <w:rPr>
          <w:spacing w:val="10"/>
          <w:w w:val="120"/>
          <w:sz w:val="20"/>
        </w:rPr>
        <w:t> </w:t>
      </w:r>
      <w:r>
        <w:rPr>
          <w:w w:val="120"/>
          <w:sz w:val="20"/>
        </w:rPr>
        <w:t>Asia.</w:t>
      </w:r>
    </w:p>
    <w:p>
      <w:pPr>
        <w:pStyle w:val="BodyText"/>
        <w:spacing w:before="1"/>
      </w:pPr>
    </w:p>
    <w:p>
      <w:pPr>
        <w:pStyle w:val="ListParagraph"/>
        <w:numPr>
          <w:ilvl w:val="1"/>
          <w:numId w:val="102"/>
        </w:numPr>
        <w:tabs>
          <w:tab w:pos="2244" w:val="left" w:leader="none"/>
          <w:tab w:pos="2245" w:val="left" w:leader="none"/>
        </w:tabs>
        <w:spacing w:line="235" w:lineRule="auto" w:before="0" w:after="0"/>
        <w:ind w:left="1564" w:right="1368" w:firstLine="0"/>
        <w:jc w:val="left"/>
        <w:rPr>
          <w:sz w:val="20"/>
        </w:rPr>
      </w:pPr>
      <w:r>
        <w:rPr>
          <w:w w:val="120"/>
          <w:sz w:val="20"/>
        </w:rPr>
        <w:t>Global Justice Now’s campaign for migrants’ rights has taken a grassroots approach to tackling discrimination and challenging the hostile environment that has</w:t>
      </w:r>
      <w:r>
        <w:rPr>
          <w:spacing w:val="4"/>
          <w:w w:val="120"/>
          <w:sz w:val="20"/>
        </w:rPr>
        <w:t> </w:t>
      </w:r>
      <w:r>
        <w:rPr>
          <w:w w:val="120"/>
          <w:sz w:val="20"/>
        </w:rPr>
        <w:t>been</w:t>
      </w:r>
      <w:r>
        <w:rPr>
          <w:spacing w:val="4"/>
          <w:w w:val="120"/>
          <w:sz w:val="20"/>
        </w:rPr>
        <w:t> </w:t>
      </w:r>
      <w:r>
        <w:rPr>
          <w:w w:val="120"/>
          <w:sz w:val="20"/>
        </w:rPr>
        <w:t>created</w:t>
      </w:r>
      <w:r>
        <w:rPr>
          <w:spacing w:val="4"/>
          <w:w w:val="120"/>
          <w:sz w:val="20"/>
        </w:rPr>
        <w:t> </w:t>
      </w:r>
      <w:r>
        <w:rPr>
          <w:w w:val="120"/>
          <w:sz w:val="20"/>
        </w:rPr>
        <w:t>for</w:t>
      </w:r>
      <w:r>
        <w:rPr>
          <w:spacing w:val="5"/>
          <w:w w:val="120"/>
          <w:sz w:val="20"/>
        </w:rPr>
        <w:t> </w:t>
      </w:r>
      <w:r>
        <w:rPr>
          <w:w w:val="120"/>
          <w:sz w:val="20"/>
        </w:rPr>
        <w:t>migrants</w:t>
      </w:r>
      <w:r>
        <w:rPr>
          <w:spacing w:val="4"/>
          <w:w w:val="120"/>
          <w:sz w:val="20"/>
        </w:rPr>
        <w:t> </w:t>
      </w:r>
      <w:r>
        <w:rPr>
          <w:w w:val="120"/>
          <w:sz w:val="20"/>
        </w:rPr>
        <w:t>and</w:t>
      </w:r>
      <w:r>
        <w:rPr>
          <w:spacing w:val="4"/>
          <w:w w:val="120"/>
          <w:sz w:val="20"/>
        </w:rPr>
        <w:t> </w:t>
      </w:r>
      <w:r>
        <w:rPr>
          <w:w w:val="120"/>
          <w:sz w:val="20"/>
        </w:rPr>
        <w:t>refugees</w:t>
      </w:r>
      <w:r>
        <w:rPr>
          <w:spacing w:val="5"/>
          <w:w w:val="120"/>
          <w:sz w:val="20"/>
        </w:rPr>
        <w:t> </w:t>
      </w:r>
      <w:r>
        <w:rPr>
          <w:w w:val="120"/>
          <w:sz w:val="20"/>
        </w:rPr>
        <w:t>in</w:t>
      </w:r>
      <w:r>
        <w:rPr>
          <w:spacing w:val="4"/>
          <w:w w:val="120"/>
          <w:sz w:val="20"/>
        </w:rPr>
        <w:t> </w:t>
      </w:r>
      <w:r>
        <w:rPr>
          <w:w w:val="120"/>
          <w:sz w:val="20"/>
        </w:rPr>
        <w:t>the</w:t>
      </w:r>
      <w:r>
        <w:rPr>
          <w:spacing w:val="4"/>
          <w:w w:val="120"/>
          <w:sz w:val="20"/>
        </w:rPr>
        <w:t> </w:t>
      </w:r>
      <w:r>
        <w:rPr>
          <w:spacing w:val="2"/>
          <w:w w:val="120"/>
          <w:sz w:val="20"/>
        </w:rPr>
        <w:t>UK.</w:t>
      </w:r>
      <w:r>
        <w:rPr>
          <w:spacing w:val="5"/>
          <w:w w:val="120"/>
          <w:sz w:val="20"/>
        </w:rPr>
        <w:t> </w:t>
      </w:r>
      <w:r>
        <w:rPr>
          <w:w w:val="120"/>
          <w:sz w:val="20"/>
        </w:rPr>
        <w:t>Early</w:t>
      </w:r>
      <w:r>
        <w:rPr>
          <w:spacing w:val="4"/>
          <w:w w:val="120"/>
          <w:sz w:val="20"/>
        </w:rPr>
        <w:t> </w:t>
      </w:r>
      <w:r>
        <w:rPr>
          <w:spacing w:val="-9"/>
          <w:w w:val="120"/>
          <w:sz w:val="20"/>
        </w:rPr>
        <w:t>2017</w:t>
      </w:r>
      <w:r>
        <w:rPr>
          <w:spacing w:val="4"/>
          <w:w w:val="120"/>
          <w:sz w:val="20"/>
        </w:rPr>
        <w:t> </w:t>
      </w:r>
      <w:r>
        <w:rPr>
          <w:w w:val="120"/>
          <w:sz w:val="20"/>
        </w:rPr>
        <w:t>saw</w:t>
      </w:r>
      <w:r>
        <w:rPr>
          <w:spacing w:val="4"/>
          <w:w w:val="120"/>
          <w:sz w:val="20"/>
        </w:rPr>
        <w:t> </w:t>
      </w:r>
      <w:r>
        <w:rPr>
          <w:w w:val="120"/>
          <w:sz w:val="20"/>
        </w:rPr>
        <w:t>a</w:t>
      </w:r>
      <w:r>
        <w:rPr>
          <w:spacing w:val="5"/>
          <w:w w:val="120"/>
          <w:sz w:val="20"/>
        </w:rPr>
        <w:t> </w:t>
      </w:r>
      <w:r>
        <w:rPr>
          <w:w w:val="120"/>
          <w:sz w:val="20"/>
        </w:rPr>
        <w:t>push</w:t>
      </w:r>
      <w:r>
        <w:rPr>
          <w:spacing w:val="4"/>
          <w:w w:val="120"/>
          <w:sz w:val="20"/>
        </w:rPr>
        <w:t> </w:t>
      </w:r>
      <w:r>
        <w:rPr>
          <w:w w:val="120"/>
          <w:sz w:val="20"/>
        </w:rPr>
        <w:t>to</w:t>
      </w:r>
      <w:r>
        <w:rPr>
          <w:spacing w:val="4"/>
          <w:w w:val="120"/>
          <w:sz w:val="20"/>
        </w:rPr>
        <w:t> </w:t>
      </w:r>
      <w:r>
        <w:rPr>
          <w:w w:val="120"/>
          <w:sz w:val="20"/>
        </w:rPr>
        <w:t>get</w:t>
      </w:r>
    </w:p>
    <w:p>
      <w:pPr>
        <w:pStyle w:val="BodyText"/>
        <w:spacing w:line="235" w:lineRule="auto" w:before="2"/>
        <w:ind w:left="1564" w:right="923"/>
      </w:pPr>
      <w:r>
        <w:rPr>
          <w:w w:val="120"/>
        </w:rPr>
        <w:t>Marks &amp; Spencer to drop its advertising in the </w:t>
      </w:r>
      <w:r>
        <w:rPr>
          <w:i/>
          <w:w w:val="120"/>
        </w:rPr>
        <w:t>Daily Mail</w:t>
      </w:r>
      <w:r>
        <w:rPr>
          <w:w w:val="120"/>
        </w:rPr>
        <w:t>. They also launched an action on the wider problem of anti-migrant propaganda in the media. Resources for these campaigns were sent to Commitment for Life churches.</w:t>
      </w:r>
    </w:p>
    <w:p>
      <w:pPr>
        <w:pStyle w:val="BodyText"/>
        <w:spacing w:before="10"/>
        <w:rPr>
          <w:sz w:val="19"/>
        </w:rPr>
      </w:pPr>
    </w:p>
    <w:p>
      <w:pPr>
        <w:pStyle w:val="ListParagraph"/>
        <w:numPr>
          <w:ilvl w:val="1"/>
          <w:numId w:val="102"/>
        </w:numPr>
        <w:tabs>
          <w:tab w:pos="2244" w:val="left" w:leader="none"/>
          <w:tab w:pos="2245" w:val="left" w:leader="none"/>
        </w:tabs>
        <w:spacing w:line="235" w:lineRule="auto" w:before="0" w:after="0"/>
        <w:ind w:left="1564" w:right="1231" w:firstLine="0"/>
        <w:jc w:val="left"/>
        <w:rPr>
          <w:sz w:val="20"/>
        </w:rPr>
      </w:pPr>
      <w:r>
        <w:rPr>
          <w:w w:val="120"/>
          <w:sz w:val="20"/>
        </w:rPr>
        <w:t>Other ecumenical work has included being </w:t>
      </w:r>
      <w:r>
        <w:rPr>
          <w:spacing w:val="2"/>
          <w:w w:val="120"/>
          <w:sz w:val="20"/>
        </w:rPr>
        <w:t>part </w:t>
      </w:r>
      <w:r>
        <w:rPr>
          <w:w w:val="120"/>
          <w:sz w:val="20"/>
        </w:rPr>
        <w:t>of the planning group for   One</w:t>
      </w:r>
      <w:r>
        <w:rPr>
          <w:spacing w:val="-4"/>
          <w:w w:val="120"/>
          <w:sz w:val="20"/>
        </w:rPr>
        <w:t> </w:t>
      </w:r>
      <w:r>
        <w:rPr>
          <w:w w:val="120"/>
          <w:sz w:val="20"/>
        </w:rPr>
        <w:t>World</w:t>
      </w:r>
      <w:r>
        <w:rPr>
          <w:spacing w:val="-3"/>
          <w:w w:val="120"/>
          <w:sz w:val="20"/>
        </w:rPr>
        <w:t> </w:t>
      </w:r>
      <w:r>
        <w:rPr>
          <w:w w:val="120"/>
          <w:sz w:val="20"/>
        </w:rPr>
        <w:t>Week</w:t>
      </w:r>
      <w:r>
        <w:rPr>
          <w:spacing w:val="-4"/>
          <w:w w:val="120"/>
          <w:sz w:val="20"/>
        </w:rPr>
        <w:t> </w:t>
      </w:r>
      <w:r>
        <w:rPr>
          <w:w w:val="120"/>
          <w:sz w:val="20"/>
        </w:rPr>
        <w:t>and</w:t>
      </w:r>
      <w:r>
        <w:rPr>
          <w:spacing w:val="-3"/>
          <w:w w:val="120"/>
          <w:sz w:val="20"/>
        </w:rPr>
        <w:t> </w:t>
      </w:r>
      <w:r>
        <w:rPr>
          <w:w w:val="120"/>
          <w:sz w:val="20"/>
        </w:rPr>
        <w:t>the</w:t>
      </w:r>
      <w:r>
        <w:rPr>
          <w:spacing w:val="-3"/>
          <w:w w:val="120"/>
          <w:sz w:val="20"/>
        </w:rPr>
        <w:t> </w:t>
      </w:r>
      <w:r>
        <w:rPr>
          <w:w w:val="120"/>
          <w:sz w:val="20"/>
        </w:rPr>
        <w:t>World</w:t>
      </w:r>
      <w:r>
        <w:rPr>
          <w:spacing w:val="-4"/>
          <w:w w:val="120"/>
          <w:sz w:val="20"/>
        </w:rPr>
        <w:t> </w:t>
      </w:r>
      <w:r>
        <w:rPr>
          <w:w w:val="120"/>
          <w:sz w:val="20"/>
        </w:rPr>
        <w:t>Week</w:t>
      </w:r>
      <w:r>
        <w:rPr>
          <w:spacing w:val="-3"/>
          <w:w w:val="120"/>
          <w:sz w:val="20"/>
        </w:rPr>
        <w:t> </w:t>
      </w:r>
      <w:r>
        <w:rPr>
          <w:w w:val="120"/>
          <w:sz w:val="20"/>
        </w:rPr>
        <w:t>for</w:t>
      </w:r>
      <w:r>
        <w:rPr>
          <w:spacing w:val="-4"/>
          <w:w w:val="120"/>
          <w:sz w:val="20"/>
        </w:rPr>
        <w:t> </w:t>
      </w:r>
      <w:r>
        <w:rPr>
          <w:w w:val="120"/>
          <w:sz w:val="20"/>
        </w:rPr>
        <w:t>Peace</w:t>
      </w:r>
      <w:r>
        <w:rPr>
          <w:spacing w:val="-3"/>
          <w:w w:val="120"/>
          <w:sz w:val="20"/>
        </w:rPr>
        <w:t> </w:t>
      </w:r>
      <w:r>
        <w:rPr>
          <w:w w:val="120"/>
          <w:sz w:val="20"/>
        </w:rPr>
        <w:t>in</w:t>
      </w:r>
      <w:r>
        <w:rPr>
          <w:spacing w:val="-3"/>
          <w:w w:val="120"/>
          <w:sz w:val="20"/>
        </w:rPr>
        <w:t> </w:t>
      </w:r>
      <w:r>
        <w:rPr>
          <w:w w:val="120"/>
          <w:sz w:val="20"/>
        </w:rPr>
        <w:t>Palestine</w:t>
      </w:r>
      <w:r>
        <w:rPr>
          <w:spacing w:val="-4"/>
          <w:w w:val="120"/>
          <w:sz w:val="20"/>
        </w:rPr>
        <w:t> </w:t>
      </w:r>
      <w:r>
        <w:rPr>
          <w:w w:val="120"/>
          <w:sz w:val="20"/>
        </w:rPr>
        <w:t>and</w:t>
      </w:r>
      <w:r>
        <w:rPr>
          <w:spacing w:val="-3"/>
          <w:w w:val="120"/>
          <w:sz w:val="20"/>
        </w:rPr>
        <w:t> </w:t>
      </w:r>
      <w:r>
        <w:rPr>
          <w:w w:val="120"/>
          <w:sz w:val="20"/>
        </w:rPr>
        <w:t>Israel,</w:t>
      </w:r>
      <w:r>
        <w:rPr>
          <w:spacing w:val="-3"/>
          <w:w w:val="120"/>
          <w:sz w:val="20"/>
        </w:rPr>
        <w:t> </w:t>
      </w:r>
      <w:r>
        <w:rPr>
          <w:w w:val="120"/>
          <w:sz w:val="20"/>
        </w:rPr>
        <w:t>as</w:t>
      </w:r>
      <w:r>
        <w:rPr>
          <w:spacing w:val="-4"/>
          <w:w w:val="120"/>
          <w:sz w:val="20"/>
        </w:rPr>
        <w:t> </w:t>
      </w:r>
      <w:r>
        <w:rPr>
          <w:spacing w:val="2"/>
          <w:w w:val="120"/>
          <w:sz w:val="20"/>
        </w:rPr>
        <w:t>part</w:t>
      </w:r>
      <w:r>
        <w:rPr>
          <w:spacing w:val="-3"/>
          <w:w w:val="120"/>
          <w:sz w:val="20"/>
        </w:rPr>
        <w:t> </w:t>
      </w:r>
      <w:r>
        <w:rPr>
          <w:w w:val="120"/>
          <w:sz w:val="20"/>
        </w:rPr>
        <w:t>of</w:t>
      </w:r>
      <w:r>
        <w:rPr>
          <w:spacing w:val="-4"/>
          <w:w w:val="120"/>
          <w:sz w:val="20"/>
        </w:rPr>
        <w:t> </w:t>
      </w:r>
      <w:r>
        <w:rPr>
          <w:w w:val="120"/>
          <w:sz w:val="20"/>
        </w:rPr>
        <w:t>the World Council of Churches</w:t>
      </w:r>
      <w:r>
        <w:rPr>
          <w:spacing w:val="9"/>
          <w:w w:val="120"/>
          <w:sz w:val="20"/>
        </w:rPr>
        <w:t> </w:t>
      </w:r>
      <w:r>
        <w:rPr>
          <w:w w:val="120"/>
          <w:sz w:val="20"/>
        </w:rPr>
        <w:t>initiative.</w:t>
      </w:r>
    </w:p>
    <w:p>
      <w:pPr>
        <w:pStyle w:val="BodyText"/>
        <w:spacing w:before="11"/>
        <w:rPr>
          <w:sz w:val="19"/>
        </w:rPr>
      </w:pPr>
    </w:p>
    <w:p>
      <w:pPr>
        <w:pStyle w:val="ListParagraph"/>
        <w:numPr>
          <w:ilvl w:val="1"/>
          <w:numId w:val="102"/>
        </w:numPr>
        <w:tabs>
          <w:tab w:pos="2244" w:val="left" w:leader="none"/>
          <w:tab w:pos="2245" w:val="left" w:leader="none"/>
        </w:tabs>
        <w:spacing w:line="235" w:lineRule="auto" w:before="0" w:after="0"/>
        <w:ind w:left="1564" w:right="1420" w:firstLine="0"/>
        <w:jc w:val="left"/>
        <w:rPr>
          <w:sz w:val="20"/>
        </w:rPr>
      </w:pPr>
      <w:r>
        <w:rPr>
          <w:w w:val="120"/>
          <w:sz w:val="20"/>
        </w:rPr>
        <w:t>July </w:t>
      </w:r>
      <w:r>
        <w:rPr>
          <w:spacing w:val="-9"/>
          <w:w w:val="120"/>
          <w:sz w:val="20"/>
        </w:rPr>
        <w:t>2017 </w:t>
      </w:r>
      <w:r>
        <w:rPr>
          <w:w w:val="120"/>
          <w:sz w:val="20"/>
        </w:rPr>
        <w:t>saw the 25th anniversary of the Commitment for Life programme. A special service outline, written by the Revd Dr Susan Durber, was well</w:t>
      </w:r>
      <w:r>
        <w:rPr>
          <w:spacing w:val="52"/>
          <w:w w:val="120"/>
          <w:sz w:val="20"/>
        </w:rPr>
        <w:t> </w:t>
      </w:r>
      <w:r>
        <w:rPr>
          <w:w w:val="120"/>
          <w:sz w:val="20"/>
        </w:rPr>
        <w:t>received.</w:t>
      </w:r>
    </w:p>
    <w:p>
      <w:pPr>
        <w:pStyle w:val="BodyText"/>
        <w:spacing w:line="235" w:lineRule="auto" w:before="2"/>
        <w:ind w:left="1564" w:right="916"/>
      </w:pPr>
      <w:r>
        <w:rPr>
          <w:w w:val="120"/>
        </w:rPr>
        <w:t>A supporter trip, in May of that </w:t>
      </w:r>
      <w:r>
        <w:rPr>
          <w:spacing w:val="-4"/>
          <w:w w:val="120"/>
        </w:rPr>
        <w:t>year, </w:t>
      </w:r>
      <w:r>
        <w:rPr>
          <w:w w:val="120"/>
        </w:rPr>
        <w:t>to visit Christian Aid Zimbabwe and projects   there, provided a wealth of resources to share with churches and build our network of speakers. We were also featured in the resource materials for ‘Feasts and Festivals’ and, during April </w:t>
      </w:r>
      <w:r>
        <w:rPr>
          <w:spacing w:val="-5"/>
          <w:w w:val="120"/>
        </w:rPr>
        <w:t>2018, </w:t>
      </w:r>
      <w:r>
        <w:rPr>
          <w:w w:val="120"/>
        </w:rPr>
        <w:t>in Christian </w:t>
      </w:r>
      <w:r>
        <w:rPr>
          <w:spacing w:val="-3"/>
          <w:w w:val="120"/>
        </w:rPr>
        <w:t>Aid’s </w:t>
      </w:r>
      <w:r>
        <w:rPr>
          <w:w w:val="120"/>
        </w:rPr>
        <w:t>daily reflections. Ordinands at Westminster College produced pieces of </w:t>
      </w:r>
      <w:r>
        <w:rPr>
          <w:spacing w:val="3"/>
          <w:w w:val="120"/>
        </w:rPr>
        <w:t>art </w:t>
      </w:r>
      <w:r>
        <w:rPr>
          <w:w w:val="120"/>
        </w:rPr>
        <w:t>and prayers at an event arranged by our last intern,</w:t>
      </w:r>
      <w:r>
        <w:rPr>
          <w:spacing w:val="28"/>
          <w:w w:val="120"/>
        </w:rPr>
        <w:t> </w:t>
      </w:r>
      <w:r>
        <w:rPr>
          <w:w w:val="120"/>
        </w:rPr>
        <w:t>Amelia.</w:t>
      </w:r>
    </w:p>
    <w:p>
      <w:pPr>
        <w:pStyle w:val="BodyText"/>
        <w:spacing w:line="244" w:lineRule="exact"/>
        <w:ind w:left="1564"/>
      </w:pPr>
      <w:r>
        <w:rPr>
          <w:w w:val="120"/>
        </w:rPr>
        <w:t>These went into the </w:t>
      </w:r>
      <w:r>
        <w:rPr>
          <w:i/>
          <w:w w:val="120"/>
        </w:rPr>
        <w:t>COMMIT25 </w:t>
      </w:r>
      <w:r>
        <w:rPr>
          <w:w w:val="120"/>
        </w:rPr>
        <w:t>web based booklet.</w:t>
      </w:r>
    </w:p>
    <w:p>
      <w:pPr>
        <w:pStyle w:val="BodyText"/>
        <w:spacing w:before="7"/>
        <w:rPr>
          <w:sz w:val="19"/>
        </w:rPr>
      </w:pPr>
    </w:p>
    <w:p>
      <w:pPr>
        <w:pStyle w:val="ListParagraph"/>
        <w:numPr>
          <w:ilvl w:val="1"/>
          <w:numId w:val="102"/>
        </w:numPr>
        <w:tabs>
          <w:tab w:pos="2244" w:val="left" w:leader="none"/>
          <w:tab w:pos="2245" w:val="left" w:leader="none"/>
        </w:tabs>
        <w:spacing w:line="235" w:lineRule="auto" w:before="0" w:after="0"/>
        <w:ind w:left="1564" w:right="949" w:firstLine="0"/>
        <w:jc w:val="left"/>
        <w:rPr>
          <w:sz w:val="20"/>
        </w:rPr>
      </w:pPr>
      <w:r>
        <w:rPr>
          <w:spacing w:val="3"/>
          <w:w w:val="120"/>
          <w:sz w:val="20"/>
        </w:rPr>
        <w:t>As </w:t>
      </w:r>
      <w:r>
        <w:rPr>
          <w:spacing w:val="2"/>
          <w:w w:val="120"/>
          <w:sz w:val="20"/>
        </w:rPr>
        <w:t>part </w:t>
      </w:r>
      <w:r>
        <w:rPr>
          <w:w w:val="120"/>
          <w:sz w:val="20"/>
        </w:rPr>
        <w:t>of this 25th anniversary </w:t>
      </w:r>
      <w:r>
        <w:rPr>
          <w:spacing w:val="-4"/>
          <w:w w:val="120"/>
          <w:sz w:val="20"/>
        </w:rPr>
        <w:t>year, </w:t>
      </w:r>
      <w:r>
        <w:rPr>
          <w:w w:val="120"/>
          <w:sz w:val="20"/>
        </w:rPr>
        <w:t>it was felt right to review the achievements of the programme to see if it was still relevant in the current economic and political climate. In late </w:t>
      </w:r>
      <w:r>
        <w:rPr>
          <w:spacing w:val="-6"/>
          <w:w w:val="120"/>
          <w:sz w:val="20"/>
        </w:rPr>
        <w:t>2016, </w:t>
      </w:r>
      <w:r>
        <w:rPr>
          <w:w w:val="120"/>
          <w:sz w:val="20"/>
        </w:rPr>
        <w:t>the mission committee set up a review group to look at the ongoing and future needs of the programme. The programme was assessed against its aims, vision and mission statements as well as vision2020. The programmes’ income over the last five years, the number of participating churches and resources available – including</w:t>
      </w:r>
      <w:r>
        <w:rPr>
          <w:spacing w:val="7"/>
          <w:w w:val="120"/>
          <w:sz w:val="20"/>
        </w:rPr>
        <w:t> </w:t>
      </w:r>
      <w:r>
        <w:rPr>
          <w:w w:val="120"/>
          <w:sz w:val="20"/>
        </w:rPr>
        <w:t>how</w:t>
      </w:r>
      <w:r>
        <w:rPr>
          <w:spacing w:val="8"/>
          <w:w w:val="120"/>
          <w:sz w:val="20"/>
        </w:rPr>
        <w:t> </w:t>
      </w:r>
      <w:r>
        <w:rPr>
          <w:w w:val="120"/>
          <w:sz w:val="20"/>
        </w:rPr>
        <w:t>these</w:t>
      </w:r>
      <w:r>
        <w:rPr>
          <w:spacing w:val="8"/>
          <w:w w:val="120"/>
          <w:sz w:val="20"/>
        </w:rPr>
        <w:t> </w:t>
      </w:r>
      <w:r>
        <w:rPr>
          <w:w w:val="120"/>
          <w:sz w:val="20"/>
        </w:rPr>
        <w:t>are</w:t>
      </w:r>
      <w:r>
        <w:rPr>
          <w:spacing w:val="8"/>
          <w:w w:val="120"/>
          <w:sz w:val="20"/>
        </w:rPr>
        <w:t> </w:t>
      </w:r>
      <w:r>
        <w:rPr>
          <w:w w:val="120"/>
          <w:sz w:val="20"/>
        </w:rPr>
        <w:t>used</w:t>
      </w:r>
      <w:r>
        <w:rPr>
          <w:spacing w:val="8"/>
          <w:w w:val="120"/>
          <w:sz w:val="20"/>
        </w:rPr>
        <w:t> </w:t>
      </w:r>
      <w:r>
        <w:rPr>
          <w:w w:val="120"/>
          <w:sz w:val="20"/>
        </w:rPr>
        <w:t>in</w:t>
      </w:r>
      <w:r>
        <w:rPr>
          <w:spacing w:val="8"/>
          <w:w w:val="120"/>
          <w:sz w:val="20"/>
        </w:rPr>
        <w:t> </w:t>
      </w:r>
      <w:r>
        <w:rPr>
          <w:w w:val="120"/>
          <w:sz w:val="20"/>
        </w:rPr>
        <w:t>worship,</w:t>
      </w:r>
      <w:r>
        <w:rPr>
          <w:spacing w:val="8"/>
          <w:w w:val="120"/>
          <w:sz w:val="20"/>
        </w:rPr>
        <w:t> </w:t>
      </w:r>
      <w:r>
        <w:rPr>
          <w:w w:val="120"/>
          <w:sz w:val="20"/>
        </w:rPr>
        <w:t>education</w:t>
      </w:r>
      <w:r>
        <w:rPr>
          <w:spacing w:val="8"/>
          <w:w w:val="120"/>
          <w:sz w:val="20"/>
        </w:rPr>
        <w:t> </w:t>
      </w:r>
      <w:r>
        <w:rPr>
          <w:w w:val="120"/>
          <w:sz w:val="20"/>
        </w:rPr>
        <w:t>and</w:t>
      </w:r>
      <w:r>
        <w:rPr>
          <w:spacing w:val="7"/>
          <w:w w:val="120"/>
          <w:sz w:val="20"/>
        </w:rPr>
        <w:t> </w:t>
      </w:r>
      <w:r>
        <w:rPr>
          <w:w w:val="120"/>
          <w:sz w:val="20"/>
        </w:rPr>
        <w:t>action</w:t>
      </w:r>
      <w:r>
        <w:rPr>
          <w:spacing w:val="8"/>
          <w:w w:val="120"/>
          <w:sz w:val="20"/>
        </w:rPr>
        <w:t> </w:t>
      </w:r>
      <w:r>
        <w:rPr>
          <w:w w:val="120"/>
          <w:sz w:val="20"/>
        </w:rPr>
        <w:t>–</w:t>
      </w:r>
      <w:r>
        <w:rPr>
          <w:spacing w:val="8"/>
          <w:w w:val="120"/>
          <w:sz w:val="20"/>
        </w:rPr>
        <w:t> </w:t>
      </w:r>
      <w:r>
        <w:rPr>
          <w:w w:val="120"/>
          <w:sz w:val="20"/>
        </w:rPr>
        <w:t>were</w:t>
      </w:r>
      <w:r>
        <w:rPr>
          <w:spacing w:val="8"/>
          <w:w w:val="120"/>
          <w:sz w:val="20"/>
        </w:rPr>
        <w:t> </w:t>
      </w:r>
      <w:r>
        <w:rPr>
          <w:w w:val="120"/>
          <w:sz w:val="20"/>
        </w:rPr>
        <w:t>also</w:t>
      </w:r>
      <w:r>
        <w:rPr>
          <w:spacing w:val="8"/>
          <w:w w:val="120"/>
          <w:sz w:val="20"/>
        </w:rPr>
        <w:t> </w:t>
      </w:r>
      <w:r>
        <w:rPr>
          <w:w w:val="120"/>
          <w:sz w:val="20"/>
        </w:rPr>
        <w:t>considered.</w:t>
      </w:r>
    </w:p>
    <w:p>
      <w:pPr>
        <w:pStyle w:val="BodyText"/>
        <w:spacing w:before="1"/>
      </w:pPr>
    </w:p>
    <w:p>
      <w:pPr>
        <w:pStyle w:val="ListParagraph"/>
        <w:numPr>
          <w:ilvl w:val="2"/>
          <w:numId w:val="102"/>
        </w:numPr>
        <w:tabs>
          <w:tab w:pos="2245" w:val="left" w:leader="none"/>
        </w:tabs>
        <w:spacing w:line="235" w:lineRule="auto" w:before="0" w:after="0"/>
        <w:ind w:left="2244" w:right="971" w:hanging="681"/>
        <w:jc w:val="left"/>
        <w:rPr>
          <w:sz w:val="20"/>
        </w:rPr>
      </w:pPr>
      <w:r>
        <w:rPr>
          <w:w w:val="120"/>
          <w:sz w:val="20"/>
        </w:rPr>
        <w:t>Churches (both Commitment for Life and non-Commitment for </w:t>
      </w:r>
      <w:r>
        <w:rPr>
          <w:spacing w:val="-4"/>
          <w:w w:val="120"/>
          <w:sz w:val="20"/>
        </w:rPr>
        <w:t>Life), </w:t>
      </w:r>
      <w:r>
        <w:rPr>
          <w:w w:val="120"/>
          <w:sz w:val="20"/>
        </w:rPr>
        <w:t>advocates, link persons and external agencies were canvassed for their views and the responses</w:t>
      </w:r>
      <w:r>
        <w:rPr>
          <w:spacing w:val="1"/>
          <w:w w:val="120"/>
          <w:sz w:val="20"/>
        </w:rPr>
        <w:t> </w:t>
      </w:r>
      <w:r>
        <w:rPr>
          <w:w w:val="120"/>
          <w:sz w:val="20"/>
        </w:rPr>
        <w:t>collated.</w:t>
      </w:r>
    </w:p>
    <w:p>
      <w:pPr>
        <w:pStyle w:val="ListParagraph"/>
        <w:numPr>
          <w:ilvl w:val="3"/>
          <w:numId w:val="102"/>
        </w:numPr>
        <w:tabs>
          <w:tab w:pos="2924" w:val="left" w:leader="none"/>
          <w:tab w:pos="2925" w:val="left" w:leader="none"/>
        </w:tabs>
        <w:spacing w:line="235" w:lineRule="auto" w:before="0" w:after="0"/>
        <w:ind w:left="2924" w:right="981" w:hanging="681"/>
        <w:jc w:val="left"/>
        <w:rPr>
          <w:sz w:val="20"/>
        </w:rPr>
      </w:pPr>
      <w:r>
        <w:rPr>
          <w:w w:val="120"/>
          <w:sz w:val="20"/>
        </w:rPr>
        <w:t>From the responses gathered it was evident that the programme was still highly thought of. With the Gospel message of ‘good news for the poor’ at its heart, it is seen as </w:t>
      </w:r>
      <w:r>
        <w:rPr>
          <w:spacing w:val="2"/>
          <w:w w:val="120"/>
          <w:sz w:val="20"/>
        </w:rPr>
        <w:t>part </w:t>
      </w:r>
      <w:r>
        <w:rPr>
          <w:w w:val="120"/>
          <w:sz w:val="20"/>
        </w:rPr>
        <w:t>of the whole mission of the</w:t>
      </w:r>
      <w:r>
        <w:rPr>
          <w:spacing w:val="13"/>
          <w:w w:val="120"/>
          <w:sz w:val="20"/>
        </w:rPr>
        <w:t> </w:t>
      </w:r>
      <w:r>
        <w:rPr>
          <w:w w:val="120"/>
          <w:sz w:val="20"/>
        </w:rPr>
        <w:t>Church.</w:t>
      </w:r>
    </w:p>
    <w:p>
      <w:pPr>
        <w:pStyle w:val="ListParagraph"/>
        <w:numPr>
          <w:ilvl w:val="3"/>
          <w:numId w:val="102"/>
        </w:numPr>
        <w:tabs>
          <w:tab w:pos="2924" w:val="left" w:leader="none"/>
          <w:tab w:pos="2925" w:val="left" w:leader="none"/>
        </w:tabs>
        <w:spacing w:line="235" w:lineRule="auto" w:before="0" w:after="0"/>
        <w:ind w:left="2924" w:right="972" w:hanging="681"/>
        <w:jc w:val="left"/>
        <w:rPr>
          <w:sz w:val="20"/>
        </w:rPr>
      </w:pPr>
      <w:r>
        <w:rPr>
          <w:w w:val="120"/>
          <w:sz w:val="20"/>
        </w:rPr>
        <w:t>Millions of pounds have been raised by local churches which has enabled Christian Aid to work with those most in need and Global Justice Now to campaign for justice and</w:t>
      </w:r>
      <w:r>
        <w:rPr>
          <w:spacing w:val="9"/>
          <w:w w:val="120"/>
          <w:sz w:val="20"/>
        </w:rPr>
        <w:t> </w:t>
      </w:r>
      <w:r>
        <w:rPr>
          <w:w w:val="120"/>
          <w:sz w:val="20"/>
        </w:rPr>
        <w:t>peace.</w:t>
      </w:r>
    </w:p>
    <w:p>
      <w:pPr>
        <w:spacing w:after="0" w:line="235" w:lineRule="auto"/>
        <w:jc w:val="left"/>
        <w:rPr>
          <w:sz w:val="20"/>
        </w:rPr>
        <w:sectPr>
          <w:headerReference w:type="default" r:id="rId396"/>
          <w:footerReference w:type="default" r:id="rId397"/>
          <w:footerReference w:type="even" r:id="rId398"/>
          <w:pgSz w:w="11910" w:h="16840"/>
          <w:pgMar w:header="0" w:footer="647" w:top="0" w:bottom="840" w:left="420" w:right="380"/>
          <w:pgNumType w:start="145"/>
        </w:sectPr>
      </w:pPr>
    </w:p>
    <w:p>
      <w:pPr>
        <w:pStyle w:val="BodyText"/>
      </w:pPr>
      <w:r>
        <w:rPr/>
        <w:drawing>
          <wp:anchor distT="0" distB="0" distL="0" distR="0" allowOverlap="1" layoutInCell="1" locked="0" behindDoc="1" simplePos="0" relativeHeight="236073984">
            <wp:simplePos x="0" y="0"/>
            <wp:positionH relativeFrom="page">
              <wp:posOffset>0</wp:posOffset>
            </wp:positionH>
            <wp:positionV relativeFrom="page">
              <wp:posOffset>0</wp:posOffset>
            </wp:positionV>
            <wp:extent cx="594067" cy="10692003"/>
            <wp:effectExtent l="0" t="0" r="0" b="0"/>
            <wp:wrapNone/>
            <wp:docPr id="281" name="image70.png"/>
            <wp:cNvGraphicFramePr>
              <a:graphicFrameLocks noChangeAspect="1"/>
            </wp:cNvGraphicFramePr>
            <a:graphic>
              <a:graphicData uri="http://schemas.openxmlformats.org/drawingml/2006/picture">
                <pic:pic>
                  <pic:nvPicPr>
                    <pic:cNvPr id="28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4224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0"/>
          <w:numId w:val="103"/>
        </w:numPr>
        <w:tabs>
          <w:tab w:pos="2187" w:val="left" w:leader="none"/>
          <w:tab w:pos="2188" w:val="left" w:leader="none"/>
        </w:tabs>
        <w:spacing w:line="235" w:lineRule="auto" w:before="211" w:after="0"/>
        <w:ind w:left="2187" w:right="1808" w:hanging="681"/>
        <w:jc w:val="left"/>
        <w:rPr>
          <w:sz w:val="20"/>
        </w:rPr>
      </w:pPr>
      <w:r>
        <w:rPr>
          <w:w w:val="120"/>
          <w:sz w:val="20"/>
        </w:rPr>
        <w:t>Commitment for Life has kept churches informed of all major campaigns such as Make Poverty History, Jubilee Debt, the IF campaign and climate justice. It has provided a significant Christian voice at many campaign meetings.</w:t>
      </w:r>
    </w:p>
    <w:p>
      <w:pPr>
        <w:pStyle w:val="ListParagraph"/>
        <w:numPr>
          <w:ilvl w:val="0"/>
          <w:numId w:val="103"/>
        </w:numPr>
        <w:tabs>
          <w:tab w:pos="2187" w:val="left" w:leader="none"/>
          <w:tab w:pos="2188" w:val="left" w:leader="none"/>
        </w:tabs>
        <w:spacing w:line="235" w:lineRule="auto" w:before="0" w:after="0"/>
        <w:ind w:left="2187" w:right="2187" w:hanging="681"/>
        <w:jc w:val="left"/>
        <w:rPr>
          <w:sz w:val="20"/>
        </w:rPr>
      </w:pPr>
      <w:r>
        <w:rPr>
          <w:w w:val="120"/>
          <w:sz w:val="20"/>
        </w:rPr>
        <w:t>Through Commitment for Life, churches have been enabled to be involved in campaigning for justice. It was felt that the Church could speak out where charities could</w:t>
      </w:r>
      <w:r>
        <w:rPr>
          <w:spacing w:val="10"/>
          <w:w w:val="120"/>
          <w:sz w:val="20"/>
        </w:rPr>
        <w:t> </w:t>
      </w:r>
      <w:r>
        <w:rPr>
          <w:w w:val="120"/>
          <w:sz w:val="20"/>
        </w:rPr>
        <w:t>not.</w:t>
      </w:r>
    </w:p>
    <w:p>
      <w:pPr>
        <w:pStyle w:val="ListParagraph"/>
        <w:numPr>
          <w:ilvl w:val="0"/>
          <w:numId w:val="103"/>
        </w:numPr>
        <w:tabs>
          <w:tab w:pos="2187" w:val="left" w:leader="none"/>
          <w:tab w:pos="2188" w:val="left" w:leader="none"/>
        </w:tabs>
        <w:spacing w:line="235" w:lineRule="auto" w:before="0" w:after="0"/>
        <w:ind w:left="2187" w:right="1703" w:hanging="681"/>
        <w:jc w:val="left"/>
        <w:rPr>
          <w:sz w:val="20"/>
        </w:rPr>
      </w:pPr>
      <w:r>
        <w:rPr>
          <w:spacing w:val="-3"/>
          <w:w w:val="120"/>
          <w:sz w:val="20"/>
        </w:rPr>
        <w:t>Resources </w:t>
      </w:r>
      <w:r>
        <w:rPr>
          <w:w w:val="120"/>
          <w:sz w:val="20"/>
        </w:rPr>
        <w:t>produced </w:t>
      </w:r>
      <w:r>
        <w:rPr>
          <w:spacing w:val="-3"/>
          <w:w w:val="120"/>
          <w:sz w:val="20"/>
        </w:rPr>
        <w:t>have </w:t>
      </w:r>
      <w:r>
        <w:rPr>
          <w:w w:val="120"/>
          <w:sz w:val="20"/>
        </w:rPr>
        <w:t>enabled </w:t>
      </w:r>
      <w:r>
        <w:rPr>
          <w:spacing w:val="-3"/>
          <w:w w:val="120"/>
          <w:sz w:val="20"/>
        </w:rPr>
        <w:t>churches to </w:t>
      </w:r>
      <w:r>
        <w:rPr>
          <w:w w:val="120"/>
          <w:sz w:val="20"/>
        </w:rPr>
        <w:t>be </w:t>
      </w:r>
      <w:r>
        <w:rPr>
          <w:spacing w:val="-3"/>
          <w:w w:val="120"/>
          <w:sz w:val="20"/>
        </w:rPr>
        <w:t>well </w:t>
      </w:r>
      <w:r>
        <w:rPr>
          <w:w w:val="120"/>
          <w:sz w:val="20"/>
        </w:rPr>
        <w:t>informed and </w:t>
      </w:r>
      <w:r>
        <w:rPr>
          <w:spacing w:val="-3"/>
          <w:w w:val="120"/>
          <w:sz w:val="20"/>
        </w:rPr>
        <w:t>knowledgeable.</w:t>
      </w:r>
      <w:r>
        <w:rPr>
          <w:spacing w:val="-5"/>
          <w:w w:val="120"/>
          <w:sz w:val="20"/>
        </w:rPr>
        <w:t> </w:t>
      </w:r>
      <w:r>
        <w:rPr>
          <w:w w:val="120"/>
          <w:sz w:val="20"/>
        </w:rPr>
        <w:t>The</w:t>
      </w:r>
      <w:r>
        <w:rPr>
          <w:spacing w:val="-5"/>
          <w:w w:val="120"/>
          <w:sz w:val="20"/>
        </w:rPr>
        <w:t> </w:t>
      </w:r>
      <w:r>
        <w:rPr>
          <w:w w:val="120"/>
          <w:sz w:val="20"/>
        </w:rPr>
        <w:t>yearly</w:t>
      </w:r>
      <w:r>
        <w:rPr>
          <w:spacing w:val="-5"/>
          <w:w w:val="120"/>
          <w:sz w:val="20"/>
        </w:rPr>
        <w:t> </w:t>
      </w:r>
      <w:r>
        <w:rPr>
          <w:w w:val="120"/>
          <w:sz w:val="20"/>
        </w:rPr>
        <w:t>outline</w:t>
      </w:r>
      <w:r>
        <w:rPr>
          <w:spacing w:val="-5"/>
          <w:w w:val="120"/>
          <w:sz w:val="20"/>
        </w:rPr>
        <w:t> </w:t>
      </w:r>
      <w:r>
        <w:rPr>
          <w:w w:val="120"/>
          <w:sz w:val="20"/>
        </w:rPr>
        <w:t>service</w:t>
      </w:r>
      <w:r>
        <w:rPr>
          <w:spacing w:val="-5"/>
          <w:w w:val="120"/>
          <w:sz w:val="20"/>
        </w:rPr>
        <w:t> </w:t>
      </w:r>
      <w:r>
        <w:rPr>
          <w:w w:val="120"/>
          <w:sz w:val="20"/>
        </w:rPr>
        <w:t>and</w:t>
      </w:r>
      <w:r>
        <w:rPr>
          <w:spacing w:val="-5"/>
          <w:w w:val="120"/>
          <w:sz w:val="20"/>
        </w:rPr>
        <w:t> </w:t>
      </w:r>
      <w:r>
        <w:rPr>
          <w:w w:val="120"/>
          <w:sz w:val="20"/>
        </w:rPr>
        <w:t>prayer</w:t>
      </w:r>
      <w:r>
        <w:rPr>
          <w:spacing w:val="-5"/>
          <w:w w:val="120"/>
          <w:sz w:val="20"/>
        </w:rPr>
        <w:t> </w:t>
      </w:r>
      <w:r>
        <w:rPr>
          <w:w w:val="120"/>
          <w:sz w:val="20"/>
        </w:rPr>
        <w:t>sheets</w:t>
      </w:r>
      <w:r>
        <w:rPr>
          <w:spacing w:val="-5"/>
          <w:w w:val="120"/>
          <w:sz w:val="20"/>
        </w:rPr>
        <w:t> </w:t>
      </w:r>
      <w:r>
        <w:rPr>
          <w:w w:val="120"/>
          <w:sz w:val="20"/>
        </w:rPr>
        <w:t>are</w:t>
      </w:r>
      <w:r>
        <w:rPr>
          <w:spacing w:val="-5"/>
          <w:w w:val="120"/>
          <w:sz w:val="20"/>
        </w:rPr>
        <w:t> </w:t>
      </w:r>
      <w:r>
        <w:rPr>
          <w:spacing w:val="-3"/>
          <w:w w:val="120"/>
          <w:sz w:val="20"/>
        </w:rPr>
        <w:t>well</w:t>
      </w:r>
      <w:r>
        <w:rPr>
          <w:spacing w:val="-5"/>
          <w:w w:val="120"/>
          <w:sz w:val="20"/>
        </w:rPr>
        <w:t> </w:t>
      </w:r>
      <w:r>
        <w:rPr>
          <w:w w:val="120"/>
          <w:sz w:val="20"/>
        </w:rPr>
        <w:t>used.</w:t>
      </w:r>
    </w:p>
    <w:p>
      <w:pPr>
        <w:pStyle w:val="ListParagraph"/>
        <w:numPr>
          <w:ilvl w:val="0"/>
          <w:numId w:val="103"/>
        </w:numPr>
        <w:tabs>
          <w:tab w:pos="2187" w:val="left" w:leader="none"/>
          <w:tab w:pos="2188" w:val="left" w:leader="none"/>
        </w:tabs>
        <w:spacing w:line="235" w:lineRule="auto" w:before="0" w:after="0"/>
        <w:ind w:left="2187" w:right="1621" w:hanging="681"/>
        <w:jc w:val="left"/>
        <w:rPr>
          <w:sz w:val="20"/>
        </w:rPr>
      </w:pPr>
      <w:r>
        <w:rPr>
          <w:spacing w:val="-3"/>
          <w:w w:val="120"/>
          <w:sz w:val="20"/>
        </w:rPr>
        <w:t>Trips </w:t>
      </w:r>
      <w:r>
        <w:rPr>
          <w:w w:val="120"/>
          <w:sz w:val="20"/>
        </w:rPr>
        <w:t>to and visits from the partner areas have enriched the lives of many people and inspired them to take action and share that passion for</w:t>
      </w:r>
      <w:r>
        <w:rPr>
          <w:spacing w:val="12"/>
          <w:w w:val="120"/>
          <w:sz w:val="20"/>
        </w:rPr>
        <w:t> </w:t>
      </w:r>
      <w:r>
        <w:rPr>
          <w:w w:val="120"/>
          <w:sz w:val="20"/>
        </w:rPr>
        <w:t>justice.</w:t>
      </w:r>
    </w:p>
    <w:p>
      <w:pPr>
        <w:pStyle w:val="ListParagraph"/>
        <w:numPr>
          <w:ilvl w:val="0"/>
          <w:numId w:val="103"/>
        </w:numPr>
        <w:tabs>
          <w:tab w:pos="2187" w:val="left" w:leader="none"/>
          <w:tab w:pos="2188" w:val="left" w:leader="none"/>
        </w:tabs>
        <w:spacing w:line="235" w:lineRule="auto" w:before="0" w:after="0"/>
        <w:ind w:left="2187" w:right="1981" w:hanging="681"/>
        <w:jc w:val="left"/>
        <w:rPr>
          <w:sz w:val="20"/>
        </w:rPr>
      </w:pPr>
      <w:r>
        <w:rPr>
          <w:w w:val="120"/>
          <w:sz w:val="20"/>
        </w:rPr>
        <w:t>The intern programme with Christian Aid ran for five years and was hugely successful. All five interns brought many </w:t>
      </w:r>
      <w:r>
        <w:rPr>
          <w:spacing w:val="2"/>
          <w:w w:val="120"/>
          <w:sz w:val="20"/>
        </w:rPr>
        <w:t>gifts </w:t>
      </w:r>
      <w:r>
        <w:rPr>
          <w:w w:val="120"/>
          <w:sz w:val="20"/>
        </w:rPr>
        <w:t>and still speak on our</w:t>
      </w:r>
      <w:r>
        <w:rPr>
          <w:spacing w:val="1"/>
          <w:w w:val="120"/>
          <w:sz w:val="20"/>
        </w:rPr>
        <w:t> </w:t>
      </w:r>
      <w:r>
        <w:rPr>
          <w:w w:val="120"/>
          <w:sz w:val="20"/>
        </w:rPr>
        <w:t>behalf.</w:t>
      </w:r>
    </w:p>
    <w:p>
      <w:pPr>
        <w:pStyle w:val="ListParagraph"/>
        <w:numPr>
          <w:ilvl w:val="2"/>
          <w:numId w:val="102"/>
        </w:numPr>
        <w:tabs>
          <w:tab w:pos="1508" w:val="left" w:leader="none"/>
        </w:tabs>
        <w:spacing w:line="235" w:lineRule="auto" w:before="207" w:after="0"/>
        <w:ind w:left="1507" w:right="1848" w:hanging="681"/>
        <w:jc w:val="left"/>
        <w:rPr>
          <w:sz w:val="20"/>
        </w:rPr>
      </w:pPr>
      <w:r>
        <w:rPr>
          <w:w w:val="120"/>
          <w:sz w:val="20"/>
        </w:rPr>
        <w:t>The responses also included concern over the average age and number of members and congregations. The preference for small projects, often with personal connections and where results could be seen quickly, were deemed more popular than long-term development projects. A  good  many  people saw Christian Aid and Commitment for Life as the same. This confusion was one of the most quoted responses. When a church does leave the programme, it is usually to support Christian Aid directly. The unique selling point of the programme as a denominational appeal does not ring so true </w:t>
      </w:r>
      <w:r>
        <w:rPr>
          <w:spacing w:val="-3"/>
          <w:w w:val="120"/>
          <w:sz w:val="20"/>
        </w:rPr>
        <w:t>today. </w:t>
      </w:r>
      <w:r>
        <w:rPr>
          <w:w w:val="120"/>
          <w:sz w:val="20"/>
        </w:rPr>
        <w:t>Many people attending churches were not aware of the denomination or</w:t>
      </w:r>
      <w:r>
        <w:rPr>
          <w:spacing w:val="34"/>
          <w:w w:val="120"/>
          <w:sz w:val="20"/>
        </w:rPr>
        <w:t> </w:t>
      </w:r>
      <w:r>
        <w:rPr>
          <w:w w:val="120"/>
          <w:sz w:val="20"/>
        </w:rPr>
        <w:t>were</w:t>
      </w:r>
    </w:p>
    <w:p>
      <w:pPr>
        <w:pStyle w:val="BodyText"/>
        <w:spacing w:line="235" w:lineRule="auto" w:before="7"/>
        <w:ind w:left="1507" w:right="1814"/>
      </w:pPr>
      <w:r>
        <w:rPr>
          <w:w w:val="120"/>
        </w:rPr>
        <w:t>in a Local Ecumenical Partnership and found giving to one denominational programme difficult. Many churches preferred to campaign on issues that were ecumenical and/or interfaith, such as Fairtrade or climate change. There is still confusion with the ‘Belonging to the World Church’ scheme, with effective synod linking affecting the programme. The steady decline in giving was also seen as a major concern.</w:t>
      </w:r>
    </w:p>
    <w:p>
      <w:pPr>
        <w:pStyle w:val="BodyText"/>
        <w:spacing w:before="1"/>
      </w:pPr>
    </w:p>
    <w:p>
      <w:pPr>
        <w:pStyle w:val="ListParagraph"/>
        <w:numPr>
          <w:ilvl w:val="2"/>
          <w:numId w:val="102"/>
        </w:numPr>
        <w:tabs>
          <w:tab w:pos="1508" w:val="left" w:leader="none"/>
        </w:tabs>
        <w:spacing w:line="235" w:lineRule="auto" w:before="0" w:after="0"/>
        <w:ind w:left="1507" w:right="1800" w:hanging="681"/>
        <w:jc w:val="left"/>
        <w:rPr>
          <w:sz w:val="20"/>
        </w:rPr>
      </w:pPr>
      <w:r>
        <w:rPr>
          <w:w w:val="120"/>
          <w:sz w:val="20"/>
        </w:rPr>
        <w:t>The review group brought their recommendations to the mission committee in September </w:t>
      </w:r>
      <w:r>
        <w:rPr>
          <w:spacing w:val="-12"/>
          <w:w w:val="120"/>
          <w:sz w:val="20"/>
        </w:rPr>
        <w:t>2017. </w:t>
      </w:r>
      <w:r>
        <w:rPr>
          <w:w w:val="120"/>
          <w:sz w:val="20"/>
        </w:rPr>
        <w:t>The</w:t>
      </w:r>
      <w:r>
        <w:rPr>
          <w:spacing w:val="-24"/>
          <w:w w:val="120"/>
          <w:sz w:val="20"/>
        </w:rPr>
        <w:t> </w:t>
      </w:r>
      <w:r>
        <w:rPr>
          <w:w w:val="120"/>
          <w:sz w:val="20"/>
        </w:rPr>
        <w:t>committee:</w:t>
      </w:r>
    </w:p>
    <w:p>
      <w:pPr>
        <w:pStyle w:val="ListParagraph"/>
        <w:numPr>
          <w:ilvl w:val="0"/>
          <w:numId w:val="104"/>
        </w:numPr>
        <w:tabs>
          <w:tab w:pos="2187" w:val="left" w:leader="none"/>
          <w:tab w:pos="2188" w:val="left" w:leader="none"/>
        </w:tabs>
        <w:spacing w:line="235" w:lineRule="auto" w:before="1" w:after="0"/>
        <w:ind w:left="2187" w:right="2019" w:hanging="681"/>
        <w:jc w:val="left"/>
        <w:rPr>
          <w:sz w:val="20"/>
        </w:rPr>
      </w:pPr>
      <w:r>
        <w:rPr>
          <w:w w:val="120"/>
          <w:sz w:val="20"/>
        </w:rPr>
        <w:t>affirmed the work of Commitment for Life as </w:t>
      </w:r>
      <w:r>
        <w:rPr>
          <w:spacing w:val="2"/>
          <w:w w:val="120"/>
          <w:sz w:val="20"/>
        </w:rPr>
        <w:t>part </w:t>
      </w:r>
      <w:r>
        <w:rPr>
          <w:w w:val="120"/>
          <w:sz w:val="20"/>
        </w:rPr>
        <w:t>of the mission of the United Reformed Church for justice in God’s</w:t>
      </w:r>
      <w:r>
        <w:rPr>
          <w:spacing w:val="19"/>
          <w:w w:val="120"/>
          <w:sz w:val="20"/>
        </w:rPr>
        <w:t> </w:t>
      </w:r>
      <w:r>
        <w:rPr>
          <w:w w:val="120"/>
          <w:sz w:val="20"/>
        </w:rPr>
        <w:t>world;</w:t>
      </w:r>
    </w:p>
    <w:p>
      <w:pPr>
        <w:pStyle w:val="ListParagraph"/>
        <w:numPr>
          <w:ilvl w:val="0"/>
          <w:numId w:val="104"/>
        </w:numPr>
        <w:tabs>
          <w:tab w:pos="2187" w:val="left" w:leader="none"/>
          <w:tab w:pos="2188" w:val="left" w:leader="none"/>
        </w:tabs>
        <w:spacing w:line="235" w:lineRule="auto" w:before="2" w:after="0"/>
        <w:ind w:left="2187" w:right="2100" w:hanging="681"/>
        <w:jc w:val="left"/>
        <w:rPr>
          <w:sz w:val="20"/>
        </w:rPr>
      </w:pPr>
      <w:r>
        <w:rPr>
          <w:w w:val="120"/>
          <w:sz w:val="20"/>
        </w:rPr>
        <w:t>recognised that the added value of worship, education and action by Commitment for Life are still important and relevant</w:t>
      </w:r>
      <w:r>
        <w:rPr>
          <w:spacing w:val="14"/>
          <w:w w:val="120"/>
          <w:sz w:val="20"/>
        </w:rPr>
        <w:t> </w:t>
      </w:r>
      <w:r>
        <w:rPr>
          <w:w w:val="120"/>
          <w:sz w:val="20"/>
        </w:rPr>
        <w:t>today;</w:t>
      </w:r>
    </w:p>
    <w:p>
      <w:pPr>
        <w:pStyle w:val="ListParagraph"/>
        <w:numPr>
          <w:ilvl w:val="0"/>
          <w:numId w:val="104"/>
        </w:numPr>
        <w:tabs>
          <w:tab w:pos="2187" w:val="left" w:leader="none"/>
          <w:tab w:pos="2188" w:val="left" w:leader="none"/>
        </w:tabs>
        <w:spacing w:line="235" w:lineRule="auto" w:before="1" w:after="0"/>
        <w:ind w:left="2187" w:right="1833" w:hanging="681"/>
        <w:jc w:val="left"/>
        <w:rPr>
          <w:sz w:val="20"/>
        </w:rPr>
      </w:pPr>
      <w:r>
        <w:rPr>
          <w:w w:val="120"/>
          <w:sz w:val="20"/>
        </w:rPr>
        <w:t>further recognised that in the light of the present global economic and political climate there is a need for the programme to develop and reignite a passion for justice through: new technology; engagement of   a new generation of people; and the creation of a new relationship with Christian Aid and Global Justice Now to suit their changing working models;</w:t>
      </w:r>
      <w:r>
        <w:rPr>
          <w:spacing w:val="2"/>
          <w:w w:val="120"/>
          <w:sz w:val="20"/>
        </w:rPr>
        <w:t> </w:t>
      </w:r>
      <w:r>
        <w:rPr>
          <w:w w:val="120"/>
          <w:sz w:val="20"/>
        </w:rPr>
        <w:t>and</w:t>
      </w:r>
    </w:p>
    <w:p>
      <w:pPr>
        <w:pStyle w:val="ListParagraph"/>
        <w:numPr>
          <w:ilvl w:val="0"/>
          <w:numId w:val="104"/>
        </w:numPr>
        <w:tabs>
          <w:tab w:pos="2187" w:val="left" w:leader="none"/>
          <w:tab w:pos="2188" w:val="left" w:leader="none"/>
        </w:tabs>
        <w:spacing w:line="242" w:lineRule="exact" w:before="1" w:after="0"/>
        <w:ind w:left="2187" w:right="0" w:hanging="681"/>
        <w:jc w:val="left"/>
        <w:rPr>
          <w:sz w:val="20"/>
        </w:rPr>
      </w:pPr>
      <w:r>
        <w:rPr>
          <w:w w:val="120"/>
          <w:sz w:val="20"/>
        </w:rPr>
        <w:t>urged the programme to undertake this work without</w:t>
      </w:r>
      <w:r>
        <w:rPr>
          <w:spacing w:val="23"/>
          <w:w w:val="120"/>
          <w:sz w:val="20"/>
        </w:rPr>
        <w:t> </w:t>
      </w:r>
      <w:r>
        <w:rPr>
          <w:spacing w:val="-3"/>
          <w:w w:val="120"/>
          <w:sz w:val="20"/>
        </w:rPr>
        <w:t>delay.</w:t>
      </w:r>
    </w:p>
    <w:p>
      <w:pPr>
        <w:pStyle w:val="BodyText"/>
        <w:spacing w:line="242" w:lineRule="exact"/>
        <w:ind w:left="1507"/>
      </w:pPr>
      <w:r>
        <w:rPr>
          <w:w w:val="120"/>
        </w:rPr>
        <w:t>The committee intends to take stock of the impact of the new approaches in 2020.</w:t>
      </w:r>
    </w:p>
    <w:p>
      <w:pPr>
        <w:pStyle w:val="BodyText"/>
        <w:spacing w:before="7"/>
        <w:rPr>
          <w:sz w:val="19"/>
        </w:rPr>
      </w:pPr>
    </w:p>
    <w:p>
      <w:pPr>
        <w:pStyle w:val="ListParagraph"/>
        <w:numPr>
          <w:ilvl w:val="2"/>
          <w:numId w:val="102"/>
        </w:numPr>
        <w:tabs>
          <w:tab w:pos="1508" w:val="left" w:leader="none"/>
        </w:tabs>
        <w:spacing w:line="235" w:lineRule="auto" w:before="0" w:after="0"/>
        <w:ind w:left="1507" w:right="1964" w:hanging="681"/>
        <w:jc w:val="left"/>
        <w:rPr>
          <w:sz w:val="20"/>
        </w:rPr>
      </w:pPr>
      <w:r>
        <w:rPr>
          <w:w w:val="120"/>
          <w:sz w:val="20"/>
        </w:rPr>
        <w:t>Work is now progressing, in discussion with Christian Aid and Global Justice </w:t>
      </w:r>
      <w:r>
        <w:rPr>
          <w:spacing w:val="-3"/>
          <w:w w:val="120"/>
          <w:sz w:val="20"/>
        </w:rPr>
        <w:t>Now, </w:t>
      </w:r>
      <w:r>
        <w:rPr>
          <w:w w:val="120"/>
          <w:sz w:val="20"/>
        </w:rPr>
        <w:t>on action to implement these recommendations and raise the profile of Commitment for Life. We welcome the presence of Christian </w:t>
      </w:r>
      <w:r>
        <w:rPr>
          <w:spacing w:val="-3"/>
          <w:w w:val="120"/>
          <w:sz w:val="20"/>
        </w:rPr>
        <w:t>Aid’s </w:t>
      </w:r>
      <w:r>
        <w:rPr>
          <w:w w:val="120"/>
          <w:sz w:val="20"/>
        </w:rPr>
        <w:t>new </w:t>
      </w:r>
      <w:r>
        <w:rPr>
          <w:spacing w:val="-3"/>
          <w:w w:val="120"/>
          <w:sz w:val="20"/>
        </w:rPr>
        <w:t>CEO, </w:t>
      </w:r>
      <w:r>
        <w:rPr>
          <w:w w:val="120"/>
          <w:sz w:val="20"/>
        </w:rPr>
        <w:t>Amanda Khozi Mukwashi, at General Assembly to help us reignite the passion and challenge more churches to be </w:t>
      </w:r>
      <w:r>
        <w:rPr>
          <w:spacing w:val="2"/>
          <w:w w:val="120"/>
          <w:sz w:val="20"/>
        </w:rPr>
        <w:t>part </w:t>
      </w:r>
      <w:r>
        <w:rPr>
          <w:w w:val="120"/>
          <w:sz w:val="20"/>
        </w:rPr>
        <w:t>of the</w:t>
      </w:r>
      <w:r>
        <w:rPr>
          <w:spacing w:val="28"/>
          <w:w w:val="120"/>
          <w:sz w:val="20"/>
        </w:rPr>
        <w:t> </w:t>
      </w:r>
      <w:r>
        <w:rPr>
          <w:w w:val="120"/>
          <w:sz w:val="20"/>
        </w:rPr>
        <w:t>programme.</w:t>
      </w:r>
    </w:p>
    <w:p>
      <w:pPr>
        <w:pStyle w:val="BodyText"/>
      </w:pPr>
    </w:p>
    <w:p>
      <w:pPr>
        <w:pStyle w:val="ListParagraph"/>
        <w:numPr>
          <w:ilvl w:val="1"/>
          <w:numId w:val="102"/>
        </w:numPr>
        <w:tabs>
          <w:tab w:pos="1507" w:val="left" w:leader="none"/>
          <w:tab w:pos="1508" w:val="left" w:leader="none"/>
        </w:tabs>
        <w:spacing w:line="235" w:lineRule="auto" w:before="0" w:after="0"/>
        <w:ind w:left="827" w:right="1943" w:firstLine="0"/>
        <w:jc w:val="left"/>
        <w:rPr>
          <w:sz w:val="20"/>
        </w:rPr>
      </w:pPr>
      <w:r>
        <w:rPr>
          <w:spacing w:val="-3"/>
          <w:w w:val="120"/>
          <w:sz w:val="20"/>
        </w:rPr>
        <w:t>Commitment </w:t>
      </w:r>
      <w:r>
        <w:rPr>
          <w:w w:val="120"/>
          <w:sz w:val="20"/>
        </w:rPr>
        <w:t>for Life has been a wonderful </w:t>
      </w:r>
      <w:r>
        <w:rPr>
          <w:spacing w:val="-2"/>
          <w:w w:val="120"/>
          <w:sz w:val="20"/>
        </w:rPr>
        <w:t>way </w:t>
      </w:r>
      <w:r>
        <w:rPr>
          <w:w w:val="120"/>
          <w:sz w:val="20"/>
        </w:rPr>
        <w:t>in which the URC has been </w:t>
      </w:r>
      <w:r>
        <w:rPr>
          <w:spacing w:val="-3"/>
          <w:w w:val="120"/>
          <w:sz w:val="20"/>
        </w:rPr>
        <w:t>committed to overcoming </w:t>
      </w:r>
      <w:r>
        <w:rPr>
          <w:w w:val="120"/>
          <w:sz w:val="20"/>
        </w:rPr>
        <w:t>poverty and tackling </w:t>
      </w:r>
      <w:r>
        <w:rPr>
          <w:spacing w:val="-3"/>
          <w:w w:val="120"/>
          <w:sz w:val="20"/>
        </w:rPr>
        <w:t>injustice. We have </w:t>
      </w:r>
      <w:r>
        <w:rPr>
          <w:w w:val="120"/>
          <w:sz w:val="20"/>
        </w:rPr>
        <w:t>been </w:t>
      </w:r>
      <w:r>
        <w:rPr>
          <w:spacing w:val="-3"/>
          <w:w w:val="120"/>
          <w:sz w:val="20"/>
        </w:rPr>
        <w:t>brave, over many </w:t>
      </w:r>
      <w:r>
        <w:rPr>
          <w:w w:val="120"/>
          <w:sz w:val="20"/>
        </w:rPr>
        <w:t>years, in giving in a </w:t>
      </w:r>
      <w:r>
        <w:rPr>
          <w:spacing w:val="-3"/>
          <w:w w:val="120"/>
          <w:sz w:val="20"/>
        </w:rPr>
        <w:t>committed </w:t>
      </w:r>
      <w:r>
        <w:rPr>
          <w:spacing w:val="-6"/>
          <w:w w:val="120"/>
          <w:sz w:val="20"/>
        </w:rPr>
        <w:t>way, </w:t>
      </w:r>
      <w:r>
        <w:rPr>
          <w:spacing w:val="-2"/>
          <w:w w:val="120"/>
          <w:sz w:val="20"/>
        </w:rPr>
        <w:t>whilst </w:t>
      </w:r>
      <w:r>
        <w:rPr>
          <w:w w:val="120"/>
          <w:sz w:val="20"/>
        </w:rPr>
        <w:t>campaigning for the life of the</w:t>
      </w:r>
      <w:r>
        <w:rPr>
          <w:spacing w:val="-2"/>
          <w:w w:val="120"/>
          <w:sz w:val="20"/>
        </w:rPr>
        <w:t> </w:t>
      </w:r>
      <w:r>
        <w:rPr>
          <w:w w:val="120"/>
          <w:sz w:val="20"/>
        </w:rPr>
        <w:t>world.</w:t>
      </w:r>
    </w:p>
    <w:p>
      <w:pPr>
        <w:pStyle w:val="BodyText"/>
        <w:spacing w:line="235" w:lineRule="auto" w:before="2"/>
        <w:ind w:left="827" w:right="2126"/>
      </w:pPr>
      <w:r>
        <w:rPr>
          <w:w w:val="120"/>
        </w:rPr>
        <w:t>Our partner’s work is still there and needed more than ever. They rely and plan on the contributions we give, and we thank the over 400 local churches who are active in Commitment for Life. We will continue to resource churches to show how their</w:t>
      </w:r>
    </w:p>
    <w:p>
      <w:pPr>
        <w:pStyle w:val="BodyText"/>
        <w:spacing w:line="235" w:lineRule="auto" w:before="2"/>
        <w:ind w:left="827" w:right="1589"/>
      </w:pPr>
      <w:r>
        <w:rPr>
          <w:spacing w:val="-3"/>
          <w:w w:val="120"/>
        </w:rPr>
        <w:t>contributions </w:t>
      </w:r>
      <w:r>
        <w:rPr>
          <w:w w:val="120"/>
        </w:rPr>
        <w:t>are used and the difference it </w:t>
      </w:r>
      <w:r>
        <w:rPr>
          <w:spacing w:val="-3"/>
          <w:w w:val="120"/>
        </w:rPr>
        <w:t>makes </w:t>
      </w:r>
      <w:r>
        <w:rPr>
          <w:w w:val="120"/>
        </w:rPr>
        <w:t>for the sake of </w:t>
      </w:r>
      <w:r>
        <w:rPr>
          <w:spacing w:val="-3"/>
          <w:w w:val="120"/>
        </w:rPr>
        <w:t>those whose lives </w:t>
      </w:r>
      <w:r>
        <w:rPr>
          <w:w w:val="120"/>
        </w:rPr>
        <w:t>might be transformed. Can </w:t>
      </w:r>
      <w:r>
        <w:rPr>
          <w:spacing w:val="-3"/>
          <w:w w:val="120"/>
        </w:rPr>
        <w:t>your church </w:t>
      </w:r>
      <w:r>
        <w:rPr>
          <w:w w:val="120"/>
        </w:rPr>
        <w:t>be part of that </w:t>
      </w:r>
      <w:r>
        <w:rPr>
          <w:spacing w:val="-3"/>
          <w:w w:val="120"/>
        </w:rPr>
        <w:t>commitment </w:t>
      </w:r>
      <w:r>
        <w:rPr>
          <w:w w:val="120"/>
        </w:rPr>
        <w:t>and </w:t>
      </w:r>
      <w:r>
        <w:rPr>
          <w:spacing w:val="-3"/>
          <w:w w:val="120"/>
        </w:rPr>
        <w:t>transformation?</w:t>
      </w:r>
    </w:p>
    <w:p>
      <w:pPr>
        <w:spacing w:after="0" w:line="235" w:lineRule="auto"/>
        <w:sectPr>
          <w:headerReference w:type="even" r:id="rId400"/>
          <w:pgSz w:w="11910" w:h="16840"/>
          <w:pgMar w:header="0" w:footer="647" w:top="0" w:bottom="840" w:left="420" w:right="380"/>
        </w:sectPr>
      </w:pPr>
    </w:p>
    <w:p>
      <w:pPr>
        <w:pStyle w:val="BodyText"/>
      </w:pPr>
    </w:p>
    <w:p>
      <w:pPr>
        <w:pStyle w:val="BodyText"/>
        <w:spacing w:before="5"/>
        <w:rPr>
          <w:sz w:val="21"/>
        </w:rPr>
      </w:pPr>
    </w:p>
    <w:p>
      <w:pPr>
        <w:spacing w:after="0"/>
        <w:rPr>
          <w:sz w:val="21"/>
        </w:rPr>
        <w:sectPr>
          <w:headerReference w:type="default" r:id="rId401"/>
          <w:footerReference w:type="default" r:id="rId402"/>
          <w:footerReference w:type="even" r:id="rId403"/>
          <w:pgSz w:w="11910" w:h="16840"/>
          <w:pgMar w:header="0" w:footer="647" w:top="0" w:bottom="840" w:left="420" w:right="380"/>
          <w:pgNumType w:start="147"/>
        </w:sectPr>
      </w:pPr>
    </w:p>
    <w:p>
      <w:pPr>
        <w:pStyle w:val="BodyText"/>
        <w:spacing w:before="6"/>
        <w:rPr>
          <w:sz w:val="52"/>
        </w:rPr>
      </w:pPr>
    </w:p>
    <w:p>
      <w:pPr>
        <w:pStyle w:val="Heading4"/>
        <w:ind w:left="1564" w:firstLine="0"/>
      </w:pPr>
      <w:r>
        <w:rPr>
          <w:spacing w:val="3"/>
          <w:w w:val="110"/>
        </w:rPr>
        <w:t>Ecumenical relations and </w:t>
      </w:r>
      <w:r>
        <w:rPr>
          <w:spacing w:val="4"/>
          <w:w w:val="110"/>
        </w:rPr>
        <w:t>interfaith</w:t>
      </w:r>
      <w:r>
        <w:rPr>
          <w:spacing w:val="77"/>
          <w:w w:val="110"/>
        </w:rPr>
        <w:t> </w:t>
      </w:r>
      <w:r>
        <w:rPr>
          <w:spacing w:val="2"/>
          <w:w w:val="110"/>
        </w:rPr>
        <w:t>work</w:t>
      </w:r>
    </w:p>
    <w:p>
      <w:pPr>
        <w:pStyle w:val="Heading5"/>
        <w:ind w:left="1174"/>
      </w:pPr>
      <w:r>
        <w:rPr/>
        <w:br w:type="column"/>
      </w:r>
      <w:r>
        <w:rPr>
          <w:color w:val="7EAABF"/>
          <w:w w:val="115"/>
        </w:rPr>
        <w:t>Mission</w:t>
      </w:r>
    </w:p>
    <w:p>
      <w:pPr>
        <w:spacing w:after="0"/>
        <w:sectPr>
          <w:type w:val="continuous"/>
          <w:pgSz w:w="11910" w:h="16840"/>
          <w:pgMar w:top="1580" w:bottom="280" w:left="420" w:right="380"/>
          <w:cols w:num="2" w:equalWidth="0">
            <w:col w:w="8079" w:space="40"/>
            <w:col w:w="2991"/>
          </w:cols>
        </w:sectPr>
      </w:pPr>
    </w:p>
    <w:p>
      <w:pPr>
        <w:pStyle w:val="ListParagraph"/>
        <w:numPr>
          <w:ilvl w:val="1"/>
          <w:numId w:val="105"/>
        </w:numPr>
        <w:tabs>
          <w:tab w:pos="2244" w:val="left" w:leader="none"/>
          <w:tab w:pos="2245" w:val="left" w:leader="none"/>
        </w:tabs>
        <w:spacing w:line="235" w:lineRule="auto" w:before="69" w:after="0"/>
        <w:ind w:left="1564" w:right="1015" w:firstLine="0"/>
        <w:jc w:val="left"/>
        <w:rPr>
          <w:sz w:val="20"/>
        </w:rPr>
      </w:pPr>
      <w:r>
        <w:rPr/>
        <w:drawing>
          <wp:anchor distT="0" distB="0" distL="0" distR="0" allowOverlap="1" layoutInCell="1" locked="0" behindDoc="0" simplePos="0" relativeHeight="252043264">
            <wp:simplePos x="0" y="0"/>
            <wp:positionH relativeFrom="page">
              <wp:posOffset>6974928</wp:posOffset>
            </wp:positionH>
            <wp:positionV relativeFrom="page">
              <wp:posOffset>0</wp:posOffset>
            </wp:positionV>
            <wp:extent cx="585063" cy="10692003"/>
            <wp:effectExtent l="0" t="0" r="0" b="0"/>
            <wp:wrapNone/>
            <wp:docPr id="283" name="image57.png"/>
            <wp:cNvGraphicFramePr>
              <a:graphicFrameLocks noChangeAspect="1"/>
            </wp:cNvGraphicFramePr>
            <a:graphic>
              <a:graphicData uri="http://schemas.openxmlformats.org/drawingml/2006/picture">
                <pic:pic>
                  <pic:nvPicPr>
                    <pic:cNvPr id="284" name="image57.png"/>
                    <pic:cNvPicPr/>
                  </pic:nvPicPr>
                  <pic:blipFill>
                    <a:blip r:embed="rId230" cstate="print"/>
                    <a:stretch>
                      <a:fillRect/>
                    </a:stretch>
                  </pic:blipFill>
                  <pic:spPr>
                    <a:xfrm>
                      <a:off x="0" y="0"/>
                      <a:ext cx="585063" cy="10692003"/>
                    </a:xfrm>
                    <a:prstGeom prst="rect">
                      <a:avLst/>
                    </a:prstGeom>
                  </pic:spPr>
                </pic:pic>
              </a:graphicData>
            </a:graphic>
          </wp:anchor>
        </w:drawing>
      </w:r>
      <w:r>
        <w:rPr/>
        <w:pict>
          <v:shape style="position:absolute;margin-left:554.141174pt;margin-top:-28.931347pt;width:26pt;height:80.1pt;mso-position-horizontal-relative:page;mso-position-vertical-relative:paragraph;z-index:25204428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w w:val="120"/>
          <w:sz w:val="20"/>
        </w:rPr>
        <w:t>With its unions in </w:t>
      </w:r>
      <w:r>
        <w:rPr>
          <w:spacing w:val="-7"/>
          <w:w w:val="120"/>
          <w:sz w:val="20"/>
        </w:rPr>
        <w:t>1972, 1981 </w:t>
      </w:r>
      <w:r>
        <w:rPr>
          <w:w w:val="120"/>
          <w:sz w:val="20"/>
        </w:rPr>
        <w:t>and 2000, the United Reformed Church has ecumenism rooted in its very existence. Whilst further structural unity does not  appear at all </w:t>
      </w:r>
      <w:r>
        <w:rPr>
          <w:spacing w:val="-3"/>
          <w:w w:val="120"/>
          <w:sz w:val="20"/>
        </w:rPr>
        <w:t>likely, </w:t>
      </w:r>
      <w:r>
        <w:rPr>
          <w:w w:val="120"/>
          <w:sz w:val="20"/>
        </w:rPr>
        <w:t>the Holy Spirit is still at work in a wide range of creative ecumenical possibilities and amongst a broader number of churches and organisations. The Greek word </w:t>
      </w:r>
      <w:r>
        <w:rPr>
          <w:i/>
          <w:w w:val="120"/>
          <w:sz w:val="20"/>
        </w:rPr>
        <w:t>oikoumené </w:t>
      </w:r>
      <w:r>
        <w:rPr>
          <w:w w:val="120"/>
          <w:sz w:val="20"/>
        </w:rPr>
        <w:t>is often translated to indicate the ‘whole household of </w:t>
      </w:r>
      <w:r>
        <w:rPr>
          <w:spacing w:val="-4"/>
          <w:w w:val="120"/>
          <w:sz w:val="20"/>
        </w:rPr>
        <w:t>God’. </w:t>
      </w:r>
      <w:r>
        <w:rPr>
          <w:w w:val="120"/>
          <w:sz w:val="20"/>
        </w:rPr>
        <w:t>It is appropriate that within the mission committee, the staff secretary, the Revd Philip Brooks covers ecumenical and interfaith relations. Developing positive</w:t>
      </w:r>
      <w:r>
        <w:rPr>
          <w:spacing w:val="26"/>
          <w:w w:val="120"/>
          <w:sz w:val="20"/>
        </w:rPr>
        <w:t> </w:t>
      </w:r>
      <w:r>
        <w:rPr>
          <w:w w:val="120"/>
          <w:sz w:val="20"/>
        </w:rPr>
        <w:t>relationships</w:t>
      </w:r>
    </w:p>
    <w:p>
      <w:pPr>
        <w:pStyle w:val="BodyText"/>
        <w:spacing w:line="235" w:lineRule="auto" w:before="5"/>
        <w:ind w:left="1564" w:right="1528"/>
      </w:pPr>
      <w:r>
        <w:rPr>
          <w:w w:val="120"/>
        </w:rPr>
        <w:t>is central to the work and the section below provides just a flavour of the URC’s interaction with faith partners.</w:t>
      </w:r>
    </w:p>
    <w:p>
      <w:pPr>
        <w:pStyle w:val="BodyText"/>
        <w:spacing w:before="2"/>
        <w:rPr>
          <w:sz w:val="22"/>
        </w:rPr>
      </w:pPr>
    </w:p>
    <w:p>
      <w:pPr>
        <w:pStyle w:val="Heading4"/>
        <w:ind w:left="1564" w:firstLine="0"/>
      </w:pPr>
      <w:r>
        <w:rPr>
          <w:w w:val="110"/>
        </w:rPr>
        <w:t>Ecumenical relations</w:t>
      </w:r>
    </w:p>
    <w:p>
      <w:pPr>
        <w:pStyle w:val="ListParagraph"/>
        <w:numPr>
          <w:ilvl w:val="1"/>
          <w:numId w:val="105"/>
        </w:numPr>
        <w:tabs>
          <w:tab w:pos="2244" w:val="left" w:leader="none"/>
          <w:tab w:pos="2245" w:val="left" w:leader="none"/>
        </w:tabs>
        <w:spacing w:line="235" w:lineRule="auto" w:before="69" w:after="0"/>
        <w:ind w:left="1564" w:right="881" w:firstLine="0"/>
        <w:jc w:val="left"/>
        <w:rPr>
          <w:sz w:val="20"/>
        </w:rPr>
      </w:pPr>
      <w:r>
        <w:rPr>
          <w:w w:val="120"/>
          <w:sz w:val="20"/>
        </w:rPr>
        <w:t>The Churches Together in England (CTE) document, </w:t>
      </w:r>
      <w:r>
        <w:rPr>
          <w:i/>
          <w:w w:val="120"/>
          <w:sz w:val="20"/>
        </w:rPr>
        <w:t>A new Framework for Local </w:t>
      </w:r>
      <w:r>
        <w:rPr>
          <w:i/>
          <w:w w:val="120"/>
          <w:sz w:val="20"/>
        </w:rPr>
        <w:t>Unity in Mission</w:t>
      </w:r>
      <w:r>
        <w:rPr>
          <w:w w:val="120"/>
          <w:sz w:val="20"/>
        </w:rPr>
        <w:t>, is now the broadly accepted resource paper for ecumenical working in England but is still a work in progress. It provides a realistic and up-to-date picture of  the state of ecumenism in England. The document helpfully encourages a more creative and lighter touch approach to ecumenical ways of working. Earlier this </w:t>
      </w:r>
      <w:r>
        <w:rPr>
          <w:spacing w:val="-4"/>
          <w:w w:val="120"/>
          <w:sz w:val="20"/>
        </w:rPr>
        <w:t>year, </w:t>
      </w:r>
      <w:r>
        <w:rPr>
          <w:spacing w:val="3"/>
          <w:w w:val="120"/>
          <w:sz w:val="20"/>
        </w:rPr>
        <w:t>CTE </w:t>
      </w:r>
      <w:r>
        <w:rPr>
          <w:w w:val="120"/>
          <w:sz w:val="20"/>
        </w:rPr>
        <w:t>published some guidance about its implementation. These resource documents are available on the </w:t>
      </w:r>
      <w:r>
        <w:rPr>
          <w:spacing w:val="3"/>
          <w:w w:val="120"/>
          <w:sz w:val="20"/>
        </w:rPr>
        <w:t>CTE</w:t>
      </w:r>
      <w:r>
        <w:rPr>
          <w:spacing w:val="8"/>
          <w:w w:val="120"/>
          <w:sz w:val="20"/>
        </w:rPr>
        <w:t> </w:t>
      </w:r>
      <w:r>
        <w:rPr>
          <w:w w:val="120"/>
          <w:sz w:val="20"/>
        </w:rPr>
        <w:t>website.</w:t>
      </w:r>
    </w:p>
    <w:p>
      <w:pPr>
        <w:pStyle w:val="BodyText"/>
        <w:spacing w:before="1"/>
      </w:pPr>
    </w:p>
    <w:p>
      <w:pPr>
        <w:pStyle w:val="ListParagraph"/>
        <w:numPr>
          <w:ilvl w:val="1"/>
          <w:numId w:val="105"/>
        </w:numPr>
        <w:tabs>
          <w:tab w:pos="2245" w:val="left" w:leader="none"/>
        </w:tabs>
        <w:spacing w:line="235" w:lineRule="auto" w:before="0" w:after="0"/>
        <w:ind w:left="1564" w:right="1677" w:firstLine="0"/>
        <w:jc w:val="both"/>
        <w:rPr>
          <w:sz w:val="20"/>
        </w:rPr>
      </w:pPr>
      <w:r>
        <w:rPr>
          <w:w w:val="120"/>
          <w:sz w:val="20"/>
        </w:rPr>
        <w:t>The work of </w:t>
      </w:r>
      <w:r>
        <w:rPr>
          <w:spacing w:val="3"/>
          <w:w w:val="120"/>
          <w:sz w:val="20"/>
        </w:rPr>
        <w:t>CTE </w:t>
      </w:r>
      <w:r>
        <w:rPr>
          <w:w w:val="120"/>
          <w:sz w:val="20"/>
        </w:rPr>
        <w:t>was affirmed in the </w:t>
      </w:r>
      <w:r>
        <w:rPr>
          <w:spacing w:val="-9"/>
          <w:w w:val="120"/>
          <w:sz w:val="20"/>
        </w:rPr>
        <w:t>2017 </w:t>
      </w:r>
      <w:r>
        <w:rPr>
          <w:w w:val="120"/>
          <w:sz w:val="20"/>
        </w:rPr>
        <w:t>Theos report, particularly with reference to the way in which </w:t>
      </w:r>
      <w:r>
        <w:rPr>
          <w:spacing w:val="3"/>
          <w:w w:val="120"/>
          <w:sz w:val="20"/>
        </w:rPr>
        <w:t>CTE </w:t>
      </w:r>
      <w:r>
        <w:rPr>
          <w:w w:val="120"/>
          <w:sz w:val="20"/>
        </w:rPr>
        <w:t>has been successful in substantially widening its membership to include </w:t>
      </w:r>
      <w:r>
        <w:rPr>
          <w:spacing w:val="-8"/>
          <w:w w:val="120"/>
          <w:sz w:val="20"/>
        </w:rPr>
        <w:t>47 </w:t>
      </w:r>
      <w:r>
        <w:rPr>
          <w:w w:val="120"/>
          <w:sz w:val="20"/>
        </w:rPr>
        <w:t>churches. </w:t>
      </w:r>
      <w:r>
        <w:rPr>
          <w:spacing w:val="3"/>
          <w:w w:val="120"/>
          <w:sz w:val="20"/>
        </w:rPr>
        <w:t>CTE </w:t>
      </w:r>
      <w:r>
        <w:rPr>
          <w:w w:val="120"/>
          <w:sz w:val="20"/>
        </w:rPr>
        <w:t>is now actively working on</w:t>
      </w:r>
      <w:r>
        <w:rPr>
          <w:spacing w:val="45"/>
          <w:w w:val="120"/>
          <w:sz w:val="20"/>
        </w:rPr>
        <w:t> </w:t>
      </w:r>
      <w:r>
        <w:rPr>
          <w:w w:val="120"/>
          <w:sz w:val="20"/>
        </w:rPr>
        <w:t>the</w:t>
      </w:r>
    </w:p>
    <w:p>
      <w:pPr>
        <w:pStyle w:val="BodyText"/>
        <w:spacing w:line="235" w:lineRule="auto" w:before="2"/>
        <w:ind w:left="1564" w:right="1169"/>
      </w:pPr>
      <w:r>
        <w:rPr>
          <w:w w:val="120"/>
        </w:rPr>
        <w:t>recommendations contained in the report. Former URC General Secretary, the Revd Dr David Cornick, retires as CTE General Secretary in September 2018. His successor, the Revd Dr Paul Goodliff, is a minister in the Baptist Union and brings considerable ecumenical experience to his new appointment.</w:t>
      </w:r>
    </w:p>
    <w:p>
      <w:pPr>
        <w:pStyle w:val="BodyText"/>
        <w:spacing w:before="11"/>
        <w:rPr>
          <w:sz w:val="19"/>
        </w:rPr>
      </w:pPr>
    </w:p>
    <w:p>
      <w:pPr>
        <w:pStyle w:val="ListParagraph"/>
        <w:numPr>
          <w:ilvl w:val="1"/>
          <w:numId w:val="105"/>
        </w:numPr>
        <w:tabs>
          <w:tab w:pos="2244" w:val="left" w:leader="none"/>
          <w:tab w:pos="2245" w:val="left" w:leader="none"/>
        </w:tabs>
        <w:spacing w:line="235" w:lineRule="auto" w:before="0" w:after="0"/>
        <w:ind w:left="1564" w:right="909" w:firstLine="0"/>
        <w:jc w:val="left"/>
        <w:rPr>
          <w:sz w:val="20"/>
        </w:rPr>
      </w:pPr>
      <w:r>
        <w:rPr>
          <w:w w:val="120"/>
          <w:sz w:val="20"/>
        </w:rPr>
        <w:t>In </w:t>
      </w:r>
      <w:r>
        <w:rPr>
          <w:spacing w:val="-5"/>
          <w:w w:val="120"/>
          <w:sz w:val="20"/>
        </w:rPr>
        <w:t>2018, </w:t>
      </w:r>
      <w:r>
        <w:rPr>
          <w:w w:val="120"/>
          <w:sz w:val="20"/>
        </w:rPr>
        <w:t>Theos published a </w:t>
      </w:r>
      <w:r>
        <w:rPr>
          <w:spacing w:val="2"/>
          <w:w w:val="120"/>
          <w:sz w:val="20"/>
        </w:rPr>
        <w:t>report </w:t>
      </w:r>
      <w:r>
        <w:rPr>
          <w:w w:val="120"/>
          <w:sz w:val="20"/>
        </w:rPr>
        <w:t>on Scotland’s ecumenical instrument, </w:t>
      </w:r>
      <w:r>
        <w:rPr>
          <w:i/>
          <w:w w:val="120"/>
          <w:sz w:val="20"/>
        </w:rPr>
        <w:t>Action of </w:t>
      </w:r>
      <w:r>
        <w:rPr>
          <w:i/>
          <w:w w:val="120"/>
          <w:sz w:val="20"/>
        </w:rPr>
        <w:t>Churches Together in Scotland </w:t>
      </w:r>
      <w:r>
        <w:rPr>
          <w:spacing w:val="-3"/>
          <w:w w:val="120"/>
          <w:sz w:val="20"/>
        </w:rPr>
        <w:t>(Acts). </w:t>
      </w:r>
      <w:r>
        <w:rPr>
          <w:w w:val="120"/>
          <w:sz w:val="20"/>
        </w:rPr>
        <w:t>In contrast to their </w:t>
      </w:r>
      <w:r>
        <w:rPr>
          <w:spacing w:val="2"/>
          <w:w w:val="120"/>
          <w:sz w:val="20"/>
        </w:rPr>
        <w:t>report </w:t>
      </w:r>
      <w:r>
        <w:rPr>
          <w:w w:val="120"/>
          <w:sz w:val="20"/>
        </w:rPr>
        <w:t>on </w:t>
      </w:r>
      <w:r>
        <w:rPr>
          <w:spacing w:val="2"/>
          <w:w w:val="120"/>
          <w:sz w:val="20"/>
        </w:rPr>
        <w:t>CTE, </w:t>
      </w:r>
      <w:r>
        <w:rPr>
          <w:w w:val="120"/>
          <w:sz w:val="20"/>
        </w:rPr>
        <w:t>Theos felt there was the need for more radical change within </w:t>
      </w:r>
      <w:r>
        <w:rPr>
          <w:spacing w:val="2"/>
          <w:w w:val="120"/>
          <w:sz w:val="20"/>
        </w:rPr>
        <w:t>Acts. </w:t>
      </w:r>
      <w:r>
        <w:rPr>
          <w:w w:val="120"/>
          <w:sz w:val="20"/>
        </w:rPr>
        <w:t>It recommended a major restructure as well as identifying the need to broaden its</w:t>
      </w:r>
      <w:r>
        <w:rPr>
          <w:spacing w:val="23"/>
          <w:w w:val="120"/>
          <w:sz w:val="20"/>
        </w:rPr>
        <w:t> </w:t>
      </w:r>
      <w:r>
        <w:rPr>
          <w:w w:val="120"/>
          <w:sz w:val="20"/>
        </w:rPr>
        <w:t>membership.</w:t>
      </w:r>
    </w:p>
    <w:p>
      <w:pPr>
        <w:pStyle w:val="BodyText"/>
        <w:spacing w:before="11"/>
        <w:rPr>
          <w:sz w:val="19"/>
        </w:rPr>
      </w:pPr>
    </w:p>
    <w:p>
      <w:pPr>
        <w:pStyle w:val="ListParagraph"/>
        <w:numPr>
          <w:ilvl w:val="1"/>
          <w:numId w:val="105"/>
        </w:numPr>
        <w:tabs>
          <w:tab w:pos="2244" w:val="left" w:leader="none"/>
          <w:tab w:pos="2245" w:val="left" w:leader="none"/>
        </w:tabs>
        <w:spacing w:line="235" w:lineRule="auto" w:before="0" w:after="0"/>
        <w:ind w:left="1564" w:right="878" w:firstLine="0"/>
        <w:jc w:val="left"/>
        <w:rPr>
          <w:sz w:val="20"/>
        </w:rPr>
      </w:pPr>
      <w:r>
        <w:rPr>
          <w:w w:val="120"/>
          <w:sz w:val="20"/>
        </w:rPr>
        <w:t>A key ecumenical development has been the Church of England and Methodist </w:t>
      </w:r>
      <w:r>
        <w:rPr>
          <w:spacing w:val="-3"/>
          <w:w w:val="120"/>
          <w:sz w:val="20"/>
        </w:rPr>
        <w:t>Church’s </w:t>
      </w:r>
      <w:r>
        <w:rPr>
          <w:w w:val="120"/>
          <w:sz w:val="20"/>
        </w:rPr>
        <w:t>‘Mission and Ministry in </w:t>
      </w:r>
      <w:r>
        <w:rPr>
          <w:spacing w:val="-3"/>
          <w:w w:val="120"/>
          <w:sz w:val="20"/>
        </w:rPr>
        <w:t>Covenant’. </w:t>
      </w:r>
      <w:r>
        <w:rPr>
          <w:w w:val="120"/>
          <w:sz w:val="20"/>
        </w:rPr>
        <w:t>The covenant aims to provide full interchangeability of ministry between the two Churches. The Methodist Church would have to agree to recognise the office of a president-bishop, expressing in a personal form its Conference’s ministry of oversight. The URC faith and order committee  provided feedback and reflection to a process which still has several years to run before its potential acceptance by the Church of England and Methodist</w:t>
      </w:r>
      <w:r>
        <w:rPr>
          <w:spacing w:val="42"/>
          <w:w w:val="120"/>
          <w:sz w:val="20"/>
        </w:rPr>
        <w:t> </w:t>
      </w:r>
      <w:r>
        <w:rPr>
          <w:w w:val="120"/>
          <w:sz w:val="20"/>
        </w:rPr>
        <w:t>Church.</w:t>
      </w:r>
    </w:p>
    <w:p>
      <w:pPr>
        <w:pStyle w:val="BodyText"/>
        <w:spacing w:before="1"/>
      </w:pPr>
    </w:p>
    <w:p>
      <w:pPr>
        <w:pStyle w:val="ListParagraph"/>
        <w:numPr>
          <w:ilvl w:val="1"/>
          <w:numId w:val="105"/>
        </w:numPr>
        <w:tabs>
          <w:tab w:pos="2244" w:val="left" w:leader="none"/>
          <w:tab w:pos="2245" w:val="left" w:leader="none"/>
        </w:tabs>
        <w:spacing w:line="235" w:lineRule="auto" w:before="0" w:after="0"/>
        <w:ind w:left="1564" w:right="928" w:firstLine="0"/>
        <w:jc w:val="left"/>
        <w:rPr>
          <w:sz w:val="20"/>
        </w:rPr>
      </w:pPr>
      <w:r>
        <w:rPr>
          <w:w w:val="120"/>
          <w:sz w:val="20"/>
        </w:rPr>
        <w:t>The ecumenical county of Cumbria continues to provide inspiration for churches across the country. The vision of ‘God for all’ sets the challenge that by 2020 every person in Cumbria of all ages and backgrounds will have had an opportunity to   discover more of God and God’s purpose for their life. The Revd Sarah Moore, a URC special category minister, serves as our area president for</w:t>
      </w:r>
      <w:r>
        <w:rPr>
          <w:spacing w:val="15"/>
          <w:w w:val="120"/>
          <w:sz w:val="20"/>
        </w:rPr>
        <w:t> </w:t>
      </w:r>
      <w:r>
        <w:rPr>
          <w:w w:val="120"/>
          <w:sz w:val="20"/>
        </w:rPr>
        <w:t>Cumbria.</w:t>
      </w:r>
    </w:p>
    <w:p>
      <w:pPr>
        <w:pStyle w:val="BodyText"/>
        <w:spacing w:before="11"/>
        <w:rPr>
          <w:sz w:val="19"/>
        </w:rPr>
      </w:pPr>
    </w:p>
    <w:p>
      <w:pPr>
        <w:pStyle w:val="ListParagraph"/>
        <w:numPr>
          <w:ilvl w:val="1"/>
          <w:numId w:val="105"/>
        </w:numPr>
        <w:tabs>
          <w:tab w:pos="2244" w:val="left" w:leader="none"/>
          <w:tab w:pos="2245" w:val="left" w:leader="none"/>
        </w:tabs>
        <w:spacing w:line="235" w:lineRule="auto" w:before="0" w:after="0"/>
        <w:ind w:left="1564" w:right="1116" w:firstLine="0"/>
        <w:jc w:val="left"/>
        <w:rPr>
          <w:sz w:val="20"/>
        </w:rPr>
      </w:pPr>
      <w:r>
        <w:rPr>
          <w:w w:val="120"/>
          <w:sz w:val="20"/>
        </w:rPr>
        <w:t>A good deal of the </w:t>
      </w:r>
      <w:r>
        <w:rPr>
          <w:spacing w:val="-3"/>
          <w:w w:val="120"/>
          <w:sz w:val="20"/>
        </w:rPr>
        <w:t>URC’s </w:t>
      </w:r>
      <w:r>
        <w:rPr>
          <w:w w:val="120"/>
          <w:sz w:val="20"/>
        </w:rPr>
        <w:t>ecumenical work at national level operates through bilateral groups such as the Methodist/URC Liaison Group. It is encouraging to </w:t>
      </w:r>
      <w:r>
        <w:rPr>
          <w:spacing w:val="2"/>
          <w:w w:val="120"/>
          <w:sz w:val="20"/>
        </w:rPr>
        <w:t>report </w:t>
      </w:r>
      <w:r>
        <w:rPr>
          <w:w w:val="120"/>
          <w:sz w:val="20"/>
        </w:rPr>
        <w:t>that we move to new rounds of dialogue with the Church of England/URC Contact Group and the Catholic/URC Dialogue</w:t>
      </w:r>
      <w:r>
        <w:rPr>
          <w:spacing w:val="17"/>
          <w:w w:val="120"/>
          <w:sz w:val="20"/>
        </w:rPr>
        <w:t> </w:t>
      </w:r>
      <w:r>
        <w:rPr>
          <w:w w:val="120"/>
          <w:sz w:val="20"/>
        </w:rPr>
        <w:t>Group.</w:t>
      </w:r>
    </w:p>
    <w:p>
      <w:pPr>
        <w:pStyle w:val="BodyText"/>
        <w:spacing w:before="11"/>
        <w:rPr>
          <w:sz w:val="19"/>
        </w:rPr>
      </w:pPr>
    </w:p>
    <w:p>
      <w:pPr>
        <w:pStyle w:val="ListParagraph"/>
        <w:numPr>
          <w:ilvl w:val="1"/>
          <w:numId w:val="105"/>
        </w:numPr>
        <w:tabs>
          <w:tab w:pos="2244" w:val="left" w:leader="none"/>
          <w:tab w:pos="2245" w:val="left" w:leader="none"/>
        </w:tabs>
        <w:spacing w:line="235" w:lineRule="auto" w:before="0" w:after="0"/>
        <w:ind w:left="1564" w:right="1068" w:firstLine="0"/>
        <w:jc w:val="left"/>
        <w:rPr>
          <w:sz w:val="20"/>
        </w:rPr>
      </w:pPr>
      <w:r>
        <w:rPr>
          <w:w w:val="120"/>
          <w:sz w:val="20"/>
        </w:rPr>
        <w:t>The year </w:t>
      </w:r>
      <w:r>
        <w:rPr>
          <w:spacing w:val="-9"/>
          <w:w w:val="120"/>
          <w:sz w:val="20"/>
        </w:rPr>
        <w:t>2017 </w:t>
      </w:r>
      <w:r>
        <w:rPr>
          <w:w w:val="120"/>
          <w:sz w:val="20"/>
        </w:rPr>
        <w:t>saw the commemoration of 500 years since the Reformation. Many events took place including an ecumenical act of worship at Westminster Abbey and the </w:t>
      </w:r>
      <w:r>
        <w:rPr>
          <w:spacing w:val="3"/>
          <w:w w:val="120"/>
          <w:sz w:val="20"/>
        </w:rPr>
        <w:t>CTE </w:t>
      </w:r>
      <w:r>
        <w:rPr>
          <w:w w:val="120"/>
          <w:sz w:val="20"/>
        </w:rPr>
        <w:t>conference ‘Responding to the Reformation’. In </w:t>
      </w:r>
      <w:r>
        <w:rPr>
          <w:spacing w:val="-5"/>
          <w:w w:val="120"/>
          <w:sz w:val="20"/>
        </w:rPr>
        <w:t>2018, </w:t>
      </w:r>
      <w:r>
        <w:rPr>
          <w:w w:val="120"/>
          <w:sz w:val="20"/>
        </w:rPr>
        <w:t>conversations have begun about how the legacy of these events can be carried forward in new areas of ecumenical</w:t>
      </w:r>
      <w:r>
        <w:rPr>
          <w:spacing w:val="2"/>
          <w:w w:val="120"/>
          <w:sz w:val="20"/>
        </w:rPr>
        <w:t> </w:t>
      </w:r>
      <w:r>
        <w:rPr>
          <w:w w:val="120"/>
          <w:sz w:val="20"/>
        </w:rPr>
        <w:t>cooperation.</w:t>
      </w:r>
    </w:p>
    <w:p>
      <w:pPr>
        <w:spacing w:after="0" w:line="235" w:lineRule="auto"/>
        <w:jc w:val="left"/>
        <w:rPr>
          <w:sz w:val="20"/>
        </w:rPr>
        <w:sectPr>
          <w:type w:val="continuous"/>
          <w:pgSz w:w="11910" w:h="16840"/>
          <w:pgMar w:top="1580" w:bottom="280" w:left="420" w:right="380"/>
        </w:sectPr>
      </w:pPr>
    </w:p>
    <w:p>
      <w:pPr>
        <w:pStyle w:val="BodyText"/>
      </w:pPr>
      <w:r>
        <w:rPr/>
        <w:drawing>
          <wp:anchor distT="0" distB="0" distL="0" distR="0" allowOverlap="1" layoutInCell="1" locked="0" behindDoc="1" simplePos="0" relativeHeight="236079104">
            <wp:simplePos x="0" y="0"/>
            <wp:positionH relativeFrom="page">
              <wp:posOffset>0</wp:posOffset>
            </wp:positionH>
            <wp:positionV relativeFrom="page">
              <wp:posOffset>0</wp:posOffset>
            </wp:positionV>
            <wp:extent cx="594067" cy="10692003"/>
            <wp:effectExtent l="0" t="0" r="0" b="0"/>
            <wp:wrapNone/>
            <wp:docPr id="285" name="image70.png"/>
            <wp:cNvGraphicFramePr>
              <a:graphicFrameLocks noChangeAspect="1"/>
            </wp:cNvGraphicFramePr>
            <a:graphic>
              <a:graphicData uri="http://schemas.openxmlformats.org/drawingml/2006/picture">
                <pic:pic>
                  <pic:nvPicPr>
                    <pic:cNvPr id="28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4736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spacing w:before="215"/>
        <w:ind w:left="827" w:right="0" w:firstLine="0"/>
        <w:jc w:val="left"/>
        <w:rPr>
          <w:rFonts w:ascii="Stone Sans II ITC Std Bk"/>
          <w:b/>
          <w:sz w:val="29"/>
        </w:rPr>
      </w:pPr>
      <w:r>
        <w:rPr>
          <w:rFonts w:ascii="Stone Sans II ITC Std Bk"/>
          <w:b/>
          <w:w w:val="110"/>
          <w:sz w:val="29"/>
        </w:rPr>
        <w:t>European ecumenical relations</w:t>
      </w:r>
    </w:p>
    <w:p>
      <w:pPr>
        <w:pStyle w:val="ListParagraph"/>
        <w:numPr>
          <w:ilvl w:val="1"/>
          <w:numId w:val="105"/>
        </w:numPr>
        <w:tabs>
          <w:tab w:pos="1507" w:val="left" w:leader="none"/>
          <w:tab w:pos="1508" w:val="left" w:leader="none"/>
        </w:tabs>
        <w:spacing w:line="235" w:lineRule="auto" w:before="69" w:after="0"/>
        <w:ind w:left="827" w:right="1723" w:firstLine="0"/>
        <w:jc w:val="left"/>
        <w:rPr>
          <w:sz w:val="20"/>
        </w:rPr>
      </w:pPr>
      <w:r>
        <w:rPr>
          <w:w w:val="120"/>
          <w:sz w:val="20"/>
        </w:rPr>
        <w:t>In </w:t>
      </w:r>
      <w:r>
        <w:rPr>
          <w:spacing w:val="-6"/>
          <w:w w:val="120"/>
          <w:sz w:val="20"/>
        </w:rPr>
        <w:t>2016, </w:t>
      </w:r>
      <w:r>
        <w:rPr>
          <w:w w:val="120"/>
          <w:sz w:val="20"/>
        </w:rPr>
        <w:t>General Assembly passed resolution 50 which, in the light of Brexit, committed the URC to ‘ongoing ecumenical relationships with partner churches across </w:t>
      </w:r>
      <w:r>
        <w:rPr>
          <w:spacing w:val="-4"/>
          <w:w w:val="120"/>
          <w:sz w:val="20"/>
        </w:rPr>
        <w:t>Europe’. </w:t>
      </w:r>
      <w:r>
        <w:rPr>
          <w:w w:val="120"/>
          <w:sz w:val="20"/>
        </w:rPr>
        <w:t>This is expressed in several different</w:t>
      </w:r>
      <w:r>
        <w:rPr>
          <w:spacing w:val="15"/>
          <w:w w:val="120"/>
          <w:sz w:val="20"/>
        </w:rPr>
        <w:t> </w:t>
      </w:r>
      <w:r>
        <w:rPr>
          <w:w w:val="120"/>
          <w:sz w:val="20"/>
        </w:rPr>
        <w:t>ways:</w:t>
      </w:r>
    </w:p>
    <w:p>
      <w:pPr>
        <w:pStyle w:val="BodyText"/>
        <w:spacing w:before="10"/>
        <w:rPr>
          <w:sz w:val="19"/>
        </w:rPr>
      </w:pPr>
    </w:p>
    <w:p>
      <w:pPr>
        <w:pStyle w:val="ListParagraph"/>
        <w:numPr>
          <w:ilvl w:val="2"/>
          <w:numId w:val="105"/>
        </w:numPr>
        <w:tabs>
          <w:tab w:pos="1507" w:val="left" w:leader="none"/>
          <w:tab w:pos="1508" w:val="left" w:leader="none"/>
        </w:tabs>
        <w:spacing w:line="235" w:lineRule="auto" w:before="1" w:after="0"/>
        <w:ind w:left="1507" w:right="1781" w:hanging="681"/>
        <w:jc w:val="left"/>
        <w:rPr>
          <w:sz w:val="20"/>
        </w:rPr>
      </w:pPr>
      <w:r>
        <w:rPr>
          <w:w w:val="120"/>
          <w:sz w:val="20"/>
        </w:rPr>
        <w:t>The URC provides representation to European ecumenical groupings. This includes delegates taking </w:t>
      </w:r>
      <w:r>
        <w:rPr>
          <w:spacing w:val="2"/>
          <w:w w:val="120"/>
          <w:sz w:val="20"/>
        </w:rPr>
        <w:t>part </w:t>
      </w:r>
      <w:r>
        <w:rPr>
          <w:w w:val="120"/>
          <w:sz w:val="20"/>
        </w:rPr>
        <w:t>this year at assemblies for the Conference of European Churches </w:t>
      </w:r>
      <w:r>
        <w:rPr>
          <w:spacing w:val="-5"/>
          <w:w w:val="120"/>
          <w:sz w:val="20"/>
        </w:rPr>
        <w:t>(CEC) </w:t>
      </w:r>
      <w:r>
        <w:rPr>
          <w:w w:val="120"/>
          <w:sz w:val="20"/>
        </w:rPr>
        <w:t>in Novi Sad, Serbia and the Community of Protestant Churches in Europe </w:t>
      </w:r>
      <w:r>
        <w:rPr>
          <w:spacing w:val="-3"/>
          <w:w w:val="120"/>
          <w:sz w:val="20"/>
        </w:rPr>
        <w:t>(CPCE) </w:t>
      </w:r>
      <w:r>
        <w:rPr>
          <w:w w:val="120"/>
          <w:sz w:val="20"/>
        </w:rPr>
        <w:t>in Basel,</w:t>
      </w:r>
      <w:r>
        <w:rPr>
          <w:spacing w:val="24"/>
          <w:w w:val="120"/>
          <w:sz w:val="20"/>
        </w:rPr>
        <w:t> </w:t>
      </w:r>
      <w:r>
        <w:rPr>
          <w:w w:val="120"/>
          <w:sz w:val="20"/>
        </w:rPr>
        <w:t>Switzerland.</w:t>
      </w:r>
    </w:p>
    <w:p>
      <w:pPr>
        <w:pStyle w:val="BodyText"/>
        <w:spacing w:before="10"/>
        <w:rPr>
          <w:sz w:val="19"/>
        </w:rPr>
      </w:pPr>
    </w:p>
    <w:p>
      <w:pPr>
        <w:pStyle w:val="ListParagraph"/>
        <w:numPr>
          <w:ilvl w:val="2"/>
          <w:numId w:val="105"/>
        </w:numPr>
        <w:tabs>
          <w:tab w:pos="1508" w:val="left" w:leader="none"/>
        </w:tabs>
        <w:spacing w:line="235" w:lineRule="auto" w:before="0" w:after="0"/>
        <w:ind w:left="1507" w:right="2480" w:hanging="681"/>
        <w:jc w:val="left"/>
        <w:rPr>
          <w:sz w:val="20"/>
        </w:rPr>
      </w:pPr>
      <w:r>
        <w:rPr>
          <w:w w:val="120"/>
          <w:sz w:val="20"/>
        </w:rPr>
        <w:t>The URC continues to be involved with the Reuilly Contact Group which encourages Anglican-Reformed dialogue in</w:t>
      </w:r>
      <w:r>
        <w:rPr>
          <w:spacing w:val="14"/>
          <w:w w:val="120"/>
          <w:sz w:val="20"/>
        </w:rPr>
        <w:t> </w:t>
      </w:r>
      <w:r>
        <w:rPr>
          <w:w w:val="120"/>
          <w:sz w:val="20"/>
        </w:rPr>
        <w:t>France.</w:t>
      </w:r>
    </w:p>
    <w:p>
      <w:pPr>
        <w:pStyle w:val="BodyText"/>
        <w:spacing w:before="10"/>
        <w:rPr>
          <w:sz w:val="19"/>
        </w:rPr>
      </w:pPr>
    </w:p>
    <w:p>
      <w:pPr>
        <w:pStyle w:val="ListParagraph"/>
        <w:numPr>
          <w:ilvl w:val="2"/>
          <w:numId w:val="105"/>
        </w:numPr>
        <w:tabs>
          <w:tab w:pos="1507" w:val="left" w:leader="none"/>
          <w:tab w:pos="1508" w:val="left" w:leader="none"/>
        </w:tabs>
        <w:spacing w:line="235" w:lineRule="auto" w:before="0" w:after="0"/>
        <w:ind w:left="1507" w:right="2159" w:hanging="681"/>
        <w:jc w:val="left"/>
        <w:rPr>
          <w:sz w:val="20"/>
        </w:rPr>
      </w:pPr>
      <w:r>
        <w:rPr>
          <w:w w:val="120"/>
          <w:sz w:val="20"/>
        </w:rPr>
        <w:t>In </w:t>
      </w:r>
      <w:r>
        <w:rPr>
          <w:spacing w:val="-12"/>
          <w:w w:val="120"/>
          <w:sz w:val="20"/>
        </w:rPr>
        <w:t>2017, </w:t>
      </w:r>
      <w:r>
        <w:rPr>
          <w:w w:val="120"/>
          <w:sz w:val="20"/>
        </w:rPr>
        <w:t>the URC celebrated 60 years of table and pulpit fellowship with the Evangelische Kirche der Pfalz – churches in the Palatinate area of</w:t>
      </w:r>
      <w:r>
        <w:rPr>
          <w:spacing w:val="1"/>
          <w:w w:val="120"/>
          <w:sz w:val="20"/>
        </w:rPr>
        <w:t> </w:t>
      </w:r>
      <w:r>
        <w:rPr>
          <w:w w:val="120"/>
          <w:sz w:val="20"/>
        </w:rPr>
        <w:t>Germany.</w:t>
      </w:r>
    </w:p>
    <w:p>
      <w:pPr>
        <w:pStyle w:val="ListParagraph"/>
        <w:numPr>
          <w:ilvl w:val="3"/>
          <w:numId w:val="105"/>
        </w:numPr>
        <w:tabs>
          <w:tab w:pos="2414" w:val="left" w:leader="none"/>
          <w:tab w:pos="2415" w:val="left" w:leader="none"/>
        </w:tabs>
        <w:spacing w:line="235" w:lineRule="auto" w:before="1" w:after="0"/>
        <w:ind w:left="2414" w:right="1830" w:hanging="908"/>
        <w:jc w:val="left"/>
        <w:rPr>
          <w:sz w:val="20"/>
        </w:rPr>
      </w:pPr>
      <w:r>
        <w:rPr>
          <w:w w:val="120"/>
          <w:sz w:val="20"/>
        </w:rPr>
        <w:t>This long-standing area of active participation operates at local  church level. There are 20 partnerships in England, including active youth participation. This year will see St Andrew’s URC, Roundhay, Leeds, hosting young visitors from the Lutherkirche in Frankenthal and the Martinskirche in Bernburg for a week of activities. Purley URC will welcome around 30 young people plus </w:t>
      </w:r>
      <w:r>
        <w:rPr>
          <w:spacing w:val="-11"/>
          <w:w w:val="120"/>
          <w:sz w:val="20"/>
        </w:rPr>
        <w:t>11 </w:t>
      </w:r>
      <w:r>
        <w:rPr>
          <w:w w:val="120"/>
          <w:sz w:val="20"/>
        </w:rPr>
        <w:t>leaders from partner churches in Germany, the Czech Republic and the US. Lincoln URC   will have an exchange weekend for all-age groups with their German partner church in</w:t>
      </w:r>
      <w:r>
        <w:rPr>
          <w:spacing w:val="6"/>
          <w:w w:val="120"/>
          <w:sz w:val="20"/>
        </w:rPr>
        <w:t> </w:t>
      </w:r>
      <w:r>
        <w:rPr>
          <w:w w:val="120"/>
          <w:sz w:val="20"/>
        </w:rPr>
        <w:t>Neustadt.</w:t>
      </w:r>
    </w:p>
    <w:p>
      <w:pPr>
        <w:pStyle w:val="ListParagraph"/>
        <w:numPr>
          <w:ilvl w:val="3"/>
          <w:numId w:val="105"/>
        </w:numPr>
        <w:tabs>
          <w:tab w:pos="2414" w:val="left" w:leader="none"/>
          <w:tab w:pos="2415" w:val="left" w:leader="none"/>
        </w:tabs>
        <w:spacing w:line="235" w:lineRule="auto" w:before="7" w:after="0"/>
        <w:ind w:left="2414" w:right="1723" w:hanging="908"/>
        <w:jc w:val="left"/>
        <w:rPr>
          <w:sz w:val="20"/>
        </w:rPr>
      </w:pPr>
      <w:r>
        <w:rPr>
          <w:w w:val="120"/>
          <w:sz w:val="20"/>
        </w:rPr>
        <w:t>There is to be a theological consultation in September in the Palatinate which will look at the unifying nature of churches in relation to</w:t>
      </w:r>
      <w:r>
        <w:rPr>
          <w:spacing w:val="35"/>
          <w:w w:val="120"/>
          <w:sz w:val="20"/>
        </w:rPr>
        <w:t> </w:t>
      </w:r>
      <w:r>
        <w:rPr>
          <w:w w:val="120"/>
          <w:sz w:val="20"/>
        </w:rPr>
        <w:t>Brexit.</w:t>
      </w:r>
    </w:p>
    <w:p>
      <w:pPr>
        <w:pStyle w:val="ListParagraph"/>
        <w:numPr>
          <w:ilvl w:val="3"/>
          <w:numId w:val="105"/>
        </w:numPr>
        <w:tabs>
          <w:tab w:pos="2414" w:val="left" w:leader="none"/>
          <w:tab w:pos="2415" w:val="left" w:leader="none"/>
        </w:tabs>
        <w:spacing w:line="235" w:lineRule="auto" w:before="1" w:after="0"/>
        <w:ind w:left="2414" w:right="2060" w:hanging="908"/>
        <w:jc w:val="left"/>
        <w:rPr>
          <w:sz w:val="20"/>
        </w:rPr>
      </w:pPr>
      <w:r>
        <w:rPr>
          <w:w w:val="120"/>
          <w:sz w:val="20"/>
        </w:rPr>
        <w:t>The URC and Palatinate churches are working on a joint resource to commemorate 100 years since the end of the First World</w:t>
      </w:r>
      <w:r>
        <w:rPr>
          <w:spacing w:val="-2"/>
          <w:w w:val="120"/>
          <w:sz w:val="20"/>
        </w:rPr>
        <w:t> </w:t>
      </w:r>
      <w:r>
        <w:rPr>
          <w:spacing w:val="-4"/>
          <w:w w:val="120"/>
          <w:sz w:val="20"/>
        </w:rPr>
        <w:t>War.</w:t>
      </w:r>
    </w:p>
    <w:p>
      <w:pPr>
        <w:pStyle w:val="BodyText"/>
        <w:spacing w:before="10"/>
        <w:rPr>
          <w:sz w:val="19"/>
        </w:rPr>
      </w:pPr>
    </w:p>
    <w:p>
      <w:pPr>
        <w:pStyle w:val="ListParagraph"/>
        <w:numPr>
          <w:ilvl w:val="2"/>
          <w:numId w:val="105"/>
        </w:numPr>
        <w:tabs>
          <w:tab w:pos="1507" w:val="left" w:leader="none"/>
          <w:tab w:pos="1508" w:val="left" w:leader="none"/>
        </w:tabs>
        <w:spacing w:line="235" w:lineRule="auto" w:before="0" w:after="0"/>
        <w:ind w:left="1507" w:right="1747" w:hanging="681"/>
        <w:jc w:val="left"/>
        <w:rPr>
          <w:sz w:val="20"/>
        </w:rPr>
      </w:pPr>
      <w:r>
        <w:rPr>
          <w:w w:val="120"/>
          <w:sz w:val="20"/>
        </w:rPr>
        <w:t>In </w:t>
      </w:r>
      <w:r>
        <w:rPr>
          <w:spacing w:val="-14"/>
          <w:w w:val="120"/>
          <w:sz w:val="20"/>
        </w:rPr>
        <w:t>2017, </w:t>
      </w:r>
      <w:r>
        <w:rPr>
          <w:w w:val="120"/>
          <w:sz w:val="20"/>
        </w:rPr>
        <w:t>a group of </w:t>
      </w:r>
      <w:r>
        <w:rPr>
          <w:spacing w:val="-10"/>
          <w:w w:val="120"/>
          <w:sz w:val="20"/>
        </w:rPr>
        <w:t>15 </w:t>
      </w:r>
      <w:r>
        <w:rPr>
          <w:w w:val="120"/>
          <w:sz w:val="20"/>
        </w:rPr>
        <w:t>people put on a URC stand at </w:t>
      </w:r>
      <w:r>
        <w:rPr>
          <w:spacing w:val="-3"/>
          <w:w w:val="120"/>
          <w:sz w:val="20"/>
        </w:rPr>
        <w:t>Germany’s </w:t>
      </w:r>
      <w:r>
        <w:rPr>
          <w:w w:val="120"/>
          <w:sz w:val="20"/>
        </w:rPr>
        <w:t>major </w:t>
      </w:r>
      <w:r>
        <w:rPr>
          <w:spacing w:val="-3"/>
          <w:w w:val="120"/>
          <w:sz w:val="20"/>
        </w:rPr>
        <w:t>church </w:t>
      </w:r>
      <w:r>
        <w:rPr>
          <w:w w:val="120"/>
          <w:sz w:val="20"/>
        </w:rPr>
        <w:t>festival,</w:t>
      </w:r>
      <w:r>
        <w:rPr>
          <w:spacing w:val="-7"/>
          <w:w w:val="120"/>
          <w:sz w:val="20"/>
        </w:rPr>
        <w:t> </w:t>
      </w:r>
      <w:r>
        <w:rPr>
          <w:w w:val="120"/>
          <w:sz w:val="20"/>
        </w:rPr>
        <w:t>the</w:t>
      </w:r>
      <w:r>
        <w:rPr>
          <w:spacing w:val="-7"/>
          <w:w w:val="120"/>
          <w:sz w:val="20"/>
        </w:rPr>
        <w:t> </w:t>
      </w:r>
      <w:r>
        <w:rPr>
          <w:w w:val="120"/>
          <w:sz w:val="20"/>
        </w:rPr>
        <w:t>Kirchentag,</w:t>
      </w:r>
      <w:r>
        <w:rPr>
          <w:spacing w:val="-6"/>
          <w:w w:val="120"/>
          <w:sz w:val="20"/>
        </w:rPr>
        <w:t> </w:t>
      </w:r>
      <w:r>
        <w:rPr>
          <w:w w:val="120"/>
          <w:sz w:val="20"/>
        </w:rPr>
        <w:t>in</w:t>
      </w:r>
      <w:r>
        <w:rPr>
          <w:spacing w:val="-7"/>
          <w:w w:val="120"/>
          <w:sz w:val="20"/>
        </w:rPr>
        <w:t> </w:t>
      </w:r>
      <w:r>
        <w:rPr>
          <w:w w:val="120"/>
          <w:sz w:val="20"/>
        </w:rPr>
        <w:t>Berlin.</w:t>
      </w:r>
      <w:r>
        <w:rPr>
          <w:spacing w:val="-7"/>
          <w:w w:val="120"/>
          <w:sz w:val="20"/>
        </w:rPr>
        <w:t> </w:t>
      </w:r>
      <w:r>
        <w:rPr>
          <w:w w:val="120"/>
          <w:sz w:val="20"/>
        </w:rPr>
        <w:t>This</w:t>
      </w:r>
      <w:r>
        <w:rPr>
          <w:spacing w:val="-6"/>
          <w:w w:val="120"/>
          <w:sz w:val="20"/>
        </w:rPr>
        <w:t> </w:t>
      </w:r>
      <w:r>
        <w:rPr>
          <w:w w:val="120"/>
          <w:sz w:val="20"/>
        </w:rPr>
        <w:t>is</w:t>
      </w:r>
      <w:r>
        <w:rPr>
          <w:spacing w:val="-7"/>
          <w:w w:val="120"/>
          <w:sz w:val="20"/>
        </w:rPr>
        <w:t> </w:t>
      </w:r>
      <w:r>
        <w:rPr>
          <w:w w:val="120"/>
          <w:sz w:val="20"/>
        </w:rPr>
        <w:t>a</w:t>
      </w:r>
      <w:r>
        <w:rPr>
          <w:spacing w:val="-7"/>
          <w:w w:val="120"/>
          <w:sz w:val="20"/>
        </w:rPr>
        <w:t> </w:t>
      </w:r>
      <w:r>
        <w:rPr>
          <w:w w:val="120"/>
          <w:sz w:val="20"/>
        </w:rPr>
        <w:t>huge</w:t>
      </w:r>
      <w:r>
        <w:rPr>
          <w:spacing w:val="-6"/>
          <w:w w:val="120"/>
          <w:sz w:val="20"/>
        </w:rPr>
        <w:t> </w:t>
      </w:r>
      <w:r>
        <w:rPr>
          <w:spacing w:val="-3"/>
          <w:w w:val="120"/>
          <w:sz w:val="20"/>
        </w:rPr>
        <w:t>event</w:t>
      </w:r>
      <w:r>
        <w:rPr>
          <w:spacing w:val="-7"/>
          <w:w w:val="120"/>
          <w:sz w:val="20"/>
        </w:rPr>
        <w:t> </w:t>
      </w:r>
      <w:r>
        <w:rPr>
          <w:w w:val="120"/>
          <w:sz w:val="20"/>
        </w:rPr>
        <w:t>with</w:t>
      </w:r>
      <w:r>
        <w:rPr>
          <w:spacing w:val="-7"/>
          <w:w w:val="120"/>
          <w:sz w:val="20"/>
        </w:rPr>
        <w:t> </w:t>
      </w:r>
      <w:r>
        <w:rPr>
          <w:w w:val="120"/>
          <w:sz w:val="20"/>
        </w:rPr>
        <w:t>an</w:t>
      </w:r>
      <w:r>
        <w:rPr>
          <w:spacing w:val="-6"/>
          <w:w w:val="120"/>
          <w:sz w:val="20"/>
        </w:rPr>
        <w:t> </w:t>
      </w:r>
      <w:r>
        <w:rPr>
          <w:spacing w:val="-3"/>
          <w:w w:val="120"/>
          <w:sz w:val="20"/>
        </w:rPr>
        <w:t>attendance</w:t>
      </w:r>
      <w:r>
        <w:rPr>
          <w:spacing w:val="-7"/>
          <w:w w:val="120"/>
          <w:sz w:val="20"/>
        </w:rPr>
        <w:t> </w:t>
      </w:r>
      <w:r>
        <w:rPr>
          <w:w w:val="120"/>
          <w:sz w:val="20"/>
        </w:rPr>
        <w:t>of</w:t>
      </w:r>
      <w:r>
        <w:rPr>
          <w:spacing w:val="-7"/>
          <w:w w:val="120"/>
          <w:sz w:val="20"/>
        </w:rPr>
        <w:t> </w:t>
      </w:r>
      <w:r>
        <w:rPr>
          <w:w w:val="120"/>
          <w:sz w:val="20"/>
        </w:rPr>
        <w:t>more than 100,000 people and </w:t>
      </w:r>
      <w:r>
        <w:rPr>
          <w:spacing w:val="-3"/>
          <w:w w:val="120"/>
          <w:sz w:val="20"/>
        </w:rPr>
        <w:t>over </w:t>
      </w:r>
      <w:r>
        <w:rPr>
          <w:w w:val="120"/>
          <w:sz w:val="20"/>
        </w:rPr>
        <w:t>600 </w:t>
      </w:r>
      <w:r>
        <w:rPr>
          <w:spacing w:val="-3"/>
          <w:w w:val="120"/>
          <w:sz w:val="20"/>
        </w:rPr>
        <w:t>displays. </w:t>
      </w:r>
      <w:r>
        <w:rPr>
          <w:w w:val="120"/>
          <w:sz w:val="20"/>
        </w:rPr>
        <w:t>The URC stand </w:t>
      </w:r>
      <w:r>
        <w:rPr>
          <w:spacing w:val="-2"/>
          <w:w w:val="120"/>
          <w:sz w:val="20"/>
        </w:rPr>
        <w:t>proved </w:t>
      </w:r>
      <w:r>
        <w:rPr>
          <w:w w:val="120"/>
          <w:sz w:val="20"/>
        </w:rPr>
        <w:t>extremely </w:t>
      </w:r>
      <w:r>
        <w:rPr>
          <w:spacing w:val="-4"/>
          <w:w w:val="120"/>
          <w:sz w:val="20"/>
        </w:rPr>
        <w:t>popular. </w:t>
      </w:r>
      <w:r>
        <w:rPr>
          <w:w w:val="120"/>
          <w:sz w:val="20"/>
        </w:rPr>
        <w:t>It used the ‘Scrap the </w:t>
      </w:r>
      <w:r>
        <w:rPr>
          <w:spacing w:val="-4"/>
          <w:w w:val="120"/>
          <w:sz w:val="20"/>
        </w:rPr>
        <w:t>Church?’ </w:t>
      </w:r>
      <w:r>
        <w:rPr>
          <w:w w:val="120"/>
          <w:sz w:val="20"/>
        </w:rPr>
        <w:t>construction from Greenbelt</w:t>
      </w:r>
      <w:r>
        <w:rPr>
          <w:spacing w:val="-1"/>
          <w:w w:val="120"/>
          <w:sz w:val="20"/>
        </w:rPr>
        <w:t> </w:t>
      </w:r>
      <w:r>
        <w:rPr>
          <w:spacing w:val="-7"/>
          <w:w w:val="120"/>
          <w:sz w:val="20"/>
        </w:rPr>
        <w:t>2016.</w:t>
      </w:r>
    </w:p>
    <w:p>
      <w:pPr>
        <w:pStyle w:val="BodyText"/>
        <w:spacing w:before="4"/>
        <w:rPr>
          <w:sz w:val="22"/>
        </w:rPr>
      </w:pPr>
    </w:p>
    <w:p>
      <w:pPr>
        <w:pStyle w:val="Heading4"/>
        <w:ind w:firstLine="0"/>
      </w:pPr>
      <w:r>
        <w:rPr>
          <w:w w:val="110"/>
        </w:rPr>
        <w:t>Interfaith relations</w:t>
      </w:r>
    </w:p>
    <w:p>
      <w:pPr>
        <w:pStyle w:val="ListParagraph"/>
        <w:numPr>
          <w:ilvl w:val="1"/>
          <w:numId w:val="105"/>
        </w:numPr>
        <w:tabs>
          <w:tab w:pos="1507" w:val="left" w:leader="none"/>
          <w:tab w:pos="1508" w:val="left" w:leader="none"/>
        </w:tabs>
        <w:spacing w:line="235" w:lineRule="auto" w:before="69" w:after="0"/>
        <w:ind w:left="827" w:right="1639" w:firstLine="0"/>
        <w:jc w:val="left"/>
        <w:rPr>
          <w:sz w:val="20"/>
        </w:rPr>
      </w:pPr>
      <w:r>
        <w:rPr>
          <w:w w:val="120"/>
          <w:sz w:val="20"/>
        </w:rPr>
        <w:t>Within the mission committee, this area of work is facilitated by the interfaith relations reference group (IFRRG) which works in close cooperation with Methodist colleagues. Over the last </w:t>
      </w:r>
      <w:r>
        <w:rPr>
          <w:spacing w:val="-9"/>
          <w:w w:val="120"/>
          <w:sz w:val="20"/>
        </w:rPr>
        <w:t>12 </w:t>
      </w:r>
      <w:r>
        <w:rPr>
          <w:w w:val="120"/>
          <w:sz w:val="20"/>
        </w:rPr>
        <w:t>months, the reference group has been conducting a review of its activities and has made some initial</w:t>
      </w:r>
      <w:r>
        <w:rPr>
          <w:spacing w:val="12"/>
          <w:w w:val="120"/>
          <w:sz w:val="20"/>
        </w:rPr>
        <w:t> </w:t>
      </w:r>
      <w:r>
        <w:rPr>
          <w:w w:val="120"/>
          <w:sz w:val="20"/>
        </w:rPr>
        <w:t>observations:</w:t>
      </w:r>
    </w:p>
    <w:p>
      <w:pPr>
        <w:pStyle w:val="BodyText"/>
        <w:spacing w:before="11"/>
        <w:rPr>
          <w:sz w:val="19"/>
        </w:rPr>
      </w:pPr>
    </w:p>
    <w:p>
      <w:pPr>
        <w:pStyle w:val="ListParagraph"/>
        <w:numPr>
          <w:ilvl w:val="2"/>
          <w:numId w:val="105"/>
        </w:numPr>
        <w:tabs>
          <w:tab w:pos="1508" w:val="left" w:leader="none"/>
        </w:tabs>
        <w:spacing w:line="235" w:lineRule="auto" w:before="0" w:after="0"/>
        <w:ind w:left="1507" w:right="1828" w:hanging="681"/>
        <w:jc w:val="both"/>
        <w:rPr>
          <w:sz w:val="20"/>
        </w:rPr>
      </w:pPr>
      <w:r>
        <w:rPr>
          <w:w w:val="120"/>
          <w:sz w:val="20"/>
        </w:rPr>
        <w:t>Interfaith understanding is vital to the life of our churches. In terms of ‘Walking the Way: Living the life of Jesus </w:t>
      </w:r>
      <w:r>
        <w:rPr>
          <w:spacing w:val="-3"/>
          <w:w w:val="120"/>
          <w:sz w:val="20"/>
        </w:rPr>
        <w:t>today’, </w:t>
      </w:r>
      <w:r>
        <w:rPr>
          <w:w w:val="120"/>
          <w:sz w:val="20"/>
        </w:rPr>
        <w:t>we all need the confidence to share our stories within a multi-faith</w:t>
      </w:r>
      <w:r>
        <w:rPr>
          <w:spacing w:val="6"/>
          <w:w w:val="120"/>
          <w:sz w:val="20"/>
        </w:rPr>
        <w:t> </w:t>
      </w:r>
      <w:r>
        <w:rPr>
          <w:w w:val="120"/>
          <w:sz w:val="20"/>
        </w:rPr>
        <w:t>society.</w:t>
      </w:r>
    </w:p>
    <w:p>
      <w:pPr>
        <w:pStyle w:val="BodyText"/>
        <w:spacing w:before="10"/>
        <w:rPr>
          <w:sz w:val="19"/>
        </w:rPr>
      </w:pPr>
    </w:p>
    <w:p>
      <w:pPr>
        <w:pStyle w:val="ListParagraph"/>
        <w:numPr>
          <w:ilvl w:val="2"/>
          <w:numId w:val="105"/>
        </w:numPr>
        <w:tabs>
          <w:tab w:pos="1508" w:val="left" w:leader="none"/>
        </w:tabs>
        <w:spacing w:line="235" w:lineRule="auto" w:before="0" w:after="0"/>
        <w:ind w:left="1507" w:right="1858" w:hanging="681"/>
        <w:jc w:val="both"/>
        <w:rPr>
          <w:sz w:val="20"/>
        </w:rPr>
      </w:pPr>
      <w:r>
        <w:rPr>
          <w:w w:val="120"/>
          <w:sz w:val="20"/>
        </w:rPr>
        <w:t>We need to strengthen the network of interfaith advocates/enthusiasts, ideally linking with ecumenical partners on a national and regional level. The group is looking at how we might map our combined ecumenical network of interfaith advocates and</w:t>
      </w:r>
      <w:r>
        <w:rPr>
          <w:spacing w:val="4"/>
          <w:w w:val="120"/>
          <w:sz w:val="20"/>
        </w:rPr>
        <w:t> </w:t>
      </w:r>
      <w:r>
        <w:rPr>
          <w:spacing w:val="-3"/>
          <w:w w:val="120"/>
          <w:sz w:val="20"/>
        </w:rPr>
        <w:t>‘enthusiasts’.</w:t>
      </w:r>
    </w:p>
    <w:p>
      <w:pPr>
        <w:pStyle w:val="BodyText"/>
        <w:spacing w:before="11"/>
        <w:rPr>
          <w:sz w:val="19"/>
        </w:rPr>
      </w:pPr>
    </w:p>
    <w:p>
      <w:pPr>
        <w:pStyle w:val="ListParagraph"/>
        <w:numPr>
          <w:ilvl w:val="2"/>
          <w:numId w:val="105"/>
        </w:numPr>
        <w:tabs>
          <w:tab w:pos="1508" w:val="left" w:leader="none"/>
        </w:tabs>
        <w:spacing w:line="235" w:lineRule="auto" w:before="0" w:after="0"/>
        <w:ind w:left="1507" w:right="2067" w:hanging="681"/>
        <w:jc w:val="left"/>
        <w:rPr>
          <w:sz w:val="20"/>
        </w:rPr>
      </w:pPr>
      <w:r>
        <w:rPr>
          <w:w w:val="120"/>
          <w:sz w:val="20"/>
        </w:rPr>
        <w:t>Within the review of its activities, the group highlighted areas of worthwhile engagement:</w:t>
      </w:r>
    </w:p>
    <w:p>
      <w:pPr>
        <w:pStyle w:val="ListParagraph"/>
        <w:numPr>
          <w:ilvl w:val="0"/>
          <w:numId w:val="106"/>
        </w:numPr>
        <w:tabs>
          <w:tab w:pos="2187" w:val="left" w:leader="none"/>
          <w:tab w:pos="2188" w:val="left" w:leader="none"/>
        </w:tabs>
        <w:spacing w:line="234" w:lineRule="exact" w:before="0" w:after="0"/>
        <w:ind w:left="2187" w:right="0" w:hanging="681"/>
        <w:jc w:val="left"/>
        <w:rPr>
          <w:sz w:val="20"/>
        </w:rPr>
      </w:pPr>
      <w:r>
        <w:rPr>
          <w:w w:val="120"/>
          <w:sz w:val="20"/>
        </w:rPr>
        <w:t>The IFRRG has conducted work around use of</w:t>
      </w:r>
      <w:r>
        <w:rPr>
          <w:spacing w:val="22"/>
          <w:w w:val="120"/>
          <w:sz w:val="20"/>
        </w:rPr>
        <w:t> </w:t>
      </w:r>
      <w:r>
        <w:rPr>
          <w:w w:val="120"/>
          <w:sz w:val="20"/>
        </w:rPr>
        <w:t>buildings.</w:t>
      </w:r>
    </w:p>
    <w:p>
      <w:pPr>
        <w:pStyle w:val="ListParagraph"/>
        <w:numPr>
          <w:ilvl w:val="0"/>
          <w:numId w:val="106"/>
        </w:numPr>
        <w:tabs>
          <w:tab w:pos="2187" w:val="left" w:leader="none"/>
          <w:tab w:pos="2188" w:val="left" w:leader="none"/>
        </w:tabs>
        <w:spacing w:line="225" w:lineRule="auto" w:before="4" w:after="0"/>
        <w:ind w:left="2187" w:right="1650" w:hanging="681"/>
        <w:jc w:val="left"/>
        <w:rPr>
          <w:sz w:val="18"/>
        </w:rPr>
      </w:pPr>
      <w:r>
        <w:rPr>
          <w:w w:val="120"/>
          <w:sz w:val="20"/>
        </w:rPr>
        <w:t>It has cooperated with Churches Together in Britain and Ireland (CTBI) on the </w:t>
      </w:r>
      <w:r>
        <w:rPr>
          <w:spacing w:val="-9"/>
          <w:w w:val="120"/>
          <w:sz w:val="20"/>
        </w:rPr>
        <w:t>2017 </w:t>
      </w:r>
      <w:r>
        <w:rPr>
          <w:w w:val="120"/>
          <w:sz w:val="20"/>
        </w:rPr>
        <w:t>Lent Course ‘Returning Home: Christian Faith in Encounter with Other</w:t>
      </w:r>
      <w:r>
        <w:rPr>
          <w:spacing w:val="2"/>
          <w:w w:val="120"/>
          <w:sz w:val="20"/>
        </w:rPr>
        <w:t> </w:t>
      </w:r>
      <w:r>
        <w:rPr>
          <w:spacing w:val="-4"/>
          <w:w w:val="120"/>
          <w:sz w:val="20"/>
        </w:rPr>
        <w:t>Faiths’.</w:t>
      </w:r>
      <w:r>
        <w:rPr>
          <w:spacing w:val="-4"/>
          <w:w w:val="120"/>
          <w:position w:val="4"/>
          <w:sz w:val="18"/>
        </w:rPr>
        <w:t>3</w:t>
      </w:r>
    </w:p>
    <w:p>
      <w:pPr>
        <w:pStyle w:val="BodyText"/>
      </w:pPr>
    </w:p>
    <w:p>
      <w:pPr>
        <w:pStyle w:val="BodyText"/>
        <w:spacing w:before="6"/>
        <w:rPr>
          <w:sz w:val="13"/>
        </w:rPr>
      </w:pPr>
      <w:r>
        <w:rPr/>
        <w:pict>
          <v:shape style="position:absolute;margin-left:62.362202pt;margin-top:10.70304pt;width:72pt;height:.1pt;mso-position-horizontal-relative:page;mso-position-vertical-relative:paragraph;z-index:-251271168;mso-wrap-distance-left:0;mso-wrap-distance-right:0" coordorigin="1247,214" coordsize="1440,0" path="m1247,214l2687,214e" filled="false" stroked="true" strokeweight="1pt" strokecolor="#000000">
            <v:path arrowok="t"/>
            <v:stroke dashstyle="solid"/>
            <w10:wrap type="topAndBottom"/>
          </v:shape>
        </w:pict>
      </w:r>
    </w:p>
    <w:p>
      <w:pPr>
        <w:pStyle w:val="ListParagraph"/>
        <w:numPr>
          <w:ilvl w:val="0"/>
          <w:numId w:val="107"/>
        </w:numPr>
        <w:tabs>
          <w:tab w:pos="1559" w:val="left" w:leader="none"/>
          <w:tab w:pos="1560" w:val="left" w:leader="none"/>
        </w:tabs>
        <w:spacing w:line="240" w:lineRule="auto" w:before="29" w:after="0"/>
        <w:ind w:left="1559" w:right="0" w:hanging="733"/>
        <w:jc w:val="left"/>
        <w:rPr>
          <w:sz w:val="18"/>
        </w:rPr>
      </w:pPr>
      <w:r>
        <w:rPr>
          <w:spacing w:val="3"/>
          <w:w w:val="125"/>
          <w:sz w:val="18"/>
        </w:rPr>
        <w:t>CTBI </w:t>
      </w:r>
      <w:r>
        <w:rPr>
          <w:color w:val="006AB3"/>
          <w:w w:val="125"/>
          <w:sz w:val="18"/>
        </w:rPr>
        <w:t>https://ctbi.org.uk/lent-course-2017/ </w:t>
      </w:r>
      <w:r>
        <w:rPr>
          <w:w w:val="125"/>
          <w:sz w:val="18"/>
        </w:rPr>
        <w:t>(Lent Course</w:t>
      </w:r>
      <w:r>
        <w:rPr>
          <w:spacing w:val="-10"/>
          <w:w w:val="125"/>
          <w:sz w:val="18"/>
        </w:rPr>
        <w:t> </w:t>
      </w:r>
      <w:r>
        <w:rPr>
          <w:spacing w:val="-5"/>
          <w:w w:val="125"/>
          <w:sz w:val="18"/>
        </w:rPr>
        <w:t>2017)</w:t>
      </w:r>
    </w:p>
    <w:p>
      <w:pPr>
        <w:spacing w:after="0" w:line="240" w:lineRule="auto"/>
        <w:jc w:val="left"/>
        <w:rPr>
          <w:sz w:val="18"/>
        </w:rPr>
        <w:sectPr>
          <w:headerReference w:type="even" r:id="rId404"/>
          <w:pgSz w:w="11910" w:h="16840"/>
          <w:pgMar w:header="0" w:footer="647" w:top="0" w:bottom="840" w:left="420" w:right="380"/>
        </w:sectPr>
      </w:pPr>
    </w:p>
    <w:p>
      <w:pPr>
        <w:pStyle w:val="BodyText"/>
      </w:pPr>
      <w:r>
        <w:rPr/>
        <w:drawing>
          <wp:anchor distT="0" distB="0" distL="0" distR="0" allowOverlap="1" layoutInCell="1" locked="0" behindDoc="0" simplePos="0" relativeHeight="252048384">
            <wp:simplePos x="0" y="0"/>
            <wp:positionH relativeFrom="page">
              <wp:posOffset>6974928</wp:posOffset>
            </wp:positionH>
            <wp:positionV relativeFrom="page">
              <wp:posOffset>0</wp:posOffset>
            </wp:positionV>
            <wp:extent cx="585063" cy="10692003"/>
            <wp:effectExtent l="0" t="0" r="0" b="0"/>
            <wp:wrapNone/>
            <wp:docPr id="287" name="image57.png"/>
            <wp:cNvGraphicFramePr>
              <a:graphicFrameLocks noChangeAspect="1"/>
            </wp:cNvGraphicFramePr>
            <a:graphic>
              <a:graphicData uri="http://schemas.openxmlformats.org/drawingml/2006/picture">
                <pic:pic>
                  <pic:nvPicPr>
                    <pic:cNvPr id="28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4940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1"/>
          <w:numId w:val="107"/>
        </w:numPr>
        <w:tabs>
          <w:tab w:pos="2924" w:val="left" w:leader="none"/>
          <w:tab w:pos="2925" w:val="left" w:leader="none"/>
        </w:tabs>
        <w:spacing w:line="235" w:lineRule="auto" w:before="211" w:after="0"/>
        <w:ind w:left="2924" w:right="1511" w:hanging="681"/>
        <w:jc w:val="left"/>
        <w:rPr>
          <w:sz w:val="20"/>
        </w:rPr>
      </w:pPr>
      <w:r>
        <w:rPr>
          <w:w w:val="120"/>
          <w:sz w:val="20"/>
        </w:rPr>
        <w:t>It is recognised that we are already working in closer consultation, primarily with our Baptist and Church of England partners and their interfaith</w:t>
      </w:r>
      <w:r>
        <w:rPr>
          <w:spacing w:val="1"/>
          <w:w w:val="120"/>
          <w:sz w:val="20"/>
        </w:rPr>
        <w:t> </w:t>
      </w:r>
      <w:r>
        <w:rPr>
          <w:w w:val="120"/>
          <w:sz w:val="20"/>
        </w:rPr>
        <w:t>networks.</w:t>
      </w:r>
    </w:p>
    <w:p>
      <w:pPr>
        <w:pStyle w:val="ListParagraph"/>
        <w:numPr>
          <w:ilvl w:val="1"/>
          <w:numId w:val="107"/>
        </w:numPr>
        <w:tabs>
          <w:tab w:pos="2924" w:val="left" w:leader="none"/>
          <w:tab w:pos="2925" w:val="left" w:leader="none"/>
        </w:tabs>
        <w:spacing w:line="235" w:lineRule="auto" w:before="0" w:after="0"/>
        <w:ind w:left="2924" w:right="1390" w:hanging="681"/>
        <w:jc w:val="left"/>
        <w:rPr>
          <w:sz w:val="20"/>
        </w:rPr>
      </w:pPr>
      <w:r>
        <w:rPr>
          <w:w w:val="120"/>
          <w:sz w:val="20"/>
        </w:rPr>
        <w:t>The Jewish Fund has now become the Interfaith Fund with a focus on providing local</w:t>
      </w:r>
      <w:r>
        <w:rPr>
          <w:spacing w:val="5"/>
          <w:w w:val="120"/>
          <w:sz w:val="20"/>
        </w:rPr>
        <w:t> </w:t>
      </w:r>
      <w:r>
        <w:rPr>
          <w:w w:val="120"/>
          <w:sz w:val="20"/>
        </w:rPr>
        <w:t>grants.</w:t>
      </w:r>
    </w:p>
    <w:p>
      <w:pPr>
        <w:pStyle w:val="ListParagraph"/>
        <w:numPr>
          <w:ilvl w:val="1"/>
          <w:numId w:val="107"/>
        </w:numPr>
        <w:tabs>
          <w:tab w:pos="2924" w:val="left" w:leader="none"/>
          <w:tab w:pos="2925" w:val="left" w:leader="none"/>
        </w:tabs>
        <w:spacing w:line="242" w:lineRule="exact" w:before="0" w:after="0"/>
        <w:ind w:left="2924" w:right="0" w:hanging="681"/>
        <w:jc w:val="left"/>
        <w:rPr>
          <w:sz w:val="20"/>
        </w:rPr>
      </w:pPr>
      <w:r>
        <w:rPr>
          <w:w w:val="120"/>
          <w:sz w:val="20"/>
        </w:rPr>
        <w:t>The URC is now a full member of the Interfaith</w:t>
      </w:r>
      <w:r>
        <w:rPr>
          <w:spacing w:val="21"/>
          <w:w w:val="120"/>
          <w:sz w:val="20"/>
        </w:rPr>
        <w:t> </w:t>
      </w:r>
      <w:r>
        <w:rPr>
          <w:w w:val="120"/>
          <w:sz w:val="20"/>
        </w:rPr>
        <w:t>Network.</w:t>
      </w:r>
    </w:p>
    <w:p>
      <w:pPr>
        <w:pStyle w:val="BodyText"/>
        <w:spacing w:before="11"/>
        <w:rPr>
          <w:sz w:val="18"/>
        </w:rPr>
      </w:pPr>
    </w:p>
    <w:p>
      <w:pPr>
        <w:pStyle w:val="ListParagraph"/>
        <w:numPr>
          <w:ilvl w:val="1"/>
          <w:numId w:val="105"/>
        </w:numPr>
        <w:tabs>
          <w:tab w:pos="2244" w:val="left" w:leader="none"/>
          <w:tab w:pos="2245" w:val="left" w:leader="none"/>
        </w:tabs>
        <w:spacing w:line="235" w:lineRule="auto" w:before="0" w:after="0"/>
        <w:ind w:left="1564" w:right="958" w:firstLine="0"/>
        <w:jc w:val="left"/>
        <w:rPr>
          <w:sz w:val="20"/>
        </w:rPr>
      </w:pPr>
      <w:r>
        <w:rPr>
          <w:w w:val="120"/>
          <w:sz w:val="20"/>
        </w:rPr>
        <w:t>There is a wide range of interfaith work taking place at local level, of which the following are only a few examples. The IFRRG was pleased to hold one of its meetings  at the London Interfaith Centre, where last year the Revd Dr John Parry, a URC minister, was appointed co-director. Earlier this </w:t>
      </w:r>
      <w:r>
        <w:rPr>
          <w:spacing w:val="-4"/>
          <w:w w:val="120"/>
          <w:sz w:val="20"/>
        </w:rPr>
        <w:t>year, </w:t>
      </w:r>
      <w:r>
        <w:rPr>
          <w:w w:val="120"/>
          <w:sz w:val="20"/>
        </w:rPr>
        <w:t>Grassroots Luton celebrated its 25th anniversary. Grassroots works to empower </w:t>
      </w:r>
      <w:r>
        <w:rPr>
          <w:spacing w:val="-3"/>
          <w:w w:val="120"/>
          <w:sz w:val="20"/>
        </w:rPr>
        <w:t>Luton’s </w:t>
      </w:r>
      <w:r>
        <w:rPr>
          <w:w w:val="120"/>
          <w:sz w:val="20"/>
        </w:rPr>
        <w:t>faith and cultural</w:t>
      </w:r>
      <w:r>
        <w:rPr>
          <w:spacing w:val="14"/>
          <w:w w:val="120"/>
          <w:sz w:val="20"/>
        </w:rPr>
        <w:t> </w:t>
      </w:r>
      <w:r>
        <w:rPr>
          <w:w w:val="120"/>
          <w:sz w:val="20"/>
        </w:rPr>
        <w:t>communities.</w:t>
      </w:r>
    </w:p>
    <w:p>
      <w:pPr>
        <w:pStyle w:val="BodyText"/>
        <w:spacing w:line="235" w:lineRule="auto" w:before="4"/>
        <w:ind w:left="1564" w:right="956"/>
      </w:pPr>
      <w:r>
        <w:rPr>
          <w:w w:val="120"/>
        </w:rPr>
        <w:t>It supports community work in the Beech Hill </w:t>
      </w:r>
      <w:r>
        <w:rPr>
          <w:spacing w:val="2"/>
          <w:w w:val="120"/>
        </w:rPr>
        <w:t>Bury </w:t>
      </w:r>
      <w:r>
        <w:rPr>
          <w:w w:val="120"/>
        </w:rPr>
        <w:t>Park area of Luton through the ministry of Karen Campbell who is the Church-related Community Worker based there. In Blackburn, Mal Breeze, a Church-related Community </w:t>
      </w:r>
      <w:r>
        <w:rPr>
          <w:spacing w:val="-3"/>
          <w:w w:val="120"/>
        </w:rPr>
        <w:t>Worker, </w:t>
      </w:r>
      <w:r>
        <w:rPr>
          <w:w w:val="120"/>
        </w:rPr>
        <w:t>is working with two local churches situated in areas with high Asian populations. Mal reaches out to local mosques and other places of worship to forge closer links. Although misunderstandings and suspicions inevitably exist, the situation is far from the picture of ‘divided communities’ portrayed by the </w:t>
      </w:r>
      <w:r>
        <w:rPr>
          <w:i/>
          <w:w w:val="120"/>
        </w:rPr>
        <w:t>Panorama </w:t>
      </w:r>
      <w:r>
        <w:rPr>
          <w:w w:val="120"/>
        </w:rPr>
        <w:t>episode ‘White Fright: Divided</w:t>
      </w:r>
      <w:r>
        <w:rPr>
          <w:spacing w:val="29"/>
          <w:w w:val="120"/>
        </w:rPr>
        <w:t> </w:t>
      </w:r>
      <w:r>
        <w:rPr>
          <w:spacing w:val="-3"/>
          <w:w w:val="120"/>
        </w:rPr>
        <w:t>Britain’,</w:t>
      </w:r>
    </w:p>
    <w:p>
      <w:pPr>
        <w:pStyle w:val="BodyText"/>
        <w:spacing w:before="2"/>
        <w:ind w:left="1564"/>
      </w:pPr>
      <w:r>
        <w:rPr>
          <w:w w:val="120"/>
        </w:rPr>
        <w:t>which aired in January 2018.</w:t>
      </w:r>
    </w:p>
    <w:p>
      <w:pPr>
        <w:pStyle w:val="BodyText"/>
        <w:spacing w:before="4"/>
        <w:rPr>
          <w:sz w:val="26"/>
        </w:rPr>
      </w:pPr>
    </w:p>
    <w:p>
      <w:pPr>
        <w:pStyle w:val="Heading4"/>
        <w:spacing w:line="196" w:lineRule="auto"/>
        <w:ind w:left="1564" w:right="923" w:firstLine="0"/>
      </w:pPr>
      <w:r>
        <w:rPr>
          <w:w w:val="110"/>
        </w:rPr>
        <w:t>Response to the 2016 General Assembly Resolution 37 on Israel/Palestine</w:t>
      </w:r>
    </w:p>
    <w:p>
      <w:pPr>
        <w:pStyle w:val="ListParagraph"/>
        <w:numPr>
          <w:ilvl w:val="1"/>
          <w:numId w:val="105"/>
        </w:numPr>
        <w:tabs>
          <w:tab w:pos="2244" w:val="left" w:leader="none"/>
          <w:tab w:pos="2245" w:val="left" w:leader="none"/>
        </w:tabs>
        <w:spacing w:line="235" w:lineRule="auto" w:before="85" w:after="0"/>
        <w:ind w:left="1564" w:right="999" w:firstLine="0"/>
        <w:jc w:val="left"/>
        <w:rPr>
          <w:sz w:val="20"/>
        </w:rPr>
      </w:pPr>
      <w:r>
        <w:rPr>
          <w:w w:val="120"/>
          <w:sz w:val="20"/>
        </w:rPr>
        <w:t>The mission committee set up the Israel/Palestine task group, bringing together a team of people with considerable experience of the subject. The Revd Brian</w:t>
      </w:r>
      <w:r>
        <w:rPr>
          <w:spacing w:val="38"/>
          <w:w w:val="120"/>
          <w:sz w:val="20"/>
        </w:rPr>
        <w:t> </w:t>
      </w:r>
      <w:r>
        <w:rPr>
          <w:w w:val="120"/>
          <w:sz w:val="20"/>
        </w:rPr>
        <w:t>Jolly</w:t>
      </w:r>
    </w:p>
    <w:p>
      <w:pPr>
        <w:pStyle w:val="BodyText"/>
        <w:spacing w:line="235" w:lineRule="auto" w:before="1"/>
        <w:ind w:left="1564" w:right="1091"/>
      </w:pPr>
      <w:r>
        <w:rPr>
          <w:w w:val="120"/>
        </w:rPr>
        <w:t>was appointed as the </w:t>
      </w:r>
      <w:r>
        <w:rPr>
          <w:spacing w:val="-3"/>
          <w:w w:val="120"/>
        </w:rPr>
        <w:t>group’s convenor. </w:t>
      </w:r>
      <w:r>
        <w:rPr>
          <w:w w:val="120"/>
        </w:rPr>
        <w:t>Other members included the Revd David  </w:t>
      </w:r>
      <w:r>
        <w:rPr>
          <w:spacing w:val="-4"/>
          <w:w w:val="120"/>
        </w:rPr>
        <w:t>Tatem </w:t>
      </w:r>
      <w:r>
        <w:rPr>
          <w:w w:val="120"/>
        </w:rPr>
        <w:t>and the Revd Philip Brooks (past and present URC secretaries for ecumenical  and interfaith </w:t>
      </w:r>
      <w:r>
        <w:rPr>
          <w:spacing w:val="-3"/>
          <w:w w:val="120"/>
        </w:rPr>
        <w:t>relations), </w:t>
      </w:r>
      <w:r>
        <w:rPr>
          <w:w w:val="120"/>
        </w:rPr>
        <w:t>Grace Pengelly (URC Secretary for Church and Society from January </w:t>
      </w:r>
      <w:r>
        <w:rPr>
          <w:spacing w:val="-7"/>
          <w:w w:val="120"/>
        </w:rPr>
        <w:t>2016 </w:t>
      </w:r>
      <w:r>
        <w:rPr>
          <w:w w:val="120"/>
        </w:rPr>
        <w:t>to July </w:t>
      </w:r>
      <w:r>
        <w:rPr>
          <w:spacing w:val="-7"/>
          <w:w w:val="120"/>
        </w:rPr>
        <w:t>2017), </w:t>
      </w:r>
      <w:r>
        <w:rPr>
          <w:w w:val="120"/>
        </w:rPr>
        <w:t>John </w:t>
      </w:r>
      <w:r>
        <w:rPr>
          <w:spacing w:val="-4"/>
          <w:w w:val="120"/>
        </w:rPr>
        <w:t>Davey, </w:t>
      </w:r>
      <w:r>
        <w:rPr>
          <w:w w:val="120"/>
        </w:rPr>
        <w:t>Andy Lie, the Revd Sally Thomas and Derek   Estill (General Assembly Moderator-Elect). The task group met several times to listen  to a wide range of knowledgeable and interested parties, to explore the </w:t>
      </w:r>
      <w:r>
        <w:rPr>
          <w:spacing w:val="-3"/>
          <w:w w:val="120"/>
        </w:rPr>
        <w:t>URC’s </w:t>
      </w:r>
      <w:r>
        <w:rPr>
          <w:w w:val="120"/>
        </w:rPr>
        <w:t>existing active involvement with Israel/Palestine and to consider carefully how Resolution </w:t>
      </w:r>
      <w:r>
        <w:rPr>
          <w:spacing w:val="-7"/>
          <w:w w:val="120"/>
        </w:rPr>
        <w:t>37 </w:t>
      </w:r>
      <w:r>
        <w:rPr>
          <w:w w:val="120"/>
        </w:rPr>
        <w:t>might be implemented. The </w:t>
      </w:r>
      <w:r>
        <w:rPr>
          <w:spacing w:val="-3"/>
          <w:w w:val="120"/>
        </w:rPr>
        <w:t>group’s </w:t>
      </w:r>
      <w:r>
        <w:rPr>
          <w:spacing w:val="2"/>
          <w:w w:val="120"/>
        </w:rPr>
        <w:t>report </w:t>
      </w:r>
      <w:r>
        <w:rPr>
          <w:w w:val="120"/>
        </w:rPr>
        <w:t>and recommendations were discussed and approved at the </w:t>
      </w:r>
      <w:r>
        <w:rPr>
          <w:spacing w:val="2"/>
          <w:w w:val="120"/>
        </w:rPr>
        <w:t>February </w:t>
      </w:r>
      <w:r>
        <w:rPr>
          <w:spacing w:val="-6"/>
          <w:w w:val="120"/>
        </w:rPr>
        <w:t>2018 </w:t>
      </w:r>
      <w:r>
        <w:rPr>
          <w:w w:val="120"/>
        </w:rPr>
        <w:t>meeting of the mission</w:t>
      </w:r>
      <w:r>
        <w:rPr>
          <w:spacing w:val="26"/>
          <w:w w:val="120"/>
        </w:rPr>
        <w:t> </w:t>
      </w:r>
      <w:r>
        <w:rPr>
          <w:w w:val="120"/>
        </w:rPr>
        <w:t>committee.</w:t>
      </w:r>
    </w:p>
    <w:p>
      <w:pPr>
        <w:pStyle w:val="BodyText"/>
        <w:spacing w:before="3"/>
      </w:pPr>
    </w:p>
    <w:p>
      <w:pPr>
        <w:pStyle w:val="ListParagraph"/>
        <w:numPr>
          <w:ilvl w:val="1"/>
          <w:numId w:val="105"/>
        </w:numPr>
        <w:tabs>
          <w:tab w:pos="2244" w:val="left" w:leader="none"/>
          <w:tab w:pos="2245" w:val="left" w:leader="none"/>
        </w:tabs>
        <w:spacing w:line="235" w:lineRule="auto" w:before="0" w:after="0"/>
        <w:ind w:left="1564" w:right="864" w:firstLine="0"/>
        <w:jc w:val="left"/>
        <w:rPr>
          <w:sz w:val="20"/>
        </w:rPr>
      </w:pPr>
      <w:r>
        <w:rPr>
          <w:w w:val="120"/>
          <w:sz w:val="20"/>
        </w:rPr>
        <w:t>From the outset, the task group agreed that the key words in the Assembly resolution were ‘explore and develop </w:t>
      </w:r>
      <w:r>
        <w:rPr>
          <w:spacing w:val="-4"/>
          <w:w w:val="120"/>
          <w:sz w:val="20"/>
        </w:rPr>
        <w:t>... </w:t>
      </w:r>
      <w:r>
        <w:rPr>
          <w:w w:val="120"/>
          <w:sz w:val="20"/>
        </w:rPr>
        <w:t>in order to enable synods, local churches and individuals to become more aware and respond’. It was noted that because of the  nature of the polity of the URC, it is difficult to make statements from the</w:t>
      </w:r>
      <w:r>
        <w:rPr>
          <w:spacing w:val="-9"/>
          <w:w w:val="120"/>
          <w:sz w:val="20"/>
        </w:rPr>
        <w:t> </w:t>
      </w:r>
      <w:r>
        <w:rPr>
          <w:w w:val="120"/>
          <w:sz w:val="20"/>
        </w:rPr>
        <w:t>denomination.</w:t>
      </w:r>
    </w:p>
    <w:p>
      <w:pPr>
        <w:pStyle w:val="BodyText"/>
        <w:spacing w:line="235" w:lineRule="auto" w:before="3"/>
        <w:ind w:left="1564" w:right="1244"/>
      </w:pPr>
      <w:r>
        <w:rPr>
          <w:w w:val="120"/>
        </w:rPr>
        <w:t>This led to a focus on how we might help raise awareness so that as a denomination we can promote a dialogue which will add to peace initiatives. Taking into account the intensely polarised nature of the debate around Israel/Palestine, the following programme was agreed by the mission committee with the request for the Israel/ Palestine task group to oversee its implementation.</w:t>
      </w:r>
    </w:p>
    <w:p>
      <w:pPr>
        <w:pStyle w:val="BodyText"/>
        <w:spacing w:before="11"/>
        <w:rPr>
          <w:sz w:val="19"/>
        </w:rPr>
      </w:pPr>
    </w:p>
    <w:p>
      <w:pPr>
        <w:pStyle w:val="ListParagraph"/>
        <w:numPr>
          <w:ilvl w:val="2"/>
          <w:numId w:val="105"/>
        </w:numPr>
        <w:tabs>
          <w:tab w:pos="2245" w:val="left" w:leader="none"/>
        </w:tabs>
        <w:spacing w:line="235" w:lineRule="auto" w:before="0" w:after="0"/>
        <w:ind w:left="2244" w:right="1131" w:hanging="681"/>
        <w:jc w:val="both"/>
        <w:rPr>
          <w:sz w:val="20"/>
        </w:rPr>
      </w:pPr>
      <w:r>
        <w:rPr>
          <w:w w:val="120"/>
          <w:sz w:val="20"/>
        </w:rPr>
        <w:t>The mission committee welcomed the inclusion in the </w:t>
      </w:r>
      <w:r>
        <w:rPr>
          <w:spacing w:val="-6"/>
          <w:w w:val="120"/>
          <w:sz w:val="20"/>
        </w:rPr>
        <w:t>2018 </w:t>
      </w:r>
      <w:r>
        <w:rPr>
          <w:w w:val="120"/>
          <w:sz w:val="20"/>
        </w:rPr>
        <w:t>General Assembly of an interfaith panel from the three Abrahamic faiths of Christianity, Islam and Judaism, modelling positive interfaith dialogue and</w:t>
      </w:r>
      <w:r>
        <w:rPr>
          <w:spacing w:val="28"/>
          <w:w w:val="120"/>
          <w:sz w:val="20"/>
        </w:rPr>
        <w:t> </w:t>
      </w:r>
      <w:r>
        <w:rPr>
          <w:w w:val="120"/>
          <w:sz w:val="20"/>
        </w:rPr>
        <w:t>engagement.</w:t>
      </w:r>
    </w:p>
    <w:p>
      <w:pPr>
        <w:pStyle w:val="BodyText"/>
        <w:spacing w:before="10"/>
        <w:rPr>
          <w:sz w:val="19"/>
        </w:rPr>
      </w:pPr>
    </w:p>
    <w:p>
      <w:pPr>
        <w:pStyle w:val="ListParagraph"/>
        <w:numPr>
          <w:ilvl w:val="2"/>
          <w:numId w:val="105"/>
        </w:numPr>
        <w:tabs>
          <w:tab w:pos="2245" w:val="left" w:leader="none"/>
        </w:tabs>
        <w:spacing w:line="235" w:lineRule="auto" w:before="0" w:after="0"/>
        <w:ind w:left="2244" w:right="1156" w:hanging="681"/>
        <w:jc w:val="left"/>
        <w:rPr>
          <w:sz w:val="20"/>
        </w:rPr>
      </w:pPr>
      <w:r>
        <w:rPr>
          <w:spacing w:val="-9"/>
          <w:w w:val="125"/>
          <w:sz w:val="20"/>
        </w:rPr>
        <w:t>‘12</w:t>
      </w:r>
      <w:r>
        <w:rPr>
          <w:spacing w:val="-17"/>
          <w:w w:val="125"/>
          <w:sz w:val="20"/>
        </w:rPr>
        <w:t> </w:t>
      </w:r>
      <w:r>
        <w:rPr>
          <w:w w:val="125"/>
          <w:sz w:val="20"/>
        </w:rPr>
        <w:t>Faces</w:t>
      </w:r>
      <w:r>
        <w:rPr>
          <w:spacing w:val="-16"/>
          <w:w w:val="125"/>
          <w:sz w:val="20"/>
        </w:rPr>
        <w:t> </w:t>
      </w:r>
      <w:r>
        <w:rPr>
          <w:w w:val="125"/>
          <w:sz w:val="20"/>
        </w:rPr>
        <w:t>of</w:t>
      </w:r>
      <w:r>
        <w:rPr>
          <w:spacing w:val="-16"/>
          <w:w w:val="125"/>
          <w:sz w:val="20"/>
        </w:rPr>
        <w:t> </w:t>
      </w:r>
      <w:r>
        <w:rPr>
          <w:w w:val="125"/>
          <w:sz w:val="20"/>
        </w:rPr>
        <w:t>Hope’</w:t>
      </w:r>
      <w:r>
        <w:rPr>
          <w:spacing w:val="-16"/>
          <w:w w:val="125"/>
          <w:sz w:val="20"/>
        </w:rPr>
        <w:t> </w:t>
      </w:r>
      <w:r>
        <w:rPr>
          <w:w w:val="125"/>
          <w:sz w:val="20"/>
        </w:rPr>
        <w:t>–</w:t>
      </w:r>
      <w:r>
        <w:rPr>
          <w:spacing w:val="-16"/>
          <w:w w:val="125"/>
          <w:sz w:val="20"/>
        </w:rPr>
        <w:t> </w:t>
      </w:r>
      <w:r>
        <w:rPr>
          <w:w w:val="125"/>
          <w:sz w:val="20"/>
        </w:rPr>
        <w:t>This</w:t>
      </w:r>
      <w:r>
        <w:rPr>
          <w:spacing w:val="-16"/>
          <w:w w:val="125"/>
          <w:sz w:val="20"/>
        </w:rPr>
        <w:t> </w:t>
      </w:r>
      <w:r>
        <w:rPr>
          <w:w w:val="125"/>
          <w:sz w:val="20"/>
        </w:rPr>
        <w:t>year’s</w:t>
      </w:r>
      <w:r>
        <w:rPr>
          <w:spacing w:val="-16"/>
          <w:w w:val="125"/>
          <w:sz w:val="20"/>
        </w:rPr>
        <w:t> </w:t>
      </w:r>
      <w:r>
        <w:rPr>
          <w:w w:val="125"/>
          <w:sz w:val="20"/>
        </w:rPr>
        <w:t>General</w:t>
      </w:r>
      <w:r>
        <w:rPr>
          <w:spacing w:val="-17"/>
          <w:w w:val="125"/>
          <w:sz w:val="20"/>
        </w:rPr>
        <w:t> </w:t>
      </w:r>
      <w:r>
        <w:rPr>
          <w:w w:val="125"/>
          <w:sz w:val="20"/>
        </w:rPr>
        <w:t>Assembly</w:t>
      </w:r>
      <w:r>
        <w:rPr>
          <w:spacing w:val="-16"/>
          <w:w w:val="125"/>
          <w:sz w:val="20"/>
        </w:rPr>
        <w:t> </w:t>
      </w:r>
      <w:r>
        <w:rPr>
          <w:w w:val="125"/>
          <w:sz w:val="20"/>
        </w:rPr>
        <w:t>displays</w:t>
      </w:r>
      <w:r>
        <w:rPr>
          <w:spacing w:val="-16"/>
          <w:w w:val="125"/>
          <w:sz w:val="20"/>
        </w:rPr>
        <w:t> </w:t>
      </w:r>
      <w:r>
        <w:rPr>
          <w:w w:val="125"/>
          <w:sz w:val="20"/>
        </w:rPr>
        <w:t>the</w:t>
      </w:r>
      <w:r>
        <w:rPr>
          <w:spacing w:val="-16"/>
          <w:w w:val="125"/>
          <w:sz w:val="20"/>
        </w:rPr>
        <w:t> </w:t>
      </w:r>
      <w:r>
        <w:rPr>
          <w:w w:val="125"/>
          <w:sz w:val="20"/>
        </w:rPr>
        <w:t>World</w:t>
      </w:r>
      <w:r>
        <w:rPr>
          <w:spacing w:val="-16"/>
          <w:w w:val="125"/>
          <w:sz w:val="20"/>
        </w:rPr>
        <w:t> </w:t>
      </w:r>
      <w:r>
        <w:rPr>
          <w:w w:val="125"/>
          <w:sz w:val="20"/>
        </w:rPr>
        <w:t>Council of Churches (WCC) exhibition </w:t>
      </w:r>
      <w:r>
        <w:rPr>
          <w:spacing w:val="-7"/>
          <w:w w:val="125"/>
          <w:sz w:val="20"/>
        </w:rPr>
        <w:t>’12 </w:t>
      </w:r>
      <w:r>
        <w:rPr>
          <w:w w:val="125"/>
          <w:sz w:val="20"/>
        </w:rPr>
        <w:t>Faces of </w:t>
      </w:r>
      <w:r>
        <w:rPr>
          <w:spacing w:val="-3"/>
          <w:w w:val="125"/>
          <w:sz w:val="20"/>
        </w:rPr>
        <w:t>Hope’, </w:t>
      </w:r>
      <w:r>
        <w:rPr>
          <w:w w:val="125"/>
          <w:sz w:val="20"/>
        </w:rPr>
        <w:t>which launched in </w:t>
      </w:r>
      <w:r>
        <w:rPr>
          <w:spacing w:val="-9"/>
          <w:w w:val="125"/>
          <w:sz w:val="20"/>
        </w:rPr>
        <w:t>2017 </w:t>
      </w:r>
      <w:r>
        <w:rPr>
          <w:w w:val="125"/>
          <w:sz w:val="20"/>
        </w:rPr>
        <w:t>coinciding with the 50-year mark of the Six-Day War and the resulting occupation in Palestine. The exhibition offers </w:t>
      </w:r>
      <w:r>
        <w:rPr>
          <w:spacing w:val="-7"/>
          <w:w w:val="125"/>
          <w:sz w:val="20"/>
        </w:rPr>
        <w:t>12, </w:t>
      </w:r>
      <w:r>
        <w:rPr>
          <w:w w:val="125"/>
          <w:sz w:val="20"/>
        </w:rPr>
        <w:t>individual, short narratives written</w:t>
      </w:r>
      <w:r>
        <w:rPr>
          <w:spacing w:val="-20"/>
          <w:w w:val="125"/>
          <w:sz w:val="20"/>
        </w:rPr>
        <w:t> </w:t>
      </w:r>
      <w:r>
        <w:rPr>
          <w:w w:val="125"/>
          <w:sz w:val="20"/>
        </w:rPr>
        <w:t>by</w:t>
      </w:r>
      <w:r>
        <w:rPr>
          <w:spacing w:val="-20"/>
          <w:w w:val="125"/>
          <w:sz w:val="20"/>
        </w:rPr>
        <w:t> </w:t>
      </w:r>
      <w:r>
        <w:rPr>
          <w:w w:val="125"/>
          <w:sz w:val="20"/>
        </w:rPr>
        <w:t>people</w:t>
      </w:r>
      <w:r>
        <w:rPr>
          <w:spacing w:val="-20"/>
          <w:w w:val="125"/>
          <w:sz w:val="20"/>
        </w:rPr>
        <w:t> </w:t>
      </w:r>
      <w:r>
        <w:rPr>
          <w:w w:val="125"/>
          <w:sz w:val="20"/>
        </w:rPr>
        <w:t>from</w:t>
      </w:r>
      <w:r>
        <w:rPr>
          <w:spacing w:val="-20"/>
          <w:w w:val="125"/>
          <w:sz w:val="20"/>
        </w:rPr>
        <w:t> </w:t>
      </w:r>
      <w:r>
        <w:rPr>
          <w:w w:val="125"/>
          <w:sz w:val="20"/>
        </w:rPr>
        <w:t>different</w:t>
      </w:r>
      <w:r>
        <w:rPr>
          <w:spacing w:val="-20"/>
          <w:w w:val="125"/>
          <w:sz w:val="20"/>
        </w:rPr>
        <w:t> </w:t>
      </w:r>
      <w:r>
        <w:rPr>
          <w:w w:val="125"/>
          <w:sz w:val="20"/>
        </w:rPr>
        <w:t>backgrounds,</w:t>
      </w:r>
      <w:r>
        <w:rPr>
          <w:spacing w:val="-20"/>
          <w:w w:val="125"/>
          <w:sz w:val="20"/>
        </w:rPr>
        <w:t> </w:t>
      </w:r>
      <w:r>
        <w:rPr>
          <w:w w:val="125"/>
          <w:sz w:val="20"/>
        </w:rPr>
        <w:t>sharing</w:t>
      </w:r>
      <w:r>
        <w:rPr>
          <w:spacing w:val="-20"/>
          <w:w w:val="125"/>
          <w:sz w:val="20"/>
        </w:rPr>
        <w:t> </w:t>
      </w:r>
      <w:r>
        <w:rPr>
          <w:w w:val="125"/>
          <w:sz w:val="20"/>
        </w:rPr>
        <w:t>their</w:t>
      </w:r>
      <w:r>
        <w:rPr>
          <w:spacing w:val="-20"/>
          <w:w w:val="125"/>
          <w:sz w:val="20"/>
        </w:rPr>
        <w:t> </w:t>
      </w:r>
      <w:r>
        <w:rPr>
          <w:w w:val="125"/>
          <w:sz w:val="20"/>
        </w:rPr>
        <w:t>hopes</w:t>
      </w:r>
      <w:r>
        <w:rPr>
          <w:spacing w:val="-20"/>
          <w:w w:val="125"/>
          <w:sz w:val="20"/>
        </w:rPr>
        <w:t> </w:t>
      </w:r>
      <w:r>
        <w:rPr>
          <w:w w:val="125"/>
          <w:sz w:val="20"/>
        </w:rPr>
        <w:t>for</w:t>
      </w:r>
      <w:r>
        <w:rPr>
          <w:spacing w:val="-20"/>
          <w:w w:val="125"/>
          <w:sz w:val="20"/>
        </w:rPr>
        <w:t> </w:t>
      </w:r>
      <w:r>
        <w:rPr>
          <w:w w:val="125"/>
          <w:sz w:val="20"/>
        </w:rPr>
        <w:t>justice and peace in the Holy Land. The exhibition is now available to synods and local</w:t>
      </w:r>
      <w:r>
        <w:rPr>
          <w:spacing w:val="-18"/>
          <w:w w:val="125"/>
          <w:sz w:val="20"/>
        </w:rPr>
        <w:t> </w:t>
      </w:r>
      <w:r>
        <w:rPr>
          <w:w w:val="125"/>
          <w:sz w:val="20"/>
        </w:rPr>
        <w:t>churches</w:t>
      </w:r>
      <w:r>
        <w:rPr>
          <w:spacing w:val="-17"/>
          <w:w w:val="125"/>
          <w:sz w:val="20"/>
        </w:rPr>
        <w:t> </w:t>
      </w:r>
      <w:r>
        <w:rPr>
          <w:w w:val="125"/>
          <w:sz w:val="20"/>
        </w:rPr>
        <w:t>to</w:t>
      </w:r>
      <w:r>
        <w:rPr>
          <w:spacing w:val="-17"/>
          <w:w w:val="125"/>
          <w:sz w:val="20"/>
        </w:rPr>
        <w:t> </w:t>
      </w:r>
      <w:r>
        <w:rPr>
          <w:w w:val="125"/>
          <w:sz w:val="20"/>
        </w:rPr>
        <w:t>use</w:t>
      </w:r>
      <w:r>
        <w:rPr>
          <w:spacing w:val="-17"/>
          <w:w w:val="125"/>
          <w:sz w:val="20"/>
        </w:rPr>
        <w:t> </w:t>
      </w:r>
      <w:r>
        <w:rPr>
          <w:w w:val="125"/>
          <w:sz w:val="20"/>
        </w:rPr>
        <w:t>and</w:t>
      </w:r>
      <w:r>
        <w:rPr>
          <w:spacing w:val="-17"/>
          <w:w w:val="125"/>
          <w:sz w:val="20"/>
        </w:rPr>
        <w:t> </w:t>
      </w:r>
      <w:r>
        <w:rPr>
          <w:w w:val="125"/>
          <w:sz w:val="20"/>
        </w:rPr>
        <w:t>display</w:t>
      </w:r>
      <w:r>
        <w:rPr>
          <w:spacing w:val="-18"/>
          <w:w w:val="125"/>
          <w:sz w:val="20"/>
        </w:rPr>
        <w:t> </w:t>
      </w:r>
      <w:r>
        <w:rPr>
          <w:w w:val="125"/>
          <w:sz w:val="20"/>
        </w:rPr>
        <w:t>as</w:t>
      </w:r>
      <w:r>
        <w:rPr>
          <w:spacing w:val="-17"/>
          <w:w w:val="125"/>
          <w:sz w:val="20"/>
        </w:rPr>
        <w:t> </w:t>
      </w:r>
      <w:r>
        <w:rPr>
          <w:w w:val="125"/>
          <w:sz w:val="20"/>
        </w:rPr>
        <w:t>a</w:t>
      </w:r>
      <w:r>
        <w:rPr>
          <w:spacing w:val="-17"/>
          <w:w w:val="125"/>
          <w:sz w:val="20"/>
        </w:rPr>
        <w:t> </w:t>
      </w:r>
      <w:r>
        <w:rPr>
          <w:w w:val="125"/>
          <w:sz w:val="20"/>
        </w:rPr>
        <w:t>focus</w:t>
      </w:r>
      <w:r>
        <w:rPr>
          <w:spacing w:val="-17"/>
          <w:w w:val="125"/>
          <w:sz w:val="20"/>
        </w:rPr>
        <w:t> </w:t>
      </w:r>
      <w:r>
        <w:rPr>
          <w:w w:val="125"/>
          <w:sz w:val="20"/>
        </w:rPr>
        <w:t>for</w:t>
      </w:r>
      <w:r>
        <w:rPr>
          <w:spacing w:val="-17"/>
          <w:w w:val="125"/>
          <w:sz w:val="20"/>
        </w:rPr>
        <w:t> </w:t>
      </w:r>
      <w:r>
        <w:rPr>
          <w:w w:val="125"/>
          <w:sz w:val="20"/>
        </w:rPr>
        <w:t>discussion.</w:t>
      </w:r>
      <w:r>
        <w:rPr>
          <w:spacing w:val="-18"/>
          <w:w w:val="125"/>
          <w:sz w:val="20"/>
        </w:rPr>
        <w:t> </w:t>
      </w:r>
      <w:r>
        <w:rPr>
          <w:w w:val="125"/>
          <w:sz w:val="20"/>
        </w:rPr>
        <w:t>It</w:t>
      </w:r>
      <w:r>
        <w:rPr>
          <w:spacing w:val="-17"/>
          <w:w w:val="125"/>
          <w:sz w:val="20"/>
        </w:rPr>
        <w:t> </w:t>
      </w:r>
      <w:r>
        <w:rPr>
          <w:w w:val="125"/>
          <w:sz w:val="20"/>
        </w:rPr>
        <w:t>can</w:t>
      </w:r>
      <w:r>
        <w:rPr>
          <w:spacing w:val="-17"/>
          <w:w w:val="125"/>
          <w:sz w:val="20"/>
        </w:rPr>
        <w:t> </w:t>
      </w:r>
      <w:r>
        <w:rPr>
          <w:w w:val="125"/>
          <w:sz w:val="20"/>
        </w:rPr>
        <w:t>be</w:t>
      </w:r>
      <w:r>
        <w:rPr>
          <w:spacing w:val="-17"/>
          <w:w w:val="125"/>
          <w:sz w:val="20"/>
        </w:rPr>
        <w:t> </w:t>
      </w:r>
      <w:r>
        <w:rPr>
          <w:w w:val="125"/>
          <w:sz w:val="20"/>
        </w:rPr>
        <w:t>booked</w:t>
      </w:r>
      <w:r>
        <w:rPr>
          <w:spacing w:val="-17"/>
          <w:w w:val="125"/>
          <w:sz w:val="20"/>
        </w:rPr>
        <w:t> </w:t>
      </w:r>
      <w:r>
        <w:rPr>
          <w:w w:val="125"/>
          <w:sz w:val="20"/>
        </w:rPr>
        <w:t>by contacting</w:t>
      </w:r>
      <w:r>
        <w:rPr>
          <w:spacing w:val="-8"/>
          <w:w w:val="125"/>
          <w:sz w:val="20"/>
        </w:rPr>
        <w:t> </w:t>
      </w:r>
      <w:r>
        <w:rPr>
          <w:w w:val="125"/>
          <w:sz w:val="20"/>
        </w:rPr>
        <w:t>the</w:t>
      </w:r>
      <w:r>
        <w:rPr>
          <w:spacing w:val="-8"/>
          <w:w w:val="125"/>
          <w:sz w:val="20"/>
        </w:rPr>
        <w:t> </w:t>
      </w:r>
      <w:r>
        <w:rPr>
          <w:w w:val="125"/>
          <w:sz w:val="20"/>
        </w:rPr>
        <w:t>Secretary</w:t>
      </w:r>
      <w:r>
        <w:rPr>
          <w:spacing w:val="-8"/>
          <w:w w:val="125"/>
          <w:sz w:val="20"/>
        </w:rPr>
        <w:t> </w:t>
      </w:r>
      <w:r>
        <w:rPr>
          <w:w w:val="125"/>
          <w:sz w:val="20"/>
        </w:rPr>
        <w:t>for</w:t>
      </w:r>
      <w:r>
        <w:rPr>
          <w:spacing w:val="-8"/>
          <w:w w:val="125"/>
          <w:sz w:val="20"/>
        </w:rPr>
        <w:t> </w:t>
      </w:r>
      <w:r>
        <w:rPr>
          <w:w w:val="125"/>
          <w:sz w:val="20"/>
        </w:rPr>
        <w:t>Ecumenical</w:t>
      </w:r>
      <w:r>
        <w:rPr>
          <w:spacing w:val="-8"/>
          <w:w w:val="125"/>
          <w:sz w:val="20"/>
        </w:rPr>
        <w:t> </w:t>
      </w:r>
      <w:r>
        <w:rPr>
          <w:w w:val="125"/>
          <w:sz w:val="20"/>
        </w:rPr>
        <w:t>and</w:t>
      </w:r>
      <w:r>
        <w:rPr>
          <w:spacing w:val="-8"/>
          <w:w w:val="125"/>
          <w:sz w:val="20"/>
        </w:rPr>
        <w:t> </w:t>
      </w:r>
      <w:r>
        <w:rPr>
          <w:w w:val="125"/>
          <w:sz w:val="20"/>
        </w:rPr>
        <w:t>Interfaith</w:t>
      </w:r>
      <w:r>
        <w:rPr>
          <w:spacing w:val="-8"/>
          <w:w w:val="125"/>
          <w:sz w:val="20"/>
        </w:rPr>
        <w:t> </w:t>
      </w:r>
      <w:r>
        <w:rPr>
          <w:w w:val="125"/>
          <w:sz w:val="20"/>
        </w:rPr>
        <w:t>Relations.</w:t>
      </w:r>
    </w:p>
    <w:p>
      <w:pPr>
        <w:spacing w:after="0" w:line="235" w:lineRule="auto"/>
        <w:jc w:val="left"/>
        <w:rPr>
          <w:sz w:val="20"/>
        </w:rPr>
        <w:sectPr>
          <w:headerReference w:type="default" r:id="rId405"/>
          <w:footerReference w:type="default" r:id="rId406"/>
          <w:footerReference w:type="even" r:id="rId407"/>
          <w:pgSz w:w="11910" w:h="16840"/>
          <w:pgMar w:header="0" w:footer="647" w:top="0" w:bottom="840" w:left="420" w:right="380"/>
          <w:pgNumType w:start="149"/>
        </w:sectPr>
      </w:pPr>
    </w:p>
    <w:p>
      <w:pPr>
        <w:pStyle w:val="BodyText"/>
      </w:pPr>
      <w:r>
        <w:rPr/>
        <w:drawing>
          <wp:anchor distT="0" distB="0" distL="0" distR="0" allowOverlap="1" layoutInCell="1" locked="0" behindDoc="1" simplePos="0" relativeHeight="236084224">
            <wp:simplePos x="0" y="0"/>
            <wp:positionH relativeFrom="page">
              <wp:posOffset>0</wp:posOffset>
            </wp:positionH>
            <wp:positionV relativeFrom="page">
              <wp:posOffset>0</wp:posOffset>
            </wp:positionV>
            <wp:extent cx="594067" cy="10692003"/>
            <wp:effectExtent l="0" t="0" r="0" b="0"/>
            <wp:wrapNone/>
            <wp:docPr id="289" name="image70.png"/>
            <wp:cNvGraphicFramePr>
              <a:graphicFrameLocks noChangeAspect="1"/>
            </wp:cNvGraphicFramePr>
            <a:graphic>
              <a:graphicData uri="http://schemas.openxmlformats.org/drawingml/2006/picture">
                <pic:pic>
                  <pic:nvPicPr>
                    <pic:cNvPr id="29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5248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2"/>
          <w:numId w:val="105"/>
        </w:numPr>
        <w:tabs>
          <w:tab w:pos="1508" w:val="left" w:leader="none"/>
        </w:tabs>
        <w:spacing w:line="230" w:lineRule="auto" w:before="225" w:after="0"/>
        <w:ind w:left="1507" w:right="1831" w:hanging="681"/>
        <w:jc w:val="left"/>
        <w:rPr>
          <w:sz w:val="20"/>
        </w:rPr>
      </w:pPr>
      <w:r>
        <w:rPr>
          <w:w w:val="120"/>
          <w:sz w:val="20"/>
        </w:rPr>
        <w:t>Pilgrimage – In June </w:t>
      </w:r>
      <w:r>
        <w:rPr>
          <w:spacing w:val="-12"/>
          <w:w w:val="120"/>
          <w:sz w:val="20"/>
        </w:rPr>
        <w:t>2017, </w:t>
      </w:r>
      <w:r>
        <w:rPr>
          <w:w w:val="120"/>
          <w:sz w:val="20"/>
        </w:rPr>
        <w:t>the National Coalition of Christian Organisations in Palestine issued an open letter to the </w:t>
      </w:r>
      <w:r>
        <w:rPr>
          <w:spacing w:val="-3"/>
          <w:w w:val="120"/>
          <w:sz w:val="20"/>
        </w:rPr>
        <w:t>WCC </w:t>
      </w:r>
      <w:r>
        <w:rPr>
          <w:w w:val="120"/>
          <w:sz w:val="20"/>
        </w:rPr>
        <w:t>with a desperate plea for support from Churches across the world. Within the letter was an appeal for Christians to visit Palestine and actively see the situation on the ground.</w:t>
      </w:r>
      <w:r>
        <w:rPr>
          <w:w w:val="120"/>
          <w:position w:val="4"/>
          <w:sz w:val="18"/>
        </w:rPr>
        <w:t>4 </w:t>
      </w:r>
      <w:r>
        <w:rPr>
          <w:w w:val="120"/>
          <w:sz w:val="20"/>
        </w:rPr>
        <w:t>One of the criticisms of most pilgrimages is that they are conducted almost in the way of</w:t>
      </w:r>
      <w:r>
        <w:rPr>
          <w:spacing w:val="31"/>
          <w:w w:val="120"/>
          <w:sz w:val="20"/>
        </w:rPr>
        <w:t> </w:t>
      </w:r>
      <w:r>
        <w:rPr>
          <w:w w:val="120"/>
          <w:sz w:val="20"/>
        </w:rPr>
        <w:t>a</w:t>
      </w:r>
    </w:p>
    <w:p>
      <w:pPr>
        <w:pStyle w:val="BodyText"/>
        <w:spacing w:line="235" w:lineRule="auto" w:before="4"/>
        <w:ind w:left="1507" w:right="1620"/>
      </w:pPr>
      <w:r>
        <w:rPr>
          <w:w w:val="120"/>
        </w:rPr>
        <w:t>biblical Disney tour, with tour operators and guides airbrushing out the suffering and injustice of those people trapped in the day to day realities of life in the region. The URC gave financial support to the Forum for Discussion of Israel</w:t>
      </w:r>
    </w:p>
    <w:p>
      <w:pPr>
        <w:pStyle w:val="BodyText"/>
        <w:spacing w:line="235" w:lineRule="auto" w:before="2"/>
        <w:ind w:left="1507" w:right="1528"/>
      </w:pPr>
      <w:r>
        <w:rPr>
          <w:w w:val="120"/>
        </w:rPr>
        <w:t>and Palestine (FODIP) for the production of a short film entitled ‘Walking the Tightrope’ which highlights this issue. The DVD provides an invaluable way of preparing anyone who might be considering a pilgrimage.</w:t>
      </w:r>
    </w:p>
    <w:p>
      <w:pPr>
        <w:pStyle w:val="BodyText"/>
        <w:spacing w:before="10"/>
        <w:rPr>
          <w:sz w:val="19"/>
        </w:rPr>
      </w:pPr>
    </w:p>
    <w:p>
      <w:pPr>
        <w:pStyle w:val="ListParagraph"/>
        <w:numPr>
          <w:ilvl w:val="2"/>
          <w:numId w:val="105"/>
        </w:numPr>
        <w:tabs>
          <w:tab w:pos="1508" w:val="left" w:leader="none"/>
        </w:tabs>
        <w:spacing w:line="235" w:lineRule="auto" w:before="0" w:after="0"/>
        <w:ind w:left="1507" w:right="1602" w:hanging="681"/>
        <w:jc w:val="left"/>
        <w:rPr>
          <w:sz w:val="20"/>
        </w:rPr>
      </w:pPr>
      <w:r>
        <w:rPr>
          <w:w w:val="120"/>
          <w:sz w:val="20"/>
        </w:rPr>
        <w:t>Denominational educational visit – General Assembly Moderators normally undertake an overseas visit as </w:t>
      </w:r>
      <w:r>
        <w:rPr>
          <w:spacing w:val="2"/>
          <w:w w:val="120"/>
          <w:sz w:val="20"/>
        </w:rPr>
        <w:t>part </w:t>
      </w:r>
      <w:r>
        <w:rPr>
          <w:w w:val="120"/>
          <w:sz w:val="20"/>
        </w:rPr>
        <w:t>of their term in office. Derek Estill has chosen to go to Israel and Palestine, but in planning this trip he is committed to ensuring that it should have benefit for the wider denomination. Given that Resolution </w:t>
      </w:r>
      <w:r>
        <w:rPr>
          <w:spacing w:val="-7"/>
          <w:w w:val="120"/>
          <w:sz w:val="20"/>
        </w:rPr>
        <w:t>37 </w:t>
      </w:r>
      <w:r>
        <w:rPr>
          <w:w w:val="120"/>
          <w:sz w:val="20"/>
        </w:rPr>
        <w:t>originated in three synods, it is hoped that there would be interest amongst the synods in sending a representative to take </w:t>
      </w:r>
      <w:r>
        <w:rPr>
          <w:spacing w:val="2"/>
          <w:w w:val="120"/>
          <w:sz w:val="20"/>
        </w:rPr>
        <w:t>part </w:t>
      </w:r>
      <w:r>
        <w:rPr>
          <w:w w:val="120"/>
          <w:sz w:val="20"/>
        </w:rPr>
        <w:t>in the Moderator’s planned visit, which will take place during </w:t>
      </w:r>
      <w:r>
        <w:rPr>
          <w:spacing w:val="-8"/>
          <w:w w:val="120"/>
          <w:sz w:val="20"/>
        </w:rPr>
        <w:t>2019. </w:t>
      </w:r>
      <w:r>
        <w:rPr>
          <w:w w:val="120"/>
          <w:sz w:val="20"/>
        </w:rPr>
        <w:t>URC </w:t>
      </w:r>
      <w:r>
        <w:rPr>
          <w:spacing w:val="-3"/>
          <w:w w:val="120"/>
          <w:sz w:val="20"/>
        </w:rPr>
        <w:t>Youth </w:t>
      </w:r>
      <w:r>
        <w:rPr>
          <w:w w:val="120"/>
          <w:sz w:val="20"/>
        </w:rPr>
        <w:t>are very keen to be involved and there is the intention to identify at least one young adult to take part. This visit will require funding support and it is suggested that selected delegates should contribute by raising some of the money locally, as well as seeking</w:t>
      </w:r>
      <w:r>
        <w:rPr>
          <w:spacing w:val="40"/>
          <w:w w:val="120"/>
          <w:sz w:val="20"/>
        </w:rPr>
        <w:t> </w:t>
      </w:r>
      <w:r>
        <w:rPr>
          <w:w w:val="120"/>
          <w:sz w:val="20"/>
        </w:rPr>
        <w:t>support</w:t>
      </w:r>
    </w:p>
    <w:p>
      <w:pPr>
        <w:pStyle w:val="BodyText"/>
        <w:spacing w:line="235" w:lineRule="auto" w:before="7"/>
        <w:ind w:left="1507" w:right="1528"/>
      </w:pPr>
      <w:r>
        <w:rPr>
          <w:w w:val="120"/>
        </w:rPr>
        <w:t>from the URC’s Interfaith Fund. It is hoped that their synods might also consider offering a contribution.</w:t>
      </w:r>
    </w:p>
    <w:p>
      <w:pPr>
        <w:pStyle w:val="BodyText"/>
        <w:spacing w:before="10"/>
        <w:rPr>
          <w:sz w:val="19"/>
        </w:rPr>
      </w:pPr>
    </w:p>
    <w:p>
      <w:pPr>
        <w:pStyle w:val="ListParagraph"/>
        <w:numPr>
          <w:ilvl w:val="2"/>
          <w:numId w:val="105"/>
        </w:numPr>
        <w:tabs>
          <w:tab w:pos="1508" w:val="left" w:leader="none"/>
        </w:tabs>
        <w:spacing w:line="235" w:lineRule="auto" w:before="0" w:after="0"/>
        <w:ind w:left="1507" w:right="1708" w:hanging="681"/>
        <w:jc w:val="left"/>
        <w:rPr>
          <w:sz w:val="20"/>
        </w:rPr>
      </w:pPr>
      <w:r>
        <w:rPr>
          <w:w w:val="120"/>
          <w:sz w:val="20"/>
        </w:rPr>
        <w:t>Study guide – With the impetus of a denomination-wide visit to Israel and Palestine, the task group has agreed to identify as well as write study material to be made available pre- and</w:t>
      </w:r>
      <w:r>
        <w:rPr>
          <w:spacing w:val="10"/>
          <w:w w:val="120"/>
          <w:sz w:val="20"/>
        </w:rPr>
        <w:t> </w:t>
      </w:r>
      <w:r>
        <w:rPr>
          <w:w w:val="120"/>
          <w:sz w:val="20"/>
        </w:rPr>
        <w:t>post-visit.</w:t>
      </w:r>
    </w:p>
    <w:p>
      <w:pPr>
        <w:pStyle w:val="BodyText"/>
        <w:spacing w:before="10"/>
        <w:rPr>
          <w:sz w:val="19"/>
        </w:rPr>
      </w:pPr>
    </w:p>
    <w:p>
      <w:pPr>
        <w:pStyle w:val="ListParagraph"/>
        <w:numPr>
          <w:ilvl w:val="2"/>
          <w:numId w:val="105"/>
        </w:numPr>
        <w:tabs>
          <w:tab w:pos="1508" w:val="left" w:leader="none"/>
        </w:tabs>
        <w:spacing w:line="235" w:lineRule="auto" w:before="0" w:after="0"/>
        <w:ind w:left="1507" w:right="1957" w:hanging="681"/>
        <w:jc w:val="left"/>
        <w:rPr>
          <w:sz w:val="20"/>
        </w:rPr>
      </w:pPr>
      <w:r>
        <w:rPr>
          <w:w w:val="120"/>
          <w:sz w:val="20"/>
        </w:rPr>
        <w:t>The denominational visit is intended to raise awareness within our synods  and local churches. </w:t>
      </w:r>
      <w:r>
        <w:rPr>
          <w:spacing w:val="-7"/>
          <w:w w:val="120"/>
          <w:sz w:val="20"/>
        </w:rPr>
        <w:t>To </w:t>
      </w:r>
      <w:r>
        <w:rPr>
          <w:w w:val="120"/>
          <w:sz w:val="20"/>
        </w:rPr>
        <w:t>qualify as a delegate, participants would be expected  to engage with the study material, ideally alongside local synod and church groups.</w:t>
      </w:r>
      <w:r>
        <w:rPr>
          <w:spacing w:val="8"/>
          <w:w w:val="120"/>
          <w:sz w:val="20"/>
        </w:rPr>
        <w:t> </w:t>
      </w:r>
      <w:r>
        <w:rPr>
          <w:w w:val="120"/>
          <w:sz w:val="20"/>
        </w:rPr>
        <w:t>They</w:t>
      </w:r>
      <w:r>
        <w:rPr>
          <w:spacing w:val="9"/>
          <w:w w:val="120"/>
          <w:sz w:val="20"/>
        </w:rPr>
        <w:t> </w:t>
      </w:r>
      <w:r>
        <w:rPr>
          <w:w w:val="120"/>
          <w:sz w:val="20"/>
        </w:rPr>
        <w:t>will</w:t>
      </w:r>
      <w:r>
        <w:rPr>
          <w:spacing w:val="9"/>
          <w:w w:val="120"/>
          <w:sz w:val="20"/>
        </w:rPr>
        <w:t> </w:t>
      </w:r>
      <w:r>
        <w:rPr>
          <w:w w:val="120"/>
          <w:sz w:val="20"/>
        </w:rPr>
        <w:t>be</w:t>
      </w:r>
      <w:r>
        <w:rPr>
          <w:spacing w:val="9"/>
          <w:w w:val="120"/>
          <w:sz w:val="20"/>
        </w:rPr>
        <w:t> </w:t>
      </w:r>
      <w:r>
        <w:rPr>
          <w:w w:val="120"/>
          <w:sz w:val="20"/>
        </w:rPr>
        <w:t>asked</w:t>
      </w:r>
      <w:r>
        <w:rPr>
          <w:spacing w:val="8"/>
          <w:w w:val="120"/>
          <w:sz w:val="20"/>
        </w:rPr>
        <w:t> </w:t>
      </w:r>
      <w:r>
        <w:rPr>
          <w:w w:val="120"/>
          <w:sz w:val="20"/>
        </w:rPr>
        <w:t>to</w:t>
      </w:r>
      <w:r>
        <w:rPr>
          <w:spacing w:val="9"/>
          <w:w w:val="120"/>
          <w:sz w:val="20"/>
        </w:rPr>
        <w:t> </w:t>
      </w:r>
      <w:r>
        <w:rPr>
          <w:w w:val="120"/>
          <w:sz w:val="20"/>
        </w:rPr>
        <w:t>commit</w:t>
      </w:r>
      <w:r>
        <w:rPr>
          <w:spacing w:val="9"/>
          <w:w w:val="120"/>
          <w:sz w:val="20"/>
        </w:rPr>
        <w:t> </w:t>
      </w:r>
      <w:r>
        <w:rPr>
          <w:w w:val="120"/>
          <w:sz w:val="20"/>
        </w:rPr>
        <w:t>to</w:t>
      </w:r>
      <w:r>
        <w:rPr>
          <w:spacing w:val="9"/>
          <w:w w:val="120"/>
          <w:sz w:val="20"/>
        </w:rPr>
        <w:t> </w:t>
      </w:r>
      <w:r>
        <w:rPr>
          <w:w w:val="120"/>
          <w:sz w:val="20"/>
        </w:rPr>
        <w:t>feeding</w:t>
      </w:r>
      <w:r>
        <w:rPr>
          <w:spacing w:val="9"/>
          <w:w w:val="120"/>
          <w:sz w:val="20"/>
        </w:rPr>
        <w:t> </w:t>
      </w:r>
      <w:r>
        <w:rPr>
          <w:w w:val="120"/>
          <w:sz w:val="20"/>
        </w:rPr>
        <w:t>back</w:t>
      </w:r>
      <w:r>
        <w:rPr>
          <w:spacing w:val="8"/>
          <w:w w:val="120"/>
          <w:sz w:val="20"/>
        </w:rPr>
        <w:t> </w:t>
      </w:r>
      <w:r>
        <w:rPr>
          <w:w w:val="120"/>
          <w:sz w:val="20"/>
        </w:rPr>
        <w:t>to</w:t>
      </w:r>
      <w:r>
        <w:rPr>
          <w:spacing w:val="9"/>
          <w:w w:val="120"/>
          <w:sz w:val="20"/>
        </w:rPr>
        <w:t> </w:t>
      </w:r>
      <w:r>
        <w:rPr>
          <w:w w:val="120"/>
          <w:sz w:val="20"/>
        </w:rPr>
        <w:t>the</w:t>
      </w:r>
      <w:r>
        <w:rPr>
          <w:spacing w:val="9"/>
          <w:w w:val="120"/>
          <w:sz w:val="20"/>
        </w:rPr>
        <w:t> </w:t>
      </w:r>
      <w:r>
        <w:rPr>
          <w:w w:val="120"/>
          <w:sz w:val="20"/>
        </w:rPr>
        <w:t>wider</w:t>
      </w:r>
      <w:r>
        <w:rPr>
          <w:spacing w:val="9"/>
          <w:w w:val="120"/>
          <w:sz w:val="20"/>
        </w:rPr>
        <w:t> </w:t>
      </w:r>
      <w:r>
        <w:rPr>
          <w:w w:val="120"/>
          <w:sz w:val="20"/>
        </w:rPr>
        <w:t>Church</w:t>
      </w:r>
      <w:r>
        <w:rPr>
          <w:spacing w:val="9"/>
          <w:w w:val="120"/>
          <w:sz w:val="20"/>
        </w:rPr>
        <w:t> </w:t>
      </w:r>
      <w:r>
        <w:rPr>
          <w:w w:val="120"/>
          <w:sz w:val="20"/>
        </w:rPr>
        <w:t>on</w:t>
      </w:r>
    </w:p>
    <w:p>
      <w:pPr>
        <w:pStyle w:val="BodyText"/>
        <w:spacing w:line="235" w:lineRule="auto" w:before="3"/>
        <w:ind w:left="1507" w:right="1755"/>
      </w:pPr>
      <w:r>
        <w:rPr>
          <w:w w:val="120"/>
        </w:rPr>
        <w:t>the learning experience of their visit. The aim is that the build up to the visit and the subsequent debriefing after it will be invaluable in raising awareness. </w:t>
      </w:r>
      <w:r>
        <w:rPr>
          <w:spacing w:val="3"/>
          <w:w w:val="120"/>
        </w:rPr>
        <w:t>As </w:t>
      </w:r>
      <w:r>
        <w:rPr>
          <w:w w:val="120"/>
        </w:rPr>
        <w:t>a result, more people can be equipped to engage with the issues around Israel  and</w:t>
      </w:r>
      <w:r>
        <w:rPr>
          <w:spacing w:val="1"/>
          <w:w w:val="120"/>
        </w:rPr>
        <w:t> </w:t>
      </w:r>
      <w:r>
        <w:rPr>
          <w:w w:val="120"/>
        </w:rPr>
        <w:t>Palestine.</w:t>
      </w:r>
    </w:p>
    <w:p>
      <w:pPr>
        <w:pStyle w:val="BodyText"/>
        <w:spacing w:before="10"/>
        <w:rPr>
          <w:sz w:val="19"/>
        </w:rPr>
      </w:pPr>
    </w:p>
    <w:p>
      <w:pPr>
        <w:pStyle w:val="ListParagraph"/>
        <w:numPr>
          <w:ilvl w:val="2"/>
          <w:numId w:val="105"/>
        </w:numPr>
        <w:tabs>
          <w:tab w:pos="1508" w:val="left" w:leader="none"/>
        </w:tabs>
        <w:spacing w:line="235" w:lineRule="auto" w:before="1" w:after="0"/>
        <w:ind w:left="1507" w:right="1625" w:hanging="681"/>
        <w:jc w:val="left"/>
        <w:rPr>
          <w:sz w:val="20"/>
        </w:rPr>
      </w:pPr>
      <w:r>
        <w:rPr>
          <w:w w:val="120"/>
          <w:sz w:val="20"/>
        </w:rPr>
        <w:t>Resource list – A list of helpful resources has been produced with the aim of providing accessible information, so that local churches and synods are better able to educate themselves about the issues involved. This list will be particularly useful for those people engaging with the study</w:t>
      </w:r>
      <w:r>
        <w:rPr>
          <w:spacing w:val="29"/>
          <w:w w:val="120"/>
          <w:sz w:val="20"/>
        </w:rPr>
        <w:t> </w:t>
      </w:r>
      <w:r>
        <w:rPr>
          <w:w w:val="120"/>
          <w:sz w:val="20"/>
        </w:rPr>
        <w:t>guide.</w:t>
      </w:r>
    </w:p>
    <w:p>
      <w:pPr>
        <w:pStyle w:val="BodyText"/>
        <w:spacing w:before="10"/>
        <w:rPr>
          <w:sz w:val="19"/>
        </w:rPr>
      </w:pPr>
    </w:p>
    <w:p>
      <w:pPr>
        <w:pStyle w:val="ListParagraph"/>
        <w:numPr>
          <w:ilvl w:val="2"/>
          <w:numId w:val="105"/>
        </w:numPr>
        <w:tabs>
          <w:tab w:pos="1508" w:val="left" w:leader="none"/>
        </w:tabs>
        <w:spacing w:line="235" w:lineRule="auto" w:before="1" w:after="0"/>
        <w:ind w:left="1507" w:right="1958" w:hanging="681"/>
        <w:jc w:val="left"/>
        <w:rPr>
          <w:sz w:val="20"/>
        </w:rPr>
      </w:pPr>
      <w:r>
        <w:rPr>
          <w:w w:val="120"/>
          <w:sz w:val="20"/>
        </w:rPr>
        <w:t>Theology of the land – The recent decision by President </w:t>
      </w:r>
      <w:r>
        <w:rPr>
          <w:spacing w:val="-3"/>
          <w:w w:val="120"/>
          <w:sz w:val="20"/>
        </w:rPr>
        <w:t>Trump </w:t>
      </w:r>
      <w:r>
        <w:rPr>
          <w:w w:val="120"/>
          <w:sz w:val="20"/>
        </w:rPr>
        <w:t>to recognise Jerusalem as the capital of Israel significantly adds to the difficulties of finding a two-state solution. It would seem good timing to encourage some in-depth reflection</w:t>
      </w:r>
      <w:r>
        <w:rPr>
          <w:spacing w:val="6"/>
          <w:w w:val="120"/>
          <w:sz w:val="20"/>
        </w:rPr>
        <w:t> </w:t>
      </w:r>
      <w:r>
        <w:rPr>
          <w:w w:val="120"/>
          <w:sz w:val="20"/>
        </w:rPr>
        <w:t>about</w:t>
      </w:r>
      <w:r>
        <w:rPr>
          <w:spacing w:val="7"/>
          <w:w w:val="120"/>
          <w:sz w:val="20"/>
        </w:rPr>
        <w:t> </w:t>
      </w:r>
      <w:r>
        <w:rPr>
          <w:w w:val="120"/>
          <w:sz w:val="20"/>
        </w:rPr>
        <w:t>the</w:t>
      </w:r>
      <w:r>
        <w:rPr>
          <w:spacing w:val="7"/>
          <w:w w:val="120"/>
          <w:sz w:val="20"/>
        </w:rPr>
        <w:t> </w:t>
      </w:r>
      <w:r>
        <w:rPr>
          <w:w w:val="120"/>
          <w:sz w:val="20"/>
        </w:rPr>
        <w:t>theology</w:t>
      </w:r>
      <w:r>
        <w:rPr>
          <w:spacing w:val="7"/>
          <w:w w:val="120"/>
          <w:sz w:val="20"/>
        </w:rPr>
        <w:t> </w:t>
      </w:r>
      <w:r>
        <w:rPr>
          <w:w w:val="120"/>
          <w:sz w:val="20"/>
        </w:rPr>
        <w:t>of</w:t>
      </w:r>
      <w:r>
        <w:rPr>
          <w:spacing w:val="7"/>
          <w:w w:val="120"/>
          <w:sz w:val="20"/>
        </w:rPr>
        <w:t> </w:t>
      </w:r>
      <w:r>
        <w:rPr>
          <w:w w:val="120"/>
          <w:sz w:val="20"/>
        </w:rPr>
        <w:t>the</w:t>
      </w:r>
      <w:r>
        <w:rPr>
          <w:spacing w:val="7"/>
          <w:w w:val="120"/>
          <w:sz w:val="20"/>
        </w:rPr>
        <w:t> </w:t>
      </w:r>
      <w:r>
        <w:rPr>
          <w:w w:val="120"/>
          <w:sz w:val="20"/>
        </w:rPr>
        <w:t>land</w:t>
      </w:r>
      <w:r>
        <w:rPr>
          <w:spacing w:val="6"/>
          <w:w w:val="120"/>
          <w:sz w:val="20"/>
        </w:rPr>
        <w:t> </w:t>
      </w:r>
      <w:r>
        <w:rPr>
          <w:w w:val="120"/>
          <w:sz w:val="20"/>
        </w:rPr>
        <w:t>itself</w:t>
      </w:r>
      <w:r>
        <w:rPr>
          <w:spacing w:val="7"/>
          <w:w w:val="120"/>
          <w:sz w:val="20"/>
        </w:rPr>
        <w:t> </w:t>
      </w:r>
      <w:r>
        <w:rPr>
          <w:w w:val="120"/>
          <w:sz w:val="20"/>
        </w:rPr>
        <w:t>and</w:t>
      </w:r>
      <w:r>
        <w:rPr>
          <w:spacing w:val="7"/>
          <w:w w:val="120"/>
          <w:sz w:val="20"/>
        </w:rPr>
        <w:t> </w:t>
      </w:r>
      <w:r>
        <w:rPr>
          <w:w w:val="120"/>
          <w:sz w:val="20"/>
        </w:rPr>
        <w:t>explore</w:t>
      </w:r>
      <w:r>
        <w:rPr>
          <w:spacing w:val="7"/>
          <w:w w:val="120"/>
          <w:sz w:val="20"/>
        </w:rPr>
        <w:t> </w:t>
      </w:r>
      <w:r>
        <w:rPr>
          <w:w w:val="120"/>
          <w:sz w:val="20"/>
        </w:rPr>
        <w:t>how</w:t>
      </w:r>
      <w:r>
        <w:rPr>
          <w:spacing w:val="7"/>
          <w:w w:val="120"/>
          <w:sz w:val="20"/>
        </w:rPr>
        <w:t> </w:t>
      </w:r>
      <w:r>
        <w:rPr>
          <w:w w:val="120"/>
          <w:sz w:val="20"/>
        </w:rPr>
        <w:t>this</w:t>
      </w:r>
      <w:r>
        <w:rPr>
          <w:spacing w:val="7"/>
          <w:w w:val="120"/>
          <w:sz w:val="20"/>
        </w:rPr>
        <w:t> </w:t>
      </w:r>
      <w:r>
        <w:rPr>
          <w:w w:val="120"/>
          <w:sz w:val="20"/>
        </w:rPr>
        <w:t>could</w:t>
      </w:r>
      <w:r>
        <w:rPr>
          <w:spacing w:val="6"/>
          <w:w w:val="120"/>
          <w:sz w:val="20"/>
        </w:rPr>
        <w:t> </w:t>
      </w:r>
      <w:r>
        <w:rPr>
          <w:w w:val="120"/>
          <w:sz w:val="20"/>
        </w:rPr>
        <w:t>be</w:t>
      </w:r>
    </w:p>
    <w:p>
      <w:pPr>
        <w:pStyle w:val="BodyText"/>
        <w:spacing w:line="235" w:lineRule="auto" w:before="2"/>
        <w:ind w:left="1507" w:right="1814"/>
      </w:pPr>
      <w:r>
        <w:rPr>
          <w:w w:val="120"/>
        </w:rPr>
        <w:t>carried out with ecumenical partners. Such ideas as ‘two states, one homeland’ or ‘shared land theology’ could be considered.</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4"/>
        </w:rPr>
      </w:pPr>
      <w:r>
        <w:rPr/>
        <w:pict>
          <v:shape style="position:absolute;margin-left:62.362202pt;margin-top:17.593424pt;width:72pt;height:.1pt;mso-position-horizontal-relative:page;mso-position-vertical-relative:paragraph;z-index:-251266048;mso-wrap-distance-left:0;mso-wrap-distance-right:0" coordorigin="1247,352" coordsize="1440,0" path="m1247,352l2687,352e" filled="false" stroked="true" strokeweight="1pt" strokecolor="#000000">
            <v:path arrowok="t"/>
            <v:stroke dashstyle="solid"/>
            <w10:wrap type="topAndBottom"/>
          </v:shape>
        </w:pict>
      </w:r>
    </w:p>
    <w:p>
      <w:pPr>
        <w:pStyle w:val="ListParagraph"/>
        <w:numPr>
          <w:ilvl w:val="0"/>
          <w:numId w:val="107"/>
        </w:numPr>
        <w:tabs>
          <w:tab w:pos="1559" w:val="left" w:leader="none"/>
          <w:tab w:pos="1560" w:val="left" w:leader="none"/>
        </w:tabs>
        <w:spacing w:line="261" w:lineRule="auto" w:before="29" w:after="0"/>
        <w:ind w:left="827" w:right="2379" w:firstLine="0"/>
        <w:jc w:val="left"/>
        <w:rPr>
          <w:sz w:val="18"/>
        </w:rPr>
      </w:pPr>
      <w:r>
        <w:rPr>
          <w:w w:val="120"/>
          <w:sz w:val="18"/>
        </w:rPr>
        <w:t>See </w:t>
      </w:r>
      <w:r>
        <w:rPr>
          <w:color w:val="006AB3"/>
          <w:w w:val="120"/>
          <w:sz w:val="18"/>
        </w:rPr>
        <w:t>https://</w:t>
      </w:r>
      <w:hyperlink r:id="rId409">
        <w:r>
          <w:rPr>
            <w:color w:val="006AB3"/>
            <w:w w:val="120"/>
            <w:sz w:val="18"/>
          </w:rPr>
          <w:t>www.oikoumene.org/en/press-centre/news/christian-organizations-</w:t>
        </w:r>
      </w:hyperlink>
      <w:r>
        <w:rPr>
          <w:color w:val="006AB3"/>
          <w:w w:val="120"/>
          <w:sz w:val="18"/>
        </w:rPr>
        <w:t> in-palestine-release-open-letter </w:t>
      </w:r>
      <w:r>
        <w:rPr>
          <w:spacing w:val="-8"/>
          <w:w w:val="120"/>
          <w:sz w:val="18"/>
        </w:rPr>
        <w:t>(2017 </w:t>
      </w:r>
      <w:r>
        <w:rPr>
          <w:w w:val="120"/>
          <w:sz w:val="18"/>
        </w:rPr>
        <w:t>Open letter from National Coalition of Christian Organizations in</w:t>
      </w:r>
      <w:r>
        <w:rPr>
          <w:spacing w:val="4"/>
          <w:w w:val="120"/>
          <w:sz w:val="18"/>
        </w:rPr>
        <w:t> </w:t>
      </w:r>
      <w:r>
        <w:rPr>
          <w:w w:val="120"/>
          <w:sz w:val="18"/>
        </w:rPr>
        <w:t>Palestine)</w:t>
      </w:r>
    </w:p>
    <w:p>
      <w:pPr>
        <w:spacing w:after="0" w:line="261" w:lineRule="auto"/>
        <w:jc w:val="left"/>
        <w:rPr>
          <w:sz w:val="18"/>
        </w:rPr>
        <w:sectPr>
          <w:headerReference w:type="even" r:id="rId408"/>
          <w:pgSz w:w="11910" w:h="16840"/>
          <w:pgMar w:header="0" w:footer="647" w:top="0" w:bottom="840" w:left="420" w:right="380"/>
        </w:sectPr>
      </w:pPr>
    </w:p>
    <w:p>
      <w:pPr>
        <w:pStyle w:val="BodyText"/>
      </w:pPr>
    </w:p>
    <w:p>
      <w:pPr>
        <w:pStyle w:val="BodyText"/>
        <w:spacing w:before="5"/>
        <w:rPr>
          <w:sz w:val="21"/>
        </w:rPr>
      </w:pPr>
    </w:p>
    <w:p>
      <w:pPr>
        <w:spacing w:after="0"/>
        <w:rPr>
          <w:sz w:val="21"/>
        </w:rPr>
        <w:sectPr>
          <w:headerReference w:type="default" r:id="rId410"/>
          <w:footerReference w:type="default" r:id="rId411"/>
          <w:footerReference w:type="even" r:id="rId412"/>
          <w:pgSz w:w="11910" w:h="16840"/>
          <w:pgMar w:header="0" w:footer="647" w:top="0" w:bottom="840" w:left="420" w:right="380"/>
        </w:sectPr>
      </w:pPr>
    </w:p>
    <w:p>
      <w:pPr>
        <w:pStyle w:val="BodyText"/>
        <w:spacing w:before="6"/>
        <w:rPr>
          <w:sz w:val="52"/>
        </w:rPr>
      </w:pPr>
    </w:p>
    <w:p>
      <w:pPr>
        <w:pStyle w:val="Heading4"/>
        <w:ind w:left="1564" w:firstLine="0"/>
      </w:pPr>
      <w:r>
        <w:rPr>
          <w:spacing w:val="4"/>
          <w:w w:val="110"/>
        </w:rPr>
        <w:t>Global </w:t>
      </w:r>
      <w:r>
        <w:rPr>
          <w:spacing w:val="3"/>
          <w:w w:val="110"/>
        </w:rPr>
        <w:t>and </w:t>
      </w:r>
      <w:r>
        <w:rPr>
          <w:spacing w:val="2"/>
          <w:w w:val="110"/>
        </w:rPr>
        <w:t>intercultural</w:t>
      </w:r>
      <w:r>
        <w:rPr>
          <w:spacing w:val="59"/>
          <w:w w:val="110"/>
        </w:rPr>
        <w:t> </w:t>
      </w:r>
      <w:r>
        <w:rPr>
          <w:spacing w:val="3"/>
          <w:w w:val="110"/>
        </w:rPr>
        <w:t>ministries</w:t>
      </w:r>
    </w:p>
    <w:p>
      <w:pPr>
        <w:pStyle w:val="Heading5"/>
        <w:ind w:left="1564"/>
      </w:pPr>
      <w:r>
        <w:rPr/>
        <w:br w:type="column"/>
      </w:r>
      <w:r>
        <w:rPr>
          <w:color w:val="7EAABF"/>
          <w:w w:val="115"/>
        </w:rPr>
        <w:t>Mission</w:t>
      </w:r>
    </w:p>
    <w:p>
      <w:pPr>
        <w:spacing w:after="0"/>
        <w:sectPr>
          <w:type w:val="continuous"/>
          <w:pgSz w:w="11910" w:h="16840"/>
          <w:pgMar w:top="1580" w:bottom="280" w:left="420" w:right="380"/>
          <w:cols w:num="2" w:equalWidth="0">
            <w:col w:w="7106" w:space="623"/>
            <w:col w:w="3381"/>
          </w:cols>
        </w:sectPr>
      </w:pPr>
    </w:p>
    <w:p>
      <w:pPr>
        <w:pStyle w:val="ListParagraph"/>
        <w:numPr>
          <w:ilvl w:val="1"/>
          <w:numId w:val="108"/>
        </w:numPr>
        <w:tabs>
          <w:tab w:pos="2244" w:val="left" w:leader="none"/>
          <w:tab w:pos="2245" w:val="left" w:leader="none"/>
        </w:tabs>
        <w:spacing w:line="235" w:lineRule="auto" w:before="69" w:after="0"/>
        <w:ind w:left="1564" w:right="879" w:firstLine="0"/>
        <w:jc w:val="left"/>
        <w:rPr>
          <w:sz w:val="20"/>
        </w:rPr>
      </w:pPr>
      <w:r>
        <w:rPr/>
        <w:drawing>
          <wp:anchor distT="0" distB="0" distL="0" distR="0" allowOverlap="1" layoutInCell="1" locked="0" behindDoc="0" simplePos="0" relativeHeight="252053504">
            <wp:simplePos x="0" y="0"/>
            <wp:positionH relativeFrom="page">
              <wp:posOffset>6974928</wp:posOffset>
            </wp:positionH>
            <wp:positionV relativeFrom="page">
              <wp:posOffset>0</wp:posOffset>
            </wp:positionV>
            <wp:extent cx="585063" cy="10692003"/>
            <wp:effectExtent l="0" t="0" r="0" b="0"/>
            <wp:wrapNone/>
            <wp:docPr id="291" name="image57.png"/>
            <wp:cNvGraphicFramePr>
              <a:graphicFrameLocks noChangeAspect="1"/>
            </wp:cNvGraphicFramePr>
            <a:graphic>
              <a:graphicData uri="http://schemas.openxmlformats.org/drawingml/2006/picture">
                <pic:pic>
                  <pic:nvPicPr>
                    <pic:cNvPr id="292" name="image57.png"/>
                    <pic:cNvPicPr/>
                  </pic:nvPicPr>
                  <pic:blipFill>
                    <a:blip r:embed="rId230" cstate="print"/>
                    <a:stretch>
                      <a:fillRect/>
                    </a:stretch>
                  </pic:blipFill>
                  <pic:spPr>
                    <a:xfrm>
                      <a:off x="0" y="0"/>
                      <a:ext cx="585063" cy="10692003"/>
                    </a:xfrm>
                    <a:prstGeom prst="rect">
                      <a:avLst/>
                    </a:prstGeom>
                  </pic:spPr>
                </pic:pic>
              </a:graphicData>
            </a:graphic>
          </wp:anchor>
        </w:drawing>
      </w:r>
      <w:r>
        <w:rPr/>
        <w:pict>
          <v:shape style="position:absolute;margin-left:554.141174pt;margin-top:-28.931347pt;width:26pt;height:80.1pt;mso-position-horizontal-relative:page;mso-position-vertical-relative:paragraph;z-index:25205452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w w:val="120"/>
          <w:sz w:val="20"/>
        </w:rPr>
        <w:t>Global and intercultural ministries </w:t>
      </w:r>
      <w:r>
        <w:rPr>
          <w:spacing w:val="-4"/>
          <w:w w:val="120"/>
          <w:sz w:val="20"/>
        </w:rPr>
        <w:t>(GiM) </w:t>
      </w:r>
      <w:r>
        <w:rPr>
          <w:w w:val="120"/>
          <w:sz w:val="20"/>
        </w:rPr>
        <w:t>covers the work of the United Reformed </w:t>
      </w:r>
      <w:r>
        <w:rPr>
          <w:spacing w:val="-3"/>
          <w:w w:val="120"/>
          <w:sz w:val="20"/>
        </w:rPr>
        <w:t>Church’s </w:t>
      </w:r>
      <w:r>
        <w:rPr>
          <w:w w:val="120"/>
          <w:sz w:val="20"/>
        </w:rPr>
        <w:t>world Church partnerships and its focus on multicultural church, intercultural habit. The work is serviced by the Revd Dr Michael Jagessar (Secretary), Dr Eve Parker (Programme Officer) and Veronica Daniel (Administrator). During the Programme Officer’s maternity leave, Will O’Brien, a postgraduate student at the University of London’s School of Oriental and African Studies </w:t>
      </w:r>
      <w:r>
        <w:rPr>
          <w:spacing w:val="-5"/>
          <w:w w:val="120"/>
          <w:sz w:val="20"/>
        </w:rPr>
        <w:t>(Soas) </w:t>
      </w:r>
      <w:r>
        <w:rPr>
          <w:w w:val="120"/>
          <w:sz w:val="20"/>
        </w:rPr>
        <w:t>and from the United Church of Christ </w:t>
      </w:r>
      <w:r>
        <w:rPr>
          <w:spacing w:val="-4"/>
          <w:w w:val="120"/>
          <w:sz w:val="20"/>
        </w:rPr>
        <w:t>(US), </w:t>
      </w:r>
      <w:r>
        <w:rPr>
          <w:w w:val="120"/>
          <w:sz w:val="20"/>
        </w:rPr>
        <w:t>offered excellent support</w:t>
      </w:r>
      <w:r>
        <w:rPr>
          <w:spacing w:val="17"/>
          <w:w w:val="120"/>
          <w:sz w:val="20"/>
        </w:rPr>
        <w:t> </w:t>
      </w:r>
      <w:r>
        <w:rPr>
          <w:w w:val="120"/>
          <w:sz w:val="20"/>
        </w:rPr>
        <w:t>work.</w:t>
      </w:r>
    </w:p>
    <w:p>
      <w:pPr>
        <w:pStyle w:val="BodyText"/>
        <w:spacing w:before="3"/>
        <w:rPr>
          <w:sz w:val="19"/>
        </w:rPr>
      </w:pPr>
    </w:p>
    <w:p>
      <w:pPr>
        <w:pStyle w:val="ListParagraph"/>
        <w:numPr>
          <w:ilvl w:val="1"/>
          <w:numId w:val="108"/>
        </w:numPr>
        <w:tabs>
          <w:tab w:pos="2244" w:val="left" w:leader="none"/>
          <w:tab w:pos="2245" w:val="left" w:leader="none"/>
        </w:tabs>
        <w:spacing w:line="232" w:lineRule="auto" w:before="0" w:after="0"/>
        <w:ind w:left="1564" w:right="902" w:hanging="1"/>
        <w:jc w:val="left"/>
        <w:rPr>
          <w:sz w:val="20"/>
        </w:rPr>
      </w:pPr>
      <w:r>
        <w:rPr>
          <w:rFonts w:ascii="Stone Sans II ITC Std Bk"/>
          <w:b/>
          <w:w w:val="120"/>
          <w:sz w:val="20"/>
        </w:rPr>
        <w:t>Strategic work: </w:t>
      </w:r>
      <w:r>
        <w:rPr>
          <w:w w:val="120"/>
          <w:sz w:val="20"/>
        </w:rPr>
        <w:t>Significant attention has been given to the streamlining and rewriting of policy documents. These included travel-related items, risk assessment, insurance, funding, briefing/debriefing, representation, various application/information forms, the process of recruiting and supporting partners in mission, and progressing memoranda of understanding with world partner Churches who have congregations across</w:t>
      </w:r>
      <w:r>
        <w:rPr>
          <w:spacing w:val="2"/>
          <w:w w:val="120"/>
          <w:sz w:val="20"/>
        </w:rPr>
        <w:t> </w:t>
      </w:r>
      <w:r>
        <w:rPr>
          <w:w w:val="120"/>
          <w:sz w:val="20"/>
        </w:rPr>
        <w:t>England.</w:t>
      </w:r>
    </w:p>
    <w:p>
      <w:pPr>
        <w:pStyle w:val="BodyText"/>
        <w:spacing w:before="3"/>
        <w:rPr>
          <w:sz w:val="19"/>
        </w:rPr>
      </w:pPr>
    </w:p>
    <w:p>
      <w:pPr>
        <w:pStyle w:val="ListParagraph"/>
        <w:numPr>
          <w:ilvl w:val="1"/>
          <w:numId w:val="108"/>
        </w:numPr>
        <w:tabs>
          <w:tab w:pos="2244" w:val="left" w:leader="none"/>
          <w:tab w:pos="2245" w:val="left" w:leader="none"/>
        </w:tabs>
        <w:spacing w:line="230" w:lineRule="auto" w:before="0" w:after="0"/>
        <w:ind w:left="1564" w:right="1071" w:firstLine="0"/>
        <w:jc w:val="left"/>
        <w:rPr>
          <w:sz w:val="20"/>
        </w:rPr>
      </w:pPr>
      <w:r>
        <w:rPr>
          <w:rFonts w:ascii="Stone Sans II ITC Std Bk"/>
          <w:b/>
          <w:w w:val="120"/>
          <w:sz w:val="20"/>
        </w:rPr>
        <w:t>Partnering</w:t>
      </w:r>
      <w:r>
        <w:rPr>
          <w:rFonts w:ascii="Stone Sans II ITC Std Bk"/>
          <w:b/>
          <w:spacing w:val="-39"/>
          <w:w w:val="120"/>
          <w:sz w:val="20"/>
        </w:rPr>
        <w:t> </w:t>
      </w:r>
      <w:r>
        <w:rPr>
          <w:rFonts w:ascii="Stone Sans II ITC Std Bk"/>
          <w:b/>
          <w:w w:val="120"/>
          <w:sz w:val="20"/>
        </w:rPr>
        <w:t>with</w:t>
      </w:r>
      <w:r>
        <w:rPr>
          <w:rFonts w:ascii="Stone Sans II ITC Std Bk"/>
          <w:b/>
          <w:spacing w:val="-39"/>
          <w:w w:val="120"/>
          <w:sz w:val="20"/>
        </w:rPr>
        <w:t> </w:t>
      </w:r>
      <w:r>
        <w:rPr>
          <w:rFonts w:ascii="Stone Sans II ITC Std Bk"/>
          <w:b/>
          <w:w w:val="120"/>
          <w:sz w:val="20"/>
        </w:rPr>
        <w:t>the</w:t>
      </w:r>
      <w:r>
        <w:rPr>
          <w:rFonts w:ascii="Stone Sans II ITC Std Bk"/>
          <w:b/>
          <w:spacing w:val="-39"/>
          <w:w w:val="120"/>
          <w:sz w:val="20"/>
        </w:rPr>
        <w:t> </w:t>
      </w:r>
      <w:r>
        <w:rPr>
          <w:rFonts w:ascii="Stone Sans II ITC Std Bk"/>
          <w:b/>
          <w:w w:val="120"/>
          <w:sz w:val="20"/>
        </w:rPr>
        <w:t>Council</w:t>
      </w:r>
      <w:r>
        <w:rPr>
          <w:rFonts w:ascii="Stone Sans II ITC Std Bk"/>
          <w:b/>
          <w:spacing w:val="-39"/>
          <w:w w:val="120"/>
          <w:sz w:val="20"/>
        </w:rPr>
        <w:t> </w:t>
      </w:r>
      <w:r>
        <w:rPr>
          <w:rFonts w:ascii="Stone Sans II ITC Std Bk"/>
          <w:b/>
          <w:w w:val="120"/>
          <w:sz w:val="20"/>
        </w:rPr>
        <w:t>for</w:t>
      </w:r>
      <w:r>
        <w:rPr>
          <w:rFonts w:ascii="Stone Sans II ITC Std Bk"/>
          <w:b/>
          <w:spacing w:val="-39"/>
          <w:w w:val="120"/>
          <w:sz w:val="20"/>
        </w:rPr>
        <w:t> </w:t>
      </w:r>
      <w:r>
        <w:rPr>
          <w:rFonts w:ascii="Stone Sans II ITC Std Bk"/>
          <w:b/>
          <w:w w:val="120"/>
          <w:sz w:val="20"/>
        </w:rPr>
        <w:t>World</w:t>
      </w:r>
      <w:r>
        <w:rPr>
          <w:rFonts w:ascii="Stone Sans II ITC Std Bk"/>
          <w:b/>
          <w:spacing w:val="-38"/>
          <w:w w:val="120"/>
          <w:sz w:val="20"/>
        </w:rPr>
        <w:t> </w:t>
      </w:r>
      <w:r>
        <w:rPr>
          <w:rFonts w:ascii="Stone Sans II ITC Std Bk"/>
          <w:b/>
          <w:w w:val="120"/>
          <w:sz w:val="20"/>
        </w:rPr>
        <w:t>Mission:</w:t>
      </w:r>
      <w:r>
        <w:rPr>
          <w:rFonts w:ascii="Stone Sans II ITC Std Bk"/>
          <w:b/>
          <w:spacing w:val="-39"/>
          <w:w w:val="120"/>
          <w:sz w:val="20"/>
        </w:rPr>
        <w:t> </w:t>
      </w:r>
      <w:r>
        <w:rPr>
          <w:w w:val="120"/>
          <w:sz w:val="20"/>
        </w:rPr>
        <w:t>Since</w:t>
      </w:r>
      <w:r>
        <w:rPr>
          <w:spacing w:val="-31"/>
          <w:w w:val="120"/>
          <w:sz w:val="20"/>
        </w:rPr>
        <w:t> </w:t>
      </w:r>
      <w:r>
        <w:rPr>
          <w:spacing w:val="-7"/>
          <w:w w:val="120"/>
          <w:sz w:val="20"/>
        </w:rPr>
        <w:t>2016</w:t>
      </w:r>
      <w:r>
        <w:rPr>
          <w:spacing w:val="-30"/>
          <w:w w:val="120"/>
          <w:sz w:val="20"/>
        </w:rPr>
        <w:t> </w:t>
      </w:r>
      <w:r>
        <w:rPr>
          <w:w w:val="120"/>
          <w:sz w:val="20"/>
        </w:rPr>
        <w:t>we</w:t>
      </w:r>
      <w:r>
        <w:rPr>
          <w:spacing w:val="-30"/>
          <w:w w:val="120"/>
          <w:sz w:val="20"/>
        </w:rPr>
        <w:t> </w:t>
      </w:r>
      <w:r>
        <w:rPr>
          <w:w w:val="120"/>
          <w:sz w:val="20"/>
        </w:rPr>
        <w:t>have</w:t>
      </w:r>
      <w:r>
        <w:rPr>
          <w:spacing w:val="-31"/>
          <w:w w:val="120"/>
          <w:sz w:val="20"/>
        </w:rPr>
        <w:t> </w:t>
      </w:r>
      <w:r>
        <w:rPr>
          <w:w w:val="120"/>
          <w:sz w:val="20"/>
        </w:rPr>
        <w:t>worked assiduously to develop and strengthen our partnership role within the Council for World Mission</w:t>
      </w:r>
      <w:r>
        <w:rPr>
          <w:spacing w:val="4"/>
          <w:w w:val="120"/>
          <w:sz w:val="20"/>
        </w:rPr>
        <w:t> </w:t>
      </w:r>
      <w:r>
        <w:rPr>
          <w:w w:val="120"/>
          <w:sz w:val="20"/>
        </w:rPr>
        <w:t>(CWM).</w:t>
      </w:r>
    </w:p>
    <w:p>
      <w:pPr>
        <w:pStyle w:val="BodyText"/>
        <w:spacing w:before="8"/>
        <w:rPr>
          <w:sz w:val="19"/>
        </w:rPr>
      </w:pPr>
    </w:p>
    <w:p>
      <w:pPr>
        <w:pStyle w:val="ListParagraph"/>
        <w:numPr>
          <w:ilvl w:val="2"/>
          <w:numId w:val="108"/>
        </w:numPr>
        <w:tabs>
          <w:tab w:pos="2244" w:val="left" w:leader="none"/>
          <w:tab w:pos="2245" w:val="left" w:leader="none"/>
        </w:tabs>
        <w:spacing w:line="235" w:lineRule="auto" w:before="0" w:after="0"/>
        <w:ind w:left="2244" w:right="1082" w:hanging="681"/>
        <w:jc w:val="left"/>
        <w:rPr>
          <w:sz w:val="20"/>
        </w:rPr>
      </w:pPr>
      <w:r>
        <w:rPr>
          <w:w w:val="120"/>
          <w:sz w:val="20"/>
        </w:rPr>
        <w:t>We have, for instance, supported and participated in the seven-week ‘Face to </w:t>
      </w:r>
      <w:r>
        <w:rPr>
          <w:spacing w:val="-3"/>
          <w:w w:val="120"/>
          <w:sz w:val="20"/>
        </w:rPr>
        <w:t>Face’ </w:t>
      </w:r>
      <w:r>
        <w:rPr>
          <w:w w:val="120"/>
          <w:sz w:val="20"/>
        </w:rPr>
        <w:t>programme which was held in the UK in June and July </w:t>
      </w:r>
      <w:r>
        <w:rPr>
          <w:spacing w:val="-9"/>
          <w:w w:val="120"/>
          <w:sz w:val="20"/>
        </w:rPr>
        <w:t>2017 </w:t>
      </w:r>
      <w:r>
        <w:rPr>
          <w:w w:val="120"/>
          <w:sz w:val="20"/>
        </w:rPr>
        <w:t>on the theme of migration and human</w:t>
      </w:r>
      <w:r>
        <w:rPr>
          <w:spacing w:val="8"/>
          <w:w w:val="120"/>
          <w:sz w:val="20"/>
        </w:rPr>
        <w:t> </w:t>
      </w:r>
      <w:r>
        <w:rPr>
          <w:w w:val="120"/>
          <w:sz w:val="20"/>
        </w:rPr>
        <w:t>trafficking.</w:t>
      </w:r>
    </w:p>
    <w:p>
      <w:pPr>
        <w:pStyle w:val="BodyText"/>
        <w:spacing w:before="10"/>
        <w:rPr>
          <w:sz w:val="19"/>
        </w:rPr>
      </w:pPr>
    </w:p>
    <w:p>
      <w:pPr>
        <w:pStyle w:val="ListParagraph"/>
        <w:numPr>
          <w:ilvl w:val="2"/>
          <w:numId w:val="108"/>
        </w:numPr>
        <w:tabs>
          <w:tab w:pos="2245" w:val="left" w:leader="none"/>
        </w:tabs>
        <w:spacing w:line="235" w:lineRule="auto" w:before="0" w:after="0"/>
        <w:ind w:left="2244" w:right="889" w:hanging="681"/>
        <w:jc w:val="left"/>
        <w:rPr>
          <w:sz w:val="20"/>
        </w:rPr>
      </w:pPr>
      <w:r>
        <w:rPr>
          <w:w w:val="120"/>
          <w:sz w:val="20"/>
        </w:rPr>
        <w:t>Through CWM’s ‘Partners in Mission’ (PiM) programme, Alison Gibbs is our current PiM serving with the United Church of Zambia, while the Revd Shou-Hui Chung of the Presbyterian Church in </w:t>
      </w:r>
      <w:r>
        <w:rPr>
          <w:spacing w:val="-3"/>
          <w:w w:val="120"/>
          <w:sz w:val="20"/>
        </w:rPr>
        <w:t>Taiwan </w:t>
      </w:r>
      <w:r>
        <w:rPr>
          <w:w w:val="120"/>
          <w:sz w:val="20"/>
        </w:rPr>
        <w:t>serves as Chaplain for Mandarin and Taiwanese-speaking students and families at St Peter’s Chaplaincy, Manchester. Her term ends in July </w:t>
      </w:r>
      <w:r>
        <w:rPr>
          <w:spacing w:val="-7"/>
          <w:w w:val="120"/>
          <w:sz w:val="20"/>
        </w:rPr>
        <w:t>2018. </w:t>
      </w:r>
      <w:r>
        <w:rPr>
          <w:spacing w:val="-3"/>
          <w:w w:val="120"/>
          <w:sz w:val="20"/>
        </w:rPr>
        <w:t>We </w:t>
      </w:r>
      <w:r>
        <w:rPr>
          <w:w w:val="120"/>
          <w:sz w:val="20"/>
        </w:rPr>
        <w:t>are </w:t>
      </w:r>
      <w:r>
        <w:rPr>
          <w:spacing w:val="-3"/>
          <w:w w:val="120"/>
          <w:sz w:val="20"/>
        </w:rPr>
        <w:t>delighted to </w:t>
      </w:r>
      <w:r>
        <w:rPr>
          <w:w w:val="120"/>
          <w:sz w:val="20"/>
        </w:rPr>
        <w:t>be </w:t>
      </w:r>
      <w:r>
        <w:rPr>
          <w:spacing w:val="-3"/>
          <w:w w:val="120"/>
          <w:sz w:val="20"/>
        </w:rPr>
        <w:t>receiving </w:t>
      </w:r>
      <w:r>
        <w:rPr>
          <w:w w:val="120"/>
          <w:sz w:val="20"/>
        </w:rPr>
        <w:t>the </w:t>
      </w:r>
      <w:r>
        <w:rPr>
          <w:spacing w:val="-3"/>
          <w:w w:val="120"/>
          <w:sz w:val="20"/>
        </w:rPr>
        <w:t>Revd </w:t>
      </w:r>
      <w:r>
        <w:rPr>
          <w:spacing w:val="-4"/>
          <w:w w:val="120"/>
          <w:sz w:val="20"/>
        </w:rPr>
        <w:t>Yufen </w:t>
      </w:r>
      <w:r>
        <w:rPr>
          <w:w w:val="120"/>
          <w:sz w:val="20"/>
        </w:rPr>
        <w:t>Chen to</w:t>
      </w:r>
      <w:r>
        <w:rPr>
          <w:spacing w:val="8"/>
          <w:w w:val="120"/>
          <w:sz w:val="20"/>
        </w:rPr>
        <w:t> </w:t>
      </w:r>
      <w:r>
        <w:rPr>
          <w:w w:val="120"/>
          <w:sz w:val="20"/>
        </w:rPr>
        <w:t>work</w:t>
      </w:r>
      <w:r>
        <w:rPr>
          <w:spacing w:val="9"/>
          <w:w w:val="120"/>
          <w:sz w:val="20"/>
        </w:rPr>
        <w:t> </w:t>
      </w:r>
      <w:r>
        <w:rPr>
          <w:w w:val="120"/>
          <w:sz w:val="20"/>
        </w:rPr>
        <w:t>in</w:t>
      </w:r>
      <w:r>
        <w:rPr>
          <w:spacing w:val="8"/>
          <w:w w:val="120"/>
          <w:sz w:val="20"/>
        </w:rPr>
        <w:t> </w:t>
      </w:r>
      <w:r>
        <w:rPr>
          <w:w w:val="120"/>
          <w:sz w:val="20"/>
        </w:rPr>
        <w:t>London</w:t>
      </w:r>
      <w:r>
        <w:rPr>
          <w:spacing w:val="9"/>
          <w:w w:val="120"/>
          <w:sz w:val="20"/>
        </w:rPr>
        <w:t> </w:t>
      </w:r>
      <w:r>
        <w:rPr>
          <w:w w:val="120"/>
          <w:sz w:val="20"/>
        </w:rPr>
        <w:t>(Lumen</w:t>
      </w:r>
      <w:r>
        <w:rPr>
          <w:spacing w:val="9"/>
          <w:w w:val="120"/>
          <w:sz w:val="20"/>
        </w:rPr>
        <w:t> </w:t>
      </w:r>
      <w:r>
        <w:rPr>
          <w:w w:val="120"/>
          <w:sz w:val="20"/>
        </w:rPr>
        <w:t>URC)</w:t>
      </w:r>
      <w:r>
        <w:rPr>
          <w:spacing w:val="8"/>
          <w:w w:val="120"/>
          <w:sz w:val="20"/>
        </w:rPr>
        <w:t> </w:t>
      </w:r>
      <w:r>
        <w:rPr>
          <w:w w:val="120"/>
          <w:sz w:val="20"/>
        </w:rPr>
        <w:t>serving</w:t>
      </w:r>
      <w:r>
        <w:rPr>
          <w:spacing w:val="9"/>
          <w:w w:val="120"/>
          <w:sz w:val="20"/>
        </w:rPr>
        <w:t> </w:t>
      </w:r>
      <w:r>
        <w:rPr>
          <w:w w:val="120"/>
          <w:sz w:val="20"/>
        </w:rPr>
        <w:t>the</w:t>
      </w:r>
      <w:r>
        <w:rPr>
          <w:spacing w:val="9"/>
          <w:w w:val="120"/>
          <w:sz w:val="20"/>
        </w:rPr>
        <w:t> </w:t>
      </w:r>
      <w:r>
        <w:rPr>
          <w:w w:val="120"/>
          <w:sz w:val="20"/>
        </w:rPr>
        <w:t>Taiwanese</w:t>
      </w:r>
      <w:r>
        <w:rPr>
          <w:spacing w:val="8"/>
          <w:w w:val="120"/>
          <w:sz w:val="20"/>
        </w:rPr>
        <w:t> </w:t>
      </w:r>
      <w:r>
        <w:rPr>
          <w:w w:val="120"/>
          <w:sz w:val="20"/>
        </w:rPr>
        <w:t>Fellowship</w:t>
      </w:r>
      <w:r>
        <w:rPr>
          <w:spacing w:val="9"/>
          <w:w w:val="120"/>
          <w:sz w:val="20"/>
        </w:rPr>
        <w:t> </w:t>
      </w:r>
      <w:r>
        <w:rPr>
          <w:w w:val="120"/>
          <w:sz w:val="20"/>
        </w:rPr>
        <w:t>in</w:t>
      </w:r>
      <w:r>
        <w:rPr>
          <w:spacing w:val="9"/>
          <w:w w:val="120"/>
          <w:sz w:val="20"/>
        </w:rPr>
        <w:t> </w:t>
      </w:r>
      <w:r>
        <w:rPr>
          <w:w w:val="120"/>
          <w:sz w:val="20"/>
        </w:rPr>
        <w:t>London.</w:t>
      </w:r>
    </w:p>
    <w:p>
      <w:pPr>
        <w:pStyle w:val="BodyText"/>
      </w:pPr>
    </w:p>
    <w:p>
      <w:pPr>
        <w:pStyle w:val="ListParagraph"/>
        <w:numPr>
          <w:ilvl w:val="2"/>
          <w:numId w:val="108"/>
        </w:numPr>
        <w:tabs>
          <w:tab w:pos="2245" w:val="left" w:leader="none"/>
        </w:tabs>
        <w:spacing w:line="235" w:lineRule="auto" w:before="1" w:after="0"/>
        <w:ind w:left="2244" w:right="1007" w:hanging="681"/>
        <w:jc w:val="left"/>
        <w:rPr>
          <w:sz w:val="20"/>
        </w:rPr>
      </w:pPr>
      <w:r>
        <w:rPr>
          <w:w w:val="120"/>
          <w:sz w:val="20"/>
        </w:rPr>
        <w:t>The URC continues to play a significant role through active participation in two, short-termed projects of </w:t>
      </w:r>
      <w:r>
        <w:rPr>
          <w:spacing w:val="2"/>
          <w:w w:val="120"/>
          <w:sz w:val="20"/>
        </w:rPr>
        <w:t>CWM: </w:t>
      </w:r>
      <w:r>
        <w:rPr>
          <w:w w:val="120"/>
          <w:sz w:val="20"/>
        </w:rPr>
        <w:t>the New International Financial and Economic Architecture (NIFEA) process and the Legacies of Slavery hearings. The </w:t>
      </w:r>
      <w:r>
        <w:rPr>
          <w:spacing w:val="2"/>
          <w:w w:val="120"/>
          <w:sz w:val="20"/>
        </w:rPr>
        <w:t>NIFEA </w:t>
      </w:r>
      <w:r>
        <w:rPr>
          <w:w w:val="120"/>
          <w:sz w:val="20"/>
        </w:rPr>
        <w:t>process is a series of three colloquia (Kingston, London, Georgetown)</w:t>
      </w:r>
      <w:r>
        <w:rPr>
          <w:spacing w:val="49"/>
          <w:w w:val="120"/>
          <w:sz w:val="20"/>
        </w:rPr>
        <w:t> </w:t>
      </w:r>
      <w:r>
        <w:rPr>
          <w:w w:val="120"/>
          <w:sz w:val="20"/>
        </w:rPr>
        <w:t>in</w:t>
      </w:r>
    </w:p>
    <w:p>
      <w:pPr>
        <w:pStyle w:val="BodyText"/>
        <w:spacing w:line="235" w:lineRule="auto" w:before="2"/>
        <w:ind w:left="2244" w:right="1269"/>
      </w:pPr>
      <w:r>
        <w:rPr>
          <w:w w:val="120"/>
        </w:rPr>
        <w:t>which the regions of Europe and the Caribbean participate. The expectation  of the colloquia is to inspire member Churches to work on injustices in their context rather than to expect the process will change global structures. The recommendations from each colloquium (Kingston and London thus far) have been commended to the URC for consideration and</w:t>
      </w:r>
      <w:r>
        <w:rPr>
          <w:spacing w:val="27"/>
          <w:w w:val="120"/>
        </w:rPr>
        <w:t> </w:t>
      </w:r>
      <w:r>
        <w:rPr>
          <w:w w:val="120"/>
        </w:rPr>
        <w:t>action.</w:t>
      </w:r>
    </w:p>
    <w:p>
      <w:pPr>
        <w:pStyle w:val="ListParagraph"/>
        <w:numPr>
          <w:ilvl w:val="3"/>
          <w:numId w:val="108"/>
        </w:numPr>
        <w:tabs>
          <w:tab w:pos="3151" w:val="left" w:leader="none"/>
          <w:tab w:pos="3152" w:val="left" w:leader="none"/>
        </w:tabs>
        <w:spacing w:line="235" w:lineRule="auto" w:before="4" w:after="0"/>
        <w:ind w:left="3151" w:right="964" w:hanging="908"/>
        <w:jc w:val="left"/>
        <w:rPr>
          <w:sz w:val="20"/>
        </w:rPr>
      </w:pPr>
      <w:r>
        <w:rPr>
          <w:w w:val="120"/>
          <w:sz w:val="20"/>
        </w:rPr>
        <w:t>Legacies of Slavery is a series of hearings across London, Accra, Kingston and Virginia as a response to the call from black communities of the Caribbean, UK and the US for the legacies of the transatlantic slave trade to be addressed. This is a further </w:t>
      </w:r>
      <w:r>
        <w:rPr>
          <w:spacing w:val="2"/>
          <w:w w:val="120"/>
          <w:sz w:val="20"/>
        </w:rPr>
        <w:t>part </w:t>
      </w:r>
      <w:r>
        <w:rPr>
          <w:w w:val="120"/>
          <w:sz w:val="20"/>
        </w:rPr>
        <w:t>of </w:t>
      </w:r>
      <w:r>
        <w:rPr>
          <w:spacing w:val="3"/>
          <w:w w:val="120"/>
          <w:sz w:val="20"/>
        </w:rPr>
        <w:t>CWM </w:t>
      </w:r>
      <w:r>
        <w:rPr>
          <w:w w:val="120"/>
          <w:sz w:val="20"/>
        </w:rPr>
        <w:t>being a postcolonial organisation and is intended to help us deepen our sensitivity to the issues of mission in the context of empire and to show fresh connection with the issue of empire now in its many forms, from how black people and communities are treated to issues of human trafficking. This is an opportunity for </w:t>
      </w:r>
      <w:r>
        <w:rPr>
          <w:spacing w:val="3"/>
          <w:w w:val="120"/>
          <w:sz w:val="20"/>
        </w:rPr>
        <w:t>CWM </w:t>
      </w:r>
      <w:r>
        <w:rPr>
          <w:w w:val="120"/>
          <w:sz w:val="20"/>
        </w:rPr>
        <w:t>and its members to face  our own story, honour the righteous pain and cause of the</w:t>
      </w:r>
      <w:r>
        <w:rPr>
          <w:spacing w:val="26"/>
          <w:w w:val="120"/>
          <w:sz w:val="20"/>
        </w:rPr>
        <w:t> </w:t>
      </w:r>
      <w:r>
        <w:rPr>
          <w:w w:val="120"/>
          <w:sz w:val="20"/>
        </w:rPr>
        <w:t>reparations</w:t>
      </w:r>
    </w:p>
    <w:p>
      <w:pPr>
        <w:pStyle w:val="BodyText"/>
        <w:spacing w:line="235" w:lineRule="auto" w:before="7"/>
        <w:ind w:left="3151" w:right="783"/>
      </w:pPr>
      <w:r>
        <w:rPr>
          <w:w w:val="120"/>
        </w:rPr>
        <w:t>movement, and to commit to a shared journey of witness and challenge that looks to restore, with Christ, fullness for all.</w:t>
      </w:r>
    </w:p>
    <w:p>
      <w:pPr>
        <w:pStyle w:val="BodyText"/>
        <w:spacing w:before="10"/>
        <w:rPr>
          <w:sz w:val="19"/>
        </w:rPr>
      </w:pPr>
    </w:p>
    <w:p>
      <w:pPr>
        <w:pStyle w:val="ListParagraph"/>
        <w:numPr>
          <w:ilvl w:val="2"/>
          <w:numId w:val="108"/>
        </w:numPr>
        <w:tabs>
          <w:tab w:pos="2245" w:val="left" w:leader="none"/>
        </w:tabs>
        <w:spacing w:line="235" w:lineRule="auto" w:before="0" w:after="0"/>
        <w:ind w:left="2244" w:right="1061" w:hanging="681"/>
        <w:jc w:val="left"/>
        <w:rPr>
          <w:sz w:val="20"/>
        </w:rPr>
      </w:pPr>
      <w:r>
        <w:rPr>
          <w:w w:val="120"/>
          <w:sz w:val="20"/>
        </w:rPr>
        <w:t>For the </w:t>
      </w:r>
      <w:r>
        <w:rPr>
          <w:spacing w:val="-9"/>
          <w:w w:val="120"/>
          <w:sz w:val="20"/>
        </w:rPr>
        <w:t>2017 </w:t>
      </w:r>
      <w:r>
        <w:rPr>
          <w:spacing w:val="3"/>
          <w:w w:val="120"/>
          <w:sz w:val="20"/>
        </w:rPr>
        <w:t>CWM </w:t>
      </w:r>
      <w:r>
        <w:rPr>
          <w:w w:val="120"/>
          <w:sz w:val="20"/>
        </w:rPr>
        <w:t>‘Training in Mission’ programme, the URC participant was Agnes Nteziryayo, a member of Islington URC. Agnes described the experience as transformative. For the </w:t>
      </w:r>
      <w:r>
        <w:rPr>
          <w:spacing w:val="3"/>
          <w:w w:val="120"/>
          <w:sz w:val="20"/>
        </w:rPr>
        <w:t>CWM </w:t>
      </w:r>
      <w:r>
        <w:rPr>
          <w:spacing w:val="-8"/>
          <w:w w:val="120"/>
          <w:sz w:val="20"/>
        </w:rPr>
        <w:t>‘A </w:t>
      </w:r>
      <w:r>
        <w:rPr>
          <w:w w:val="120"/>
          <w:sz w:val="20"/>
        </w:rPr>
        <w:t>New </w:t>
      </w:r>
      <w:r>
        <w:rPr>
          <w:spacing w:val="-3"/>
          <w:w w:val="120"/>
          <w:sz w:val="20"/>
        </w:rPr>
        <w:t>Face’ </w:t>
      </w:r>
      <w:r>
        <w:rPr>
          <w:w w:val="120"/>
          <w:sz w:val="20"/>
        </w:rPr>
        <w:t>programme, there was a URC participant in </w:t>
      </w:r>
      <w:r>
        <w:rPr>
          <w:spacing w:val="-9"/>
          <w:w w:val="120"/>
          <w:sz w:val="20"/>
        </w:rPr>
        <w:t>2017 </w:t>
      </w:r>
      <w:r>
        <w:rPr>
          <w:spacing w:val="-3"/>
          <w:w w:val="120"/>
          <w:sz w:val="20"/>
        </w:rPr>
        <w:t>(the </w:t>
      </w:r>
      <w:r>
        <w:rPr>
          <w:w w:val="120"/>
          <w:sz w:val="20"/>
        </w:rPr>
        <w:t>Revd Catherine McFie, from Scotland). </w:t>
      </w:r>
      <w:r>
        <w:rPr>
          <w:spacing w:val="-8"/>
          <w:w w:val="120"/>
          <w:sz w:val="20"/>
        </w:rPr>
        <w:t>‘A </w:t>
      </w:r>
      <w:r>
        <w:rPr>
          <w:w w:val="120"/>
          <w:sz w:val="20"/>
        </w:rPr>
        <w:t>New</w:t>
      </w:r>
      <w:r>
        <w:rPr>
          <w:spacing w:val="1"/>
          <w:w w:val="120"/>
          <w:sz w:val="20"/>
        </w:rPr>
        <w:t> </w:t>
      </w:r>
      <w:r>
        <w:rPr>
          <w:spacing w:val="-3"/>
          <w:w w:val="120"/>
          <w:sz w:val="20"/>
        </w:rPr>
        <w:t>Face’</w:t>
      </w:r>
    </w:p>
    <w:p>
      <w:pPr>
        <w:pStyle w:val="BodyText"/>
        <w:spacing w:line="243" w:lineRule="exact"/>
        <w:ind w:left="2244"/>
      </w:pPr>
      <w:r>
        <w:rPr>
          <w:w w:val="120"/>
        </w:rPr>
        <w:t>is a seven-week cross-cultural exposure that stimulates theological reflection,</w:t>
      </w:r>
    </w:p>
    <w:p>
      <w:pPr>
        <w:spacing w:after="0" w:line="243" w:lineRule="exact"/>
        <w:sectPr>
          <w:type w:val="continuous"/>
          <w:pgSz w:w="11910" w:h="16840"/>
          <w:pgMar w:top="1580" w:bottom="280" w:left="420" w:right="380"/>
        </w:sectPr>
      </w:pPr>
    </w:p>
    <w:p>
      <w:pPr>
        <w:pStyle w:val="BodyText"/>
      </w:pPr>
      <w:r>
        <w:rPr/>
        <w:drawing>
          <wp:anchor distT="0" distB="0" distL="0" distR="0" allowOverlap="1" layoutInCell="1" locked="0" behindDoc="1" simplePos="0" relativeHeight="236088320">
            <wp:simplePos x="0" y="0"/>
            <wp:positionH relativeFrom="page">
              <wp:posOffset>0</wp:posOffset>
            </wp:positionH>
            <wp:positionV relativeFrom="page">
              <wp:posOffset>0</wp:posOffset>
            </wp:positionV>
            <wp:extent cx="594067" cy="10692003"/>
            <wp:effectExtent l="0" t="0" r="0" b="0"/>
            <wp:wrapNone/>
            <wp:docPr id="293" name="image70.png"/>
            <wp:cNvGraphicFramePr>
              <a:graphicFrameLocks noChangeAspect="1"/>
            </wp:cNvGraphicFramePr>
            <a:graphic>
              <a:graphicData uri="http://schemas.openxmlformats.org/drawingml/2006/picture">
                <pic:pic>
                  <pic:nvPicPr>
                    <pic:cNvPr id="294"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56576"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BodyText"/>
        <w:spacing w:line="235" w:lineRule="auto" w:before="222"/>
        <w:ind w:left="1507" w:right="2148"/>
      </w:pPr>
      <w:r>
        <w:rPr>
          <w:w w:val="120"/>
        </w:rPr>
        <w:t>challenges participants to create a new paradigm of mission engagement and equips ministers to be engaged in mission from the perspectives of the marginalised.</w:t>
      </w:r>
    </w:p>
    <w:p>
      <w:pPr>
        <w:pStyle w:val="BodyText"/>
        <w:spacing w:before="11"/>
        <w:rPr>
          <w:sz w:val="18"/>
        </w:rPr>
      </w:pPr>
    </w:p>
    <w:p>
      <w:pPr>
        <w:pStyle w:val="ListParagraph"/>
        <w:numPr>
          <w:ilvl w:val="1"/>
          <w:numId w:val="108"/>
        </w:numPr>
        <w:tabs>
          <w:tab w:pos="1507" w:val="left" w:leader="none"/>
          <w:tab w:pos="1508" w:val="left" w:leader="none"/>
        </w:tabs>
        <w:spacing w:line="232" w:lineRule="auto" w:before="1" w:after="0"/>
        <w:ind w:left="827" w:right="1953" w:firstLine="0"/>
        <w:jc w:val="left"/>
        <w:rPr>
          <w:sz w:val="20"/>
        </w:rPr>
      </w:pPr>
      <w:r>
        <w:rPr>
          <w:rFonts w:ascii="Stone Sans II ITC Std Bk" w:hAnsi="Stone Sans II ITC Std Bk"/>
          <w:b/>
          <w:w w:val="120"/>
          <w:sz w:val="20"/>
        </w:rPr>
        <w:t>Networking</w:t>
      </w:r>
      <w:r>
        <w:rPr>
          <w:rFonts w:ascii="Stone Sans II ITC Std Bk" w:hAnsi="Stone Sans II ITC Std Bk"/>
          <w:b/>
          <w:spacing w:val="-29"/>
          <w:w w:val="120"/>
          <w:sz w:val="20"/>
        </w:rPr>
        <w:t> </w:t>
      </w:r>
      <w:r>
        <w:rPr>
          <w:rFonts w:ascii="Stone Sans II ITC Std Bk" w:hAnsi="Stone Sans II ITC Std Bk"/>
          <w:b/>
          <w:w w:val="120"/>
          <w:sz w:val="20"/>
        </w:rPr>
        <w:t>–</w:t>
      </w:r>
      <w:r>
        <w:rPr>
          <w:rFonts w:ascii="Stone Sans II ITC Std Bk" w:hAnsi="Stone Sans II ITC Std Bk"/>
          <w:b/>
          <w:spacing w:val="-28"/>
          <w:w w:val="120"/>
          <w:sz w:val="20"/>
        </w:rPr>
        <w:t> </w:t>
      </w:r>
      <w:r>
        <w:rPr>
          <w:rFonts w:ascii="Stone Sans II ITC Std Bk" w:hAnsi="Stone Sans II ITC Std Bk"/>
          <w:b/>
          <w:w w:val="120"/>
          <w:sz w:val="20"/>
        </w:rPr>
        <w:t>collaborating</w:t>
      </w:r>
      <w:r>
        <w:rPr>
          <w:rFonts w:ascii="Stone Sans II ITC Std Bk" w:hAnsi="Stone Sans II ITC Std Bk"/>
          <w:b/>
          <w:spacing w:val="-28"/>
          <w:w w:val="120"/>
          <w:sz w:val="20"/>
        </w:rPr>
        <w:t> </w:t>
      </w:r>
      <w:r>
        <w:rPr>
          <w:rFonts w:ascii="Stone Sans II ITC Std Bk" w:hAnsi="Stone Sans II ITC Std Bk"/>
          <w:b/>
          <w:w w:val="120"/>
          <w:sz w:val="20"/>
        </w:rPr>
        <w:t>–</w:t>
      </w:r>
      <w:r>
        <w:rPr>
          <w:rFonts w:ascii="Stone Sans II ITC Std Bk" w:hAnsi="Stone Sans II ITC Std Bk"/>
          <w:b/>
          <w:spacing w:val="-28"/>
          <w:w w:val="120"/>
          <w:sz w:val="20"/>
        </w:rPr>
        <w:t> </w:t>
      </w:r>
      <w:r>
        <w:rPr>
          <w:rFonts w:ascii="Stone Sans II ITC Std Bk" w:hAnsi="Stone Sans II ITC Std Bk"/>
          <w:b/>
          <w:w w:val="120"/>
          <w:sz w:val="20"/>
        </w:rPr>
        <w:t>celebrating:</w:t>
      </w:r>
      <w:r>
        <w:rPr>
          <w:rFonts w:ascii="Stone Sans II ITC Std Bk" w:hAnsi="Stone Sans II ITC Std Bk"/>
          <w:b/>
          <w:spacing w:val="-28"/>
          <w:w w:val="120"/>
          <w:sz w:val="20"/>
        </w:rPr>
        <w:t> </w:t>
      </w:r>
      <w:r>
        <w:rPr>
          <w:w w:val="120"/>
          <w:sz w:val="20"/>
        </w:rPr>
        <w:t>Much</w:t>
      </w:r>
      <w:r>
        <w:rPr>
          <w:spacing w:val="-20"/>
          <w:w w:val="120"/>
          <w:sz w:val="20"/>
        </w:rPr>
        <w:t> </w:t>
      </w:r>
      <w:r>
        <w:rPr>
          <w:w w:val="120"/>
          <w:sz w:val="20"/>
        </w:rPr>
        <w:t>of</w:t>
      </w:r>
      <w:r>
        <w:rPr>
          <w:spacing w:val="-20"/>
          <w:w w:val="120"/>
          <w:sz w:val="20"/>
        </w:rPr>
        <w:t> </w:t>
      </w:r>
      <w:r>
        <w:rPr>
          <w:w w:val="120"/>
          <w:sz w:val="20"/>
        </w:rPr>
        <w:t>our</w:t>
      </w:r>
      <w:r>
        <w:rPr>
          <w:spacing w:val="-20"/>
          <w:w w:val="120"/>
          <w:sz w:val="20"/>
        </w:rPr>
        <w:t> </w:t>
      </w:r>
      <w:r>
        <w:rPr>
          <w:w w:val="120"/>
          <w:sz w:val="20"/>
        </w:rPr>
        <w:t>work</w:t>
      </w:r>
      <w:r>
        <w:rPr>
          <w:spacing w:val="-20"/>
          <w:w w:val="120"/>
          <w:sz w:val="20"/>
        </w:rPr>
        <w:t> </w:t>
      </w:r>
      <w:r>
        <w:rPr>
          <w:w w:val="120"/>
          <w:sz w:val="20"/>
        </w:rPr>
        <w:t>is</w:t>
      </w:r>
      <w:r>
        <w:rPr>
          <w:spacing w:val="-20"/>
          <w:w w:val="120"/>
          <w:sz w:val="20"/>
        </w:rPr>
        <w:t> </w:t>
      </w:r>
      <w:r>
        <w:rPr>
          <w:w w:val="120"/>
          <w:sz w:val="20"/>
        </w:rPr>
        <w:t>done</w:t>
      </w:r>
      <w:r>
        <w:rPr>
          <w:spacing w:val="-20"/>
          <w:w w:val="120"/>
          <w:sz w:val="20"/>
        </w:rPr>
        <w:t> </w:t>
      </w:r>
      <w:r>
        <w:rPr>
          <w:w w:val="120"/>
          <w:sz w:val="20"/>
        </w:rPr>
        <w:t>in partnership with synod-based and interest-specific networks and gatherings. The synod-based include synod global coordinators and synod intercultural/racial justice coordinators. Previously these groups used to meet separately. From </w:t>
      </w:r>
      <w:r>
        <w:rPr>
          <w:spacing w:val="-9"/>
          <w:w w:val="120"/>
          <w:sz w:val="20"/>
        </w:rPr>
        <w:t>2017 </w:t>
      </w:r>
      <w:r>
        <w:rPr>
          <w:w w:val="120"/>
          <w:sz w:val="20"/>
        </w:rPr>
        <w:t>we have introduced</w:t>
      </w:r>
      <w:r>
        <w:rPr>
          <w:spacing w:val="6"/>
          <w:w w:val="120"/>
          <w:sz w:val="20"/>
        </w:rPr>
        <w:t> </w:t>
      </w:r>
      <w:r>
        <w:rPr>
          <w:w w:val="120"/>
          <w:sz w:val="20"/>
        </w:rPr>
        <w:t>one</w:t>
      </w:r>
      <w:r>
        <w:rPr>
          <w:spacing w:val="7"/>
          <w:w w:val="120"/>
          <w:sz w:val="20"/>
        </w:rPr>
        <w:t> </w:t>
      </w:r>
      <w:r>
        <w:rPr>
          <w:w w:val="120"/>
          <w:sz w:val="20"/>
        </w:rPr>
        <w:t>joint</w:t>
      </w:r>
      <w:r>
        <w:rPr>
          <w:spacing w:val="7"/>
          <w:w w:val="120"/>
          <w:sz w:val="20"/>
        </w:rPr>
        <w:t> </w:t>
      </w:r>
      <w:r>
        <w:rPr>
          <w:w w:val="120"/>
          <w:sz w:val="20"/>
        </w:rPr>
        <w:t>residential</w:t>
      </w:r>
      <w:r>
        <w:rPr>
          <w:spacing w:val="7"/>
          <w:w w:val="120"/>
          <w:sz w:val="20"/>
        </w:rPr>
        <w:t> </w:t>
      </w:r>
      <w:r>
        <w:rPr>
          <w:w w:val="120"/>
          <w:sz w:val="20"/>
        </w:rPr>
        <w:t>meeting.</w:t>
      </w:r>
      <w:r>
        <w:rPr>
          <w:spacing w:val="7"/>
          <w:w w:val="120"/>
          <w:sz w:val="20"/>
        </w:rPr>
        <w:t> </w:t>
      </w:r>
      <w:r>
        <w:rPr>
          <w:w w:val="120"/>
          <w:sz w:val="20"/>
        </w:rPr>
        <w:t>The</w:t>
      </w:r>
      <w:r>
        <w:rPr>
          <w:spacing w:val="7"/>
          <w:w w:val="120"/>
          <w:sz w:val="20"/>
        </w:rPr>
        <w:t> </w:t>
      </w:r>
      <w:r>
        <w:rPr>
          <w:w w:val="120"/>
          <w:sz w:val="20"/>
        </w:rPr>
        <w:t>methodology</w:t>
      </w:r>
      <w:r>
        <w:rPr>
          <w:spacing w:val="7"/>
          <w:w w:val="120"/>
          <w:sz w:val="20"/>
        </w:rPr>
        <w:t> </w:t>
      </w:r>
      <w:r>
        <w:rPr>
          <w:w w:val="120"/>
          <w:sz w:val="20"/>
        </w:rPr>
        <w:t>meant</w:t>
      </w:r>
      <w:r>
        <w:rPr>
          <w:spacing w:val="7"/>
          <w:w w:val="120"/>
          <w:sz w:val="20"/>
        </w:rPr>
        <w:t> </w:t>
      </w:r>
      <w:r>
        <w:rPr>
          <w:w w:val="120"/>
          <w:sz w:val="20"/>
        </w:rPr>
        <w:t>joint</w:t>
      </w:r>
      <w:r>
        <w:rPr>
          <w:spacing w:val="7"/>
          <w:w w:val="120"/>
          <w:sz w:val="20"/>
        </w:rPr>
        <w:t> </w:t>
      </w:r>
      <w:r>
        <w:rPr>
          <w:w w:val="120"/>
          <w:sz w:val="20"/>
        </w:rPr>
        <w:t>work</w:t>
      </w:r>
      <w:r>
        <w:rPr>
          <w:spacing w:val="7"/>
          <w:w w:val="120"/>
          <w:sz w:val="20"/>
        </w:rPr>
        <w:t> </w:t>
      </w:r>
      <w:r>
        <w:rPr>
          <w:w w:val="120"/>
          <w:sz w:val="20"/>
        </w:rPr>
        <w:t>on</w:t>
      </w:r>
    </w:p>
    <w:p>
      <w:pPr>
        <w:pStyle w:val="BodyText"/>
        <w:spacing w:line="235" w:lineRule="auto"/>
        <w:ind w:left="827" w:right="1620"/>
      </w:pPr>
      <w:r>
        <w:rPr>
          <w:w w:val="120"/>
        </w:rPr>
        <w:t>a common theme and then breakout sessions into the two areas for their specific discussions. Among the outcomes are intentional efforts to see how the areas of work intersect and a joint resolution being brought to General Assembly through the mission committee. Thematic focus included: rethinking partnerships; new advocacy methods; our world – here and there; and the other reformation – talking back.</w:t>
      </w:r>
    </w:p>
    <w:p>
      <w:pPr>
        <w:pStyle w:val="BodyText"/>
      </w:pPr>
    </w:p>
    <w:p>
      <w:pPr>
        <w:pStyle w:val="ListParagraph"/>
        <w:numPr>
          <w:ilvl w:val="2"/>
          <w:numId w:val="108"/>
        </w:numPr>
        <w:tabs>
          <w:tab w:pos="1507" w:val="left" w:leader="none"/>
          <w:tab w:pos="1508" w:val="left" w:leader="none"/>
        </w:tabs>
        <w:spacing w:line="235" w:lineRule="auto" w:before="0" w:after="0"/>
        <w:ind w:left="1507" w:right="1705" w:hanging="681"/>
        <w:jc w:val="left"/>
        <w:rPr>
          <w:sz w:val="20"/>
        </w:rPr>
      </w:pPr>
      <w:r>
        <w:rPr>
          <w:w w:val="120"/>
          <w:sz w:val="20"/>
        </w:rPr>
        <w:t>Interest-specific networks and gatherings include a variety of events. For networks this included TeamURC, Cascades of Grace and black and minority ethnic ministers/church-related community workers. This is also one joint residential meeting around themes such as ‘better church </w:t>
      </w:r>
      <w:r>
        <w:rPr>
          <w:spacing w:val="-3"/>
          <w:w w:val="120"/>
          <w:sz w:val="20"/>
        </w:rPr>
        <w:t>hosting’, </w:t>
      </w:r>
      <w:r>
        <w:rPr>
          <w:w w:val="120"/>
          <w:sz w:val="20"/>
        </w:rPr>
        <w:t>‘intersecting injustice’ and ‘minority voices on the</w:t>
      </w:r>
      <w:r>
        <w:rPr>
          <w:spacing w:val="9"/>
          <w:w w:val="120"/>
          <w:sz w:val="20"/>
        </w:rPr>
        <w:t> </w:t>
      </w:r>
      <w:r>
        <w:rPr>
          <w:w w:val="120"/>
          <w:sz w:val="20"/>
        </w:rPr>
        <w:t>Reformation’.</w:t>
      </w:r>
    </w:p>
    <w:p>
      <w:pPr>
        <w:pStyle w:val="BodyText"/>
        <w:spacing w:before="11"/>
        <w:rPr>
          <w:sz w:val="19"/>
        </w:rPr>
      </w:pPr>
    </w:p>
    <w:p>
      <w:pPr>
        <w:pStyle w:val="ListParagraph"/>
        <w:numPr>
          <w:ilvl w:val="2"/>
          <w:numId w:val="108"/>
        </w:numPr>
        <w:tabs>
          <w:tab w:pos="1508" w:val="left" w:leader="none"/>
        </w:tabs>
        <w:spacing w:line="235" w:lineRule="auto" w:before="0" w:after="0"/>
        <w:ind w:left="1507" w:right="1974" w:hanging="681"/>
        <w:jc w:val="left"/>
        <w:rPr>
          <w:sz w:val="20"/>
        </w:rPr>
      </w:pPr>
      <w:r>
        <w:rPr>
          <w:w w:val="120"/>
          <w:sz w:val="20"/>
        </w:rPr>
        <w:t>After bringing the biennial multicultural-intercultural celebration to an end, we have encouraged four smaller gatherings across the synods. These were held in St David’s Uniting Church in Pontypridd </w:t>
      </w:r>
      <w:r>
        <w:rPr>
          <w:spacing w:val="-3"/>
          <w:w w:val="120"/>
          <w:sz w:val="20"/>
        </w:rPr>
        <w:t>(Synod </w:t>
      </w:r>
      <w:r>
        <w:rPr>
          <w:w w:val="120"/>
          <w:sz w:val="20"/>
        </w:rPr>
        <w:t>of Wales, March </w:t>
      </w:r>
      <w:r>
        <w:rPr>
          <w:spacing w:val="-12"/>
          <w:w w:val="120"/>
          <w:sz w:val="20"/>
        </w:rPr>
        <w:t>2017, </w:t>
      </w:r>
      <w:r>
        <w:rPr>
          <w:w w:val="120"/>
          <w:sz w:val="20"/>
        </w:rPr>
        <w:t>‘Together Stronger’); Crowstone URC, Southend (Eastern Synod, September </w:t>
      </w:r>
      <w:r>
        <w:rPr>
          <w:spacing w:val="-12"/>
          <w:w w:val="120"/>
          <w:sz w:val="20"/>
        </w:rPr>
        <w:t>2017,</w:t>
      </w:r>
      <w:r>
        <w:rPr>
          <w:spacing w:val="13"/>
          <w:w w:val="120"/>
          <w:sz w:val="20"/>
        </w:rPr>
        <w:t> </w:t>
      </w:r>
      <w:r>
        <w:rPr>
          <w:w w:val="120"/>
          <w:sz w:val="20"/>
        </w:rPr>
        <w:t>‘Down</w:t>
      </w:r>
      <w:r>
        <w:rPr>
          <w:spacing w:val="14"/>
          <w:w w:val="120"/>
          <w:sz w:val="20"/>
        </w:rPr>
        <w:t> </w:t>
      </w:r>
      <w:r>
        <w:rPr>
          <w:w w:val="120"/>
          <w:sz w:val="20"/>
        </w:rPr>
        <w:t>in</w:t>
      </w:r>
      <w:r>
        <w:rPr>
          <w:spacing w:val="13"/>
          <w:w w:val="120"/>
          <w:sz w:val="20"/>
        </w:rPr>
        <w:t> </w:t>
      </w:r>
      <w:r>
        <w:rPr>
          <w:w w:val="120"/>
          <w:sz w:val="20"/>
        </w:rPr>
        <w:t>the</w:t>
      </w:r>
      <w:r>
        <w:rPr>
          <w:spacing w:val="14"/>
          <w:w w:val="120"/>
          <w:sz w:val="20"/>
        </w:rPr>
        <w:t> </w:t>
      </w:r>
      <w:r>
        <w:rPr>
          <w:w w:val="120"/>
          <w:sz w:val="20"/>
        </w:rPr>
        <w:t>River’);</w:t>
      </w:r>
      <w:r>
        <w:rPr>
          <w:spacing w:val="14"/>
          <w:w w:val="120"/>
          <w:sz w:val="20"/>
        </w:rPr>
        <w:t> </w:t>
      </w:r>
      <w:r>
        <w:rPr>
          <w:w w:val="120"/>
          <w:sz w:val="20"/>
        </w:rPr>
        <w:t>New</w:t>
      </w:r>
      <w:r>
        <w:rPr>
          <w:spacing w:val="13"/>
          <w:w w:val="120"/>
          <w:sz w:val="20"/>
        </w:rPr>
        <w:t> </w:t>
      </w:r>
      <w:r>
        <w:rPr>
          <w:w w:val="120"/>
          <w:sz w:val="20"/>
        </w:rPr>
        <w:t>Malden</w:t>
      </w:r>
      <w:r>
        <w:rPr>
          <w:spacing w:val="14"/>
          <w:w w:val="120"/>
          <w:sz w:val="20"/>
        </w:rPr>
        <w:t> </w:t>
      </w:r>
      <w:r>
        <w:rPr>
          <w:w w:val="120"/>
          <w:sz w:val="20"/>
        </w:rPr>
        <w:t>and</w:t>
      </w:r>
      <w:r>
        <w:rPr>
          <w:spacing w:val="14"/>
          <w:w w:val="120"/>
          <w:sz w:val="20"/>
        </w:rPr>
        <w:t> </w:t>
      </w:r>
      <w:r>
        <w:rPr>
          <w:w w:val="120"/>
          <w:sz w:val="20"/>
        </w:rPr>
        <w:t>Kingston</w:t>
      </w:r>
      <w:r>
        <w:rPr>
          <w:spacing w:val="13"/>
          <w:w w:val="120"/>
          <w:sz w:val="20"/>
        </w:rPr>
        <w:t> </w:t>
      </w:r>
      <w:r>
        <w:rPr>
          <w:w w:val="120"/>
          <w:sz w:val="20"/>
        </w:rPr>
        <w:t>URC</w:t>
      </w:r>
      <w:r>
        <w:rPr>
          <w:spacing w:val="14"/>
          <w:w w:val="120"/>
          <w:sz w:val="20"/>
        </w:rPr>
        <w:t> </w:t>
      </w:r>
      <w:r>
        <w:rPr>
          <w:w w:val="120"/>
          <w:sz w:val="20"/>
        </w:rPr>
        <w:t>(Southern</w:t>
      </w:r>
      <w:r>
        <w:rPr>
          <w:spacing w:val="14"/>
          <w:w w:val="120"/>
          <w:sz w:val="20"/>
        </w:rPr>
        <w:t> </w:t>
      </w:r>
      <w:r>
        <w:rPr>
          <w:w w:val="120"/>
          <w:sz w:val="20"/>
        </w:rPr>
        <w:t>Synod,</w:t>
      </w:r>
    </w:p>
    <w:p>
      <w:pPr>
        <w:pStyle w:val="BodyText"/>
        <w:spacing w:line="235" w:lineRule="auto" w:before="4"/>
        <w:ind w:left="1507" w:right="1714"/>
      </w:pPr>
      <w:r>
        <w:rPr>
          <w:w w:val="120"/>
        </w:rPr>
        <w:t>September </w:t>
      </w:r>
      <w:r>
        <w:rPr>
          <w:spacing w:val="-12"/>
          <w:w w:val="120"/>
        </w:rPr>
        <w:t>2017, </w:t>
      </w:r>
      <w:r>
        <w:rPr>
          <w:w w:val="120"/>
        </w:rPr>
        <w:t>‘Fabric, Food, Flower and Joseph and the Amazing Technicolour Dreamcoat Musical’) and in Sheffield Cathedral (Yorkshire Synod and   Ecumenical, June </w:t>
      </w:r>
      <w:r>
        <w:rPr>
          <w:spacing w:val="-12"/>
          <w:w w:val="120"/>
        </w:rPr>
        <w:t>2017,</w:t>
      </w:r>
      <w:r>
        <w:rPr>
          <w:spacing w:val="6"/>
          <w:w w:val="120"/>
        </w:rPr>
        <w:t> </w:t>
      </w:r>
      <w:r>
        <w:rPr>
          <w:w w:val="120"/>
        </w:rPr>
        <w:t>‘Pentecost’).</w:t>
      </w:r>
    </w:p>
    <w:p>
      <w:pPr>
        <w:pStyle w:val="BodyText"/>
        <w:spacing w:before="2"/>
        <w:rPr>
          <w:sz w:val="19"/>
        </w:rPr>
      </w:pPr>
    </w:p>
    <w:p>
      <w:pPr>
        <w:pStyle w:val="ListParagraph"/>
        <w:numPr>
          <w:ilvl w:val="1"/>
          <w:numId w:val="108"/>
        </w:numPr>
        <w:tabs>
          <w:tab w:pos="1507" w:val="left" w:leader="none"/>
          <w:tab w:pos="1508" w:val="left" w:leader="none"/>
        </w:tabs>
        <w:spacing w:line="230" w:lineRule="auto" w:before="0" w:after="0"/>
        <w:ind w:left="827" w:right="2005" w:firstLine="0"/>
        <w:jc w:val="left"/>
        <w:rPr>
          <w:sz w:val="20"/>
        </w:rPr>
      </w:pPr>
      <w:r>
        <w:rPr>
          <w:rFonts w:ascii="Stone Sans II ITC Std Bk"/>
          <w:b/>
          <w:w w:val="120"/>
          <w:sz w:val="20"/>
        </w:rPr>
        <w:t>Edgy</w:t>
      </w:r>
      <w:r>
        <w:rPr>
          <w:rFonts w:ascii="Stone Sans II ITC Std Bk"/>
          <w:b/>
          <w:spacing w:val="-26"/>
          <w:w w:val="120"/>
          <w:sz w:val="20"/>
        </w:rPr>
        <w:t> </w:t>
      </w:r>
      <w:r>
        <w:rPr>
          <w:rFonts w:ascii="Stone Sans II ITC Std Bk"/>
          <w:b/>
          <w:w w:val="120"/>
          <w:sz w:val="20"/>
        </w:rPr>
        <w:t>conferences:</w:t>
      </w:r>
      <w:r>
        <w:rPr>
          <w:rFonts w:ascii="Stone Sans II ITC Std Bk"/>
          <w:b/>
          <w:spacing w:val="-25"/>
          <w:w w:val="120"/>
          <w:sz w:val="20"/>
        </w:rPr>
        <w:t> </w:t>
      </w:r>
      <w:r>
        <w:rPr>
          <w:w w:val="120"/>
          <w:sz w:val="20"/>
        </w:rPr>
        <w:t>Our</w:t>
      </w:r>
      <w:r>
        <w:rPr>
          <w:spacing w:val="-18"/>
          <w:w w:val="120"/>
          <w:sz w:val="20"/>
        </w:rPr>
        <w:t> </w:t>
      </w:r>
      <w:r>
        <w:rPr>
          <w:w w:val="120"/>
          <w:sz w:val="20"/>
        </w:rPr>
        <w:t>work</w:t>
      </w:r>
      <w:r>
        <w:rPr>
          <w:spacing w:val="-17"/>
          <w:w w:val="120"/>
          <w:sz w:val="20"/>
        </w:rPr>
        <w:t> </w:t>
      </w:r>
      <w:r>
        <w:rPr>
          <w:w w:val="120"/>
          <w:sz w:val="20"/>
        </w:rPr>
        <w:t>also</w:t>
      </w:r>
      <w:r>
        <w:rPr>
          <w:spacing w:val="-17"/>
          <w:w w:val="120"/>
          <w:sz w:val="20"/>
        </w:rPr>
        <w:t> </w:t>
      </w:r>
      <w:r>
        <w:rPr>
          <w:w w:val="120"/>
          <w:sz w:val="20"/>
        </w:rPr>
        <w:t>includes</w:t>
      </w:r>
      <w:r>
        <w:rPr>
          <w:spacing w:val="-18"/>
          <w:w w:val="120"/>
          <w:sz w:val="20"/>
        </w:rPr>
        <w:t> </w:t>
      </w:r>
      <w:r>
        <w:rPr>
          <w:w w:val="120"/>
          <w:sz w:val="20"/>
        </w:rPr>
        <w:t>a</w:t>
      </w:r>
      <w:r>
        <w:rPr>
          <w:spacing w:val="-17"/>
          <w:w w:val="120"/>
          <w:sz w:val="20"/>
        </w:rPr>
        <w:t> </w:t>
      </w:r>
      <w:r>
        <w:rPr>
          <w:w w:val="120"/>
          <w:sz w:val="20"/>
        </w:rPr>
        <w:t>yearly</w:t>
      </w:r>
      <w:r>
        <w:rPr>
          <w:spacing w:val="-17"/>
          <w:w w:val="120"/>
          <w:sz w:val="20"/>
        </w:rPr>
        <w:t> </w:t>
      </w:r>
      <w:r>
        <w:rPr>
          <w:w w:val="120"/>
          <w:sz w:val="20"/>
        </w:rPr>
        <w:t>conference/event</w:t>
      </w:r>
      <w:r>
        <w:rPr>
          <w:spacing w:val="-18"/>
          <w:w w:val="120"/>
          <w:sz w:val="20"/>
        </w:rPr>
        <w:t> </w:t>
      </w:r>
      <w:r>
        <w:rPr>
          <w:w w:val="120"/>
          <w:sz w:val="20"/>
        </w:rPr>
        <w:t>around a theme that challenges and pushes boundaries as relevant to the remit of GiM. Our December </w:t>
      </w:r>
      <w:r>
        <w:rPr>
          <w:spacing w:val="-7"/>
          <w:w w:val="120"/>
          <w:sz w:val="20"/>
        </w:rPr>
        <w:t>2016 </w:t>
      </w:r>
      <w:r>
        <w:rPr>
          <w:w w:val="120"/>
          <w:sz w:val="20"/>
        </w:rPr>
        <w:t>focus was on multiple religious belonging. The </w:t>
      </w:r>
      <w:r>
        <w:rPr>
          <w:spacing w:val="-3"/>
          <w:w w:val="120"/>
          <w:sz w:val="20"/>
        </w:rPr>
        <w:t>WCC </w:t>
      </w:r>
      <w:r>
        <w:rPr>
          <w:w w:val="120"/>
          <w:sz w:val="20"/>
        </w:rPr>
        <w:t>and </w:t>
      </w:r>
      <w:r>
        <w:rPr>
          <w:spacing w:val="3"/>
          <w:w w:val="120"/>
          <w:sz w:val="20"/>
        </w:rPr>
        <w:t>CWM </w:t>
      </w:r>
      <w:r>
        <w:rPr>
          <w:w w:val="120"/>
          <w:sz w:val="20"/>
        </w:rPr>
        <w:t>(Europe</w:t>
      </w:r>
      <w:r>
        <w:rPr>
          <w:spacing w:val="10"/>
          <w:w w:val="120"/>
          <w:sz w:val="20"/>
        </w:rPr>
        <w:t> </w:t>
      </w:r>
      <w:r>
        <w:rPr>
          <w:spacing w:val="-3"/>
          <w:w w:val="120"/>
          <w:sz w:val="20"/>
        </w:rPr>
        <w:t>Region)</w:t>
      </w:r>
      <w:r>
        <w:rPr>
          <w:spacing w:val="10"/>
          <w:w w:val="120"/>
          <w:sz w:val="20"/>
        </w:rPr>
        <w:t> </w:t>
      </w:r>
      <w:r>
        <w:rPr>
          <w:w w:val="120"/>
          <w:sz w:val="20"/>
        </w:rPr>
        <w:t>were</w:t>
      </w:r>
      <w:r>
        <w:rPr>
          <w:spacing w:val="11"/>
          <w:w w:val="120"/>
          <w:sz w:val="20"/>
        </w:rPr>
        <w:t> </w:t>
      </w:r>
      <w:r>
        <w:rPr>
          <w:w w:val="120"/>
          <w:sz w:val="20"/>
        </w:rPr>
        <w:t>partners</w:t>
      </w:r>
      <w:r>
        <w:rPr>
          <w:spacing w:val="10"/>
          <w:w w:val="120"/>
          <w:sz w:val="20"/>
        </w:rPr>
        <w:t> </w:t>
      </w:r>
      <w:r>
        <w:rPr>
          <w:w w:val="120"/>
          <w:sz w:val="20"/>
        </w:rPr>
        <w:t>to</w:t>
      </w:r>
      <w:r>
        <w:rPr>
          <w:spacing w:val="10"/>
          <w:w w:val="120"/>
          <w:sz w:val="20"/>
        </w:rPr>
        <w:t> </w:t>
      </w:r>
      <w:r>
        <w:rPr>
          <w:w w:val="120"/>
          <w:sz w:val="20"/>
        </w:rPr>
        <w:t>this</w:t>
      </w:r>
      <w:r>
        <w:rPr>
          <w:spacing w:val="11"/>
          <w:w w:val="120"/>
          <w:sz w:val="20"/>
        </w:rPr>
        <w:t> </w:t>
      </w:r>
      <w:r>
        <w:rPr>
          <w:w w:val="120"/>
          <w:sz w:val="20"/>
        </w:rPr>
        <w:t>event.</w:t>
      </w:r>
      <w:r>
        <w:rPr>
          <w:spacing w:val="10"/>
          <w:w w:val="120"/>
          <w:sz w:val="20"/>
        </w:rPr>
        <w:t> </w:t>
      </w:r>
      <w:r>
        <w:rPr>
          <w:w w:val="120"/>
          <w:sz w:val="20"/>
        </w:rPr>
        <w:t>The</w:t>
      </w:r>
      <w:r>
        <w:rPr>
          <w:spacing w:val="10"/>
          <w:w w:val="120"/>
          <w:sz w:val="20"/>
        </w:rPr>
        <w:t> </w:t>
      </w:r>
      <w:r>
        <w:rPr>
          <w:w w:val="120"/>
          <w:sz w:val="20"/>
        </w:rPr>
        <w:t>36</w:t>
      </w:r>
      <w:r>
        <w:rPr>
          <w:spacing w:val="11"/>
          <w:w w:val="120"/>
          <w:sz w:val="20"/>
        </w:rPr>
        <w:t> </w:t>
      </w:r>
      <w:r>
        <w:rPr>
          <w:w w:val="120"/>
          <w:sz w:val="20"/>
        </w:rPr>
        <w:t>participants</w:t>
      </w:r>
      <w:r>
        <w:rPr>
          <w:spacing w:val="10"/>
          <w:w w:val="120"/>
          <w:sz w:val="20"/>
        </w:rPr>
        <w:t> </w:t>
      </w:r>
      <w:r>
        <w:rPr>
          <w:w w:val="120"/>
          <w:sz w:val="20"/>
        </w:rPr>
        <w:t>included</w:t>
      </w:r>
      <w:r>
        <w:rPr>
          <w:spacing w:val="10"/>
          <w:w w:val="120"/>
          <w:sz w:val="20"/>
        </w:rPr>
        <w:t> </w:t>
      </w:r>
      <w:r>
        <w:rPr>
          <w:w w:val="120"/>
          <w:sz w:val="20"/>
        </w:rPr>
        <w:t>members</w:t>
      </w:r>
    </w:p>
    <w:p>
      <w:pPr>
        <w:pStyle w:val="BodyText"/>
        <w:spacing w:line="235" w:lineRule="auto" w:before="6"/>
        <w:ind w:left="827" w:right="1661"/>
      </w:pPr>
      <w:r>
        <w:rPr>
          <w:w w:val="120"/>
        </w:rPr>
        <w:t>of different faith groups, renowned theologians and grassroots activists who engaged with the lived reality of multiple religious belonging and religious hybridity. The December </w:t>
      </w:r>
      <w:r>
        <w:rPr>
          <w:spacing w:val="-9"/>
          <w:w w:val="120"/>
        </w:rPr>
        <w:t>2017 </w:t>
      </w:r>
      <w:r>
        <w:rPr>
          <w:w w:val="120"/>
        </w:rPr>
        <w:t>conference was on the theme ‘The other Reformation – marginal/ global voices and perspectives’. It explored the Reformation of the Church in the contemporary</w:t>
      </w:r>
      <w:r>
        <w:rPr>
          <w:spacing w:val="-5"/>
          <w:w w:val="120"/>
        </w:rPr>
        <w:t> </w:t>
      </w:r>
      <w:r>
        <w:rPr>
          <w:w w:val="120"/>
        </w:rPr>
        <w:t>secular/interfaith/postcolonial</w:t>
      </w:r>
      <w:r>
        <w:rPr>
          <w:spacing w:val="-4"/>
          <w:w w:val="120"/>
        </w:rPr>
        <w:t> </w:t>
      </w:r>
      <w:r>
        <w:rPr>
          <w:w w:val="120"/>
        </w:rPr>
        <w:t>context.</w:t>
      </w:r>
      <w:r>
        <w:rPr>
          <w:spacing w:val="-5"/>
          <w:w w:val="120"/>
        </w:rPr>
        <w:t> </w:t>
      </w:r>
      <w:r>
        <w:rPr>
          <w:w w:val="120"/>
        </w:rPr>
        <w:t>It</w:t>
      </w:r>
      <w:r>
        <w:rPr>
          <w:spacing w:val="-4"/>
          <w:w w:val="120"/>
        </w:rPr>
        <w:t> </w:t>
      </w:r>
      <w:r>
        <w:rPr>
          <w:w w:val="120"/>
        </w:rPr>
        <w:t>was</w:t>
      </w:r>
      <w:r>
        <w:rPr>
          <w:spacing w:val="-4"/>
          <w:w w:val="120"/>
        </w:rPr>
        <w:t> </w:t>
      </w:r>
      <w:r>
        <w:rPr>
          <w:w w:val="120"/>
        </w:rPr>
        <w:t>a</w:t>
      </w:r>
      <w:r>
        <w:rPr>
          <w:spacing w:val="-5"/>
          <w:w w:val="120"/>
        </w:rPr>
        <w:t> </w:t>
      </w:r>
      <w:r>
        <w:rPr>
          <w:w w:val="120"/>
        </w:rPr>
        <w:t>platform</w:t>
      </w:r>
      <w:r>
        <w:rPr>
          <w:spacing w:val="-4"/>
          <w:w w:val="120"/>
        </w:rPr>
        <w:t> </w:t>
      </w:r>
      <w:r>
        <w:rPr>
          <w:w w:val="120"/>
        </w:rPr>
        <w:t>for</w:t>
      </w:r>
      <w:r>
        <w:rPr>
          <w:spacing w:val="-5"/>
          <w:w w:val="120"/>
        </w:rPr>
        <w:t> </w:t>
      </w:r>
      <w:r>
        <w:rPr>
          <w:w w:val="120"/>
        </w:rPr>
        <w:t>a</w:t>
      </w:r>
      <w:r>
        <w:rPr>
          <w:spacing w:val="-4"/>
          <w:w w:val="120"/>
        </w:rPr>
        <w:t> </w:t>
      </w:r>
      <w:r>
        <w:rPr>
          <w:w w:val="120"/>
        </w:rPr>
        <w:t>diversity</w:t>
      </w:r>
      <w:r>
        <w:rPr>
          <w:spacing w:val="-4"/>
          <w:w w:val="120"/>
        </w:rPr>
        <w:t> </w:t>
      </w:r>
      <w:r>
        <w:rPr>
          <w:w w:val="120"/>
        </w:rPr>
        <w:t>of voices to ‘speak back’ to the dominant Reformation discourse. Participants came from partner Churches across Europe and </w:t>
      </w:r>
      <w:r>
        <w:rPr>
          <w:spacing w:val="2"/>
          <w:w w:val="120"/>
        </w:rPr>
        <w:t>North </w:t>
      </w:r>
      <w:r>
        <w:rPr>
          <w:w w:val="120"/>
        </w:rPr>
        <w:t>America. All the contributions are being edited to be made available through online</w:t>
      </w:r>
      <w:r>
        <w:rPr>
          <w:spacing w:val="16"/>
          <w:w w:val="120"/>
        </w:rPr>
        <w:t> </w:t>
      </w:r>
      <w:r>
        <w:rPr>
          <w:w w:val="120"/>
        </w:rPr>
        <w:t>access.</w:t>
      </w:r>
    </w:p>
    <w:p>
      <w:pPr>
        <w:pStyle w:val="BodyText"/>
        <w:spacing w:before="3"/>
        <w:rPr>
          <w:sz w:val="19"/>
        </w:rPr>
      </w:pPr>
    </w:p>
    <w:p>
      <w:pPr>
        <w:pStyle w:val="ListParagraph"/>
        <w:numPr>
          <w:ilvl w:val="1"/>
          <w:numId w:val="108"/>
        </w:numPr>
        <w:tabs>
          <w:tab w:pos="1507" w:val="left" w:leader="none"/>
          <w:tab w:pos="1508" w:val="left" w:leader="none"/>
        </w:tabs>
        <w:spacing w:line="232" w:lineRule="auto" w:before="0" w:after="0"/>
        <w:ind w:left="827" w:right="1668" w:firstLine="0"/>
        <w:jc w:val="left"/>
        <w:rPr>
          <w:sz w:val="20"/>
        </w:rPr>
      </w:pPr>
      <w:r>
        <w:rPr>
          <w:rFonts w:ascii="Stone Sans II ITC Std Bk" w:hAnsi="Stone Sans II ITC Std Bk"/>
          <w:b/>
          <w:w w:val="120"/>
          <w:sz w:val="20"/>
        </w:rPr>
        <w:t>Resourcing:</w:t>
      </w:r>
      <w:r>
        <w:rPr>
          <w:rFonts w:ascii="Stone Sans II ITC Std Bk" w:hAnsi="Stone Sans II ITC Std Bk"/>
          <w:b/>
          <w:spacing w:val="-18"/>
          <w:w w:val="120"/>
          <w:sz w:val="20"/>
        </w:rPr>
        <w:t> </w:t>
      </w:r>
      <w:r>
        <w:rPr>
          <w:w w:val="120"/>
          <w:sz w:val="20"/>
        </w:rPr>
        <w:t>We</w:t>
      </w:r>
      <w:r>
        <w:rPr>
          <w:spacing w:val="-9"/>
          <w:w w:val="120"/>
          <w:sz w:val="20"/>
        </w:rPr>
        <w:t> </w:t>
      </w:r>
      <w:r>
        <w:rPr>
          <w:w w:val="120"/>
          <w:sz w:val="20"/>
        </w:rPr>
        <w:t>continue</w:t>
      </w:r>
      <w:r>
        <w:rPr>
          <w:spacing w:val="-10"/>
          <w:w w:val="120"/>
          <w:sz w:val="20"/>
        </w:rPr>
        <w:t> </w:t>
      </w:r>
      <w:r>
        <w:rPr>
          <w:w w:val="120"/>
          <w:sz w:val="20"/>
        </w:rPr>
        <w:t>to</w:t>
      </w:r>
      <w:r>
        <w:rPr>
          <w:spacing w:val="-9"/>
          <w:w w:val="120"/>
          <w:sz w:val="20"/>
        </w:rPr>
        <w:t> </w:t>
      </w:r>
      <w:r>
        <w:rPr>
          <w:w w:val="120"/>
          <w:sz w:val="20"/>
        </w:rPr>
        <w:t>produce</w:t>
      </w:r>
      <w:r>
        <w:rPr>
          <w:spacing w:val="-10"/>
          <w:w w:val="120"/>
          <w:sz w:val="20"/>
        </w:rPr>
        <w:t> </w:t>
      </w:r>
      <w:r>
        <w:rPr>
          <w:w w:val="120"/>
          <w:sz w:val="20"/>
        </w:rPr>
        <w:t>resources,</w:t>
      </w:r>
      <w:r>
        <w:rPr>
          <w:spacing w:val="-9"/>
          <w:w w:val="120"/>
          <w:sz w:val="20"/>
        </w:rPr>
        <w:t> </w:t>
      </w:r>
      <w:r>
        <w:rPr>
          <w:w w:val="120"/>
          <w:sz w:val="20"/>
        </w:rPr>
        <w:t>largely</w:t>
      </w:r>
      <w:r>
        <w:rPr>
          <w:spacing w:val="-10"/>
          <w:w w:val="120"/>
          <w:sz w:val="20"/>
        </w:rPr>
        <w:t> </w:t>
      </w:r>
      <w:r>
        <w:rPr>
          <w:w w:val="120"/>
          <w:sz w:val="20"/>
        </w:rPr>
        <w:t>accessible</w:t>
      </w:r>
      <w:r>
        <w:rPr>
          <w:spacing w:val="-9"/>
          <w:w w:val="120"/>
          <w:sz w:val="20"/>
        </w:rPr>
        <w:t> </w:t>
      </w:r>
      <w:r>
        <w:rPr>
          <w:w w:val="120"/>
          <w:sz w:val="20"/>
        </w:rPr>
        <w:t>in</w:t>
      </w:r>
      <w:r>
        <w:rPr>
          <w:spacing w:val="-10"/>
          <w:w w:val="120"/>
          <w:sz w:val="20"/>
        </w:rPr>
        <w:t> </w:t>
      </w:r>
      <w:r>
        <w:rPr>
          <w:w w:val="120"/>
          <w:sz w:val="20"/>
        </w:rPr>
        <w:t>PDF</w:t>
      </w:r>
      <w:r>
        <w:rPr>
          <w:spacing w:val="-9"/>
          <w:w w:val="120"/>
          <w:sz w:val="20"/>
        </w:rPr>
        <w:t> </w:t>
      </w:r>
      <w:r>
        <w:rPr>
          <w:w w:val="120"/>
          <w:sz w:val="20"/>
        </w:rPr>
        <w:t>format and as online resources. These included: ‘@home in a strange place’ (conversation points on migration); racial justice resources (for Racial Justice </w:t>
      </w:r>
      <w:r>
        <w:rPr>
          <w:spacing w:val="-3"/>
          <w:w w:val="120"/>
          <w:sz w:val="20"/>
        </w:rPr>
        <w:t>Sunday); </w:t>
      </w:r>
      <w:r>
        <w:rPr>
          <w:w w:val="120"/>
          <w:sz w:val="20"/>
        </w:rPr>
        <w:t>‘’Diversity Awareness Resource’ </w:t>
      </w:r>
      <w:r>
        <w:rPr>
          <w:spacing w:val="-4"/>
          <w:w w:val="120"/>
          <w:sz w:val="20"/>
        </w:rPr>
        <w:t>(seven </w:t>
      </w:r>
      <w:r>
        <w:rPr>
          <w:w w:val="120"/>
          <w:sz w:val="20"/>
        </w:rPr>
        <w:t>conversation starters/points); ‘In our own words’ (black and minority ethnic ministers writing their own stories); ‘Better Church Hosting’ </w:t>
      </w:r>
      <w:r>
        <w:rPr>
          <w:spacing w:val="-9"/>
          <w:w w:val="120"/>
          <w:sz w:val="20"/>
        </w:rPr>
        <w:t>(a </w:t>
      </w:r>
      <w:r>
        <w:rPr>
          <w:w w:val="120"/>
          <w:sz w:val="20"/>
        </w:rPr>
        <w:t>resource to help local congregations). There are several video resources</w:t>
      </w:r>
      <w:r>
        <w:rPr>
          <w:spacing w:val="22"/>
          <w:w w:val="120"/>
          <w:sz w:val="20"/>
        </w:rPr>
        <w:t> </w:t>
      </w:r>
      <w:r>
        <w:rPr>
          <w:w w:val="120"/>
          <w:sz w:val="20"/>
        </w:rPr>
        <w:t>available</w:t>
      </w:r>
    </w:p>
    <w:p>
      <w:pPr>
        <w:pStyle w:val="BodyText"/>
        <w:spacing w:line="235" w:lineRule="auto" w:before="4"/>
        <w:ind w:left="827" w:right="1967"/>
      </w:pPr>
      <w:r>
        <w:rPr>
          <w:w w:val="120"/>
        </w:rPr>
        <w:t>on </w:t>
      </w:r>
      <w:r>
        <w:rPr>
          <w:spacing w:val="-6"/>
          <w:w w:val="120"/>
        </w:rPr>
        <w:t>YouTube </w:t>
      </w:r>
      <w:r>
        <w:rPr>
          <w:w w:val="120"/>
        </w:rPr>
        <w:t>which were produced by Kevin Snyman on </w:t>
      </w:r>
      <w:r>
        <w:rPr>
          <w:spacing w:val="-3"/>
          <w:w w:val="120"/>
        </w:rPr>
        <w:t>GiM’s </w:t>
      </w:r>
      <w:r>
        <w:rPr>
          <w:w w:val="120"/>
        </w:rPr>
        <w:t>behalf. And we have commissioned a film about the Windrush (‘Belonging together’) which was scripted by Richard Becher. The </w:t>
      </w:r>
      <w:r>
        <w:rPr>
          <w:spacing w:val="-8"/>
          <w:w w:val="120"/>
        </w:rPr>
        <w:t>‘A </w:t>
      </w:r>
      <w:r>
        <w:rPr>
          <w:w w:val="120"/>
        </w:rPr>
        <w:t>letter </w:t>
      </w:r>
      <w:r>
        <w:rPr>
          <w:spacing w:val="-3"/>
          <w:w w:val="120"/>
        </w:rPr>
        <w:t>from…’ </w:t>
      </w:r>
      <w:r>
        <w:rPr>
          <w:w w:val="120"/>
        </w:rPr>
        <w:t>column is another of </w:t>
      </w:r>
      <w:r>
        <w:rPr>
          <w:spacing w:val="-3"/>
          <w:w w:val="120"/>
        </w:rPr>
        <w:t>GiM’s </w:t>
      </w:r>
      <w:r>
        <w:rPr>
          <w:w w:val="120"/>
        </w:rPr>
        <w:t>contributions – a regular column in </w:t>
      </w:r>
      <w:r>
        <w:rPr>
          <w:i/>
          <w:w w:val="120"/>
        </w:rPr>
        <w:t>Reform</w:t>
      </w:r>
      <w:r>
        <w:rPr>
          <w:w w:val="120"/>
        </w:rPr>
        <w:t>. This is an opportunity for our global partner Churches and mission partners (in Cuba, South Africa, Middle East, </w:t>
      </w:r>
      <w:r>
        <w:rPr>
          <w:spacing w:val="2"/>
          <w:w w:val="120"/>
        </w:rPr>
        <w:t>North </w:t>
      </w:r>
      <w:r>
        <w:rPr>
          <w:w w:val="120"/>
        </w:rPr>
        <w:t>America, Zambia, </w:t>
      </w:r>
      <w:r>
        <w:rPr>
          <w:spacing w:val="-3"/>
          <w:w w:val="120"/>
        </w:rPr>
        <w:t>Tuvalu </w:t>
      </w:r>
      <w:r>
        <w:rPr>
          <w:w w:val="120"/>
        </w:rPr>
        <w:t>and </w:t>
      </w:r>
      <w:r>
        <w:rPr>
          <w:spacing w:val="-3"/>
          <w:w w:val="120"/>
        </w:rPr>
        <w:t>Europe) </w:t>
      </w:r>
      <w:r>
        <w:rPr>
          <w:w w:val="120"/>
        </w:rPr>
        <w:t>to bring to our attention any matter of urgency and</w:t>
      </w:r>
      <w:r>
        <w:rPr>
          <w:spacing w:val="52"/>
          <w:w w:val="120"/>
        </w:rPr>
        <w:t> </w:t>
      </w:r>
      <w:r>
        <w:rPr>
          <w:w w:val="120"/>
        </w:rPr>
        <w:t>concern.</w:t>
      </w:r>
    </w:p>
    <w:p>
      <w:pPr>
        <w:pStyle w:val="BodyText"/>
        <w:spacing w:before="4"/>
        <w:rPr>
          <w:sz w:val="19"/>
        </w:rPr>
      </w:pPr>
    </w:p>
    <w:p>
      <w:pPr>
        <w:pStyle w:val="ListParagraph"/>
        <w:numPr>
          <w:ilvl w:val="1"/>
          <w:numId w:val="108"/>
        </w:numPr>
        <w:tabs>
          <w:tab w:pos="1507" w:val="left" w:leader="none"/>
          <w:tab w:pos="1508" w:val="left" w:leader="none"/>
        </w:tabs>
        <w:spacing w:line="230" w:lineRule="auto" w:before="0" w:after="0"/>
        <w:ind w:left="827" w:right="1764" w:firstLine="0"/>
        <w:jc w:val="left"/>
        <w:rPr>
          <w:sz w:val="20"/>
        </w:rPr>
      </w:pPr>
      <w:r>
        <w:rPr>
          <w:rFonts w:ascii="Stone Sans II ITC Std Bk" w:hAnsi="Stone Sans II ITC Std Bk"/>
          <w:b/>
          <w:w w:val="120"/>
          <w:sz w:val="20"/>
        </w:rPr>
        <w:t>Visits, presence and engagement: </w:t>
      </w:r>
      <w:r>
        <w:rPr>
          <w:w w:val="120"/>
          <w:sz w:val="20"/>
        </w:rPr>
        <w:t>Part of </w:t>
      </w:r>
      <w:r>
        <w:rPr>
          <w:spacing w:val="-3"/>
          <w:w w:val="120"/>
          <w:sz w:val="20"/>
        </w:rPr>
        <w:t>GiM’s </w:t>
      </w:r>
      <w:r>
        <w:rPr>
          <w:w w:val="120"/>
          <w:sz w:val="20"/>
        </w:rPr>
        <w:t>work is to facilitate visits. Our commitment to partnership that honours mutuality in giving and receiving means that we have had a fresh and intentional look at the ways we engage with our</w:t>
      </w:r>
      <w:r>
        <w:rPr>
          <w:spacing w:val="42"/>
          <w:w w:val="120"/>
          <w:sz w:val="20"/>
        </w:rPr>
        <w:t> </w:t>
      </w:r>
      <w:r>
        <w:rPr>
          <w:w w:val="120"/>
          <w:sz w:val="20"/>
        </w:rPr>
        <w:t>global</w:t>
      </w:r>
    </w:p>
    <w:p>
      <w:pPr>
        <w:spacing w:after="0" w:line="230" w:lineRule="auto"/>
        <w:jc w:val="left"/>
        <w:rPr>
          <w:sz w:val="20"/>
        </w:rPr>
        <w:sectPr>
          <w:headerReference w:type="even" r:id="rId413"/>
          <w:pgSz w:w="11910" w:h="16840"/>
          <w:pgMar w:header="0" w:footer="647" w:top="0" w:bottom="840" w:left="420" w:right="380"/>
        </w:sectPr>
      </w:pPr>
    </w:p>
    <w:p>
      <w:pPr>
        <w:pStyle w:val="BodyText"/>
      </w:pPr>
      <w:r>
        <w:rPr/>
        <w:drawing>
          <wp:anchor distT="0" distB="0" distL="0" distR="0" allowOverlap="1" layoutInCell="1" locked="0" behindDoc="0" simplePos="0" relativeHeight="252057600">
            <wp:simplePos x="0" y="0"/>
            <wp:positionH relativeFrom="page">
              <wp:posOffset>6974928</wp:posOffset>
            </wp:positionH>
            <wp:positionV relativeFrom="page">
              <wp:posOffset>0</wp:posOffset>
            </wp:positionV>
            <wp:extent cx="585063" cy="10692003"/>
            <wp:effectExtent l="0" t="0" r="0" b="0"/>
            <wp:wrapNone/>
            <wp:docPr id="295" name="image57.png"/>
            <wp:cNvGraphicFramePr>
              <a:graphicFrameLocks noChangeAspect="1"/>
            </wp:cNvGraphicFramePr>
            <a:graphic>
              <a:graphicData uri="http://schemas.openxmlformats.org/drawingml/2006/picture">
                <pic:pic>
                  <pic:nvPicPr>
                    <pic:cNvPr id="296"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58624"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BodyText"/>
        <w:spacing w:line="235" w:lineRule="auto" w:before="222"/>
        <w:ind w:left="1564" w:right="783"/>
      </w:pPr>
      <w:r>
        <w:rPr>
          <w:w w:val="120"/>
        </w:rPr>
        <w:t>partners. For visits that we manage, we encourage briefing and debriefing, wider representation of our membership and the connecting of issues/concerns and themes is emphasised. Visits between the two assemblies included:</w:t>
      </w:r>
    </w:p>
    <w:p>
      <w:pPr>
        <w:pStyle w:val="BodyText"/>
        <w:spacing w:before="10"/>
        <w:rPr>
          <w:sz w:val="19"/>
        </w:rPr>
      </w:pPr>
    </w:p>
    <w:p>
      <w:pPr>
        <w:pStyle w:val="ListParagraph"/>
        <w:numPr>
          <w:ilvl w:val="2"/>
          <w:numId w:val="108"/>
        </w:numPr>
        <w:tabs>
          <w:tab w:pos="2244" w:val="left" w:leader="none"/>
          <w:tab w:pos="2245" w:val="left" w:leader="none"/>
        </w:tabs>
        <w:spacing w:line="235" w:lineRule="auto" w:before="0" w:after="0"/>
        <w:ind w:left="2244" w:right="998" w:hanging="681"/>
        <w:jc w:val="left"/>
        <w:rPr>
          <w:sz w:val="20"/>
        </w:rPr>
      </w:pPr>
      <w:r>
        <w:rPr>
          <w:w w:val="120"/>
          <w:sz w:val="20"/>
        </w:rPr>
        <w:t>Synod Global Partners visits, both incoming and outgoing, to/from India, Zimbabwe, Mozambique, Cuba, </w:t>
      </w:r>
      <w:r>
        <w:rPr>
          <w:spacing w:val="-3"/>
          <w:w w:val="120"/>
          <w:sz w:val="20"/>
        </w:rPr>
        <w:t>Taiwan, </w:t>
      </w:r>
      <w:r>
        <w:rPr>
          <w:w w:val="120"/>
          <w:sz w:val="20"/>
        </w:rPr>
        <w:t>South Korea, the Caribbean, Myanmar, Zambia, Botswana, Europe, </w:t>
      </w:r>
      <w:r>
        <w:rPr>
          <w:spacing w:val="2"/>
          <w:w w:val="120"/>
          <w:sz w:val="20"/>
        </w:rPr>
        <w:t>North </w:t>
      </w:r>
      <w:r>
        <w:rPr>
          <w:w w:val="120"/>
          <w:sz w:val="20"/>
        </w:rPr>
        <w:t>America, Ghana and South</w:t>
      </w:r>
      <w:r>
        <w:rPr>
          <w:spacing w:val="26"/>
          <w:w w:val="120"/>
          <w:sz w:val="20"/>
        </w:rPr>
        <w:t> </w:t>
      </w:r>
      <w:r>
        <w:rPr>
          <w:w w:val="120"/>
          <w:sz w:val="20"/>
        </w:rPr>
        <w:t>Africa.</w:t>
      </w:r>
    </w:p>
    <w:p>
      <w:pPr>
        <w:pStyle w:val="BodyText"/>
        <w:spacing w:before="10"/>
        <w:rPr>
          <w:sz w:val="19"/>
        </w:rPr>
      </w:pPr>
    </w:p>
    <w:p>
      <w:pPr>
        <w:pStyle w:val="ListParagraph"/>
        <w:numPr>
          <w:ilvl w:val="2"/>
          <w:numId w:val="108"/>
        </w:numPr>
        <w:tabs>
          <w:tab w:pos="2244" w:val="left" w:leader="none"/>
          <w:tab w:pos="2245" w:val="left" w:leader="none"/>
        </w:tabs>
        <w:spacing w:line="235" w:lineRule="auto" w:before="0" w:after="0"/>
        <w:ind w:left="2244" w:right="865" w:hanging="681"/>
        <w:jc w:val="left"/>
        <w:rPr>
          <w:sz w:val="20"/>
        </w:rPr>
      </w:pPr>
      <w:r>
        <w:rPr>
          <w:w w:val="120"/>
          <w:sz w:val="20"/>
        </w:rPr>
        <w:t>Representational visits to partner Churches’ assemblies, world Church bodies   and world ecumenical gatherings: the Evangelical Presbyterian Church, Ghana (August </w:t>
      </w:r>
      <w:r>
        <w:rPr>
          <w:spacing w:val="-7"/>
          <w:w w:val="120"/>
          <w:sz w:val="20"/>
        </w:rPr>
        <w:t>2017), </w:t>
      </w:r>
      <w:r>
        <w:rPr>
          <w:w w:val="120"/>
          <w:sz w:val="20"/>
        </w:rPr>
        <w:t>Waldensian and Methodist Churches Synod, Italy </w:t>
      </w:r>
      <w:r>
        <w:rPr>
          <w:spacing w:val="-7"/>
          <w:w w:val="120"/>
          <w:sz w:val="20"/>
        </w:rPr>
        <w:t>(2017); </w:t>
      </w:r>
      <w:r>
        <w:rPr>
          <w:w w:val="120"/>
          <w:sz w:val="20"/>
        </w:rPr>
        <w:t>United Congregational Church of Southern Africa (September </w:t>
      </w:r>
      <w:r>
        <w:rPr>
          <w:spacing w:val="-7"/>
          <w:w w:val="120"/>
          <w:sz w:val="20"/>
        </w:rPr>
        <w:t>2017), </w:t>
      </w:r>
      <w:r>
        <w:rPr>
          <w:w w:val="120"/>
          <w:sz w:val="20"/>
        </w:rPr>
        <w:t>World Communion of Reformed Churches General Council, Germany (June/July </w:t>
      </w:r>
      <w:r>
        <w:rPr>
          <w:spacing w:val="-6"/>
          <w:w w:val="120"/>
          <w:sz w:val="20"/>
        </w:rPr>
        <w:t>2017); </w:t>
      </w:r>
      <w:r>
        <w:rPr>
          <w:w w:val="120"/>
          <w:sz w:val="20"/>
        </w:rPr>
        <w:t>Churches Commission for Migrants in Europe (June </w:t>
      </w:r>
      <w:r>
        <w:rPr>
          <w:spacing w:val="-6"/>
          <w:w w:val="120"/>
          <w:sz w:val="20"/>
        </w:rPr>
        <w:t>2017); </w:t>
      </w:r>
      <w:r>
        <w:rPr>
          <w:w w:val="120"/>
          <w:sz w:val="20"/>
        </w:rPr>
        <w:t>and the Council for World Mission </w:t>
      </w:r>
      <w:r>
        <w:rPr>
          <w:spacing w:val="-3"/>
          <w:w w:val="120"/>
          <w:sz w:val="20"/>
        </w:rPr>
        <w:t>Youth </w:t>
      </w:r>
      <w:r>
        <w:rPr>
          <w:w w:val="120"/>
          <w:sz w:val="20"/>
        </w:rPr>
        <w:t>Assembly, Johannesburg (August </w:t>
      </w:r>
      <w:r>
        <w:rPr>
          <w:spacing w:val="-7"/>
          <w:w w:val="120"/>
          <w:sz w:val="20"/>
        </w:rPr>
        <w:t>2017). </w:t>
      </w:r>
      <w:r>
        <w:rPr>
          <w:w w:val="120"/>
          <w:sz w:val="20"/>
        </w:rPr>
        <w:t>For those invitations that we were unable to accept, we sent official greetings and</w:t>
      </w:r>
      <w:r>
        <w:rPr>
          <w:spacing w:val="24"/>
          <w:w w:val="120"/>
          <w:sz w:val="20"/>
        </w:rPr>
        <w:t> </w:t>
      </w:r>
      <w:r>
        <w:rPr>
          <w:w w:val="120"/>
          <w:sz w:val="20"/>
        </w:rPr>
        <w:t>messages.</w:t>
      </w:r>
    </w:p>
    <w:p>
      <w:pPr>
        <w:pStyle w:val="BodyText"/>
        <w:spacing w:before="1"/>
      </w:pPr>
    </w:p>
    <w:p>
      <w:pPr>
        <w:pStyle w:val="ListParagraph"/>
        <w:numPr>
          <w:ilvl w:val="2"/>
          <w:numId w:val="108"/>
        </w:numPr>
        <w:tabs>
          <w:tab w:pos="2244" w:val="left" w:leader="none"/>
          <w:tab w:pos="2245" w:val="left" w:leader="none"/>
        </w:tabs>
        <w:spacing w:line="235" w:lineRule="auto" w:before="1" w:after="0"/>
        <w:ind w:left="2244" w:right="865" w:hanging="681"/>
        <w:jc w:val="left"/>
        <w:rPr>
          <w:sz w:val="20"/>
        </w:rPr>
      </w:pPr>
      <w:r>
        <w:rPr>
          <w:w w:val="120"/>
          <w:sz w:val="20"/>
        </w:rPr>
        <w:t>Our presence and engagement also see us represented as members, for instance, at CWM’s Members Meeting and Regional Assembly, the World Communion of Reformed Churches’ European Regional Council, and the Disciples Ecumenical Consultative Council, at which we participate</w:t>
      </w:r>
      <w:r>
        <w:rPr>
          <w:spacing w:val="16"/>
          <w:w w:val="120"/>
          <w:sz w:val="20"/>
        </w:rPr>
        <w:t> </w:t>
      </w:r>
      <w:r>
        <w:rPr>
          <w:spacing w:val="-3"/>
          <w:w w:val="120"/>
          <w:sz w:val="20"/>
        </w:rPr>
        <w:t>fully.</w:t>
      </w:r>
    </w:p>
    <w:p>
      <w:pPr>
        <w:pStyle w:val="BodyText"/>
        <w:spacing w:before="10"/>
        <w:rPr>
          <w:sz w:val="19"/>
        </w:rPr>
      </w:pPr>
    </w:p>
    <w:p>
      <w:pPr>
        <w:pStyle w:val="ListParagraph"/>
        <w:numPr>
          <w:ilvl w:val="2"/>
          <w:numId w:val="108"/>
        </w:numPr>
        <w:tabs>
          <w:tab w:pos="2244" w:val="left" w:leader="none"/>
          <w:tab w:pos="2245" w:val="left" w:leader="none"/>
        </w:tabs>
        <w:spacing w:line="235" w:lineRule="auto" w:before="0" w:after="0"/>
        <w:ind w:left="2244" w:right="1053" w:hanging="681"/>
        <w:jc w:val="left"/>
        <w:rPr>
          <w:sz w:val="20"/>
        </w:rPr>
      </w:pPr>
      <w:r>
        <w:rPr>
          <w:w w:val="120"/>
          <w:sz w:val="20"/>
        </w:rPr>
        <w:t>Our commitment to ensure that all those training for ministry have a global exposure has seen visits to partner Churches in Canada (United Church of </w:t>
      </w:r>
      <w:r>
        <w:rPr>
          <w:spacing w:val="-3"/>
          <w:w w:val="120"/>
          <w:sz w:val="20"/>
        </w:rPr>
        <w:t>Canada), </w:t>
      </w:r>
      <w:r>
        <w:rPr>
          <w:w w:val="120"/>
          <w:sz w:val="20"/>
        </w:rPr>
        <w:t>Germany </w:t>
      </w:r>
      <w:r>
        <w:rPr>
          <w:spacing w:val="-3"/>
          <w:w w:val="120"/>
          <w:sz w:val="20"/>
        </w:rPr>
        <w:t>(Church </w:t>
      </w:r>
      <w:r>
        <w:rPr>
          <w:w w:val="120"/>
          <w:sz w:val="20"/>
        </w:rPr>
        <w:t>of the </w:t>
      </w:r>
      <w:r>
        <w:rPr>
          <w:spacing w:val="-3"/>
          <w:w w:val="120"/>
          <w:sz w:val="20"/>
        </w:rPr>
        <w:t>Palatinate), </w:t>
      </w:r>
      <w:r>
        <w:rPr>
          <w:w w:val="120"/>
          <w:sz w:val="20"/>
        </w:rPr>
        <w:t>Cuba </w:t>
      </w:r>
      <w:r>
        <w:rPr>
          <w:spacing w:val="-3"/>
          <w:w w:val="120"/>
          <w:sz w:val="20"/>
        </w:rPr>
        <w:t>(the </w:t>
      </w:r>
      <w:r>
        <w:rPr>
          <w:w w:val="120"/>
          <w:sz w:val="20"/>
        </w:rPr>
        <w:t>Presbyterian Church of </w:t>
      </w:r>
      <w:r>
        <w:rPr>
          <w:spacing w:val="-4"/>
          <w:w w:val="120"/>
          <w:sz w:val="20"/>
        </w:rPr>
        <w:t>Cuba) </w:t>
      </w:r>
      <w:r>
        <w:rPr>
          <w:w w:val="120"/>
          <w:sz w:val="20"/>
        </w:rPr>
        <w:t>and </w:t>
      </w:r>
      <w:r>
        <w:rPr>
          <w:spacing w:val="-3"/>
          <w:w w:val="120"/>
          <w:sz w:val="20"/>
        </w:rPr>
        <w:t>Taiwan (the </w:t>
      </w:r>
      <w:r>
        <w:rPr>
          <w:w w:val="120"/>
          <w:sz w:val="20"/>
        </w:rPr>
        <w:t>Presbyterian Church in</w:t>
      </w:r>
      <w:r>
        <w:rPr>
          <w:spacing w:val="38"/>
          <w:w w:val="120"/>
          <w:sz w:val="20"/>
        </w:rPr>
        <w:t> </w:t>
      </w:r>
      <w:r>
        <w:rPr>
          <w:spacing w:val="-5"/>
          <w:w w:val="120"/>
          <w:sz w:val="20"/>
        </w:rPr>
        <w:t>Taiwan).</w:t>
      </w:r>
    </w:p>
    <w:p>
      <w:pPr>
        <w:pStyle w:val="BodyText"/>
        <w:spacing w:before="11"/>
        <w:rPr>
          <w:sz w:val="19"/>
        </w:rPr>
      </w:pPr>
    </w:p>
    <w:p>
      <w:pPr>
        <w:pStyle w:val="ListParagraph"/>
        <w:numPr>
          <w:ilvl w:val="2"/>
          <w:numId w:val="108"/>
        </w:numPr>
        <w:tabs>
          <w:tab w:pos="2301" w:val="left" w:leader="none"/>
          <w:tab w:pos="2302" w:val="left" w:leader="none"/>
        </w:tabs>
        <w:spacing w:line="235" w:lineRule="auto" w:before="0" w:after="0"/>
        <w:ind w:left="2244" w:right="1076" w:hanging="681"/>
        <w:jc w:val="left"/>
        <w:rPr>
          <w:sz w:val="20"/>
        </w:rPr>
      </w:pPr>
      <w:r>
        <w:rPr/>
        <w:tab/>
      </w:r>
      <w:r>
        <w:rPr>
          <w:w w:val="120"/>
          <w:sz w:val="20"/>
        </w:rPr>
        <w:t>Our work also includes receiving visits from partner Churches and representatives of world bodies. In September </w:t>
      </w:r>
      <w:r>
        <w:rPr>
          <w:spacing w:val="-12"/>
          <w:w w:val="120"/>
          <w:sz w:val="20"/>
        </w:rPr>
        <w:t>2017,  </w:t>
      </w:r>
      <w:r>
        <w:rPr>
          <w:w w:val="120"/>
          <w:sz w:val="20"/>
        </w:rPr>
        <w:t>for instance, we received  a delegation of the leadership team </w:t>
      </w:r>
      <w:r>
        <w:rPr>
          <w:spacing w:val="-10"/>
          <w:w w:val="120"/>
          <w:sz w:val="20"/>
        </w:rPr>
        <w:t>(12 </w:t>
      </w:r>
      <w:r>
        <w:rPr>
          <w:w w:val="120"/>
          <w:sz w:val="20"/>
        </w:rPr>
        <w:t>colleagues) of the United Church of Christ </w:t>
      </w:r>
      <w:r>
        <w:rPr>
          <w:spacing w:val="-3"/>
          <w:w w:val="120"/>
          <w:sz w:val="20"/>
        </w:rPr>
        <w:t>(US) </w:t>
      </w:r>
      <w:r>
        <w:rPr>
          <w:w w:val="120"/>
          <w:sz w:val="20"/>
        </w:rPr>
        <w:t>and United Church of Canada. Their time with us included the sharing of work, current mission and ministry challenges, an introduction to  the </w:t>
      </w:r>
      <w:r>
        <w:rPr>
          <w:spacing w:val="-3"/>
          <w:w w:val="120"/>
          <w:sz w:val="20"/>
        </w:rPr>
        <w:t>URC’s </w:t>
      </w:r>
      <w:r>
        <w:rPr>
          <w:w w:val="120"/>
          <w:sz w:val="20"/>
        </w:rPr>
        <w:t>missional discipleship focus, ‘Walking the Way: Living the life of Jesus </w:t>
      </w:r>
      <w:r>
        <w:rPr>
          <w:spacing w:val="-3"/>
          <w:w w:val="120"/>
          <w:sz w:val="20"/>
        </w:rPr>
        <w:t>today’,  </w:t>
      </w:r>
      <w:r>
        <w:rPr>
          <w:w w:val="120"/>
          <w:sz w:val="20"/>
        </w:rPr>
        <w:t>and opportunities for learning about the </w:t>
      </w:r>
      <w:r>
        <w:rPr>
          <w:spacing w:val="-4"/>
          <w:w w:val="120"/>
          <w:sz w:val="20"/>
        </w:rPr>
        <w:t>UK’s  </w:t>
      </w:r>
      <w:r>
        <w:rPr>
          <w:w w:val="120"/>
          <w:sz w:val="20"/>
        </w:rPr>
        <w:t>ecumenical </w:t>
      </w:r>
      <w:r>
        <w:rPr>
          <w:spacing w:val="-4"/>
          <w:w w:val="120"/>
          <w:sz w:val="20"/>
        </w:rPr>
        <w:t>context(s). </w:t>
      </w:r>
      <w:r>
        <w:rPr>
          <w:w w:val="120"/>
          <w:sz w:val="20"/>
        </w:rPr>
        <w:t>We also received representational visits from the Presbyterian Church of Korea, the Presbyterian Church of Myanmar, the Presbyterian Church in </w:t>
      </w:r>
      <w:r>
        <w:rPr>
          <w:spacing w:val="-3"/>
          <w:w w:val="120"/>
          <w:sz w:val="20"/>
        </w:rPr>
        <w:t>Taiwan, </w:t>
      </w:r>
      <w:r>
        <w:rPr>
          <w:w w:val="120"/>
          <w:sz w:val="20"/>
        </w:rPr>
        <w:t>the Evangelical Presbyterian Church, Ghana, and the Community of Protestant Churches in</w:t>
      </w:r>
      <w:r>
        <w:rPr>
          <w:spacing w:val="4"/>
          <w:w w:val="120"/>
          <w:sz w:val="20"/>
        </w:rPr>
        <w:t> </w:t>
      </w:r>
      <w:r>
        <w:rPr>
          <w:w w:val="120"/>
          <w:sz w:val="20"/>
        </w:rPr>
        <w:t>Europe.</w:t>
      </w:r>
    </w:p>
    <w:p>
      <w:pPr>
        <w:pStyle w:val="BodyText"/>
        <w:spacing w:before="6"/>
        <w:rPr>
          <w:sz w:val="19"/>
        </w:rPr>
      </w:pPr>
    </w:p>
    <w:p>
      <w:pPr>
        <w:pStyle w:val="ListParagraph"/>
        <w:numPr>
          <w:ilvl w:val="1"/>
          <w:numId w:val="108"/>
        </w:numPr>
        <w:tabs>
          <w:tab w:pos="2244" w:val="left" w:leader="none"/>
          <w:tab w:pos="2245" w:val="left" w:leader="none"/>
        </w:tabs>
        <w:spacing w:line="232" w:lineRule="auto" w:before="0" w:after="0"/>
        <w:ind w:left="1564" w:right="1130" w:firstLine="0"/>
        <w:jc w:val="left"/>
        <w:rPr>
          <w:sz w:val="20"/>
        </w:rPr>
      </w:pPr>
      <w:r>
        <w:rPr>
          <w:rFonts w:ascii="Stone Sans II ITC Std Bk"/>
          <w:b/>
          <w:w w:val="120"/>
          <w:sz w:val="20"/>
        </w:rPr>
        <w:t>Representation</w:t>
      </w:r>
      <w:r>
        <w:rPr>
          <w:rFonts w:ascii="Stone Sans II ITC Std Bk"/>
          <w:b/>
          <w:spacing w:val="-33"/>
          <w:w w:val="120"/>
          <w:sz w:val="20"/>
        </w:rPr>
        <w:t> </w:t>
      </w:r>
      <w:r>
        <w:rPr>
          <w:rFonts w:ascii="Stone Sans II ITC Std Bk"/>
          <w:b/>
          <w:w w:val="120"/>
          <w:sz w:val="20"/>
        </w:rPr>
        <w:t>and</w:t>
      </w:r>
      <w:r>
        <w:rPr>
          <w:rFonts w:ascii="Stone Sans II ITC Std Bk"/>
          <w:b/>
          <w:spacing w:val="-33"/>
          <w:w w:val="120"/>
          <w:sz w:val="20"/>
        </w:rPr>
        <w:t> </w:t>
      </w:r>
      <w:r>
        <w:rPr>
          <w:rFonts w:ascii="Stone Sans II ITC Std Bk"/>
          <w:b/>
          <w:w w:val="120"/>
          <w:sz w:val="20"/>
        </w:rPr>
        <w:t>nurturing</w:t>
      </w:r>
      <w:r>
        <w:rPr>
          <w:rFonts w:ascii="Stone Sans II ITC Std Bk"/>
          <w:b/>
          <w:spacing w:val="-33"/>
          <w:w w:val="120"/>
          <w:sz w:val="20"/>
        </w:rPr>
        <w:t> </w:t>
      </w:r>
      <w:r>
        <w:rPr>
          <w:rFonts w:ascii="Stone Sans II ITC Std Bk"/>
          <w:b/>
          <w:w w:val="120"/>
          <w:sz w:val="20"/>
        </w:rPr>
        <w:t>new</w:t>
      </w:r>
      <w:r>
        <w:rPr>
          <w:rFonts w:ascii="Stone Sans II ITC Std Bk"/>
          <w:b/>
          <w:spacing w:val="-32"/>
          <w:w w:val="120"/>
          <w:sz w:val="20"/>
        </w:rPr>
        <w:t> </w:t>
      </w:r>
      <w:r>
        <w:rPr>
          <w:rFonts w:ascii="Stone Sans II ITC Std Bk"/>
          <w:b/>
          <w:w w:val="120"/>
          <w:sz w:val="20"/>
        </w:rPr>
        <w:t>voices:</w:t>
      </w:r>
      <w:r>
        <w:rPr>
          <w:rFonts w:ascii="Stone Sans II ITC Std Bk"/>
          <w:b/>
          <w:spacing w:val="-34"/>
          <w:w w:val="120"/>
          <w:sz w:val="20"/>
        </w:rPr>
        <w:t> </w:t>
      </w:r>
      <w:r>
        <w:rPr>
          <w:w w:val="120"/>
          <w:sz w:val="20"/>
        </w:rPr>
        <w:t>One</w:t>
      </w:r>
      <w:r>
        <w:rPr>
          <w:spacing w:val="-25"/>
          <w:w w:val="120"/>
          <w:sz w:val="20"/>
        </w:rPr>
        <w:t> </w:t>
      </w:r>
      <w:r>
        <w:rPr>
          <w:w w:val="120"/>
          <w:sz w:val="20"/>
        </w:rPr>
        <w:t>piece</w:t>
      </w:r>
      <w:r>
        <w:rPr>
          <w:spacing w:val="-24"/>
          <w:w w:val="120"/>
          <w:sz w:val="20"/>
        </w:rPr>
        <w:t> </w:t>
      </w:r>
      <w:r>
        <w:rPr>
          <w:w w:val="120"/>
          <w:sz w:val="20"/>
        </w:rPr>
        <w:t>of</w:t>
      </w:r>
      <w:r>
        <w:rPr>
          <w:spacing w:val="-24"/>
          <w:w w:val="120"/>
          <w:sz w:val="20"/>
        </w:rPr>
        <w:t> </w:t>
      </w:r>
      <w:r>
        <w:rPr>
          <w:w w:val="120"/>
          <w:sz w:val="20"/>
        </w:rPr>
        <w:t>intentional</w:t>
      </w:r>
      <w:r>
        <w:rPr>
          <w:spacing w:val="-25"/>
          <w:w w:val="120"/>
          <w:sz w:val="20"/>
        </w:rPr>
        <w:t> </w:t>
      </w:r>
      <w:r>
        <w:rPr>
          <w:w w:val="120"/>
          <w:sz w:val="20"/>
        </w:rPr>
        <w:t>work has been to look strategically at where we are represented or what events we should participate in. Alongside this we are developing a wider network of people across synods and areas, representative of the whole Church. While it is impossible to list all those who have participated since </w:t>
      </w:r>
      <w:r>
        <w:rPr>
          <w:spacing w:val="-6"/>
          <w:w w:val="120"/>
          <w:sz w:val="20"/>
        </w:rPr>
        <w:t>2016, </w:t>
      </w:r>
      <w:r>
        <w:rPr>
          <w:w w:val="120"/>
          <w:sz w:val="20"/>
        </w:rPr>
        <w:t>we can </w:t>
      </w:r>
      <w:r>
        <w:rPr>
          <w:spacing w:val="2"/>
          <w:w w:val="120"/>
          <w:sz w:val="20"/>
        </w:rPr>
        <w:t>report </w:t>
      </w:r>
      <w:r>
        <w:rPr>
          <w:w w:val="120"/>
          <w:sz w:val="20"/>
        </w:rPr>
        <w:t>an intentionally proactive and different approach to representation aimed at newer voices </w:t>
      </w:r>
      <w:r>
        <w:rPr>
          <w:spacing w:val="-3"/>
          <w:w w:val="120"/>
          <w:sz w:val="20"/>
        </w:rPr>
        <w:t>(the </w:t>
      </w:r>
      <w:r>
        <w:rPr>
          <w:w w:val="120"/>
          <w:sz w:val="20"/>
        </w:rPr>
        <w:t>next generation). It  is</w:t>
      </w:r>
      <w:r>
        <w:rPr>
          <w:spacing w:val="10"/>
          <w:w w:val="120"/>
          <w:sz w:val="20"/>
        </w:rPr>
        <w:t> </w:t>
      </w:r>
      <w:r>
        <w:rPr>
          <w:w w:val="120"/>
          <w:sz w:val="20"/>
        </w:rPr>
        <w:t>also</w:t>
      </w:r>
      <w:r>
        <w:rPr>
          <w:spacing w:val="10"/>
          <w:w w:val="120"/>
          <w:sz w:val="20"/>
        </w:rPr>
        <w:t> </w:t>
      </w:r>
      <w:r>
        <w:rPr>
          <w:w w:val="120"/>
          <w:sz w:val="20"/>
        </w:rPr>
        <w:t>the</w:t>
      </w:r>
      <w:r>
        <w:rPr>
          <w:spacing w:val="10"/>
          <w:w w:val="120"/>
          <w:sz w:val="20"/>
        </w:rPr>
        <w:t> </w:t>
      </w:r>
      <w:r>
        <w:rPr>
          <w:w w:val="120"/>
          <w:sz w:val="20"/>
        </w:rPr>
        <w:t>case</w:t>
      </w:r>
      <w:r>
        <w:rPr>
          <w:spacing w:val="10"/>
          <w:w w:val="120"/>
          <w:sz w:val="20"/>
        </w:rPr>
        <w:t> </w:t>
      </w:r>
      <w:r>
        <w:rPr>
          <w:w w:val="120"/>
          <w:sz w:val="20"/>
        </w:rPr>
        <w:t>that</w:t>
      </w:r>
      <w:r>
        <w:rPr>
          <w:spacing w:val="10"/>
          <w:w w:val="120"/>
          <w:sz w:val="20"/>
        </w:rPr>
        <w:t> </w:t>
      </w:r>
      <w:r>
        <w:rPr>
          <w:w w:val="120"/>
          <w:sz w:val="20"/>
        </w:rPr>
        <w:t>quite</w:t>
      </w:r>
      <w:r>
        <w:rPr>
          <w:spacing w:val="11"/>
          <w:w w:val="120"/>
          <w:sz w:val="20"/>
        </w:rPr>
        <w:t> </w:t>
      </w:r>
      <w:r>
        <w:rPr>
          <w:w w:val="120"/>
          <w:sz w:val="20"/>
        </w:rPr>
        <w:t>often,</w:t>
      </w:r>
      <w:r>
        <w:rPr>
          <w:spacing w:val="10"/>
          <w:w w:val="120"/>
          <w:sz w:val="20"/>
        </w:rPr>
        <w:t> </w:t>
      </w:r>
      <w:r>
        <w:rPr>
          <w:w w:val="120"/>
          <w:sz w:val="20"/>
        </w:rPr>
        <w:t>some</w:t>
      </w:r>
      <w:r>
        <w:rPr>
          <w:spacing w:val="10"/>
          <w:w w:val="120"/>
          <w:sz w:val="20"/>
        </w:rPr>
        <w:t> </w:t>
      </w:r>
      <w:r>
        <w:rPr>
          <w:w w:val="120"/>
          <w:sz w:val="20"/>
        </w:rPr>
        <w:t>world</w:t>
      </w:r>
      <w:r>
        <w:rPr>
          <w:spacing w:val="10"/>
          <w:w w:val="120"/>
          <w:sz w:val="20"/>
        </w:rPr>
        <w:t> </w:t>
      </w:r>
      <w:r>
        <w:rPr>
          <w:w w:val="120"/>
          <w:sz w:val="20"/>
        </w:rPr>
        <w:t>Church</w:t>
      </w:r>
      <w:r>
        <w:rPr>
          <w:spacing w:val="10"/>
          <w:w w:val="120"/>
          <w:sz w:val="20"/>
        </w:rPr>
        <w:t> </w:t>
      </w:r>
      <w:r>
        <w:rPr>
          <w:w w:val="120"/>
          <w:sz w:val="20"/>
        </w:rPr>
        <w:t>bodies</w:t>
      </w:r>
      <w:r>
        <w:rPr>
          <w:spacing w:val="10"/>
          <w:w w:val="120"/>
          <w:sz w:val="20"/>
        </w:rPr>
        <w:t> </w:t>
      </w:r>
      <w:r>
        <w:rPr>
          <w:w w:val="120"/>
          <w:sz w:val="20"/>
        </w:rPr>
        <w:t>(WCC,</w:t>
      </w:r>
      <w:r>
        <w:rPr>
          <w:spacing w:val="11"/>
          <w:w w:val="120"/>
          <w:sz w:val="20"/>
        </w:rPr>
        <w:t> </w:t>
      </w:r>
      <w:r>
        <w:rPr>
          <w:w w:val="120"/>
          <w:sz w:val="20"/>
        </w:rPr>
        <w:t>WCRC,</w:t>
      </w:r>
      <w:r>
        <w:rPr>
          <w:spacing w:val="10"/>
          <w:w w:val="120"/>
          <w:sz w:val="20"/>
        </w:rPr>
        <w:t> </w:t>
      </w:r>
      <w:r>
        <w:rPr>
          <w:w w:val="120"/>
          <w:sz w:val="20"/>
        </w:rPr>
        <w:t>CWM)</w:t>
      </w:r>
      <w:r>
        <w:rPr>
          <w:spacing w:val="10"/>
          <w:w w:val="120"/>
          <w:sz w:val="20"/>
        </w:rPr>
        <w:t> </w:t>
      </w:r>
      <w:r>
        <w:rPr>
          <w:w w:val="120"/>
          <w:sz w:val="20"/>
        </w:rPr>
        <w:t>will</w:t>
      </w:r>
    </w:p>
    <w:p>
      <w:pPr>
        <w:pStyle w:val="BodyText"/>
        <w:spacing w:line="235" w:lineRule="auto" w:before="7"/>
        <w:ind w:left="1564" w:right="951"/>
      </w:pPr>
      <w:r>
        <w:rPr>
          <w:w w:val="120"/>
        </w:rPr>
        <w:t>stipulate the representational make-up and giftings of our representatives/participants. A frustration is the lateness of many of the invitations and of the notices about opportunities. This can limit our ability to find suitable participants. We have tried to pre-empt this by creating a working schedule of all upcoming events until </w:t>
      </w:r>
      <w:r>
        <w:rPr>
          <w:spacing w:val="-3"/>
          <w:w w:val="120"/>
        </w:rPr>
        <w:t>2020. </w:t>
      </w:r>
      <w:r>
        <w:rPr>
          <w:w w:val="120"/>
        </w:rPr>
        <w:t>We have developed a helpful briefing and debriefing process for all who participate in gatherings and events related to these bodies. Reporting back is a requirement, as is suggesting helpful ways for the experience of those who have had an international exposure to be deployed locally, across the synods and the wider</w:t>
      </w:r>
      <w:r>
        <w:rPr>
          <w:spacing w:val="37"/>
          <w:w w:val="120"/>
        </w:rPr>
        <w:t> </w:t>
      </w:r>
      <w:r>
        <w:rPr>
          <w:w w:val="120"/>
        </w:rPr>
        <w:t>URC.</w:t>
      </w:r>
    </w:p>
    <w:p>
      <w:pPr>
        <w:pStyle w:val="BodyText"/>
        <w:spacing w:before="5"/>
        <w:rPr>
          <w:sz w:val="19"/>
        </w:rPr>
      </w:pPr>
    </w:p>
    <w:p>
      <w:pPr>
        <w:pStyle w:val="ListParagraph"/>
        <w:numPr>
          <w:ilvl w:val="1"/>
          <w:numId w:val="108"/>
        </w:numPr>
        <w:tabs>
          <w:tab w:pos="2244" w:val="left" w:leader="none"/>
          <w:tab w:pos="2245" w:val="left" w:leader="none"/>
        </w:tabs>
        <w:spacing w:line="230" w:lineRule="auto" w:before="0" w:after="0"/>
        <w:ind w:left="1564" w:right="1036" w:firstLine="0"/>
        <w:jc w:val="left"/>
        <w:rPr>
          <w:sz w:val="20"/>
        </w:rPr>
      </w:pPr>
      <w:r>
        <w:rPr>
          <w:rFonts w:ascii="Stone Sans II ITC Std Bk"/>
          <w:b/>
          <w:w w:val="120"/>
          <w:sz w:val="20"/>
        </w:rPr>
        <w:t>Appeals-funding-sharing: </w:t>
      </w:r>
      <w:r>
        <w:rPr>
          <w:w w:val="120"/>
          <w:sz w:val="20"/>
        </w:rPr>
        <w:t>While funding is not the only way we both give and receive, it is a reality that through the generosity of the URC we have been able to support ongoing empowerment, development and emergency relief of partners and their</w:t>
      </w:r>
      <w:r>
        <w:rPr>
          <w:spacing w:val="1"/>
          <w:w w:val="120"/>
          <w:sz w:val="20"/>
        </w:rPr>
        <w:t> </w:t>
      </w:r>
      <w:r>
        <w:rPr>
          <w:w w:val="120"/>
          <w:sz w:val="20"/>
        </w:rPr>
        <w:t>communities.</w:t>
      </w:r>
    </w:p>
    <w:p>
      <w:pPr>
        <w:spacing w:after="0" w:line="230" w:lineRule="auto"/>
        <w:jc w:val="left"/>
        <w:rPr>
          <w:sz w:val="20"/>
        </w:rPr>
        <w:sectPr>
          <w:headerReference w:type="default" r:id="rId414"/>
          <w:footerReference w:type="default" r:id="rId415"/>
          <w:footerReference w:type="even" r:id="rId416"/>
          <w:pgSz w:w="11910" w:h="16840"/>
          <w:pgMar w:header="0" w:footer="647" w:top="0" w:bottom="840" w:left="420" w:right="380"/>
          <w:pgNumType w:start="153"/>
        </w:sectPr>
      </w:pPr>
    </w:p>
    <w:p>
      <w:pPr>
        <w:pStyle w:val="BodyText"/>
      </w:pPr>
      <w:r>
        <w:rPr/>
        <w:drawing>
          <wp:anchor distT="0" distB="0" distL="0" distR="0" allowOverlap="1" layoutInCell="1" locked="0" behindDoc="1" simplePos="0" relativeHeight="236092416">
            <wp:simplePos x="0" y="0"/>
            <wp:positionH relativeFrom="page">
              <wp:posOffset>0</wp:posOffset>
            </wp:positionH>
            <wp:positionV relativeFrom="page">
              <wp:posOffset>0</wp:posOffset>
            </wp:positionV>
            <wp:extent cx="594067" cy="10692003"/>
            <wp:effectExtent l="0" t="0" r="0" b="0"/>
            <wp:wrapNone/>
            <wp:docPr id="297" name="image70.png"/>
            <wp:cNvGraphicFramePr>
              <a:graphicFrameLocks noChangeAspect="1"/>
            </wp:cNvGraphicFramePr>
            <a:graphic>
              <a:graphicData uri="http://schemas.openxmlformats.org/drawingml/2006/picture">
                <pic:pic>
                  <pic:nvPicPr>
                    <pic:cNvPr id="298"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60672"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2"/>
          <w:numId w:val="109"/>
        </w:numPr>
        <w:tabs>
          <w:tab w:pos="1507" w:val="left" w:leader="none"/>
          <w:tab w:pos="1508" w:val="left" w:leader="none"/>
        </w:tabs>
        <w:spacing w:line="235" w:lineRule="auto" w:before="222" w:after="0"/>
        <w:ind w:left="1507" w:right="1727" w:hanging="681"/>
        <w:jc w:val="left"/>
        <w:rPr>
          <w:sz w:val="20"/>
        </w:rPr>
      </w:pPr>
      <w:r>
        <w:rPr>
          <w:w w:val="120"/>
          <w:sz w:val="20"/>
        </w:rPr>
        <w:t>We have partnered with the Presbyterian Church of Myanmar to facilitate work in theological formation (£4,000 to support ten </w:t>
      </w:r>
      <w:r>
        <w:rPr>
          <w:spacing w:val="-3"/>
          <w:w w:val="120"/>
          <w:sz w:val="20"/>
        </w:rPr>
        <w:t>ordinands), </w:t>
      </w:r>
      <w:r>
        <w:rPr>
          <w:w w:val="120"/>
          <w:sz w:val="20"/>
        </w:rPr>
        <w:t>providing water supply for students (£2,500) and </w:t>
      </w:r>
      <w:r>
        <w:rPr>
          <w:spacing w:val="-3"/>
          <w:w w:val="120"/>
          <w:sz w:val="20"/>
        </w:rPr>
        <w:t>women’s </w:t>
      </w:r>
      <w:r>
        <w:rPr>
          <w:w w:val="120"/>
          <w:sz w:val="20"/>
        </w:rPr>
        <w:t>empowerment programmes (£6,500 to train six nurses for rural </w:t>
      </w:r>
      <w:r>
        <w:rPr>
          <w:spacing w:val="-4"/>
          <w:w w:val="120"/>
          <w:sz w:val="20"/>
        </w:rPr>
        <w:t>areas). </w:t>
      </w:r>
      <w:r>
        <w:rPr>
          <w:w w:val="120"/>
          <w:sz w:val="20"/>
        </w:rPr>
        <w:t>We have also supported the Presbyterian Church of </w:t>
      </w:r>
      <w:r>
        <w:rPr>
          <w:spacing w:val="-4"/>
          <w:w w:val="120"/>
          <w:sz w:val="20"/>
        </w:rPr>
        <w:t>Cuba’s </w:t>
      </w:r>
      <w:r>
        <w:rPr>
          <w:w w:val="120"/>
          <w:sz w:val="20"/>
        </w:rPr>
        <w:t>series of interfaith conversations among young people with a grant of</w:t>
      </w:r>
      <w:r>
        <w:rPr>
          <w:spacing w:val="4"/>
          <w:w w:val="120"/>
          <w:sz w:val="20"/>
        </w:rPr>
        <w:t> </w:t>
      </w:r>
      <w:r>
        <w:rPr>
          <w:w w:val="120"/>
          <w:sz w:val="20"/>
        </w:rPr>
        <w:t>£1,000.</w:t>
      </w:r>
    </w:p>
    <w:p>
      <w:pPr>
        <w:pStyle w:val="BodyText"/>
      </w:pPr>
    </w:p>
    <w:p>
      <w:pPr>
        <w:pStyle w:val="ListParagraph"/>
        <w:numPr>
          <w:ilvl w:val="2"/>
          <w:numId w:val="109"/>
        </w:numPr>
        <w:tabs>
          <w:tab w:pos="1508" w:val="left" w:leader="none"/>
        </w:tabs>
        <w:spacing w:line="235" w:lineRule="auto" w:before="0" w:after="0"/>
        <w:ind w:left="1507" w:right="1658" w:hanging="681"/>
        <w:jc w:val="left"/>
        <w:rPr>
          <w:sz w:val="20"/>
        </w:rPr>
      </w:pPr>
      <w:r>
        <w:rPr>
          <w:w w:val="120"/>
          <w:sz w:val="20"/>
        </w:rPr>
        <w:t>We have responded to several disaster appeals from our partner Churches working in relief and the rebuilding of displaced communities. We have contributed to our partners’ response to earthquakes in </w:t>
      </w:r>
      <w:r>
        <w:rPr>
          <w:spacing w:val="-3"/>
          <w:w w:val="120"/>
          <w:sz w:val="20"/>
        </w:rPr>
        <w:t>Taiwan </w:t>
      </w:r>
      <w:r>
        <w:rPr>
          <w:w w:val="120"/>
          <w:sz w:val="20"/>
        </w:rPr>
        <w:t>(£5,000) and Papua New Guinea </w:t>
      </w:r>
      <w:r>
        <w:rPr>
          <w:spacing w:val="-3"/>
          <w:w w:val="120"/>
          <w:sz w:val="20"/>
        </w:rPr>
        <w:t>(£5,000). </w:t>
      </w:r>
      <w:r>
        <w:rPr>
          <w:w w:val="120"/>
          <w:sz w:val="20"/>
        </w:rPr>
        <w:t>For two significant appeals we launched the response has been overwhelmingly generous: for the  National  Evangelical Synod of Syria and Lebanon’s work with displaced Syrian children </w:t>
      </w:r>
      <w:r>
        <w:rPr>
          <w:spacing w:val="-5"/>
          <w:w w:val="120"/>
          <w:sz w:val="20"/>
        </w:rPr>
        <w:t>(over </w:t>
      </w:r>
      <w:r>
        <w:rPr>
          <w:spacing w:val="-4"/>
          <w:w w:val="120"/>
          <w:sz w:val="20"/>
        </w:rPr>
        <w:t>£13,000) </w:t>
      </w:r>
      <w:r>
        <w:rPr>
          <w:w w:val="120"/>
          <w:sz w:val="20"/>
        </w:rPr>
        <w:t>and for work among the Rohingya people that our partners in Bangladesh and Myanmar are involved in </w:t>
      </w:r>
      <w:r>
        <w:rPr>
          <w:spacing w:val="-5"/>
          <w:w w:val="120"/>
          <w:sz w:val="20"/>
        </w:rPr>
        <w:t>(over</w:t>
      </w:r>
      <w:r>
        <w:rPr>
          <w:spacing w:val="13"/>
          <w:w w:val="120"/>
          <w:sz w:val="20"/>
        </w:rPr>
        <w:t> </w:t>
      </w:r>
      <w:r>
        <w:rPr>
          <w:spacing w:val="-3"/>
          <w:w w:val="120"/>
          <w:sz w:val="20"/>
        </w:rPr>
        <w:t>£10,000).</w:t>
      </w:r>
    </w:p>
    <w:p>
      <w:pPr>
        <w:pStyle w:val="BodyText"/>
        <w:spacing w:before="1"/>
      </w:pPr>
    </w:p>
    <w:p>
      <w:pPr>
        <w:pStyle w:val="ListParagraph"/>
        <w:numPr>
          <w:ilvl w:val="1"/>
          <w:numId w:val="108"/>
        </w:numPr>
        <w:tabs>
          <w:tab w:pos="1507" w:val="left" w:leader="none"/>
          <w:tab w:pos="1508" w:val="left" w:leader="none"/>
        </w:tabs>
        <w:spacing w:line="235" w:lineRule="auto" w:before="0" w:after="0"/>
        <w:ind w:left="827" w:right="1737" w:firstLine="0"/>
        <w:jc w:val="left"/>
        <w:rPr>
          <w:sz w:val="20"/>
        </w:rPr>
      </w:pPr>
      <w:r>
        <w:rPr>
          <w:w w:val="120"/>
          <w:sz w:val="20"/>
        </w:rPr>
        <w:t>The international exchange reference group (IERG) plays a key role in </w:t>
      </w:r>
      <w:r>
        <w:rPr>
          <w:spacing w:val="-3"/>
          <w:w w:val="120"/>
          <w:sz w:val="20"/>
        </w:rPr>
        <w:t>GiM’s </w:t>
      </w:r>
      <w:r>
        <w:rPr>
          <w:w w:val="120"/>
          <w:sz w:val="20"/>
        </w:rPr>
        <w:t>work, especially in relation to partners in mission (PiM) and synod global partnerships. This very small group of committed colleagues supports the PiM work through visits, taking on specific pieces of necessary work, interviewing prospective candidates and serving on the management/support group of partners in mission in the</w:t>
      </w:r>
      <w:r>
        <w:rPr>
          <w:spacing w:val="48"/>
          <w:w w:val="120"/>
          <w:sz w:val="20"/>
        </w:rPr>
        <w:t> </w:t>
      </w:r>
      <w:r>
        <w:rPr>
          <w:spacing w:val="2"/>
          <w:w w:val="120"/>
          <w:sz w:val="20"/>
        </w:rPr>
        <w:t>UK.</w:t>
      </w:r>
    </w:p>
    <w:p>
      <w:pPr>
        <w:pStyle w:val="BodyText"/>
      </w:pPr>
    </w:p>
    <w:p>
      <w:pPr>
        <w:pStyle w:val="ListParagraph"/>
        <w:numPr>
          <w:ilvl w:val="1"/>
          <w:numId w:val="108"/>
        </w:numPr>
        <w:tabs>
          <w:tab w:pos="1507" w:val="left" w:leader="none"/>
          <w:tab w:pos="1508" w:val="left" w:leader="none"/>
        </w:tabs>
        <w:spacing w:line="235" w:lineRule="auto" w:before="0" w:after="0"/>
        <w:ind w:left="827" w:right="1837" w:firstLine="0"/>
        <w:jc w:val="left"/>
        <w:rPr>
          <w:sz w:val="20"/>
        </w:rPr>
      </w:pPr>
      <w:r>
        <w:rPr>
          <w:w w:val="120"/>
          <w:sz w:val="20"/>
        </w:rPr>
        <w:t>Communicating our work: We have striven to maintain a high standard in both communicating about and responding to all queries directed to us. </w:t>
      </w:r>
      <w:r>
        <w:rPr>
          <w:spacing w:val="-7"/>
          <w:w w:val="120"/>
          <w:sz w:val="20"/>
        </w:rPr>
        <w:t>To </w:t>
      </w:r>
      <w:r>
        <w:rPr>
          <w:w w:val="120"/>
          <w:sz w:val="20"/>
        </w:rPr>
        <w:t>this end, GiM has deployed Facebook, Twitter and a revamped webpage to excellent</w:t>
      </w:r>
      <w:r>
        <w:rPr>
          <w:spacing w:val="32"/>
          <w:w w:val="120"/>
          <w:sz w:val="20"/>
        </w:rPr>
        <w:t> </w:t>
      </w:r>
      <w:r>
        <w:rPr>
          <w:w w:val="120"/>
          <w:sz w:val="20"/>
        </w:rPr>
        <w:t>use.</w:t>
      </w:r>
    </w:p>
    <w:p>
      <w:pPr>
        <w:pStyle w:val="ListParagraph"/>
        <w:numPr>
          <w:ilvl w:val="0"/>
          <w:numId w:val="110"/>
        </w:numPr>
        <w:tabs>
          <w:tab w:pos="1507" w:val="left" w:leader="none"/>
          <w:tab w:pos="1508" w:val="left" w:leader="none"/>
        </w:tabs>
        <w:spacing w:line="240" w:lineRule="exact" w:before="0" w:after="0"/>
        <w:ind w:left="1507" w:right="0" w:hanging="681"/>
        <w:jc w:val="left"/>
        <w:rPr>
          <w:sz w:val="20"/>
        </w:rPr>
      </w:pPr>
      <w:r>
        <w:rPr>
          <w:w w:val="120"/>
          <w:sz w:val="20"/>
        </w:rPr>
        <w:t>Facebook page:</w:t>
      </w:r>
      <w:r>
        <w:rPr>
          <w:spacing w:val="5"/>
          <w:w w:val="120"/>
          <w:sz w:val="20"/>
        </w:rPr>
        <w:t> </w:t>
      </w:r>
      <w:hyperlink r:id="rId418">
        <w:r>
          <w:rPr>
            <w:color w:val="006AB3"/>
            <w:w w:val="120"/>
            <w:sz w:val="20"/>
          </w:rPr>
          <w:t>www.facebook.com/urcglobalandinterculturalministries</w:t>
        </w:r>
      </w:hyperlink>
    </w:p>
    <w:p>
      <w:pPr>
        <w:pStyle w:val="ListParagraph"/>
        <w:numPr>
          <w:ilvl w:val="0"/>
          <w:numId w:val="110"/>
        </w:numPr>
        <w:tabs>
          <w:tab w:pos="1507" w:val="left" w:leader="none"/>
          <w:tab w:pos="1508" w:val="left" w:leader="none"/>
        </w:tabs>
        <w:spacing w:line="240" w:lineRule="exact" w:before="0" w:after="0"/>
        <w:ind w:left="1507" w:right="0" w:hanging="681"/>
        <w:jc w:val="left"/>
        <w:rPr>
          <w:sz w:val="20"/>
        </w:rPr>
      </w:pPr>
      <w:r>
        <w:rPr>
          <w:w w:val="120"/>
          <w:sz w:val="20"/>
        </w:rPr>
        <w:t>Twitter page:</w:t>
      </w:r>
      <w:r>
        <w:rPr>
          <w:spacing w:val="3"/>
          <w:w w:val="120"/>
          <w:sz w:val="20"/>
        </w:rPr>
        <w:t> </w:t>
      </w:r>
      <w:r>
        <w:rPr>
          <w:color w:val="006AB3"/>
          <w:w w:val="120"/>
          <w:sz w:val="20"/>
        </w:rPr>
        <w:t>twitter.com/urcglobal</w:t>
      </w:r>
    </w:p>
    <w:p>
      <w:pPr>
        <w:pStyle w:val="ListParagraph"/>
        <w:numPr>
          <w:ilvl w:val="0"/>
          <w:numId w:val="110"/>
        </w:numPr>
        <w:tabs>
          <w:tab w:pos="1507" w:val="left" w:leader="none"/>
          <w:tab w:pos="1508" w:val="left" w:leader="none"/>
        </w:tabs>
        <w:spacing w:line="242" w:lineRule="exact" w:before="0" w:after="0"/>
        <w:ind w:left="1507" w:right="0" w:hanging="681"/>
        <w:jc w:val="left"/>
        <w:rPr>
          <w:sz w:val="20"/>
        </w:rPr>
      </w:pPr>
      <w:r>
        <w:rPr>
          <w:w w:val="120"/>
          <w:sz w:val="20"/>
        </w:rPr>
        <w:t>Webpage:</w:t>
      </w:r>
      <w:r>
        <w:rPr>
          <w:spacing w:val="2"/>
          <w:w w:val="120"/>
          <w:sz w:val="20"/>
        </w:rPr>
        <w:t> </w:t>
      </w:r>
      <w:hyperlink r:id="rId419">
        <w:r>
          <w:rPr>
            <w:color w:val="006AB3"/>
            <w:w w:val="120"/>
            <w:sz w:val="20"/>
          </w:rPr>
          <w:t>www.urc.org.uk/about-us/global-and-intercultural.html</w:t>
        </w:r>
      </w:hyperlink>
    </w:p>
    <w:p>
      <w:pPr>
        <w:pStyle w:val="BodyText"/>
        <w:rPr>
          <w:sz w:val="22"/>
        </w:rPr>
      </w:pPr>
    </w:p>
    <w:p>
      <w:pPr>
        <w:pStyle w:val="Heading4"/>
        <w:ind w:firstLine="0"/>
      </w:pPr>
      <w:r>
        <w:rPr>
          <w:w w:val="110"/>
        </w:rPr>
        <w:t>Mission and evangelism</w:t>
      </w:r>
    </w:p>
    <w:p>
      <w:pPr>
        <w:pStyle w:val="ListParagraph"/>
        <w:numPr>
          <w:ilvl w:val="1"/>
          <w:numId w:val="111"/>
        </w:numPr>
        <w:tabs>
          <w:tab w:pos="1507" w:val="left" w:leader="none"/>
          <w:tab w:pos="1508" w:val="left" w:leader="none"/>
        </w:tabs>
        <w:spacing w:line="235" w:lineRule="auto" w:before="69" w:after="0"/>
        <w:ind w:left="827" w:right="1882" w:firstLine="0"/>
        <w:jc w:val="left"/>
        <w:rPr>
          <w:sz w:val="20"/>
        </w:rPr>
      </w:pPr>
      <w:r>
        <w:rPr>
          <w:w w:val="120"/>
          <w:sz w:val="20"/>
        </w:rPr>
        <w:t>Mission is the reason why the Church exists. It is God’s work, in which God calls us to participate. Like the disciples, God calls us to be witnesses and to live out the good news of God’s love for the sake of the world. Supporting local churches    and synods in their engagement with God’s mission, especially in sharing the good news and reaching out to the community, is a key </w:t>
      </w:r>
      <w:r>
        <w:rPr>
          <w:spacing w:val="2"/>
          <w:w w:val="120"/>
          <w:sz w:val="20"/>
        </w:rPr>
        <w:t>part </w:t>
      </w:r>
      <w:r>
        <w:rPr>
          <w:w w:val="120"/>
          <w:sz w:val="20"/>
        </w:rPr>
        <w:t>of our work and in the mission department this is supported by the Deputy General Secretary </w:t>
      </w:r>
      <w:r>
        <w:rPr>
          <w:spacing w:val="-3"/>
          <w:w w:val="120"/>
          <w:sz w:val="20"/>
        </w:rPr>
        <w:t>(Mission), </w:t>
      </w:r>
      <w:r>
        <w:rPr>
          <w:w w:val="120"/>
          <w:sz w:val="20"/>
        </w:rPr>
        <w:t>Francis Brienen, and the </w:t>
      </w:r>
      <w:r>
        <w:rPr>
          <w:spacing w:val="-5"/>
          <w:w w:val="120"/>
          <w:sz w:val="20"/>
        </w:rPr>
        <w:t>PA </w:t>
      </w:r>
      <w:r>
        <w:rPr>
          <w:w w:val="120"/>
          <w:sz w:val="20"/>
        </w:rPr>
        <w:t>for Mission, Carole</w:t>
      </w:r>
      <w:r>
        <w:rPr>
          <w:spacing w:val="18"/>
          <w:w w:val="120"/>
          <w:sz w:val="20"/>
        </w:rPr>
        <w:t> </w:t>
      </w:r>
      <w:r>
        <w:rPr>
          <w:w w:val="120"/>
          <w:sz w:val="20"/>
        </w:rPr>
        <w:t>Sired.</w:t>
      </w:r>
    </w:p>
    <w:p>
      <w:pPr>
        <w:pStyle w:val="BodyText"/>
        <w:spacing w:before="6"/>
        <w:rPr>
          <w:sz w:val="22"/>
        </w:rPr>
      </w:pPr>
    </w:p>
    <w:p>
      <w:pPr>
        <w:pStyle w:val="Heading4"/>
        <w:ind w:firstLine="0"/>
      </w:pPr>
      <w:r>
        <w:rPr>
          <w:w w:val="110"/>
        </w:rPr>
        <w:t>Vision2020</w:t>
      </w:r>
    </w:p>
    <w:p>
      <w:pPr>
        <w:pStyle w:val="ListParagraph"/>
        <w:numPr>
          <w:ilvl w:val="1"/>
          <w:numId w:val="111"/>
        </w:numPr>
        <w:tabs>
          <w:tab w:pos="1507" w:val="left" w:leader="none"/>
          <w:tab w:pos="1508" w:val="left" w:leader="none"/>
        </w:tabs>
        <w:spacing w:line="235" w:lineRule="auto" w:before="69" w:after="0"/>
        <w:ind w:left="827" w:right="2142" w:firstLine="0"/>
        <w:jc w:val="left"/>
        <w:rPr>
          <w:sz w:val="20"/>
        </w:rPr>
      </w:pPr>
      <w:r>
        <w:rPr>
          <w:w w:val="120"/>
          <w:sz w:val="20"/>
        </w:rPr>
        <w:t>We are now in the eighth year of exploring the vision2020 framework for mission. Recent feedback to the mission committee meeting suggests that synods engage with vision2020 in a variety of ways: e.g. linking it to the synod mission strategy, encouraging churches to use it in the Local Mission and Ministry Review (LMMR) process and pastorate profiles, using it to guide mission grants and loans funding, or encouraging local churches to use it to set their own mission priorities. The mission committee is planning to evaluate vision2020 and bring a </w:t>
      </w:r>
      <w:r>
        <w:rPr>
          <w:spacing w:val="2"/>
          <w:w w:val="120"/>
          <w:sz w:val="20"/>
        </w:rPr>
        <w:t>report </w:t>
      </w:r>
      <w:r>
        <w:rPr>
          <w:w w:val="120"/>
          <w:sz w:val="20"/>
        </w:rPr>
        <w:t>to General Assembly in July</w:t>
      </w:r>
      <w:r>
        <w:rPr>
          <w:spacing w:val="9"/>
          <w:w w:val="120"/>
          <w:sz w:val="20"/>
        </w:rPr>
        <w:t> </w:t>
      </w:r>
      <w:r>
        <w:rPr>
          <w:spacing w:val="-3"/>
          <w:w w:val="120"/>
          <w:sz w:val="20"/>
        </w:rPr>
        <w:t>2020.</w:t>
      </w:r>
    </w:p>
    <w:p>
      <w:pPr>
        <w:pStyle w:val="BodyText"/>
        <w:spacing w:before="2"/>
      </w:pPr>
    </w:p>
    <w:p>
      <w:pPr>
        <w:pStyle w:val="ListParagraph"/>
        <w:numPr>
          <w:ilvl w:val="1"/>
          <w:numId w:val="111"/>
        </w:numPr>
        <w:tabs>
          <w:tab w:pos="1507" w:val="left" w:leader="none"/>
          <w:tab w:pos="1508" w:val="left" w:leader="none"/>
        </w:tabs>
        <w:spacing w:line="235" w:lineRule="auto" w:before="0" w:after="0"/>
        <w:ind w:left="827" w:right="1742" w:firstLine="0"/>
        <w:jc w:val="left"/>
        <w:rPr>
          <w:sz w:val="20"/>
        </w:rPr>
      </w:pPr>
      <w:r>
        <w:rPr>
          <w:w w:val="120"/>
          <w:sz w:val="20"/>
        </w:rPr>
        <w:t>The vision2020 grants funding continues to be used well by local churches and others. The grants continue to enable local churches to reach out to their communities in innovative and creative ways. Examples of the use of the </w:t>
      </w:r>
      <w:r>
        <w:rPr>
          <w:spacing w:val="2"/>
          <w:w w:val="120"/>
          <w:sz w:val="20"/>
        </w:rPr>
        <w:t>one-off </w:t>
      </w:r>
      <w:r>
        <w:rPr>
          <w:w w:val="120"/>
          <w:sz w:val="20"/>
        </w:rPr>
        <w:t>grants (for up</w:t>
      </w:r>
      <w:r>
        <w:rPr>
          <w:spacing w:val="3"/>
          <w:w w:val="120"/>
          <w:sz w:val="20"/>
        </w:rPr>
        <w:t> </w:t>
      </w:r>
      <w:r>
        <w:rPr>
          <w:w w:val="120"/>
          <w:sz w:val="20"/>
        </w:rPr>
        <w:t>to</w:t>
      </w:r>
    </w:p>
    <w:p>
      <w:pPr>
        <w:pStyle w:val="BodyText"/>
        <w:spacing w:line="235" w:lineRule="auto" w:before="2"/>
        <w:ind w:left="827" w:right="1918"/>
      </w:pPr>
      <w:r>
        <w:rPr>
          <w:spacing w:val="-3"/>
          <w:w w:val="120"/>
        </w:rPr>
        <w:t>£1,000) </w:t>
      </w:r>
      <w:r>
        <w:rPr>
          <w:w w:val="120"/>
        </w:rPr>
        <w:t>include providing lunch for children in poverty during the school holidays, organising a festival of nonviolence during interfaith week, developing worship aimed at children and young people, and setting up a fresh expression of church. Three-    year developmental grants </w:t>
      </w:r>
      <w:r>
        <w:rPr>
          <w:spacing w:val="-6"/>
          <w:w w:val="120"/>
        </w:rPr>
        <w:t>(up </w:t>
      </w:r>
      <w:r>
        <w:rPr>
          <w:w w:val="120"/>
        </w:rPr>
        <w:t>to £2,000 per year for three </w:t>
      </w:r>
      <w:r>
        <w:rPr>
          <w:spacing w:val="-3"/>
          <w:w w:val="120"/>
        </w:rPr>
        <w:t>years) </w:t>
      </w:r>
      <w:r>
        <w:rPr>
          <w:w w:val="120"/>
        </w:rPr>
        <w:t>were</w:t>
      </w:r>
      <w:r>
        <w:rPr>
          <w:spacing w:val="4"/>
          <w:w w:val="120"/>
        </w:rPr>
        <w:t> </w:t>
      </w:r>
      <w:r>
        <w:rPr>
          <w:w w:val="120"/>
        </w:rPr>
        <w:t>awarded</w:t>
      </w:r>
    </w:p>
    <w:p>
      <w:pPr>
        <w:pStyle w:val="BodyText"/>
        <w:spacing w:line="235" w:lineRule="auto" w:before="3"/>
        <w:ind w:left="827" w:right="1735"/>
      </w:pPr>
      <w:r>
        <w:rPr>
          <w:w w:val="120"/>
        </w:rPr>
        <w:t>for children and family community outreach, developing mission and ministry to tourists, theological education for students in Uganda, supporting a youth worker and establishing a fresh expressions church plant, to name but a few. If your church wishes</w:t>
      </w:r>
    </w:p>
    <w:p>
      <w:pPr>
        <w:spacing w:after="0" w:line="235" w:lineRule="auto"/>
        <w:sectPr>
          <w:headerReference w:type="even" r:id="rId417"/>
          <w:pgSz w:w="11910" w:h="16840"/>
          <w:pgMar w:header="0" w:footer="647" w:top="0" w:bottom="840" w:left="420" w:right="380"/>
        </w:sectPr>
      </w:pPr>
    </w:p>
    <w:p>
      <w:pPr>
        <w:pStyle w:val="BodyText"/>
      </w:pPr>
      <w:r>
        <w:rPr/>
        <w:drawing>
          <wp:anchor distT="0" distB="0" distL="0" distR="0" allowOverlap="1" layoutInCell="1" locked="0" behindDoc="0" simplePos="0" relativeHeight="252061696">
            <wp:simplePos x="0" y="0"/>
            <wp:positionH relativeFrom="page">
              <wp:posOffset>6974928</wp:posOffset>
            </wp:positionH>
            <wp:positionV relativeFrom="page">
              <wp:posOffset>0</wp:posOffset>
            </wp:positionV>
            <wp:extent cx="585063" cy="10692003"/>
            <wp:effectExtent l="0" t="0" r="0" b="0"/>
            <wp:wrapNone/>
            <wp:docPr id="299" name="image57.png"/>
            <wp:cNvGraphicFramePr>
              <a:graphicFrameLocks noChangeAspect="1"/>
            </wp:cNvGraphicFramePr>
            <a:graphic>
              <a:graphicData uri="http://schemas.openxmlformats.org/drawingml/2006/picture">
                <pic:pic>
                  <pic:nvPicPr>
                    <pic:cNvPr id="300"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6272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BodyText"/>
        <w:spacing w:line="235" w:lineRule="auto" w:before="222"/>
        <w:ind w:left="1564" w:right="1085"/>
        <w:jc w:val="both"/>
      </w:pPr>
      <w:r>
        <w:rPr>
          <w:w w:val="120"/>
        </w:rPr>
        <w:t>to apply for a vision2020 grant, please visit </w:t>
      </w:r>
      <w:hyperlink r:id="rId423">
        <w:r>
          <w:rPr>
            <w:color w:val="006AB3"/>
            <w:w w:val="120"/>
          </w:rPr>
          <w:t>www.urc.org.uk/vision2020.html </w:t>
        </w:r>
      </w:hyperlink>
      <w:r>
        <w:rPr>
          <w:w w:val="120"/>
        </w:rPr>
        <w:t>for more information and an application form.</w:t>
      </w:r>
    </w:p>
    <w:p>
      <w:pPr>
        <w:pStyle w:val="BodyText"/>
        <w:spacing w:before="1"/>
        <w:rPr>
          <w:sz w:val="22"/>
        </w:rPr>
      </w:pPr>
    </w:p>
    <w:p>
      <w:pPr>
        <w:pStyle w:val="Heading4"/>
        <w:ind w:left="1564" w:firstLine="0"/>
        <w:jc w:val="both"/>
      </w:pPr>
      <w:r>
        <w:rPr>
          <w:spacing w:val="4"/>
          <w:w w:val="110"/>
        </w:rPr>
        <w:t>‘Feasts </w:t>
      </w:r>
      <w:r>
        <w:rPr>
          <w:spacing w:val="3"/>
          <w:w w:val="110"/>
        </w:rPr>
        <w:t>and Festivals’ and ‘Walking </w:t>
      </w:r>
      <w:r>
        <w:rPr>
          <w:spacing w:val="2"/>
          <w:w w:val="110"/>
        </w:rPr>
        <w:t>the</w:t>
      </w:r>
      <w:r>
        <w:rPr>
          <w:spacing w:val="65"/>
          <w:w w:val="110"/>
        </w:rPr>
        <w:t> </w:t>
      </w:r>
      <w:r>
        <w:rPr>
          <w:w w:val="110"/>
        </w:rPr>
        <w:t>Way’</w:t>
      </w:r>
    </w:p>
    <w:p>
      <w:pPr>
        <w:pStyle w:val="ListParagraph"/>
        <w:numPr>
          <w:ilvl w:val="1"/>
          <w:numId w:val="111"/>
        </w:numPr>
        <w:tabs>
          <w:tab w:pos="2244" w:val="left" w:leader="none"/>
          <w:tab w:pos="2245" w:val="left" w:leader="none"/>
        </w:tabs>
        <w:spacing w:line="235" w:lineRule="auto" w:before="69" w:after="0"/>
        <w:ind w:left="1564" w:right="1241" w:firstLine="0"/>
        <w:jc w:val="left"/>
        <w:rPr>
          <w:sz w:val="20"/>
        </w:rPr>
      </w:pPr>
      <w:r>
        <w:rPr>
          <w:w w:val="120"/>
          <w:sz w:val="20"/>
        </w:rPr>
        <w:t>The vision2020 statements express what we believe God is calling us to be and to do, as local churches and as a denomination. Faithful discipleship, focused on mission, is an integral </w:t>
      </w:r>
      <w:r>
        <w:rPr>
          <w:spacing w:val="2"/>
          <w:w w:val="120"/>
          <w:sz w:val="20"/>
        </w:rPr>
        <w:t>part </w:t>
      </w:r>
      <w:r>
        <w:rPr>
          <w:w w:val="120"/>
          <w:sz w:val="20"/>
        </w:rPr>
        <w:t>of that and it is for that reason that mission staff are fully involved in the development of ‘Walking the Way: Living the life of Jesus </w:t>
      </w:r>
      <w:r>
        <w:rPr>
          <w:spacing w:val="-3"/>
          <w:w w:val="120"/>
          <w:sz w:val="20"/>
        </w:rPr>
        <w:t>today’. </w:t>
      </w:r>
      <w:r>
        <w:rPr>
          <w:w w:val="120"/>
          <w:sz w:val="20"/>
        </w:rPr>
        <w:t>The Deputy General Secretary </w:t>
      </w:r>
      <w:r>
        <w:rPr>
          <w:spacing w:val="-3"/>
          <w:w w:val="120"/>
          <w:sz w:val="20"/>
        </w:rPr>
        <w:t>(Mission) </w:t>
      </w:r>
      <w:r>
        <w:rPr>
          <w:w w:val="120"/>
          <w:sz w:val="20"/>
        </w:rPr>
        <w:t>co-convenes the ‘Walking the Way’</w:t>
      </w:r>
      <w:r>
        <w:rPr>
          <w:spacing w:val="9"/>
          <w:w w:val="120"/>
          <w:sz w:val="20"/>
        </w:rPr>
        <w:t> </w:t>
      </w:r>
      <w:r>
        <w:rPr>
          <w:w w:val="120"/>
          <w:sz w:val="20"/>
        </w:rPr>
        <w:t>steering</w:t>
      </w:r>
    </w:p>
    <w:p>
      <w:pPr>
        <w:pStyle w:val="BodyText"/>
        <w:spacing w:line="235" w:lineRule="auto" w:before="4"/>
        <w:ind w:left="1564" w:right="1009"/>
        <w:jc w:val="both"/>
      </w:pPr>
      <w:r>
        <w:rPr>
          <w:w w:val="120"/>
        </w:rPr>
        <w:t>group, has been involved in development and advocacy, and facilitated the process of applying for funding to CWM. More information on ‘Walking the Way’ can be found in the Mission Council report on pages 8 to 50.</w:t>
      </w:r>
    </w:p>
    <w:p>
      <w:pPr>
        <w:pStyle w:val="BodyText"/>
        <w:spacing w:before="10"/>
        <w:rPr>
          <w:sz w:val="19"/>
        </w:rPr>
      </w:pPr>
    </w:p>
    <w:p>
      <w:pPr>
        <w:pStyle w:val="ListParagraph"/>
        <w:numPr>
          <w:ilvl w:val="1"/>
          <w:numId w:val="111"/>
        </w:numPr>
        <w:tabs>
          <w:tab w:pos="2244" w:val="left" w:leader="none"/>
          <w:tab w:pos="2245" w:val="left" w:leader="none"/>
        </w:tabs>
        <w:spacing w:line="235" w:lineRule="auto" w:before="0" w:after="0"/>
        <w:ind w:left="1564" w:right="1055" w:firstLine="0"/>
        <w:jc w:val="left"/>
        <w:rPr>
          <w:sz w:val="20"/>
        </w:rPr>
      </w:pPr>
      <w:r>
        <w:rPr>
          <w:w w:val="120"/>
          <w:sz w:val="20"/>
        </w:rPr>
        <w:t>In </w:t>
      </w:r>
      <w:r>
        <w:rPr>
          <w:spacing w:val="-9"/>
          <w:w w:val="120"/>
          <w:sz w:val="20"/>
        </w:rPr>
        <w:t>2017 </w:t>
      </w:r>
      <w:r>
        <w:rPr>
          <w:w w:val="120"/>
          <w:sz w:val="20"/>
        </w:rPr>
        <w:t>we celebrated a year of ‘Feasts and Festivals’. It was a year of many high points in the life of the United Reformed Church and it was felt that the celebratory nature of that year might be helpful in introducing and encouraging churches and individuals to engage with ‘Walking the</w:t>
      </w:r>
      <w:r>
        <w:rPr>
          <w:spacing w:val="16"/>
          <w:w w:val="120"/>
          <w:sz w:val="20"/>
        </w:rPr>
        <w:t> </w:t>
      </w:r>
      <w:r>
        <w:rPr>
          <w:spacing w:val="-5"/>
          <w:w w:val="120"/>
          <w:sz w:val="20"/>
        </w:rPr>
        <w:t>Way’.</w:t>
      </w:r>
    </w:p>
    <w:p>
      <w:pPr>
        <w:pStyle w:val="BodyText"/>
        <w:spacing w:before="11"/>
        <w:rPr>
          <w:sz w:val="19"/>
        </w:rPr>
      </w:pPr>
    </w:p>
    <w:p>
      <w:pPr>
        <w:pStyle w:val="ListParagraph"/>
        <w:numPr>
          <w:ilvl w:val="1"/>
          <w:numId w:val="111"/>
        </w:numPr>
        <w:tabs>
          <w:tab w:pos="2244" w:val="left" w:leader="none"/>
          <w:tab w:pos="2245" w:val="left" w:leader="none"/>
        </w:tabs>
        <w:spacing w:line="235" w:lineRule="auto" w:before="0" w:after="0"/>
        <w:ind w:left="1564" w:right="1022" w:firstLine="0"/>
        <w:jc w:val="left"/>
        <w:rPr>
          <w:sz w:val="20"/>
        </w:rPr>
      </w:pPr>
      <w:r>
        <w:rPr>
          <w:w w:val="120"/>
          <w:sz w:val="20"/>
        </w:rPr>
        <w:t>A general ‘Feasts and Festivals’ leaflet was produced and distributed to all local churches and monthly web resources were posted online. This was a joint initiative of the mission and discipleship departments and various mission team members wrote material, helping churches to engage with the feast or festival of that month through worship and reflection. The theme offered an opportunity to highlight, among others, the 40th anniversary of </w:t>
      </w:r>
      <w:r>
        <w:rPr>
          <w:spacing w:val="3"/>
          <w:w w:val="120"/>
          <w:sz w:val="20"/>
        </w:rPr>
        <w:t>CWM, </w:t>
      </w:r>
      <w:r>
        <w:rPr>
          <w:w w:val="120"/>
          <w:sz w:val="20"/>
        </w:rPr>
        <w:t>the 25th anniversary of Commitment for Life,</w:t>
      </w:r>
      <w:r>
        <w:rPr>
          <w:spacing w:val="18"/>
          <w:w w:val="120"/>
          <w:sz w:val="20"/>
        </w:rPr>
        <w:t> </w:t>
      </w:r>
      <w:r>
        <w:rPr>
          <w:w w:val="120"/>
          <w:sz w:val="20"/>
        </w:rPr>
        <w:t>the</w:t>
      </w:r>
    </w:p>
    <w:p>
      <w:pPr>
        <w:pStyle w:val="BodyText"/>
        <w:spacing w:line="235" w:lineRule="auto" w:before="5"/>
        <w:ind w:left="1564" w:right="1244"/>
      </w:pPr>
      <w:r>
        <w:rPr>
          <w:w w:val="120"/>
        </w:rPr>
        <w:t>500th anniversary of the Lutheran Reformation and the centenary of the ordination of Constance Coltman.</w:t>
      </w:r>
    </w:p>
    <w:p>
      <w:pPr>
        <w:pStyle w:val="BodyText"/>
        <w:spacing w:before="9"/>
        <w:rPr>
          <w:sz w:val="19"/>
        </w:rPr>
      </w:pPr>
    </w:p>
    <w:p>
      <w:pPr>
        <w:pStyle w:val="ListParagraph"/>
        <w:numPr>
          <w:ilvl w:val="1"/>
          <w:numId w:val="111"/>
        </w:numPr>
        <w:tabs>
          <w:tab w:pos="2244" w:val="left" w:leader="none"/>
          <w:tab w:pos="2245" w:val="left" w:leader="none"/>
        </w:tabs>
        <w:spacing w:line="235" w:lineRule="auto" w:before="0" w:after="0"/>
        <w:ind w:left="1564" w:right="1552" w:firstLine="0"/>
        <w:jc w:val="left"/>
        <w:rPr>
          <w:sz w:val="20"/>
        </w:rPr>
      </w:pPr>
      <w:r>
        <w:rPr>
          <w:w w:val="120"/>
          <w:sz w:val="20"/>
        </w:rPr>
        <w:t>Constance Coltman was ordained to ministry in the Congregational Union on </w:t>
      </w:r>
      <w:r>
        <w:rPr>
          <w:spacing w:val="-12"/>
          <w:w w:val="120"/>
          <w:sz w:val="20"/>
        </w:rPr>
        <w:t>17 </w:t>
      </w:r>
      <w:r>
        <w:rPr>
          <w:w w:val="120"/>
          <w:sz w:val="20"/>
        </w:rPr>
        <w:t>September </w:t>
      </w:r>
      <w:r>
        <w:rPr>
          <w:spacing w:val="-12"/>
          <w:w w:val="120"/>
          <w:sz w:val="20"/>
        </w:rPr>
        <w:t>1917 </w:t>
      </w:r>
      <w:r>
        <w:rPr>
          <w:w w:val="120"/>
          <w:sz w:val="20"/>
        </w:rPr>
        <w:t>and thus became the first female minister in a</w:t>
      </w:r>
      <w:r>
        <w:rPr>
          <w:spacing w:val="38"/>
          <w:w w:val="120"/>
          <w:sz w:val="20"/>
        </w:rPr>
        <w:t> </w:t>
      </w:r>
      <w:r>
        <w:rPr>
          <w:w w:val="120"/>
          <w:sz w:val="20"/>
        </w:rPr>
        <w:t>mainstream</w:t>
      </w:r>
    </w:p>
    <w:p>
      <w:pPr>
        <w:pStyle w:val="BodyText"/>
        <w:spacing w:line="235" w:lineRule="auto" w:before="2"/>
        <w:ind w:left="1564" w:right="923"/>
      </w:pPr>
      <w:r>
        <w:rPr>
          <w:w w:val="120"/>
        </w:rPr>
        <w:t>denomination in the UK. To mark the centenary of this momentous occasion, we hosted three events in London with colleagues from the Congregational Federation, supported by funding from CWM. The first event was a three-day international conference on ‘Women of the Way – global pioneers gathering celebrating Constance Coltman’.</w:t>
      </w:r>
    </w:p>
    <w:p>
      <w:pPr>
        <w:pStyle w:val="BodyText"/>
        <w:spacing w:line="235" w:lineRule="auto" w:before="3"/>
        <w:ind w:left="1564" w:right="1024"/>
      </w:pPr>
      <w:r>
        <w:rPr>
          <w:w w:val="120"/>
        </w:rPr>
        <w:t>The conference was attended by people from the UK, the Netherlands, Switzerland, Moldova, Italy, Zambia, the Philippines, Guyana, Jamaica and Korea. The conference was followed by two further events, a public lecture and a special thanksgiving service at the American International Church in London. We are grateful to all who attended these events and those who provided leadership.</w:t>
      </w:r>
    </w:p>
    <w:p>
      <w:pPr>
        <w:pStyle w:val="BodyText"/>
        <w:spacing w:before="11"/>
        <w:rPr>
          <w:sz w:val="19"/>
        </w:rPr>
      </w:pPr>
    </w:p>
    <w:p>
      <w:pPr>
        <w:pStyle w:val="ListParagraph"/>
        <w:numPr>
          <w:ilvl w:val="2"/>
          <w:numId w:val="111"/>
        </w:numPr>
        <w:tabs>
          <w:tab w:pos="2244" w:val="left" w:leader="none"/>
          <w:tab w:pos="2245" w:val="left" w:leader="none"/>
        </w:tabs>
        <w:spacing w:line="235" w:lineRule="auto" w:before="0" w:after="0"/>
        <w:ind w:left="2244" w:right="1024" w:hanging="681"/>
        <w:jc w:val="left"/>
        <w:rPr>
          <w:sz w:val="20"/>
        </w:rPr>
      </w:pPr>
      <w:r>
        <w:rPr>
          <w:w w:val="120"/>
          <w:sz w:val="20"/>
        </w:rPr>
        <w:t>The centenary was covered widely in regional and national media, including on </w:t>
      </w:r>
      <w:r>
        <w:rPr>
          <w:i/>
          <w:spacing w:val="-4"/>
          <w:w w:val="120"/>
          <w:sz w:val="20"/>
        </w:rPr>
        <w:t>Woman’s </w:t>
      </w:r>
      <w:r>
        <w:rPr>
          <w:i/>
          <w:w w:val="120"/>
          <w:sz w:val="20"/>
        </w:rPr>
        <w:t>Hour </w:t>
      </w:r>
      <w:r>
        <w:rPr>
          <w:w w:val="120"/>
          <w:sz w:val="20"/>
        </w:rPr>
        <w:t>and </w:t>
      </w:r>
      <w:r>
        <w:rPr>
          <w:i/>
          <w:w w:val="120"/>
          <w:sz w:val="20"/>
        </w:rPr>
        <w:t>Sunday Worship </w:t>
      </w:r>
      <w:r>
        <w:rPr>
          <w:w w:val="120"/>
          <w:sz w:val="20"/>
        </w:rPr>
        <w:t>on BBC Radio Four and in </w:t>
      </w:r>
      <w:r>
        <w:rPr>
          <w:i/>
          <w:w w:val="120"/>
          <w:sz w:val="20"/>
        </w:rPr>
        <w:t>Songs of Praise </w:t>
      </w:r>
      <w:r>
        <w:rPr>
          <w:w w:val="120"/>
          <w:sz w:val="20"/>
        </w:rPr>
        <w:t>on BBC television. There was good coverage in printed media too, with articles in </w:t>
      </w:r>
      <w:r>
        <w:rPr>
          <w:i/>
          <w:w w:val="115"/>
          <w:sz w:val="20"/>
        </w:rPr>
        <w:t>Reform</w:t>
      </w:r>
      <w:r>
        <w:rPr>
          <w:w w:val="115"/>
          <w:sz w:val="20"/>
        </w:rPr>
        <w:t>,</w:t>
      </w:r>
      <w:r>
        <w:rPr>
          <w:spacing w:val="-11"/>
          <w:w w:val="115"/>
          <w:sz w:val="20"/>
        </w:rPr>
        <w:t> </w:t>
      </w:r>
      <w:r>
        <w:rPr>
          <w:i/>
          <w:w w:val="115"/>
          <w:sz w:val="20"/>
        </w:rPr>
        <w:t>Christianity</w:t>
      </w:r>
      <w:r>
        <w:rPr>
          <w:w w:val="115"/>
          <w:sz w:val="20"/>
        </w:rPr>
        <w:t>,</w:t>
      </w:r>
      <w:r>
        <w:rPr>
          <w:spacing w:val="-11"/>
          <w:w w:val="115"/>
          <w:sz w:val="20"/>
        </w:rPr>
        <w:t> </w:t>
      </w:r>
      <w:r>
        <w:rPr>
          <w:w w:val="115"/>
          <w:sz w:val="20"/>
        </w:rPr>
        <w:t>the</w:t>
      </w:r>
      <w:r>
        <w:rPr>
          <w:spacing w:val="-10"/>
          <w:w w:val="115"/>
          <w:sz w:val="20"/>
        </w:rPr>
        <w:t> </w:t>
      </w:r>
      <w:r>
        <w:rPr>
          <w:i/>
          <w:w w:val="115"/>
          <w:sz w:val="20"/>
        </w:rPr>
        <w:t>Congregationalist</w:t>
      </w:r>
      <w:r>
        <w:rPr>
          <w:w w:val="115"/>
          <w:sz w:val="20"/>
        </w:rPr>
        <w:t>,</w:t>
      </w:r>
      <w:r>
        <w:rPr>
          <w:spacing w:val="-11"/>
          <w:w w:val="115"/>
          <w:sz w:val="20"/>
        </w:rPr>
        <w:t> </w:t>
      </w:r>
      <w:r>
        <w:rPr>
          <w:i/>
          <w:w w:val="115"/>
          <w:sz w:val="20"/>
        </w:rPr>
        <w:t>Woman</w:t>
      </w:r>
      <w:r>
        <w:rPr>
          <w:i/>
          <w:spacing w:val="-13"/>
          <w:w w:val="115"/>
          <w:sz w:val="20"/>
        </w:rPr>
        <w:t> </w:t>
      </w:r>
      <w:r>
        <w:rPr>
          <w:i/>
          <w:w w:val="115"/>
          <w:sz w:val="20"/>
        </w:rPr>
        <w:t>Alive</w:t>
      </w:r>
      <w:r>
        <w:rPr>
          <w:i/>
          <w:spacing w:val="-11"/>
          <w:w w:val="115"/>
          <w:sz w:val="20"/>
        </w:rPr>
        <w:t> </w:t>
      </w:r>
      <w:r>
        <w:rPr>
          <w:w w:val="115"/>
          <w:sz w:val="20"/>
        </w:rPr>
        <w:t>and</w:t>
      </w:r>
      <w:r>
        <w:rPr>
          <w:spacing w:val="-10"/>
          <w:w w:val="115"/>
          <w:sz w:val="20"/>
        </w:rPr>
        <w:t> </w:t>
      </w:r>
      <w:r>
        <w:rPr>
          <w:w w:val="115"/>
          <w:sz w:val="20"/>
        </w:rPr>
        <w:t>the</w:t>
      </w:r>
      <w:r>
        <w:rPr>
          <w:spacing w:val="-11"/>
          <w:w w:val="115"/>
          <w:sz w:val="20"/>
        </w:rPr>
        <w:t> </w:t>
      </w:r>
      <w:r>
        <w:rPr>
          <w:i/>
          <w:w w:val="115"/>
          <w:sz w:val="20"/>
        </w:rPr>
        <w:t>Feminist</w:t>
      </w:r>
      <w:r>
        <w:rPr>
          <w:i/>
          <w:spacing w:val="-13"/>
          <w:w w:val="115"/>
          <w:sz w:val="20"/>
        </w:rPr>
        <w:t> </w:t>
      </w:r>
      <w:r>
        <w:rPr>
          <w:i/>
          <w:w w:val="115"/>
          <w:sz w:val="20"/>
        </w:rPr>
        <w:t>Theology </w:t>
      </w:r>
      <w:r>
        <w:rPr>
          <w:i/>
          <w:w w:val="120"/>
          <w:sz w:val="20"/>
        </w:rPr>
        <w:t>Journal</w:t>
      </w:r>
      <w:r>
        <w:rPr>
          <w:w w:val="120"/>
          <w:sz w:val="20"/>
        </w:rPr>
        <w:t>. A short film of the thanksgiving service was made by the Revd Kevin Snyman and can be found on </w:t>
      </w:r>
      <w:r>
        <w:rPr>
          <w:spacing w:val="-6"/>
          <w:w w:val="120"/>
          <w:sz w:val="20"/>
        </w:rPr>
        <w:t>YouTube </w:t>
      </w:r>
      <w:r>
        <w:rPr>
          <w:spacing w:val="-4"/>
          <w:w w:val="120"/>
          <w:sz w:val="20"/>
        </w:rPr>
        <w:t>(see </w:t>
      </w:r>
      <w:r>
        <w:rPr>
          <w:w w:val="120"/>
          <w:sz w:val="20"/>
        </w:rPr>
        <w:t>‘Celebrating 100 years of </w:t>
      </w:r>
      <w:r>
        <w:rPr>
          <w:spacing w:val="-3"/>
          <w:w w:val="120"/>
          <w:sz w:val="20"/>
        </w:rPr>
        <w:t>women’s </w:t>
      </w:r>
      <w:r>
        <w:rPr>
          <w:w w:val="120"/>
          <w:sz w:val="20"/>
        </w:rPr>
        <w:t>ordination CONSTANCE</w:t>
      </w:r>
      <w:r>
        <w:rPr>
          <w:spacing w:val="7"/>
          <w:w w:val="120"/>
          <w:sz w:val="20"/>
        </w:rPr>
        <w:t> </w:t>
      </w:r>
      <w:r>
        <w:rPr>
          <w:w w:val="120"/>
          <w:sz w:val="20"/>
        </w:rPr>
        <w:t>COLTMAN’).</w:t>
      </w:r>
    </w:p>
    <w:p>
      <w:pPr>
        <w:pStyle w:val="BodyText"/>
        <w:spacing w:before="6"/>
        <w:rPr>
          <w:sz w:val="22"/>
        </w:rPr>
      </w:pPr>
    </w:p>
    <w:p>
      <w:pPr>
        <w:pStyle w:val="Heading4"/>
        <w:ind w:left="1564" w:firstLine="0"/>
      </w:pPr>
      <w:r>
        <w:rPr>
          <w:w w:val="110"/>
        </w:rPr>
        <w:t>Projects and partners</w:t>
      </w:r>
    </w:p>
    <w:p>
      <w:pPr>
        <w:pStyle w:val="ListParagraph"/>
        <w:numPr>
          <w:ilvl w:val="1"/>
          <w:numId w:val="111"/>
        </w:numPr>
        <w:tabs>
          <w:tab w:pos="2244" w:val="left" w:leader="none"/>
          <w:tab w:pos="2245" w:val="left" w:leader="none"/>
        </w:tabs>
        <w:spacing w:line="235" w:lineRule="auto" w:before="69" w:after="0"/>
        <w:ind w:left="1564" w:right="1051" w:firstLine="0"/>
        <w:jc w:val="left"/>
        <w:rPr>
          <w:sz w:val="20"/>
        </w:rPr>
      </w:pPr>
      <w:r>
        <w:rPr>
          <w:spacing w:val="-4"/>
          <w:w w:val="120"/>
          <w:sz w:val="20"/>
        </w:rPr>
        <w:t>‘CreateTalk’ </w:t>
      </w:r>
      <w:r>
        <w:rPr>
          <w:w w:val="120"/>
          <w:sz w:val="20"/>
        </w:rPr>
        <w:t>came to an end on </w:t>
      </w:r>
      <w:r>
        <w:rPr>
          <w:spacing w:val="-7"/>
          <w:w w:val="120"/>
          <w:sz w:val="20"/>
        </w:rPr>
        <w:t>31 </w:t>
      </w:r>
      <w:r>
        <w:rPr>
          <w:w w:val="120"/>
          <w:sz w:val="20"/>
        </w:rPr>
        <w:t>December </w:t>
      </w:r>
      <w:r>
        <w:rPr>
          <w:spacing w:val="-6"/>
          <w:w w:val="120"/>
          <w:sz w:val="20"/>
        </w:rPr>
        <w:t>2016. </w:t>
      </w:r>
      <w:r>
        <w:rPr>
          <w:w w:val="120"/>
          <w:sz w:val="20"/>
        </w:rPr>
        <w:t>The programme developed from </w:t>
      </w:r>
      <w:r>
        <w:rPr>
          <w:spacing w:val="-3"/>
          <w:w w:val="120"/>
          <w:sz w:val="20"/>
        </w:rPr>
        <w:t>‘ArtTalk’  </w:t>
      </w:r>
      <w:r>
        <w:rPr>
          <w:spacing w:val="-8"/>
          <w:w w:val="120"/>
          <w:sz w:val="20"/>
        </w:rPr>
        <w:t>(2012  </w:t>
      </w:r>
      <w:r>
        <w:rPr>
          <w:w w:val="120"/>
          <w:sz w:val="20"/>
        </w:rPr>
        <w:t>to </w:t>
      </w:r>
      <w:r>
        <w:rPr>
          <w:spacing w:val="-8"/>
          <w:w w:val="120"/>
          <w:sz w:val="20"/>
        </w:rPr>
        <w:t>2014)</w:t>
      </w:r>
      <w:r>
        <w:rPr>
          <w:spacing w:val="38"/>
          <w:w w:val="120"/>
          <w:sz w:val="20"/>
        </w:rPr>
        <w:t> </w:t>
      </w:r>
      <w:r>
        <w:rPr>
          <w:w w:val="120"/>
          <w:sz w:val="20"/>
        </w:rPr>
        <w:t>into </w:t>
      </w:r>
      <w:r>
        <w:rPr>
          <w:spacing w:val="-4"/>
          <w:w w:val="120"/>
          <w:sz w:val="20"/>
        </w:rPr>
        <w:t>‘CreateTalk’  </w:t>
      </w:r>
      <w:r>
        <w:rPr>
          <w:spacing w:val="-8"/>
          <w:w w:val="120"/>
          <w:sz w:val="20"/>
        </w:rPr>
        <w:t>(2014  </w:t>
      </w:r>
      <w:r>
        <w:rPr>
          <w:w w:val="120"/>
          <w:sz w:val="20"/>
        </w:rPr>
        <w:t>to </w:t>
      </w:r>
      <w:r>
        <w:rPr>
          <w:spacing w:val="-7"/>
          <w:w w:val="120"/>
          <w:sz w:val="20"/>
        </w:rPr>
        <w:t>2016),  </w:t>
      </w:r>
      <w:r>
        <w:rPr>
          <w:w w:val="120"/>
          <w:sz w:val="20"/>
        </w:rPr>
        <w:t>offering congregations  a tool to engage with their community in faith conversations through</w:t>
      </w:r>
      <w:r>
        <w:rPr>
          <w:spacing w:val="46"/>
          <w:w w:val="120"/>
          <w:sz w:val="20"/>
        </w:rPr>
        <w:t> </w:t>
      </w:r>
      <w:r>
        <w:rPr>
          <w:w w:val="120"/>
          <w:sz w:val="20"/>
        </w:rPr>
        <w:t>exhibitions</w:t>
      </w:r>
    </w:p>
    <w:p>
      <w:pPr>
        <w:pStyle w:val="BodyText"/>
        <w:spacing w:line="235" w:lineRule="auto" w:before="3"/>
        <w:ind w:left="1564" w:right="1237"/>
      </w:pPr>
      <w:r>
        <w:rPr>
          <w:w w:val="120"/>
        </w:rPr>
        <w:t>and other </w:t>
      </w:r>
      <w:r>
        <w:rPr>
          <w:spacing w:val="3"/>
          <w:w w:val="120"/>
        </w:rPr>
        <w:t>art </w:t>
      </w:r>
      <w:r>
        <w:rPr>
          <w:w w:val="120"/>
        </w:rPr>
        <w:t>activities. The project confirmed that many people often find it difficult to talk about their faith, but are inspired to do so more easily when they see faith- based images. The Westhill Endowment Trust in Birmingham expressed an interest   in sustaining </w:t>
      </w:r>
      <w:r>
        <w:rPr>
          <w:spacing w:val="-4"/>
          <w:w w:val="120"/>
        </w:rPr>
        <w:t>‘CreateTalk’ </w:t>
      </w:r>
      <w:r>
        <w:rPr>
          <w:w w:val="120"/>
        </w:rPr>
        <w:t>and in </w:t>
      </w:r>
      <w:r>
        <w:rPr>
          <w:spacing w:val="-9"/>
          <w:w w:val="120"/>
        </w:rPr>
        <w:t>2017 </w:t>
      </w:r>
      <w:r>
        <w:rPr>
          <w:w w:val="120"/>
        </w:rPr>
        <w:t>the URC gifted the resources produced and the brand name </w:t>
      </w:r>
      <w:r>
        <w:rPr>
          <w:spacing w:val="-4"/>
          <w:w w:val="120"/>
        </w:rPr>
        <w:t>‘CreateTalk’ </w:t>
      </w:r>
      <w:r>
        <w:rPr>
          <w:w w:val="120"/>
        </w:rPr>
        <w:t>to</w:t>
      </w:r>
      <w:r>
        <w:rPr>
          <w:spacing w:val="12"/>
          <w:w w:val="120"/>
        </w:rPr>
        <w:t> </w:t>
      </w:r>
      <w:r>
        <w:rPr>
          <w:w w:val="120"/>
        </w:rPr>
        <w:t>Westhill.</w:t>
      </w:r>
    </w:p>
    <w:p>
      <w:pPr>
        <w:spacing w:after="0" w:line="235" w:lineRule="auto"/>
        <w:sectPr>
          <w:headerReference w:type="default" r:id="rId420"/>
          <w:footerReference w:type="default" r:id="rId421"/>
          <w:footerReference w:type="even" r:id="rId422"/>
          <w:pgSz w:w="11910" w:h="16840"/>
          <w:pgMar w:header="0" w:footer="647" w:top="0" w:bottom="840" w:left="420" w:right="380"/>
          <w:pgNumType w:start="155"/>
        </w:sectPr>
      </w:pPr>
    </w:p>
    <w:p>
      <w:pPr>
        <w:pStyle w:val="BodyText"/>
      </w:pPr>
      <w:r>
        <w:rPr/>
        <w:drawing>
          <wp:anchor distT="0" distB="0" distL="0" distR="0" allowOverlap="1" layoutInCell="1" locked="0" behindDoc="1" simplePos="0" relativeHeight="236096512">
            <wp:simplePos x="0" y="0"/>
            <wp:positionH relativeFrom="page">
              <wp:posOffset>0</wp:posOffset>
            </wp:positionH>
            <wp:positionV relativeFrom="page">
              <wp:posOffset>0</wp:posOffset>
            </wp:positionV>
            <wp:extent cx="594067" cy="10692003"/>
            <wp:effectExtent l="0" t="0" r="0" b="0"/>
            <wp:wrapNone/>
            <wp:docPr id="301" name="image70.png"/>
            <wp:cNvGraphicFramePr>
              <a:graphicFrameLocks noChangeAspect="1"/>
            </wp:cNvGraphicFramePr>
            <a:graphic>
              <a:graphicData uri="http://schemas.openxmlformats.org/drawingml/2006/picture">
                <pic:pic>
                  <pic:nvPicPr>
                    <pic:cNvPr id="302"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6476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1"/>
          <w:numId w:val="111"/>
        </w:numPr>
        <w:tabs>
          <w:tab w:pos="1507" w:val="left" w:leader="none"/>
          <w:tab w:pos="1508" w:val="left" w:leader="none"/>
        </w:tabs>
        <w:spacing w:line="235" w:lineRule="auto" w:before="222" w:after="0"/>
        <w:ind w:left="827" w:right="1993" w:firstLine="0"/>
        <w:jc w:val="left"/>
        <w:rPr>
          <w:sz w:val="20"/>
        </w:rPr>
      </w:pPr>
      <w:r>
        <w:rPr>
          <w:w w:val="120"/>
          <w:sz w:val="20"/>
        </w:rPr>
        <w:t>In addition to projects which support local mission, we also partner with other organisations to resource local churches. One such partner is Hope, which has designated </w:t>
      </w:r>
      <w:r>
        <w:rPr>
          <w:spacing w:val="-6"/>
          <w:w w:val="120"/>
          <w:sz w:val="20"/>
        </w:rPr>
        <w:t>2018 </w:t>
      </w:r>
      <w:r>
        <w:rPr>
          <w:w w:val="120"/>
          <w:sz w:val="20"/>
        </w:rPr>
        <w:t>as a special year of mission and has produced excellent resources for this. Free Christmas </w:t>
      </w:r>
      <w:r>
        <w:rPr>
          <w:spacing w:val="-9"/>
          <w:w w:val="120"/>
          <w:sz w:val="20"/>
        </w:rPr>
        <w:t>2017 </w:t>
      </w:r>
      <w:r>
        <w:rPr>
          <w:w w:val="120"/>
          <w:sz w:val="20"/>
        </w:rPr>
        <w:t>and Easter </w:t>
      </w:r>
      <w:r>
        <w:rPr>
          <w:spacing w:val="-6"/>
          <w:w w:val="120"/>
          <w:sz w:val="20"/>
        </w:rPr>
        <w:t>2018 </w:t>
      </w:r>
      <w:r>
        <w:rPr>
          <w:w w:val="120"/>
          <w:sz w:val="20"/>
        </w:rPr>
        <w:t>magazines were produced for local churches to hand out in the community with the purpose of creating opportunities for conversation. These proved very popular and offered many opportunities</w:t>
      </w:r>
      <w:r>
        <w:rPr>
          <w:spacing w:val="35"/>
          <w:w w:val="120"/>
          <w:sz w:val="20"/>
        </w:rPr>
        <w:t> </w:t>
      </w:r>
      <w:r>
        <w:rPr>
          <w:w w:val="120"/>
          <w:sz w:val="20"/>
        </w:rPr>
        <w:t>to</w:t>
      </w:r>
    </w:p>
    <w:p>
      <w:pPr>
        <w:pStyle w:val="BodyText"/>
        <w:spacing w:line="235" w:lineRule="auto" w:before="4"/>
        <w:ind w:left="827" w:right="1620"/>
      </w:pPr>
      <w:r>
        <w:rPr>
          <w:w w:val="120"/>
        </w:rPr>
        <w:t>open up conversations about church and faith. An undated magazine will be produced for use throughout the summer. For more information on Hope resources, visit </w:t>
      </w:r>
      <w:hyperlink r:id="rId425">
        <w:r>
          <w:rPr>
            <w:color w:val="006AB3"/>
            <w:w w:val="120"/>
          </w:rPr>
          <w:t>www.hopetogether.org.uk</w:t>
        </w:r>
        <w:r>
          <w:rPr>
            <w:w w:val="120"/>
          </w:rPr>
          <w:t>.</w:t>
        </w:r>
      </w:hyperlink>
    </w:p>
    <w:p>
      <w:pPr>
        <w:pStyle w:val="BodyText"/>
        <w:spacing w:before="10"/>
        <w:rPr>
          <w:sz w:val="19"/>
        </w:rPr>
      </w:pPr>
    </w:p>
    <w:p>
      <w:pPr>
        <w:pStyle w:val="ListParagraph"/>
        <w:numPr>
          <w:ilvl w:val="1"/>
          <w:numId w:val="111"/>
        </w:numPr>
        <w:tabs>
          <w:tab w:pos="1507" w:val="left" w:leader="none"/>
          <w:tab w:pos="1508" w:val="left" w:leader="none"/>
        </w:tabs>
        <w:spacing w:line="235" w:lineRule="auto" w:before="0" w:after="0"/>
        <w:ind w:left="827" w:right="2259" w:firstLine="0"/>
        <w:jc w:val="left"/>
        <w:rPr>
          <w:sz w:val="20"/>
        </w:rPr>
      </w:pPr>
      <w:r>
        <w:rPr>
          <w:w w:val="120"/>
          <w:sz w:val="20"/>
        </w:rPr>
        <w:t>The Queen will mark 4 August as a National Day of Prayer, 100 years after George V originally did this. Hope is launching a 100-day initiative leading up to Remembrance Sunday on </w:t>
      </w:r>
      <w:r>
        <w:rPr>
          <w:spacing w:val="-11"/>
          <w:w w:val="120"/>
          <w:sz w:val="20"/>
        </w:rPr>
        <w:t>11 </w:t>
      </w:r>
      <w:r>
        <w:rPr>
          <w:w w:val="120"/>
          <w:sz w:val="20"/>
        </w:rPr>
        <w:t>November, when the Commonwealth will mark the centenary of the end of the First World </w:t>
      </w:r>
      <w:r>
        <w:rPr>
          <w:spacing w:val="-4"/>
          <w:w w:val="120"/>
          <w:sz w:val="20"/>
        </w:rPr>
        <w:t>War. </w:t>
      </w:r>
      <w:r>
        <w:rPr>
          <w:w w:val="120"/>
          <w:sz w:val="20"/>
        </w:rPr>
        <w:t>Hope is working with denominations and agencies to provide resources to use around this significant milestone</w:t>
      </w:r>
      <w:r>
        <w:rPr>
          <w:spacing w:val="30"/>
          <w:w w:val="120"/>
          <w:sz w:val="20"/>
        </w:rPr>
        <w:t> </w:t>
      </w:r>
      <w:r>
        <w:rPr>
          <w:w w:val="120"/>
          <w:sz w:val="20"/>
        </w:rPr>
        <w:t>in</w:t>
      </w:r>
    </w:p>
    <w:p>
      <w:pPr>
        <w:pStyle w:val="BodyText"/>
        <w:spacing w:line="235" w:lineRule="auto" w:before="4"/>
        <w:ind w:left="827" w:right="2426"/>
      </w:pPr>
      <w:r>
        <w:rPr>
          <w:w w:val="120"/>
        </w:rPr>
        <w:t>the UK’s history. For more information about the First World War programme of commemoration, visit </w:t>
      </w:r>
      <w:hyperlink r:id="rId426">
        <w:r>
          <w:rPr>
            <w:color w:val="006AB3"/>
            <w:w w:val="120"/>
          </w:rPr>
          <w:t>www.remembrance100.co.uk</w:t>
        </w:r>
        <w:r>
          <w:rPr>
            <w:w w:val="120"/>
          </w:rPr>
          <w:t>.</w:t>
        </w:r>
      </w:hyperlink>
    </w:p>
    <w:p>
      <w:pPr>
        <w:pStyle w:val="BodyText"/>
        <w:spacing w:before="9"/>
        <w:rPr>
          <w:sz w:val="19"/>
        </w:rPr>
      </w:pPr>
    </w:p>
    <w:p>
      <w:pPr>
        <w:pStyle w:val="ListParagraph"/>
        <w:numPr>
          <w:ilvl w:val="1"/>
          <w:numId w:val="111"/>
        </w:numPr>
        <w:tabs>
          <w:tab w:pos="1507" w:val="left" w:leader="none"/>
          <w:tab w:pos="1508" w:val="left" w:leader="none"/>
        </w:tabs>
        <w:spacing w:line="235" w:lineRule="auto" w:before="0" w:after="0"/>
        <w:ind w:left="827" w:right="2048" w:firstLine="0"/>
        <w:jc w:val="left"/>
        <w:rPr>
          <w:sz w:val="20"/>
        </w:rPr>
      </w:pPr>
      <w:r>
        <w:rPr>
          <w:w w:val="120"/>
          <w:sz w:val="20"/>
        </w:rPr>
        <w:t>The URC became an associate partner of Greenbelt festival for the first time in </w:t>
      </w:r>
      <w:r>
        <w:rPr>
          <w:spacing w:val="-7"/>
          <w:w w:val="120"/>
          <w:sz w:val="20"/>
        </w:rPr>
        <w:t>2016 </w:t>
      </w:r>
      <w:r>
        <w:rPr>
          <w:w w:val="120"/>
          <w:sz w:val="20"/>
        </w:rPr>
        <w:t>and again in </w:t>
      </w:r>
      <w:r>
        <w:rPr>
          <w:spacing w:val="-12"/>
          <w:w w:val="120"/>
          <w:sz w:val="20"/>
        </w:rPr>
        <w:t>2017. </w:t>
      </w:r>
      <w:r>
        <w:rPr>
          <w:w w:val="120"/>
          <w:sz w:val="20"/>
        </w:rPr>
        <w:t>This partnership is supported by various committees</w:t>
      </w:r>
      <w:r>
        <w:rPr>
          <w:spacing w:val="1"/>
          <w:w w:val="120"/>
          <w:sz w:val="20"/>
        </w:rPr>
        <w:t> </w:t>
      </w:r>
      <w:r>
        <w:rPr>
          <w:w w:val="120"/>
          <w:sz w:val="20"/>
        </w:rPr>
        <w:t>and</w:t>
      </w:r>
    </w:p>
    <w:p>
      <w:pPr>
        <w:pStyle w:val="BodyText"/>
        <w:spacing w:line="235" w:lineRule="auto" w:before="2"/>
        <w:ind w:left="827" w:right="1868"/>
      </w:pPr>
      <w:r>
        <w:rPr>
          <w:w w:val="120"/>
        </w:rPr>
        <w:t>mission staff have contributed to the planning and delivery of the URC’s contribution to the festival.</w:t>
      </w:r>
    </w:p>
    <w:p>
      <w:pPr>
        <w:pStyle w:val="BodyText"/>
        <w:spacing w:before="2"/>
        <w:rPr>
          <w:sz w:val="22"/>
        </w:rPr>
      </w:pPr>
    </w:p>
    <w:p>
      <w:pPr>
        <w:pStyle w:val="Heading4"/>
        <w:ind w:firstLine="0"/>
      </w:pPr>
      <w:r>
        <w:rPr>
          <w:w w:val="110"/>
        </w:rPr>
        <w:t>Fresh Expressions</w:t>
      </w:r>
    </w:p>
    <w:p>
      <w:pPr>
        <w:pStyle w:val="ListParagraph"/>
        <w:numPr>
          <w:ilvl w:val="1"/>
          <w:numId w:val="111"/>
        </w:numPr>
        <w:tabs>
          <w:tab w:pos="1507" w:val="left" w:leader="none"/>
          <w:tab w:pos="1508" w:val="left" w:leader="none"/>
        </w:tabs>
        <w:spacing w:line="235" w:lineRule="auto" w:before="69" w:after="0"/>
        <w:ind w:left="827" w:right="1810" w:firstLine="0"/>
        <w:jc w:val="left"/>
        <w:rPr>
          <w:sz w:val="20"/>
        </w:rPr>
      </w:pPr>
      <w:r>
        <w:rPr>
          <w:w w:val="120"/>
          <w:sz w:val="20"/>
        </w:rPr>
        <w:t>Fresh Expressions </w:t>
      </w:r>
      <w:r>
        <w:rPr>
          <w:spacing w:val="-3"/>
          <w:w w:val="120"/>
          <w:sz w:val="20"/>
        </w:rPr>
        <w:t>(FXs) </w:t>
      </w:r>
      <w:r>
        <w:rPr>
          <w:w w:val="120"/>
          <w:sz w:val="20"/>
        </w:rPr>
        <w:t>are defined as ‘new forms of church that emerge within contemporary culture and engage primarily with those who do not go to </w:t>
      </w:r>
      <w:r>
        <w:rPr>
          <w:spacing w:val="-4"/>
          <w:w w:val="120"/>
          <w:sz w:val="20"/>
        </w:rPr>
        <w:t>church’.  </w:t>
      </w:r>
      <w:r>
        <w:rPr>
          <w:w w:val="120"/>
          <w:sz w:val="20"/>
        </w:rPr>
        <w:t>Since </w:t>
      </w:r>
      <w:r>
        <w:rPr>
          <w:spacing w:val="-7"/>
          <w:w w:val="120"/>
          <w:sz w:val="20"/>
        </w:rPr>
        <w:t>2015 </w:t>
      </w:r>
      <w:r>
        <w:rPr>
          <w:w w:val="120"/>
          <w:sz w:val="20"/>
        </w:rPr>
        <w:t>the URC has employed a full-time coordinator for Fresh Expressions, Linda Rayner, whose task it is to embed and develop the Fresh Expressions work within</w:t>
      </w:r>
      <w:r>
        <w:rPr>
          <w:spacing w:val="6"/>
          <w:w w:val="120"/>
          <w:sz w:val="20"/>
        </w:rPr>
        <w:t> </w:t>
      </w:r>
      <w:r>
        <w:rPr>
          <w:w w:val="120"/>
          <w:sz w:val="20"/>
        </w:rPr>
        <w:t>the</w:t>
      </w:r>
    </w:p>
    <w:p>
      <w:pPr>
        <w:pStyle w:val="BodyText"/>
        <w:spacing w:line="235" w:lineRule="auto" w:before="3"/>
        <w:ind w:left="827" w:right="1528"/>
      </w:pPr>
      <w:r>
        <w:rPr>
          <w:w w:val="120"/>
        </w:rPr>
        <w:t>URC, with a special focus on training, advocacy, pioneering and strategic development. The coordinator is part of the ecumenical Fresh Expressions team and the post is part funded from CWM’s ‘Mission Support’ programme.</w:t>
      </w:r>
    </w:p>
    <w:p>
      <w:pPr>
        <w:pStyle w:val="BodyText"/>
        <w:spacing w:before="10"/>
        <w:rPr>
          <w:sz w:val="19"/>
        </w:rPr>
      </w:pPr>
    </w:p>
    <w:p>
      <w:pPr>
        <w:pStyle w:val="ListParagraph"/>
        <w:numPr>
          <w:ilvl w:val="1"/>
          <w:numId w:val="111"/>
        </w:numPr>
        <w:tabs>
          <w:tab w:pos="1507" w:val="left" w:leader="none"/>
          <w:tab w:pos="1508" w:val="left" w:leader="none"/>
        </w:tabs>
        <w:spacing w:line="235" w:lineRule="auto" w:before="0" w:after="0"/>
        <w:ind w:left="827" w:right="1894" w:firstLine="0"/>
        <w:jc w:val="left"/>
        <w:rPr>
          <w:sz w:val="20"/>
        </w:rPr>
      </w:pPr>
      <w:r>
        <w:rPr>
          <w:w w:val="120"/>
          <w:sz w:val="20"/>
        </w:rPr>
        <w:t>Embedding fresh expressions has been an ongoing focus in the past two years and was implemented by working with existing URC networks – such as mission enablers, training and development officers and resource centres for learning – and offering Fresh Expressions-specific training: vision events, mission shaped ministry (MSM) and mission shaped intro (MSI) courses. New learning communities were established, which tend to be synod-wide, offering opportunities for leaders</w:t>
      </w:r>
      <w:r>
        <w:rPr>
          <w:spacing w:val="51"/>
          <w:w w:val="120"/>
          <w:sz w:val="20"/>
        </w:rPr>
        <w:t> </w:t>
      </w:r>
      <w:r>
        <w:rPr>
          <w:w w:val="120"/>
          <w:sz w:val="20"/>
        </w:rPr>
        <w:t>to</w:t>
      </w:r>
    </w:p>
    <w:p>
      <w:pPr>
        <w:pStyle w:val="BodyText"/>
        <w:spacing w:line="235" w:lineRule="auto" w:before="4"/>
        <w:ind w:left="827" w:right="1528"/>
      </w:pPr>
      <w:r>
        <w:rPr>
          <w:w w:val="120"/>
        </w:rPr>
        <w:t>learn from each other regarding the practicalities of starting something new. Fresh Expressions will also be included in Stepwise, which forms part of the ‘Walking the Way: Living the life of Jesus today’ focus and embraces similar values.</w:t>
      </w:r>
    </w:p>
    <w:p>
      <w:pPr>
        <w:pStyle w:val="BodyText"/>
        <w:spacing w:before="10"/>
        <w:rPr>
          <w:sz w:val="19"/>
        </w:rPr>
      </w:pPr>
    </w:p>
    <w:p>
      <w:pPr>
        <w:pStyle w:val="ListParagraph"/>
        <w:numPr>
          <w:ilvl w:val="1"/>
          <w:numId w:val="111"/>
        </w:numPr>
        <w:tabs>
          <w:tab w:pos="1507" w:val="left" w:leader="none"/>
          <w:tab w:pos="1508" w:val="left" w:leader="none"/>
        </w:tabs>
        <w:spacing w:line="235" w:lineRule="auto" w:before="1" w:after="0"/>
        <w:ind w:left="827" w:right="1613" w:firstLine="0"/>
        <w:jc w:val="left"/>
        <w:rPr>
          <w:sz w:val="20"/>
        </w:rPr>
      </w:pPr>
      <w:r>
        <w:rPr>
          <w:w w:val="120"/>
          <w:sz w:val="20"/>
        </w:rPr>
        <w:t>Pioneer ministry is becoming more widely recognised in the URC, with eight ‘official’ pioneers in a variety of contexts, from setting up a mixed-economy of different church for new housing developments, to teenage cafes attached to school, to edgy missional work in secular space. Various meetings were held to enable these pioneers to meet, network and share good</w:t>
      </w:r>
      <w:r>
        <w:rPr>
          <w:spacing w:val="12"/>
          <w:w w:val="120"/>
          <w:sz w:val="20"/>
        </w:rPr>
        <w:t> </w:t>
      </w:r>
      <w:r>
        <w:rPr>
          <w:w w:val="120"/>
          <w:sz w:val="20"/>
        </w:rPr>
        <w:t>practice.</w:t>
      </w:r>
    </w:p>
    <w:p>
      <w:pPr>
        <w:pStyle w:val="BodyText"/>
        <w:spacing w:before="11"/>
        <w:rPr>
          <w:sz w:val="19"/>
        </w:rPr>
      </w:pPr>
    </w:p>
    <w:p>
      <w:pPr>
        <w:pStyle w:val="ListParagraph"/>
        <w:numPr>
          <w:ilvl w:val="1"/>
          <w:numId w:val="111"/>
        </w:numPr>
        <w:tabs>
          <w:tab w:pos="1507" w:val="left" w:leader="none"/>
          <w:tab w:pos="1508" w:val="left" w:leader="none"/>
        </w:tabs>
        <w:spacing w:line="235" w:lineRule="auto" w:before="0" w:after="0"/>
        <w:ind w:left="827" w:right="1760" w:firstLine="0"/>
        <w:jc w:val="left"/>
        <w:rPr>
          <w:sz w:val="20"/>
        </w:rPr>
      </w:pPr>
      <w:r>
        <w:rPr>
          <w:w w:val="120"/>
          <w:sz w:val="20"/>
        </w:rPr>
        <w:t>The URC has many potential fledgling new expressions of church, where local churches explore different ideas as they attempt to become more meaningful as faith communities in their own local contexts. They are probably not yet ‘fresh expressions’, and in some instances, the leadership teams do not intend to create new forms of church. However, some of these projects have set out intentionally to ‘be church’ with a distinct discipleship agenda. These include Love Groby Tasters in Leicestershire and </w:t>
      </w:r>
      <w:r>
        <w:rPr>
          <w:spacing w:val="-4"/>
          <w:w w:val="120"/>
          <w:sz w:val="20"/>
        </w:rPr>
        <w:t>Dan’s </w:t>
      </w:r>
      <w:r>
        <w:rPr>
          <w:w w:val="120"/>
          <w:sz w:val="20"/>
        </w:rPr>
        <w:t>Den in Yorkshire. There are many URC examples of cafe church, Messy Church and some highly creative worship emerging on beaches, in forests, via walking groups and other special interest groups. This ‘mixed economy’ of traditional and new is becoming increasingly</w:t>
      </w:r>
      <w:r>
        <w:rPr>
          <w:spacing w:val="5"/>
          <w:w w:val="120"/>
          <w:sz w:val="20"/>
        </w:rPr>
        <w:t> </w:t>
      </w:r>
      <w:r>
        <w:rPr>
          <w:w w:val="120"/>
          <w:sz w:val="20"/>
        </w:rPr>
        <w:t>important.</w:t>
      </w:r>
    </w:p>
    <w:p>
      <w:pPr>
        <w:spacing w:after="0" w:line="235" w:lineRule="auto"/>
        <w:jc w:val="left"/>
        <w:rPr>
          <w:sz w:val="20"/>
        </w:rPr>
        <w:sectPr>
          <w:headerReference w:type="even" r:id="rId424"/>
          <w:pgSz w:w="11910" w:h="16840"/>
          <w:pgMar w:header="0" w:footer="647" w:top="0" w:bottom="840" w:left="420" w:right="380"/>
        </w:sectPr>
      </w:pPr>
    </w:p>
    <w:p>
      <w:pPr>
        <w:pStyle w:val="BodyText"/>
      </w:pPr>
      <w:r>
        <w:rPr/>
        <w:drawing>
          <wp:anchor distT="0" distB="0" distL="0" distR="0" allowOverlap="1" layoutInCell="1" locked="0" behindDoc="0" simplePos="0" relativeHeight="252066816">
            <wp:simplePos x="0" y="0"/>
            <wp:positionH relativeFrom="page">
              <wp:posOffset>6974928</wp:posOffset>
            </wp:positionH>
            <wp:positionV relativeFrom="page">
              <wp:posOffset>0</wp:posOffset>
            </wp:positionV>
            <wp:extent cx="585063" cy="10692003"/>
            <wp:effectExtent l="0" t="0" r="0" b="0"/>
            <wp:wrapNone/>
            <wp:docPr id="303" name="image57.png"/>
            <wp:cNvGraphicFramePr>
              <a:graphicFrameLocks noChangeAspect="1"/>
            </wp:cNvGraphicFramePr>
            <a:graphic>
              <a:graphicData uri="http://schemas.openxmlformats.org/drawingml/2006/picture">
                <pic:pic>
                  <pic:nvPicPr>
                    <pic:cNvPr id="304"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80.1pt;mso-position-horizontal-relative:page;mso-position-vertical-relative:paragraph;z-index:252067840"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1"/>
          <w:numId w:val="111"/>
        </w:numPr>
        <w:tabs>
          <w:tab w:pos="2244" w:val="left" w:leader="none"/>
          <w:tab w:pos="2245" w:val="left" w:leader="none"/>
        </w:tabs>
        <w:spacing w:line="235" w:lineRule="auto" w:before="222" w:after="0"/>
        <w:ind w:left="1564" w:right="865" w:firstLine="0"/>
        <w:jc w:val="left"/>
        <w:rPr>
          <w:sz w:val="20"/>
        </w:rPr>
      </w:pPr>
      <w:r>
        <w:rPr>
          <w:w w:val="120"/>
          <w:sz w:val="20"/>
        </w:rPr>
        <w:t>Embedding fresh expressions into the URC means firmly positioning the values of FX </w:t>
      </w:r>
      <w:r>
        <w:rPr>
          <w:spacing w:val="-3"/>
          <w:w w:val="120"/>
          <w:sz w:val="20"/>
        </w:rPr>
        <w:t>(missional, </w:t>
      </w:r>
      <w:r>
        <w:rPr>
          <w:w w:val="120"/>
          <w:sz w:val="20"/>
        </w:rPr>
        <w:t>contextual, formational, ecclesial) along with a sense of mission through pioneering, into all local churches, synod committees and at every level of the URC.    This will generate an awareness of different expressions of church and an understanding that future church is unlikely to look like the current</w:t>
      </w:r>
      <w:r>
        <w:rPr>
          <w:spacing w:val="17"/>
          <w:w w:val="120"/>
          <w:sz w:val="20"/>
        </w:rPr>
        <w:t> </w:t>
      </w:r>
      <w:r>
        <w:rPr>
          <w:w w:val="120"/>
          <w:sz w:val="20"/>
        </w:rPr>
        <w:t>model.</w:t>
      </w:r>
    </w:p>
    <w:p>
      <w:pPr>
        <w:pStyle w:val="BodyText"/>
        <w:spacing w:before="11"/>
        <w:rPr>
          <w:sz w:val="19"/>
        </w:rPr>
      </w:pPr>
    </w:p>
    <w:p>
      <w:pPr>
        <w:pStyle w:val="ListParagraph"/>
        <w:numPr>
          <w:ilvl w:val="1"/>
          <w:numId w:val="111"/>
        </w:numPr>
        <w:tabs>
          <w:tab w:pos="2244" w:val="left" w:leader="none"/>
          <w:tab w:pos="2245" w:val="left" w:leader="none"/>
        </w:tabs>
        <w:spacing w:line="235" w:lineRule="auto" w:before="0" w:after="0"/>
        <w:ind w:left="1564" w:right="878" w:firstLine="0"/>
        <w:jc w:val="left"/>
        <w:rPr>
          <w:sz w:val="20"/>
        </w:rPr>
      </w:pPr>
      <w:r>
        <w:rPr>
          <w:w w:val="120"/>
          <w:sz w:val="20"/>
        </w:rPr>
        <w:t>Embedding fresh expressions also raises questions about ministry and calling: how can a minister be called and/or ordained to a pioneering post? How might we train pioneers for ordination? How can we recognise, affirm and train the lay</w:t>
      </w:r>
      <w:r>
        <w:rPr>
          <w:spacing w:val="11"/>
          <w:w w:val="120"/>
          <w:sz w:val="20"/>
        </w:rPr>
        <w:t> </w:t>
      </w:r>
      <w:r>
        <w:rPr>
          <w:w w:val="120"/>
          <w:sz w:val="20"/>
        </w:rPr>
        <w:t>pioneers?</w:t>
      </w:r>
    </w:p>
    <w:p>
      <w:pPr>
        <w:pStyle w:val="BodyText"/>
      </w:pPr>
    </w:p>
    <w:p>
      <w:pPr>
        <w:pStyle w:val="ListParagraph"/>
        <w:numPr>
          <w:ilvl w:val="2"/>
          <w:numId w:val="111"/>
        </w:numPr>
        <w:tabs>
          <w:tab w:pos="2245" w:val="left" w:leader="none"/>
        </w:tabs>
        <w:spacing w:line="232" w:lineRule="auto" w:before="0" w:after="0"/>
        <w:ind w:left="2244" w:right="920" w:hanging="681"/>
        <w:jc w:val="left"/>
        <w:rPr>
          <w:sz w:val="20"/>
        </w:rPr>
      </w:pPr>
      <w:r>
        <w:rPr>
          <w:w w:val="120"/>
          <w:sz w:val="20"/>
        </w:rPr>
        <w:t>Further questions arise as the scope of the role of pioneer ministry is considered. The title of pioneer can be applied to a wide spectrum of ministry, from church planters who replicate a model of church in a new place, to those who adapt existing models of church, to more edgy work where there is no intention to set up a church community.</w:t>
      </w:r>
      <w:r>
        <w:rPr>
          <w:w w:val="120"/>
          <w:position w:val="4"/>
          <w:sz w:val="18"/>
        </w:rPr>
        <w:t>5 </w:t>
      </w:r>
      <w:r>
        <w:rPr>
          <w:w w:val="120"/>
          <w:sz w:val="20"/>
        </w:rPr>
        <w:t>Within the URC, the scoping of our pioneer ministers ranges across this</w:t>
      </w:r>
      <w:r>
        <w:rPr>
          <w:spacing w:val="6"/>
          <w:w w:val="120"/>
          <w:sz w:val="20"/>
        </w:rPr>
        <w:t> </w:t>
      </w:r>
      <w:r>
        <w:rPr>
          <w:w w:val="120"/>
          <w:sz w:val="20"/>
        </w:rPr>
        <w:t>spectrum.</w:t>
      </w:r>
    </w:p>
    <w:p>
      <w:pPr>
        <w:pStyle w:val="BodyText"/>
        <w:spacing w:before="4"/>
        <w:rPr>
          <w:sz w:val="19"/>
        </w:rPr>
      </w:pPr>
    </w:p>
    <w:p>
      <w:pPr>
        <w:pStyle w:val="ListParagraph"/>
        <w:numPr>
          <w:ilvl w:val="2"/>
          <w:numId w:val="111"/>
        </w:numPr>
        <w:tabs>
          <w:tab w:pos="2245" w:val="left" w:leader="none"/>
        </w:tabs>
        <w:spacing w:line="235" w:lineRule="auto" w:before="1" w:after="0"/>
        <w:ind w:left="2244" w:right="864" w:hanging="681"/>
        <w:jc w:val="left"/>
        <w:rPr>
          <w:sz w:val="20"/>
        </w:rPr>
      </w:pPr>
      <w:r>
        <w:rPr>
          <w:w w:val="120"/>
          <w:sz w:val="20"/>
        </w:rPr>
        <w:t>More questions arise as fresh expressions become more established, e.g. which elements must be retained for recognition as a URC? How can the URC recognise members in a fresh expression? These, and many other questions are beginning to be addressed and</w:t>
      </w:r>
      <w:r>
        <w:rPr>
          <w:spacing w:val="9"/>
          <w:w w:val="120"/>
          <w:sz w:val="20"/>
        </w:rPr>
        <w:t> </w:t>
      </w:r>
      <w:r>
        <w:rPr>
          <w:w w:val="120"/>
          <w:sz w:val="20"/>
        </w:rPr>
        <w:t>explored.</w:t>
      </w:r>
    </w:p>
    <w:p>
      <w:pPr>
        <w:pStyle w:val="BodyText"/>
      </w:pPr>
    </w:p>
    <w:p>
      <w:pPr>
        <w:pStyle w:val="ListParagraph"/>
        <w:numPr>
          <w:ilvl w:val="2"/>
          <w:numId w:val="111"/>
        </w:numPr>
        <w:tabs>
          <w:tab w:pos="2245" w:val="left" w:leader="none"/>
        </w:tabs>
        <w:spacing w:line="232" w:lineRule="auto" w:before="0" w:after="0"/>
        <w:ind w:left="2244" w:right="995" w:hanging="681"/>
        <w:jc w:val="left"/>
        <w:rPr>
          <w:sz w:val="20"/>
        </w:rPr>
      </w:pPr>
      <w:r>
        <w:rPr>
          <w:w w:val="120"/>
          <w:sz w:val="20"/>
        </w:rPr>
        <w:t>It is </w:t>
      </w:r>
      <w:r>
        <w:rPr>
          <w:spacing w:val="-8"/>
          <w:w w:val="120"/>
          <w:sz w:val="20"/>
        </w:rPr>
        <w:t>14 </w:t>
      </w:r>
      <w:r>
        <w:rPr>
          <w:w w:val="120"/>
          <w:sz w:val="20"/>
        </w:rPr>
        <w:t>years since the ‘Mission Shaped Church’ </w:t>
      </w:r>
      <w:r>
        <w:rPr>
          <w:spacing w:val="2"/>
          <w:w w:val="120"/>
          <w:sz w:val="20"/>
        </w:rPr>
        <w:t>report </w:t>
      </w:r>
      <w:r>
        <w:rPr>
          <w:w w:val="120"/>
          <w:sz w:val="20"/>
        </w:rPr>
        <w:t>stated that ‘the time has come to ensure that any Fresh Expressions of Church that emerge within the Church … are undergirded with an adequate ecclesiology’,</w:t>
      </w:r>
      <w:r>
        <w:rPr>
          <w:w w:val="120"/>
          <w:position w:val="4"/>
          <w:sz w:val="18"/>
        </w:rPr>
        <w:t>6 </w:t>
      </w:r>
      <w:r>
        <w:rPr>
          <w:w w:val="120"/>
          <w:sz w:val="20"/>
        </w:rPr>
        <w:t>thus recognising  that fresh expressions and new ways of being church were already in existence, and would play an important role in bringing new disciples to Christ in the </w:t>
      </w:r>
      <w:r>
        <w:rPr>
          <w:spacing w:val="-5"/>
          <w:w w:val="120"/>
          <w:sz w:val="20"/>
        </w:rPr>
        <w:t>21st </w:t>
      </w:r>
      <w:r>
        <w:rPr>
          <w:w w:val="120"/>
          <w:sz w:val="20"/>
        </w:rPr>
        <w:t>century. This recognition has become increasingly important and has prompted questions about ecclesiology within all the partners and</w:t>
      </w:r>
      <w:r>
        <w:rPr>
          <w:spacing w:val="36"/>
          <w:w w:val="120"/>
          <w:sz w:val="20"/>
        </w:rPr>
        <w:t> </w:t>
      </w:r>
      <w:r>
        <w:rPr>
          <w:w w:val="120"/>
          <w:sz w:val="20"/>
        </w:rPr>
        <w:t>denominations.</w:t>
      </w:r>
    </w:p>
    <w:p>
      <w:pPr>
        <w:pStyle w:val="BodyText"/>
        <w:spacing w:before="8"/>
        <w:rPr>
          <w:sz w:val="19"/>
        </w:rPr>
      </w:pPr>
    </w:p>
    <w:p>
      <w:pPr>
        <w:pStyle w:val="ListParagraph"/>
        <w:numPr>
          <w:ilvl w:val="1"/>
          <w:numId w:val="111"/>
        </w:numPr>
        <w:tabs>
          <w:tab w:pos="2244" w:val="left" w:leader="none"/>
          <w:tab w:pos="2245" w:val="left" w:leader="none"/>
        </w:tabs>
        <w:spacing w:line="235" w:lineRule="auto" w:before="0" w:after="0"/>
        <w:ind w:left="1564" w:right="1058" w:firstLine="0"/>
        <w:jc w:val="left"/>
        <w:rPr>
          <w:sz w:val="20"/>
        </w:rPr>
      </w:pPr>
      <w:r>
        <w:rPr>
          <w:w w:val="120"/>
          <w:sz w:val="20"/>
        </w:rPr>
        <w:t>These have been exciting years, which have seen Fresh Expressions change  from being an organisation with a considerable central core team to a movement</w:t>
      </w:r>
      <w:r>
        <w:rPr>
          <w:spacing w:val="36"/>
          <w:w w:val="120"/>
          <w:sz w:val="20"/>
        </w:rPr>
        <w:t> </w:t>
      </w:r>
      <w:r>
        <w:rPr>
          <w:w w:val="120"/>
          <w:sz w:val="20"/>
        </w:rPr>
        <w:t>with</w:t>
      </w:r>
    </w:p>
    <w:p>
      <w:pPr>
        <w:pStyle w:val="BodyText"/>
        <w:spacing w:line="235" w:lineRule="auto" w:before="1"/>
        <w:ind w:left="1564" w:right="923"/>
      </w:pPr>
      <w:r>
        <w:rPr>
          <w:w w:val="120"/>
        </w:rPr>
        <w:t>minimal core members and a widespread impact. The focus of the third five-year phase has been to begin a process of embedding FX into the partner denominations and organisation. Within the URC, a small embedding group, commissioned by the mission committee, is considering where we go next. The group will report to the mission committee in June 2018.</w:t>
      </w:r>
    </w:p>
    <w:p>
      <w:pPr>
        <w:pStyle w:val="BodyText"/>
        <w:spacing w:before="4"/>
        <w:rPr>
          <w:sz w:val="22"/>
        </w:rPr>
      </w:pPr>
    </w:p>
    <w:p>
      <w:pPr>
        <w:pStyle w:val="Heading4"/>
        <w:ind w:left="1564" w:firstLine="0"/>
      </w:pPr>
      <w:r>
        <w:rPr>
          <w:w w:val="110"/>
        </w:rPr>
        <w:t>Rural Mission</w:t>
      </w:r>
    </w:p>
    <w:p>
      <w:pPr>
        <w:pStyle w:val="ListParagraph"/>
        <w:numPr>
          <w:ilvl w:val="1"/>
          <w:numId w:val="112"/>
        </w:numPr>
        <w:tabs>
          <w:tab w:pos="2244" w:val="left" w:leader="none"/>
          <w:tab w:pos="2245" w:val="left" w:leader="none"/>
        </w:tabs>
        <w:spacing w:line="235" w:lineRule="auto" w:before="70" w:after="0"/>
        <w:ind w:left="1564" w:right="868" w:firstLine="0"/>
        <w:jc w:val="left"/>
        <w:rPr>
          <w:sz w:val="20"/>
        </w:rPr>
      </w:pPr>
      <w:r>
        <w:rPr>
          <w:w w:val="120"/>
          <w:sz w:val="20"/>
        </w:rPr>
        <w:t>Rural churches can make a huge difference to their communities. The work of the National Rural Officer, a post shared with the Methodist Church, is aimed at supporting and promoting small rural churches as they engage in mission. The National Rural  Officer post is held by the Revd Elizabeth Clark, who is based at the Arthur Rank Centre (ARC) in Stoneleigh Park,</w:t>
      </w:r>
      <w:r>
        <w:rPr>
          <w:spacing w:val="10"/>
          <w:w w:val="120"/>
          <w:sz w:val="20"/>
        </w:rPr>
        <w:t> </w:t>
      </w:r>
      <w:r>
        <w:rPr>
          <w:w w:val="120"/>
          <w:sz w:val="20"/>
        </w:rPr>
        <w:t>Kenilworth.</w:t>
      </w:r>
    </w:p>
    <w:p>
      <w:pPr>
        <w:pStyle w:val="BodyText"/>
        <w:spacing w:before="11"/>
        <w:rPr>
          <w:sz w:val="19"/>
        </w:rPr>
      </w:pPr>
    </w:p>
    <w:p>
      <w:pPr>
        <w:pStyle w:val="ListParagraph"/>
        <w:numPr>
          <w:ilvl w:val="1"/>
          <w:numId w:val="112"/>
        </w:numPr>
        <w:tabs>
          <w:tab w:pos="2244" w:val="left" w:leader="none"/>
          <w:tab w:pos="2245" w:val="left" w:leader="none"/>
        </w:tabs>
        <w:spacing w:line="235" w:lineRule="auto" w:before="0" w:after="0"/>
        <w:ind w:left="1564" w:right="980" w:firstLine="0"/>
        <w:jc w:val="left"/>
        <w:rPr>
          <w:sz w:val="20"/>
        </w:rPr>
      </w:pPr>
      <w:r>
        <w:rPr>
          <w:w w:val="120"/>
          <w:sz w:val="20"/>
        </w:rPr>
        <w:t>A major piece of work since the last Assembly has been the production and publication of a new resource, called </w:t>
      </w:r>
      <w:r>
        <w:rPr>
          <w:i/>
          <w:w w:val="120"/>
          <w:sz w:val="20"/>
        </w:rPr>
        <w:t>A Discipling Presence</w:t>
      </w:r>
      <w:r>
        <w:rPr>
          <w:w w:val="120"/>
          <w:sz w:val="20"/>
        </w:rPr>
        <w:t>, to help rural churches make a</w:t>
      </w:r>
      <w:r>
        <w:rPr>
          <w:spacing w:val="-11"/>
          <w:w w:val="120"/>
          <w:sz w:val="20"/>
        </w:rPr>
        <w:t> </w:t>
      </w:r>
      <w:r>
        <w:rPr>
          <w:w w:val="120"/>
          <w:sz w:val="20"/>
        </w:rPr>
        <w:t>difference</w:t>
      </w:r>
      <w:r>
        <w:rPr>
          <w:spacing w:val="-11"/>
          <w:w w:val="120"/>
          <w:sz w:val="20"/>
        </w:rPr>
        <w:t> </w:t>
      </w:r>
      <w:r>
        <w:rPr>
          <w:w w:val="120"/>
          <w:sz w:val="20"/>
        </w:rPr>
        <w:t>where</w:t>
      </w:r>
      <w:r>
        <w:rPr>
          <w:spacing w:val="-11"/>
          <w:w w:val="120"/>
          <w:sz w:val="20"/>
        </w:rPr>
        <w:t> </w:t>
      </w:r>
      <w:r>
        <w:rPr>
          <w:w w:val="120"/>
          <w:sz w:val="20"/>
        </w:rPr>
        <w:t>they</w:t>
      </w:r>
      <w:r>
        <w:rPr>
          <w:spacing w:val="-10"/>
          <w:w w:val="120"/>
          <w:sz w:val="20"/>
        </w:rPr>
        <w:t> </w:t>
      </w:r>
      <w:r>
        <w:rPr>
          <w:w w:val="120"/>
          <w:sz w:val="20"/>
        </w:rPr>
        <w:t>are.</w:t>
      </w:r>
      <w:r>
        <w:rPr>
          <w:spacing w:val="-11"/>
          <w:w w:val="120"/>
          <w:sz w:val="20"/>
        </w:rPr>
        <w:t> </w:t>
      </w:r>
      <w:r>
        <w:rPr>
          <w:i/>
          <w:w w:val="120"/>
          <w:sz w:val="20"/>
        </w:rPr>
        <w:t>A</w:t>
      </w:r>
      <w:r>
        <w:rPr>
          <w:i/>
          <w:spacing w:val="-13"/>
          <w:w w:val="120"/>
          <w:sz w:val="20"/>
        </w:rPr>
        <w:t> </w:t>
      </w:r>
      <w:r>
        <w:rPr>
          <w:i/>
          <w:w w:val="120"/>
          <w:sz w:val="20"/>
        </w:rPr>
        <w:t>Discipling</w:t>
      </w:r>
      <w:r>
        <w:rPr>
          <w:i/>
          <w:spacing w:val="-13"/>
          <w:w w:val="120"/>
          <w:sz w:val="20"/>
        </w:rPr>
        <w:t> </w:t>
      </w:r>
      <w:r>
        <w:rPr>
          <w:i/>
          <w:w w:val="120"/>
          <w:sz w:val="20"/>
        </w:rPr>
        <w:t>Presence</w:t>
      </w:r>
      <w:r>
        <w:rPr>
          <w:i/>
          <w:spacing w:val="-11"/>
          <w:w w:val="120"/>
          <w:sz w:val="20"/>
        </w:rPr>
        <w:t> </w:t>
      </w:r>
      <w:r>
        <w:rPr>
          <w:w w:val="120"/>
          <w:sz w:val="20"/>
        </w:rPr>
        <w:t>was</w:t>
      </w:r>
      <w:r>
        <w:rPr>
          <w:spacing w:val="-10"/>
          <w:w w:val="120"/>
          <w:sz w:val="20"/>
        </w:rPr>
        <w:t> </w:t>
      </w:r>
      <w:r>
        <w:rPr>
          <w:w w:val="120"/>
          <w:sz w:val="20"/>
        </w:rPr>
        <w:t>written</w:t>
      </w:r>
      <w:r>
        <w:rPr>
          <w:spacing w:val="-11"/>
          <w:w w:val="120"/>
          <w:sz w:val="20"/>
        </w:rPr>
        <w:t> </w:t>
      </w:r>
      <w:r>
        <w:rPr>
          <w:w w:val="120"/>
          <w:sz w:val="20"/>
        </w:rPr>
        <w:t>by</w:t>
      </w:r>
      <w:r>
        <w:rPr>
          <w:spacing w:val="-11"/>
          <w:w w:val="120"/>
          <w:sz w:val="20"/>
        </w:rPr>
        <w:t> </w:t>
      </w:r>
      <w:r>
        <w:rPr>
          <w:w w:val="120"/>
          <w:sz w:val="20"/>
        </w:rPr>
        <w:t>members</w:t>
      </w:r>
      <w:r>
        <w:rPr>
          <w:spacing w:val="-10"/>
          <w:w w:val="120"/>
          <w:sz w:val="20"/>
        </w:rPr>
        <w:t> </w:t>
      </w:r>
      <w:r>
        <w:rPr>
          <w:w w:val="120"/>
          <w:sz w:val="20"/>
        </w:rPr>
        <w:t>of</w:t>
      </w:r>
      <w:r>
        <w:rPr>
          <w:spacing w:val="-11"/>
          <w:w w:val="120"/>
          <w:sz w:val="20"/>
        </w:rPr>
        <w:t> </w:t>
      </w:r>
      <w:r>
        <w:rPr>
          <w:w w:val="120"/>
          <w:sz w:val="20"/>
        </w:rPr>
        <w:t>the</w:t>
      </w:r>
      <w:r>
        <w:rPr>
          <w:spacing w:val="-11"/>
          <w:w w:val="120"/>
          <w:sz w:val="20"/>
        </w:rPr>
        <w:t> </w:t>
      </w:r>
      <w:r>
        <w:rPr>
          <w:w w:val="120"/>
          <w:sz w:val="20"/>
        </w:rPr>
        <w:t>United Reformed Church and the Methodist Church. The </w:t>
      </w:r>
      <w:r>
        <w:rPr>
          <w:spacing w:val="2"/>
          <w:w w:val="120"/>
          <w:sz w:val="20"/>
        </w:rPr>
        <w:t>fact </w:t>
      </w:r>
      <w:r>
        <w:rPr>
          <w:w w:val="120"/>
          <w:sz w:val="20"/>
        </w:rPr>
        <w:t>that this is a joint</w:t>
      </w:r>
      <w:r>
        <w:rPr>
          <w:spacing w:val="51"/>
          <w:w w:val="120"/>
          <w:sz w:val="20"/>
        </w:rPr>
        <w:t> </w:t>
      </w:r>
      <w:r>
        <w:rPr>
          <w:w w:val="120"/>
          <w:sz w:val="20"/>
        </w:rPr>
        <w:t>publication</w:t>
      </w:r>
    </w:p>
    <w:p>
      <w:pPr>
        <w:pStyle w:val="BodyText"/>
        <w:spacing w:line="232" w:lineRule="auto" w:before="5"/>
        <w:ind w:left="1564" w:right="1114"/>
      </w:pPr>
      <w:r>
        <w:rPr/>
        <w:pict>
          <v:shape style="position:absolute;margin-left:99.212601pt;margin-top:78.332634pt;width:72pt;height:.1pt;mso-position-horizontal-relative:page;mso-position-vertical-relative:paragraph;z-index:-251250688;mso-wrap-distance-left:0;mso-wrap-distance-right:0" coordorigin="1984,1567" coordsize="1440,0" path="m1984,1567l3424,1567e" filled="false" stroked="true" strokeweight="1pt" strokecolor="#000000">
            <v:path arrowok="t"/>
            <v:stroke dashstyle="solid"/>
            <w10:wrap type="topAndBottom"/>
          </v:shape>
        </w:pict>
      </w:r>
      <w:r>
        <w:rPr>
          <w:w w:val="120"/>
        </w:rPr>
        <w:t>is a great strength, as ecumenism is now a mission imperative in the countryside. The resource begins with the belief that ‘every community if it is to be whole, balanced and healthy, needs at its heart a committed group of Christians’.</w:t>
      </w:r>
      <w:r>
        <w:rPr>
          <w:w w:val="120"/>
          <w:position w:val="4"/>
          <w:sz w:val="18"/>
        </w:rPr>
        <w:t>7 </w:t>
      </w:r>
      <w:r>
        <w:rPr>
          <w:w w:val="120"/>
        </w:rPr>
        <w:t>We know, however, that many rural churches can seem fragile and so there is a need to change and grow. This resource can help churches to look at their mission and take small steps towards growing that mission.</w:t>
      </w:r>
    </w:p>
    <w:p>
      <w:pPr>
        <w:pStyle w:val="ListParagraph"/>
        <w:numPr>
          <w:ilvl w:val="0"/>
          <w:numId w:val="113"/>
        </w:numPr>
        <w:tabs>
          <w:tab w:pos="2244" w:val="left" w:leader="none"/>
          <w:tab w:pos="2245" w:val="left" w:leader="none"/>
        </w:tabs>
        <w:spacing w:line="261" w:lineRule="auto" w:before="29" w:after="0"/>
        <w:ind w:left="2244" w:right="1543" w:hanging="681"/>
        <w:jc w:val="left"/>
        <w:rPr>
          <w:sz w:val="18"/>
        </w:rPr>
      </w:pPr>
      <w:r>
        <w:rPr>
          <w:w w:val="120"/>
          <w:sz w:val="18"/>
        </w:rPr>
        <w:t>See Paul Bradbury, CMS Pioneer Hub: ‘Pioneer mission is…a spectrum’</w:t>
      </w:r>
      <w:r>
        <w:rPr>
          <w:color w:val="006AB3"/>
          <w:w w:val="120"/>
          <w:sz w:val="18"/>
        </w:rPr>
        <w:t> https://pioneer.churchmissionsociety.org/2018/03/pioneer-mission-is-a-spectrum</w:t>
      </w:r>
    </w:p>
    <w:p>
      <w:pPr>
        <w:pStyle w:val="ListParagraph"/>
        <w:numPr>
          <w:ilvl w:val="0"/>
          <w:numId w:val="113"/>
        </w:numPr>
        <w:tabs>
          <w:tab w:pos="2244" w:val="left" w:leader="none"/>
          <w:tab w:pos="2245" w:val="left" w:leader="none"/>
        </w:tabs>
        <w:spacing w:line="240" w:lineRule="auto" w:before="1" w:after="0"/>
        <w:ind w:left="2244" w:right="0" w:hanging="681"/>
        <w:jc w:val="left"/>
        <w:rPr>
          <w:sz w:val="18"/>
        </w:rPr>
      </w:pPr>
      <w:r>
        <w:rPr>
          <w:w w:val="125"/>
          <w:sz w:val="18"/>
        </w:rPr>
        <w:t>‘Mission Shaped Church’ </w:t>
      </w:r>
      <w:r>
        <w:rPr>
          <w:spacing w:val="2"/>
          <w:w w:val="125"/>
          <w:sz w:val="18"/>
        </w:rPr>
        <w:t>report, </w:t>
      </w:r>
      <w:r>
        <w:rPr>
          <w:w w:val="125"/>
          <w:sz w:val="18"/>
        </w:rPr>
        <w:t>2004,</w:t>
      </w:r>
      <w:r>
        <w:rPr>
          <w:spacing w:val="-4"/>
          <w:w w:val="125"/>
          <w:sz w:val="18"/>
        </w:rPr>
        <w:t> </w:t>
      </w:r>
      <w:r>
        <w:rPr>
          <w:spacing w:val="-13"/>
          <w:w w:val="125"/>
          <w:sz w:val="18"/>
        </w:rPr>
        <w:t>p147.</w:t>
      </w:r>
    </w:p>
    <w:p>
      <w:pPr>
        <w:pStyle w:val="ListParagraph"/>
        <w:numPr>
          <w:ilvl w:val="0"/>
          <w:numId w:val="113"/>
        </w:numPr>
        <w:tabs>
          <w:tab w:pos="2244" w:val="left" w:leader="none"/>
          <w:tab w:pos="2245" w:val="left" w:leader="none"/>
        </w:tabs>
        <w:spacing w:line="240" w:lineRule="auto" w:before="20" w:after="0"/>
        <w:ind w:left="2244" w:right="0" w:hanging="681"/>
        <w:jc w:val="left"/>
        <w:rPr>
          <w:sz w:val="18"/>
        </w:rPr>
      </w:pPr>
      <w:r>
        <w:rPr>
          <w:i/>
          <w:w w:val="115"/>
          <w:sz w:val="18"/>
        </w:rPr>
        <w:t>A Discipling Presence</w:t>
      </w:r>
      <w:r>
        <w:rPr>
          <w:w w:val="115"/>
          <w:sz w:val="18"/>
        </w:rPr>
        <w:t>, </w:t>
      </w:r>
      <w:r>
        <w:rPr>
          <w:spacing w:val="-10"/>
          <w:w w:val="115"/>
          <w:sz w:val="18"/>
        </w:rPr>
        <w:t>2017,</w:t>
      </w:r>
      <w:r>
        <w:rPr>
          <w:spacing w:val="11"/>
          <w:w w:val="115"/>
          <w:sz w:val="18"/>
        </w:rPr>
        <w:t> </w:t>
      </w:r>
      <w:r>
        <w:rPr>
          <w:spacing w:val="-11"/>
          <w:w w:val="115"/>
          <w:sz w:val="18"/>
        </w:rPr>
        <w:t>p11.</w:t>
      </w:r>
    </w:p>
    <w:p>
      <w:pPr>
        <w:spacing w:after="0" w:line="240" w:lineRule="auto"/>
        <w:jc w:val="left"/>
        <w:rPr>
          <w:sz w:val="18"/>
        </w:rPr>
        <w:sectPr>
          <w:headerReference w:type="default" r:id="rId427"/>
          <w:footerReference w:type="default" r:id="rId428"/>
          <w:footerReference w:type="even" r:id="rId429"/>
          <w:pgSz w:w="11910" w:h="16840"/>
          <w:pgMar w:header="0" w:footer="647" w:top="0" w:bottom="840" w:left="420" w:right="380"/>
          <w:pgNumType w:start="157"/>
        </w:sectPr>
      </w:pPr>
    </w:p>
    <w:p>
      <w:pPr>
        <w:pStyle w:val="BodyText"/>
      </w:pPr>
      <w:r>
        <w:rPr/>
        <w:drawing>
          <wp:anchor distT="0" distB="0" distL="0" distR="0" allowOverlap="1" layoutInCell="1" locked="0" behindDoc="1" simplePos="0" relativeHeight="236101632">
            <wp:simplePos x="0" y="0"/>
            <wp:positionH relativeFrom="page">
              <wp:posOffset>0</wp:posOffset>
            </wp:positionH>
            <wp:positionV relativeFrom="page">
              <wp:posOffset>0</wp:posOffset>
            </wp:positionV>
            <wp:extent cx="594067" cy="10692003"/>
            <wp:effectExtent l="0" t="0" r="0" b="0"/>
            <wp:wrapNone/>
            <wp:docPr id="305" name="image70.png"/>
            <wp:cNvGraphicFramePr>
              <a:graphicFrameLocks noChangeAspect="1"/>
            </wp:cNvGraphicFramePr>
            <a:graphic>
              <a:graphicData uri="http://schemas.openxmlformats.org/drawingml/2006/picture">
                <pic:pic>
                  <pic:nvPicPr>
                    <pic:cNvPr id="306"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80.1pt;mso-position-horizontal-relative:page;mso-position-vertical-relative:paragraph;z-index:252069888" type="#_x0000_t202" filled="false" stroked="false">
            <v:textbox inset="0,0,0,0" style="layout-flow:vertical">
              <w:txbxContent>
                <w:p>
                  <w:pPr>
                    <w:spacing w:before="29"/>
                    <w:ind w:left="20" w:right="0" w:firstLine="0"/>
                    <w:jc w:val="left"/>
                    <w:rPr>
                      <w:sz w:val="39"/>
                    </w:rPr>
                  </w:pPr>
                  <w:r>
                    <w:rPr>
                      <w:color w:val="FFFFFF"/>
                      <w:w w:val="120"/>
                      <w:sz w:val="39"/>
                    </w:rPr>
                    <w:t>Mission</w:t>
                  </w:r>
                </w:p>
              </w:txbxContent>
            </v:textbox>
            <w10:wrap type="none"/>
          </v:shape>
        </w:pict>
      </w:r>
      <w:r>
        <w:rPr>
          <w:color w:val="7EAABF"/>
          <w:w w:val="115"/>
        </w:rPr>
        <w:t>Mission</w:t>
      </w:r>
    </w:p>
    <w:p>
      <w:pPr>
        <w:pStyle w:val="ListParagraph"/>
        <w:numPr>
          <w:ilvl w:val="1"/>
          <w:numId w:val="112"/>
        </w:numPr>
        <w:tabs>
          <w:tab w:pos="1507" w:val="left" w:leader="none"/>
          <w:tab w:pos="1508" w:val="left" w:leader="none"/>
        </w:tabs>
        <w:spacing w:line="235" w:lineRule="auto" w:before="222" w:after="0"/>
        <w:ind w:left="827" w:right="1729" w:firstLine="0"/>
        <w:jc w:val="left"/>
        <w:rPr>
          <w:sz w:val="20"/>
        </w:rPr>
      </w:pPr>
      <w:r>
        <w:rPr>
          <w:w w:val="120"/>
          <w:sz w:val="20"/>
        </w:rPr>
        <w:t>The resource describes what a discipling presence might look like and includes material on context, ecumenical cooperation, worship, missional use of buildings, community engagement, discipleship and children and young people. The resource    fits well with the </w:t>
      </w:r>
      <w:r>
        <w:rPr>
          <w:spacing w:val="-3"/>
          <w:w w:val="120"/>
          <w:sz w:val="20"/>
        </w:rPr>
        <w:t>URC’s </w:t>
      </w:r>
      <w:r>
        <w:rPr>
          <w:w w:val="120"/>
          <w:sz w:val="20"/>
        </w:rPr>
        <w:t>missional discipleship focus, ‘Walking the Way: Living the life of Jesus today’ and is warmly recommended to local churches and</w:t>
      </w:r>
      <w:r>
        <w:rPr>
          <w:spacing w:val="28"/>
          <w:w w:val="120"/>
          <w:sz w:val="20"/>
        </w:rPr>
        <w:t> </w:t>
      </w:r>
      <w:r>
        <w:rPr>
          <w:w w:val="120"/>
          <w:sz w:val="20"/>
        </w:rPr>
        <w:t>synods.</w:t>
      </w:r>
    </w:p>
    <w:p>
      <w:pPr>
        <w:pStyle w:val="BodyText"/>
        <w:spacing w:before="11"/>
        <w:rPr>
          <w:sz w:val="19"/>
        </w:rPr>
      </w:pPr>
    </w:p>
    <w:p>
      <w:pPr>
        <w:pStyle w:val="ListParagraph"/>
        <w:numPr>
          <w:ilvl w:val="1"/>
          <w:numId w:val="112"/>
        </w:numPr>
        <w:tabs>
          <w:tab w:pos="1507" w:val="left" w:leader="none"/>
          <w:tab w:pos="1508" w:val="left" w:leader="none"/>
        </w:tabs>
        <w:spacing w:line="235" w:lineRule="auto" w:before="0" w:after="0"/>
        <w:ind w:left="827" w:right="1724" w:firstLine="0"/>
        <w:jc w:val="left"/>
        <w:rPr>
          <w:sz w:val="20"/>
        </w:rPr>
      </w:pPr>
      <w:r>
        <w:rPr>
          <w:w w:val="120"/>
          <w:sz w:val="20"/>
        </w:rPr>
        <w:t>Church buildings can feel like a burden sometimes rather than a blessing. The National Rural Officer has written a resource, called ‘Open </w:t>
      </w:r>
      <w:r>
        <w:rPr>
          <w:spacing w:val="-4"/>
          <w:w w:val="120"/>
          <w:sz w:val="20"/>
        </w:rPr>
        <w:t>Welcome’,  </w:t>
      </w:r>
      <w:r>
        <w:rPr>
          <w:w w:val="120"/>
          <w:sz w:val="20"/>
        </w:rPr>
        <w:t>which reflects  on the ideas of sacred space and how we can use the buildings we have in a missional </w:t>
      </w:r>
      <w:r>
        <w:rPr>
          <w:spacing w:val="-4"/>
          <w:w w:val="120"/>
          <w:sz w:val="20"/>
        </w:rPr>
        <w:t>way. </w:t>
      </w:r>
      <w:r>
        <w:rPr>
          <w:w w:val="120"/>
          <w:sz w:val="20"/>
        </w:rPr>
        <w:t>A recent survey by the National Churches Trust found that </w:t>
      </w:r>
      <w:r>
        <w:rPr>
          <w:spacing w:val="-4"/>
          <w:w w:val="120"/>
          <w:sz w:val="20"/>
        </w:rPr>
        <w:t>57% </w:t>
      </w:r>
      <w:r>
        <w:rPr>
          <w:w w:val="120"/>
          <w:sz w:val="20"/>
        </w:rPr>
        <w:t>of British adults said they had visited a church, chapel or meeting house in the last </w:t>
      </w:r>
      <w:r>
        <w:rPr>
          <w:spacing w:val="-4"/>
          <w:w w:val="120"/>
          <w:sz w:val="20"/>
        </w:rPr>
        <w:t>year, </w:t>
      </w:r>
      <w:r>
        <w:rPr>
          <w:w w:val="120"/>
          <w:sz w:val="20"/>
        </w:rPr>
        <w:t>equivalent to </w:t>
      </w:r>
      <w:r>
        <w:rPr>
          <w:spacing w:val="-6"/>
          <w:w w:val="120"/>
          <w:sz w:val="20"/>
        </w:rPr>
        <w:t>33  </w:t>
      </w:r>
      <w:r>
        <w:rPr>
          <w:w w:val="120"/>
          <w:sz w:val="20"/>
        </w:rPr>
        <w:t>million people. Clearly this interest in church buildings and heritage is something  we need to be </w:t>
      </w:r>
      <w:r>
        <w:rPr>
          <w:spacing w:val="2"/>
          <w:w w:val="120"/>
          <w:sz w:val="20"/>
        </w:rPr>
        <w:t>part </w:t>
      </w:r>
      <w:r>
        <w:rPr>
          <w:w w:val="120"/>
          <w:sz w:val="20"/>
        </w:rPr>
        <w:t>of. Many of our small rural churches have a </w:t>
      </w:r>
      <w:r>
        <w:rPr>
          <w:spacing w:val="2"/>
          <w:w w:val="120"/>
          <w:sz w:val="20"/>
        </w:rPr>
        <w:t>story </w:t>
      </w:r>
      <w:r>
        <w:rPr>
          <w:w w:val="120"/>
          <w:sz w:val="20"/>
        </w:rPr>
        <w:t>to tell. If we could find out the stories behind our churches they could inspire a new generation. ‘Open Welcome’ looks at some of the reasons why opening your church could be a great idea and provides practical</w:t>
      </w:r>
      <w:r>
        <w:rPr>
          <w:spacing w:val="7"/>
          <w:w w:val="120"/>
          <w:sz w:val="20"/>
        </w:rPr>
        <w:t> </w:t>
      </w:r>
      <w:r>
        <w:rPr>
          <w:w w:val="120"/>
          <w:sz w:val="20"/>
        </w:rPr>
        <w:t>advice.</w:t>
      </w:r>
    </w:p>
    <w:p>
      <w:pPr>
        <w:pStyle w:val="BodyText"/>
        <w:spacing w:before="3"/>
      </w:pPr>
    </w:p>
    <w:p>
      <w:pPr>
        <w:pStyle w:val="ListParagraph"/>
        <w:numPr>
          <w:ilvl w:val="1"/>
          <w:numId w:val="112"/>
        </w:numPr>
        <w:tabs>
          <w:tab w:pos="1507" w:val="left" w:leader="none"/>
          <w:tab w:pos="1508" w:val="left" w:leader="none"/>
        </w:tabs>
        <w:spacing w:line="235" w:lineRule="auto" w:before="0" w:after="0"/>
        <w:ind w:left="827" w:right="1707" w:firstLine="0"/>
        <w:jc w:val="left"/>
        <w:rPr>
          <w:sz w:val="20"/>
        </w:rPr>
      </w:pPr>
      <w:r>
        <w:rPr>
          <w:w w:val="120"/>
          <w:sz w:val="20"/>
        </w:rPr>
        <w:t>Rural Mission </w:t>
      </w:r>
      <w:r>
        <w:rPr>
          <w:spacing w:val="-3"/>
          <w:w w:val="120"/>
          <w:sz w:val="20"/>
        </w:rPr>
        <w:t>Sunday, </w:t>
      </w:r>
      <w:r>
        <w:rPr>
          <w:w w:val="120"/>
          <w:sz w:val="20"/>
        </w:rPr>
        <w:t>now in its fourth </w:t>
      </w:r>
      <w:r>
        <w:rPr>
          <w:spacing w:val="-4"/>
          <w:w w:val="120"/>
          <w:sz w:val="20"/>
        </w:rPr>
        <w:t>year, </w:t>
      </w:r>
      <w:r>
        <w:rPr>
          <w:w w:val="120"/>
          <w:sz w:val="20"/>
        </w:rPr>
        <w:t>is an opportunity for rural churches to celebrate who they are and to challenge themselves to do something </w:t>
      </w:r>
      <w:r>
        <w:rPr>
          <w:spacing w:val="-3"/>
          <w:w w:val="120"/>
          <w:sz w:val="20"/>
        </w:rPr>
        <w:t>new.</w:t>
      </w:r>
      <w:r>
        <w:rPr>
          <w:spacing w:val="46"/>
          <w:w w:val="120"/>
          <w:sz w:val="20"/>
        </w:rPr>
        <w:t> </w:t>
      </w:r>
      <w:r>
        <w:rPr>
          <w:w w:val="120"/>
          <w:sz w:val="20"/>
        </w:rPr>
        <w:t>This</w:t>
      </w:r>
    </w:p>
    <w:p>
      <w:pPr>
        <w:pStyle w:val="BodyText"/>
        <w:spacing w:line="235" w:lineRule="auto" w:before="2"/>
        <w:ind w:left="827" w:right="1678"/>
      </w:pPr>
      <w:r>
        <w:rPr>
          <w:w w:val="120"/>
        </w:rPr>
        <w:t>year the theme is ‘Growing </w:t>
      </w:r>
      <w:r>
        <w:rPr>
          <w:spacing w:val="-3"/>
          <w:w w:val="120"/>
        </w:rPr>
        <w:t>Together’, </w:t>
      </w:r>
      <w:r>
        <w:rPr>
          <w:w w:val="120"/>
        </w:rPr>
        <w:t>growing as individuals and as churches across denominations and communities. The date is </w:t>
      </w:r>
      <w:r>
        <w:rPr>
          <w:spacing w:val="-9"/>
          <w:w w:val="120"/>
        </w:rPr>
        <w:t>15 </w:t>
      </w:r>
      <w:r>
        <w:rPr>
          <w:w w:val="120"/>
        </w:rPr>
        <w:t>July but the material can be used at any time. Participation continues to grow: 300 churches signed up last </w:t>
      </w:r>
      <w:r>
        <w:rPr>
          <w:spacing w:val="-4"/>
          <w:w w:val="120"/>
        </w:rPr>
        <w:t>year. </w:t>
      </w:r>
      <w:r>
        <w:rPr>
          <w:w w:val="120"/>
        </w:rPr>
        <w:t>Materials will  be available from</w:t>
      </w:r>
      <w:r>
        <w:rPr>
          <w:spacing w:val="6"/>
          <w:w w:val="120"/>
        </w:rPr>
        <w:t> </w:t>
      </w:r>
      <w:hyperlink r:id="rId431">
        <w:r>
          <w:rPr>
            <w:w w:val="120"/>
          </w:rPr>
          <w:t>www.germinate.net.</w:t>
        </w:r>
      </w:hyperlink>
    </w:p>
    <w:p>
      <w:pPr>
        <w:pStyle w:val="BodyText"/>
        <w:spacing w:before="10"/>
        <w:rPr>
          <w:sz w:val="19"/>
        </w:rPr>
      </w:pPr>
    </w:p>
    <w:p>
      <w:pPr>
        <w:pStyle w:val="ListParagraph"/>
        <w:numPr>
          <w:ilvl w:val="1"/>
          <w:numId w:val="112"/>
        </w:numPr>
        <w:tabs>
          <w:tab w:pos="1507" w:val="left" w:leader="none"/>
          <w:tab w:pos="1508" w:val="left" w:leader="none"/>
        </w:tabs>
        <w:spacing w:line="235" w:lineRule="auto" w:before="1" w:after="0"/>
        <w:ind w:left="827" w:right="1863" w:firstLine="0"/>
        <w:jc w:val="left"/>
        <w:rPr>
          <w:sz w:val="20"/>
        </w:rPr>
      </w:pPr>
      <w:r>
        <w:rPr>
          <w:w w:val="120"/>
          <w:sz w:val="20"/>
        </w:rPr>
        <w:t>For three years we have been sending all full-time Methodist ministry students on a rural placement to give them a taste of rural issues and rural ministry. This has had a positive effect on helping people consider rural ministry. We are involved</w:t>
      </w:r>
      <w:r>
        <w:rPr>
          <w:spacing w:val="44"/>
          <w:w w:val="120"/>
          <w:sz w:val="20"/>
        </w:rPr>
        <w:t> </w:t>
      </w:r>
      <w:r>
        <w:rPr>
          <w:w w:val="120"/>
          <w:sz w:val="20"/>
        </w:rPr>
        <w:t>in</w:t>
      </w:r>
    </w:p>
    <w:p>
      <w:pPr>
        <w:pStyle w:val="BodyText"/>
        <w:spacing w:line="235" w:lineRule="auto" w:before="2"/>
        <w:ind w:left="827" w:right="1528"/>
      </w:pPr>
      <w:r>
        <w:rPr>
          <w:w w:val="120"/>
        </w:rPr>
        <w:t>conversations with Westminster College to provide a similar experience for URC student ministers, which will hopefully take place this summer.</w:t>
      </w:r>
    </w:p>
    <w:p>
      <w:pPr>
        <w:pStyle w:val="BodyText"/>
        <w:spacing w:before="2"/>
        <w:rPr>
          <w:sz w:val="22"/>
        </w:rPr>
      </w:pPr>
    </w:p>
    <w:p>
      <w:pPr>
        <w:pStyle w:val="Heading4"/>
        <w:ind w:firstLine="0"/>
      </w:pPr>
      <w:r>
        <w:rPr>
          <w:w w:val="110"/>
        </w:rPr>
        <w:t>Conclusion</w:t>
      </w:r>
    </w:p>
    <w:p>
      <w:pPr>
        <w:pStyle w:val="BodyText"/>
        <w:tabs>
          <w:tab w:pos="1507" w:val="left" w:leader="none"/>
        </w:tabs>
        <w:spacing w:line="235" w:lineRule="auto" w:before="69"/>
        <w:ind w:left="827" w:right="1814"/>
      </w:pPr>
      <w:r>
        <w:rPr>
          <w:spacing w:val="-6"/>
          <w:w w:val="120"/>
        </w:rPr>
        <w:t>8.1</w:t>
        <w:tab/>
      </w:r>
      <w:r>
        <w:rPr>
          <w:w w:val="120"/>
        </w:rPr>
        <w:t>Mission is always about looking to see how God is at work in the world and joining in. God is engaged in the life of the world in rich, broad and diverse ways.     And so, the agenda that we embrace together as a Church is equally multifaceted. The challenges and opportunities are huge. While we are small, our greatest resources are found in the faithful people who serve in and through this Church. We express our thanks to the many people in the synods, networks and churches engaging in mission and to the members of the mission committee and mission</w:t>
      </w:r>
      <w:r>
        <w:rPr>
          <w:spacing w:val="15"/>
          <w:w w:val="120"/>
        </w:rPr>
        <w:t> </w:t>
      </w:r>
      <w:r>
        <w:rPr>
          <w:w w:val="120"/>
        </w:rPr>
        <w:t>team.</w:t>
      </w:r>
    </w:p>
    <w:p>
      <w:pPr>
        <w:pStyle w:val="BodyText"/>
        <w:spacing w:before="1"/>
      </w:pPr>
    </w:p>
    <w:p>
      <w:pPr>
        <w:pStyle w:val="BodyText"/>
        <w:tabs>
          <w:tab w:pos="1507" w:val="left" w:leader="none"/>
        </w:tabs>
        <w:spacing w:line="235" w:lineRule="auto"/>
        <w:ind w:left="827" w:right="1735"/>
      </w:pPr>
      <w:r>
        <w:rPr>
          <w:w w:val="120"/>
        </w:rPr>
        <w:t>8.2.</w:t>
        <w:tab/>
        <w:t>On behalf of the whole Church, we would like to record our special appreciation to the Revd David </w:t>
      </w:r>
      <w:r>
        <w:rPr>
          <w:spacing w:val="-4"/>
          <w:w w:val="120"/>
        </w:rPr>
        <w:t>Tatem, </w:t>
      </w:r>
      <w:r>
        <w:rPr>
          <w:w w:val="120"/>
        </w:rPr>
        <w:t>former Secretary for Ecumenical and Interfaith</w:t>
      </w:r>
      <w:r>
        <w:rPr>
          <w:spacing w:val="13"/>
          <w:w w:val="120"/>
        </w:rPr>
        <w:t> </w:t>
      </w:r>
      <w:r>
        <w:rPr>
          <w:w w:val="120"/>
        </w:rPr>
        <w:t>Relations,</w:t>
      </w:r>
    </w:p>
    <w:p>
      <w:pPr>
        <w:pStyle w:val="BodyText"/>
        <w:spacing w:line="235" w:lineRule="auto" w:before="2"/>
        <w:ind w:left="827" w:right="1754"/>
      </w:pPr>
      <w:r>
        <w:rPr>
          <w:w w:val="120"/>
        </w:rPr>
        <w:t>and Wendy Cooper, former Administrator for Church and Society and a longstanding member of staff at Church House. Both retired in July </w:t>
      </w:r>
      <w:r>
        <w:rPr>
          <w:spacing w:val="-12"/>
          <w:w w:val="120"/>
        </w:rPr>
        <w:t>2017. </w:t>
      </w:r>
      <w:r>
        <w:rPr>
          <w:w w:val="120"/>
        </w:rPr>
        <w:t>In the same month we also bid a fond farewell to Grace Pengelly, Secretary for Church and Society, who moved    to a new post. We thank them for the excellent contribution they have made to the life and work of the</w:t>
      </w:r>
      <w:r>
        <w:rPr>
          <w:spacing w:val="8"/>
          <w:w w:val="120"/>
        </w:rPr>
        <w:t> </w:t>
      </w:r>
      <w:r>
        <w:rPr>
          <w:w w:val="120"/>
        </w:rPr>
        <w:t>URC.</w:t>
      </w:r>
    </w:p>
    <w:p>
      <w:pPr>
        <w:spacing w:after="0" w:line="235" w:lineRule="auto"/>
        <w:sectPr>
          <w:headerReference w:type="even" r:id="rId430"/>
          <w:pgSz w:w="11910" w:h="16840"/>
          <w:pgMar w:header="0" w:footer="647" w:top="0" w:bottom="840" w:left="420" w:right="380"/>
        </w:sectPr>
      </w:pPr>
    </w:p>
    <w:p>
      <w:pPr>
        <w:pStyle w:val="BodyText"/>
      </w:pPr>
      <w:r>
        <w:rPr/>
        <w:pict>
          <v:rect style="position:absolute;margin-left:0pt;margin-top:.000015pt;width:549.207pt;height:841.89pt;mso-position-horizontal-relative:page;mso-position-vertical-relative:page;z-index:-267212800" filled="true" fillcolor="#d4e9f7" stroked="false">
            <v:fill type="solid"/>
            <w10:wrap type="none"/>
          </v:rect>
        </w:pict>
      </w:r>
      <w:r>
        <w:rPr/>
        <w:drawing>
          <wp:anchor distT="0" distB="0" distL="0" distR="0" allowOverlap="1" layoutInCell="1" locked="0" behindDoc="0" simplePos="0" relativeHeight="252071936">
            <wp:simplePos x="0" y="0"/>
            <wp:positionH relativeFrom="page">
              <wp:posOffset>6974928</wp:posOffset>
            </wp:positionH>
            <wp:positionV relativeFrom="page">
              <wp:posOffset>0</wp:posOffset>
            </wp:positionV>
            <wp:extent cx="585063" cy="10692003"/>
            <wp:effectExtent l="0" t="0" r="0" b="0"/>
            <wp:wrapNone/>
            <wp:docPr id="307" name="image57.png"/>
            <wp:cNvGraphicFramePr>
              <a:graphicFrameLocks noChangeAspect="1"/>
            </wp:cNvGraphicFramePr>
            <a:graphic>
              <a:graphicData uri="http://schemas.openxmlformats.org/drawingml/2006/picture">
                <pic:pic>
                  <pic:nvPicPr>
                    <pic:cNvPr id="30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869" w:right="3093"/>
        <w:rPr>
          <w:b/>
        </w:rPr>
      </w:pPr>
      <w:r>
        <w:rPr/>
        <w:pict>
          <v:shape style="position:absolute;margin-left:554.141174pt;margin-top:-5.989334pt;width:26pt;height:381.6pt;mso-position-horizontal-relative:page;mso-position-vertical-relative:paragraph;z-index:252072960" type="#_x0000_t202" filled="false" stroked="false">
            <v:textbox inset="0,0,0,0" style="layout-flow:vertical">
              <w:txbxContent>
                <w:p>
                  <w:pPr>
                    <w:spacing w:before="29"/>
                    <w:ind w:left="20" w:right="0" w:firstLine="0"/>
                    <w:jc w:val="left"/>
                    <w:rPr>
                      <w:sz w:val="39"/>
                    </w:rPr>
                  </w:pPr>
                  <w:r>
                    <w:rPr>
                      <w:color w:val="FFFFFF"/>
                      <w:w w:val="125"/>
                      <w:sz w:val="39"/>
                    </w:rPr>
                    <w:t>Mission – </w:t>
                  </w:r>
                  <w:r>
                    <w:rPr>
                      <w:w w:val="125"/>
                      <w:sz w:val="39"/>
                    </w:rPr>
                    <w:t>Expressing commitment ...</w:t>
                  </w:r>
                </w:p>
              </w:txbxContent>
            </v:textbox>
            <w10:wrap type="none"/>
          </v:shape>
        </w:pict>
      </w:r>
      <w:bookmarkStart w:name="_bookmark27" w:id="36"/>
      <w:bookmarkEnd w:id="36"/>
      <w:r>
        <w:rPr>
          <w:b w:val="0"/>
        </w:rPr>
      </w:r>
      <w:r>
        <w:rPr>
          <w:b/>
          <w:color w:val="0090D4"/>
          <w:spacing w:val="-9"/>
          <w:w w:val="110"/>
        </w:rPr>
        <w:t>Mission </w:t>
      </w:r>
      <w:r>
        <w:rPr>
          <w:b/>
          <w:color w:val="0090D4"/>
          <w:spacing w:val="-10"/>
          <w:w w:val="110"/>
        </w:rPr>
        <w:t>committee </w:t>
      </w:r>
      <w:r>
        <w:rPr>
          <w:b/>
          <w:spacing w:val="-9"/>
          <w:w w:val="110"/>
        </w:rPr>
        <w:t>Expressing</w:t>
      </w:r>
      <w:r>
        <w:rPr>
          <w:b/>
          <w:spacing w:val="128"/>
          <w:w w:val="110"/>
        </w:rPr>
        <w:t> </w:t>
      </w:r>
      <w:r>
        <w:rPr>
          <w:b/>
          <w:spacing w:val="-11"/>
          <w:w w:val="110"/>
        </w:rPr>
        <w:t>commitment </w:t>
      </w:r>
      <w:r>
        <w:rPr>
          <w:b/>
          <w:spacing w:val="-10"/>
          <w:w w:val="110"/>
        </w:rPr>
        <w:t>to </w:t>
      </w:r>
      <w:r>
        <w:rPr>
          <w:b/>
          <w:spacing w:val="-9"/>
          <w:w w:val="110"/>
        </w:rPr>
        <w:t>global </w:t>
      </w:r>
      <w:r>
        <w:rPr>
          <w:b/>
          <w:spacing w:val="-7"/>
          <w:w w:val="110"/>
        </w:rPr>
        <w:t>and </w:t>
      </w:r>
      <w:r>
        <w:rPr>
          <w:b/>
          <w:spacing w:val="-12"/>
          <w:w w:val="110"/>
        </w:rPr>
        <w:t>intercultural </w:t>
      </w:r>
      <w:r>
        <w:rPr>
          <w:b/>
          <w:spacing w:val="-10"/>
          <w:w w:val="110"/>
        </w:rPr>
        <w:t>ministries</w:t>
      </w:r>
    </w:p>
    <w:p>
      <w:pPr>
        <w:spacing w:before="352" w:after="10"/>
        <w:ind w:left="869"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87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325"/>
        <w:gridCol w:w="7371"/>
      </w:tblGrid>
      <w:tr>
        <w:trPr>
          <w:trHeight w:val="646" w:hRule="atLeast"/>
        </w:trPr>
        <w:tc>
          <w:tcPr>
            <w:tcW w:w="2325" w:type="dxa"/>
            <w:shd w:val="clear" w:color="auto" w:fill="FFFFFF"/>
          </w:tcPr>
          <w:p>
            <w:pPr>
              <w:pStyle w:val="TableParagraph"/>
              <w:spacing w:line="213" w:lineRule="auto" w:before="117"/>
              <w:ind w:left="80" w:right="260"/>
              <w:rPr>
                <w:rFonts w:ascii="Stone Sans II ITC Std Bk"/>
                <w:b/>
                <w:sz w:val="20"/>
              </w:rPr>
            </w:pPr>
            <w:r>
              <w:rPr>
                <w:rFonts w:ascii="Stone Sans II ITC Std Bk"/>
                <w:b/>
                <w:w w:val="110"/>
                <w:sz w:val="20"/>
              </w:rPr>
              <w:t>Contact name and email address</w:t>
            </w:r>
          </w:p>
        </w:tc>
        <w:tc>
          <w:tcPr>
            <w:tcW w:w="7371" w:type="dxa"/>
            <w:shd w:val="clear" w:color="auto" w:fill="FFFFFF"/>
          </w:tcPr>
          <w:p>
            <w:pPr>
              <w:pStyle w:val="TableParagraph"/>
              <w:spacing w:line="235" w:lineRule="auto" w:before="111"/>
              <w:ind w:left="79" w:right="2199"/>
              <w:rPr>
                <w:sz w:val="20"/>
              </w:rPr>
            </w:pPr>
            <w:r>
              <w:rPr>
                <w:w w:val="120"/>
                <w:sz w:val="20"/>
              </w:rPr>
              <w:t>Bernie Collins: </w:t>
            </w:r>
            <w:hyperlink r:id="rId387">
              <w:r>
                <w:rPr>
                  <w:color w:val="006AB3"/>
                  <w:w w:val="120"/>
                  <w:sz w:val="20"/>
                </w:rPr>
                <w:t>bernie.collins@thecrocker.net</w:t>
              </w:r>
            </w:hyperlink>
            <w:r>
              <w:rPr>
                <w:color w:val="006AB3"/>
                <w:w w:val="120"/>
                <w:sz w:val="20"/>
              </w:rPr>
              <w:t> </w:t>
            </w:r>
            <w:r>
              <w:rPr>
                <w:w w:val="120"/>
                <w:sz w:val="20"/>
              </w:rPr>
              <w:t>Michael Jagessar: </w:t>
            </w:r>
            <w:hyperlink r:id="rId434">
              <w:r>
                <w:rPr>
                  <w:color w:val="006AB3"/>
                  <w:w w:val="120"/>
                  <w:sz w:val="20"/>
                </w:rPr>
                <w:t>michael.jagessar@urc.org.uk</w:t>
              </w:r>
            </w:hyperlink>
          </w:p>
        </w:tc>
      </w:tr>
      <w:tr>
        <w:trPr>
          <w:trHeight w:val="406" w:hRule="atLeast"/>
        </w:trPr>
        <w:tc>
          <w:tcPr>
            <w:tcW w:w="2325" w:type="dxa"/>
            <w:shd w:val="clear" w:color="auto" w:fill="FFFFFF"/>
          </w:tcPr>
          <w:p>
            <w:pPr>
              <w:pStyle w:val="TableParagraph"/>
              <w:spacing w:before="95"/>
              <w:ind w:left="80"/>
              <w:rPr>
                <w:rFonts w:ascii="Stone Sans II ITC Std Bk"/>
                <w:b/>
                <w:sz w:val="20"/>
              </w:rPr>
            </w:pPr>
            <w:r>
              <w:rPr>
                <w:rFonts w:ascii="Stone Sans II ITC Std Bk"/>
                <w:b/>
                <w:w w:val="110"/>
                <w:sz w:val="20"/>
              </w:rPr>
              <w:t>Action required</w:t>
            </w:r>
          </w:p>
        </w:tc>
        <w:tc>
          <w:tcPr>
            <w:tcW w:w="7371" w:type="dxa"/>
            <w:shd w:val="clear" w:color="auto" w:fill="FFFFFF"/>
          </w:tcPr>
          <w:p>
            <w:pPr>
              <w:pStyle w:val="TableParagraph"/>
              <w:spacing w:before="107"/>
              <w:ind w:left="79"/>
              <w:rPr>
                <w:sz w:val="20"/>
              </w:rPr>
            </w:pPr>
            <w:r>
              <w:rPr>
                <w:w w:val="120"/>
                <w:sz w:val="20"/>
              </w:rPr>
              <w:t>Decision.</w:t>
            </w:r>
          </w:p>
        </w:tc>
      </w:tr>
      <w:tr>
        <w:trPr>
          <w:trHeight w:val="3766" w:hRule="atLeast"/>
        </w:trPr>
        <w:tc>
          <w:tcPr>
            <w:tcW w:w="2325" w:type="dxa"/>
            <w:shd w:val="clear" w:color="auto" w:fill="FFFFFF"/>
          </w:tcPr>
          <w:p>
            <w:pPr>
              <w:pStyle w:val="TableParagraph"/>
              <w:spacing w:before="95"/>
              <w:ind w:left="80"/>
              <w:rPr>
                <w:rFonts w:ascii="Stone Sans II ITC Std Bk"/>
                <w:b/>
                <w:sz w:val="20"/>
              </w:rPr>
            </w:pPr>
            <w:r>
              <w:rPr>
                <w:rFonts w:ascii="Stone Sans II ITC Std Bk"/>
                <w:b/>
                <w:w w:val="110"/>
                <w:sz w:val="20"/>
              </w:rPr>
              <w:t>Draft resolution(s)</w:t>
            </w:r>
          </w:p>
        </w:tc>
        <w:tc>
          <w:tcPr>
            <w:tcW w:w="7371" w:type="dxa"/>
            <w:shd w:val="clear" w:color="auto" w:fill="FFFFFF"/>
          </w:tcPr>
          <w:p>
            <w:pPr>
              <w:pStyle w:val="TableParagraph"/>
              <w:tabs>
                <w:tab w:pos="760" w:val="left" w:leader="none"/>
              </w:tabs>
              <w:spacing w:line="255" w:lineRule="exact" w:before="95"/>
              <w:ind w:left="79"/>
              <w:rPr>
                <w:rFonts w:ascii="Stone Sans II ITC Std Bk"/>
                <w:b/>
                <w:sz w:val="20"/>
              </w:rPr>
            </w:pPr>
            <w:r>
              <w:rPr>
                <w:rFonts w:ascii="Stone Sans II ITC Std Bk"/>
                <w:b/>
                <w:w w:val="110"/>
                <w:sz w:val="20"/>
              </w:rPr>
              <w:t>31.</w:t>
              <w:tab/>
              <w:t>General</w:t>
            </w:r>
            <w:r>
              <w:rPr>
                <w:rFonts w:ascii="Stone Sans II ITC Std Bk"/>
                <w:b/>
                <w:spacing w:val="11"/>
                <w:w w:val="110"/>
                <w:sz w:val="20"/>
              </w:rPr>
              <w:t> </w:t>
            </w:r>
            <w:r>
              <w:rPr>
                <w:rFonts w:ascii="Stone Sans II ITC Std Bk"/>
                <w:b/>
                <w:w w:val="110"/>
                <w:sz w:val="20"/>
              </w:rPr>
              <w:t>Assembly:</w:t>
            </w:r>
          </w:p>
          <w:p>
            <w:pPr>
              <w:pStyle w:val="TableParagraph"/>
              <w:numPr>
                <w:ilvl w:val="0"/>
                <w:numId w:val="114"/>
              </w:numPr>
              <w:tabs>
                <w:tab w:pos="760" w:val="left" w:leader="none"/>
                <w:tab w:pos="761" w:val="left" w:leader="none"/>
              </w:tabs>
              <w:spacing w:line="213" w:lineRule="auto" w:before="7" w:after="0"/>
              <w:ind w:left="760" w:right="412" w:hanging="681"/>
              <w:jc w:val="left"/>
              <w:rPr>
                <w:rFonts w:ascii="Stone Sans II ITC Std Bk"/>
                <w:b/>
                <w:sz w:val="20"/>
              </w:rPr>
            </w:pPr>
            <w:r>
              <w:rPr>
                <w:rFonts w:ascii="Stone Sans II ITC Std Bk"/>
                <w:b/>
                <w:w w:val="110"/>
                <w:sz w:val="20"/>
              </w:rPr>
              <w:t>reaffirms its longstanding commitment to engage with global and intercultural themes (including justice, peace, partnerships, mutuality in giving and receiving, solidarity and discipleship) and its desire to make this engagement integral to the whole life of the United Reformed</w:t>
            </w:r>
            <w:r>
              <w:rPr>
                <w:rFonts w:ascii="Stone Sans II ITC Std Bk"/>
                <w:b/>
                <w:spacing w:val="5"/>
                <w:w w:val="110"/>
                <w:sz w:val="20"/>
              </w:rPr>
              <w:t> </w:t>
            </w:r>
            <w:r>
              <w:rPr>
                <w:rFonts w:ascii="Stone Sans II ITC Std Bk"/>
                <w:b/>
                <w:w w:val="110"/>
                <w:sz w:val="20"/>
              </w:rPr>
              <w:t>Church;</w:t>
            </w:r>
          </w:p>
          <w:p>
            <w:pPr>
              <w:pStyle w:val="TableParagraph"/>
              <w:spacing w:before="6"/>
              <w:rPr>
                <w:rFonts w:ascii="Stone Sans II ITC Std Bk"/>
                <w:b/>
                <w:sz w:val="17"/>
              </w:rPr>
            </w:pPr>
          </w:p>
          <w:p>
            <w:pPr>
              <w:pStyle w:val="TableParagraph"/>
              <w:numPr>
                <w:ilvl w:val="0"/>
                <w:numId w:val="114"/>
              </w:numPr>
              <w:tabs>
                <w:tab w:pos="760" w:val="left" w:leader="none"/>
                <w:tab w:pos="761" w:val="left" w:leader="none"/>
              </w:tabs>
              <w:spacing w:line="213" w:lineRule="auto" w:before="1" w:after="0"/>
              <w:ind w:left="760" w:right="68" w:hanging="681"/>
              <w:jc w:val="left"/>
              <w:rPr>
                <w:rFonts w:ascii="Stone Sans II ITC Std Bk"/>
                <w:b/>
                <w:sz w:val="20"/>
              </w:rPr>
            </w:pPr>
            <w:r>
              <w:rPr>
                <w:rFonts w:ascii="Stone Sans II ITC Std Bk"/>
                <w:b/>
                <w:w w:val="110"/>
                <w:sz w:val="20"/>
              </w:rPr>
              <w:t>encourages synods in their mission and ministry to recommit to give appropriate time </w:t>
            </w:r>
            <w:r>
              <w:rPr>
                <w:rFonts w:ascii="Stone Sans II ITC Std Bk"/>
                <w:b/>
                <w:spacing w:val="-4"/>
                <w:w w:val="110"/>
                <w:sz w:val="20"/>
              </w:rPr>
              <w:t>for, </w:t>
            </w:r>
            <w:r>
              <w:rPr>
                <w:rFonts w:ascii="Stone Sans II ITC Std Bk"/>
                <w:b/>
                <w:w w:val="110"/>
                <w:sz w:val="20"/>
              </w:rPr>
              <w:t>and attention and intention </w:t>
            </w:r>
            <w:r>
              <w:rPr>
                <w:rFonts w:ascii="Stone Sans II ITC Std Bk"/>
                <w:b/>
                <w:spacing w:val="-3"/>
                <w:w w:val="110"/>
                <w:sz w:val="20"/>
              </w:rPr>
              <w:t>to, </w:t>
            </w:r>
            <w:r>
              <w:rPr>
                <w:rFonts w:ascii="Stone Sans II ITC Std Bk"/>
                <w:b/>
                <w:w w:val="110"/>
                <w:sz w:val="20"/>
              </w:rPr>
              <w:t>the sharing and development of these</w:t>
            </w:r>
            <w:r>
              <w:rPr>
                <w:rFonts w:ascii="Stone Sans II ITC Std Bk"/>
                <w:b/>
                <w:spacing w:val="-1"/>
                <w:w w:val="110"/>
                <w:sz w:val="20"/>
              </w:rPr>
              <w:t> </w:t>
            </w:r>
            <w:r>
              <w:rPr>
                <w:rFonts w:ascii="Stone Sans II ITC Std Bk"/>
                <w:b/>
                <w:w w:val="110"/>
                <w:sz w:val="20"/>
              </w:rPr>
              <w:t>themes;</w:t>
            </w:r>
          </w:p>
          <w:p>
            <w:pPr>
              <w:pStyle w:val="TableParagraph"/>
              <w:spacing w:before="8"/>
              <w:rPr>
                <w:rFonts w:ascii="Stone Sans II ITC Std Bk"/>
                <w:b/>
                <w:sz w:val="17"/>
              </w:rPr>
            </w:pPr>
          </w:p>
          <w:p>
            <w:pPr>
              <w:pStyle w:val="TableParagraph"/>
              <w:numPr>
                <w:ilvl w:val="0"/>
                <w:numId w:val="114"/>
              </w:numPr>
              <w:tabs>
                <w:tab w:pos="760" w:val="left" w:leader="none"/>
                <w:tab w:pos="761" w:val="left" w:leader="none"/>
              </w:tabs>
              <w:spacing w:line="213" w:lineRule="auto" w:before="0" w:after="0"/>
              <w:ind w:left="760" w:right="536" w:hanging="681"/>
              <w:jc w:val="left"/>
              <w:rPr>
                <w:rFonts w:ascii="Stone Sans II ITC Std Bk" w:hAnsi="Stone Sans II ITC Std Bk"/>
                <w:b/>
                <w:sz w:val="20"/>
              </w:rPr>
            </w:pPr>
            <w:r>
              <w:rPr>
                <w:rFonts w:ascii="Stone Sans II ITC Std Bk" w:hAnsi="Stone Sans II ITC Std Bk"/>
                <w:b/>
                <w:w w:val="110"/>
                <w:sz w:val="20"/>
              </w:rPr>
              <w:t>directs Mission Council to reflect and </w:t>
            </w:r>
            <w:r>
              <w:rPr>
                <w:rFonts w:ascii="Stone Sans II ITC Std Bk" w:hAnsi="Stone Sans II ITC Std Bk"/>
                <w:b/>
                <w:spacing w:val="2"/>
                <w:w w:val="110"/>
                <w:sz w:val="20"/>
              </w:rPr>
              <w:t>report </w:t>
            </w:r>
            <w:r>
              <w:rPr>
                <w:rFonts w:ascii="Stone Sans II ITC Std Bk" w:hAnsi="Stone Sans II ITC Std Bk"/>
                <w:b/>
                <w:w w:val="110"/>
                <w:sz w:val="20"/>
              </w:rPr>
              <w:t>to Assembly on how the Church’s agenda and resources (spiritual, human and financial) are deployed to support its global and intercultural</w:t>
            </w:r>
            <w:r>
              <w:rPr>
                <w:rFonts w:ascii="Stone Sans II ITC Std Bk" w:hAnsi="Stone Sans II ITC Std Bk"/>
                <w:b/>
                <w:spacing w:val="-1"/>
                <w:w w:val="110"/>
                <w:sz w:val="20"/>
              </w:rPr>
              <w:t> </w:t>
            </w:r>
            <w:r>
              <w:rPr>
                <w:rFonts w:ascii="Stone Sans II ITC Std Bk" w:hAnsi="Stone Sans II ITC Std Bk"/>
                <w:b/>
                <w:w w:val="110"/>
                <w:sz w:val="20"/>
              </w:rPr>
              <w:t>commitment.</w:t>
            </w:r>
          </w:p>
        </w:tc>
      </w:tr>
    </w:tbl>
    <w:p>
      <w:pPr>
        <w:spacing w:before="187" w:after="9"/>
        <w:ind w:left="869"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87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184"/>
        <w:gridCol w:w="7512"/>
      </w:tblGrid>
      <w:tr>
        <w:trPr>
          <w:trHeight w:val="886" w:hRule="atLeast"/>
        </w:trPr>
        <w:tc>
          <w:tcPr>
            <w:tcW w:w="2184"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7512" w:type="dxa"/>
            <w:shd w:val="clear" w:color="auto" w:fill="FFFFFF"/>
          </w:tcPr>
          <w:p>
            <w:pPr>
              <w:pStyle w:val="TableParagraph"/>
              <w:spacing w:line="235" w:lineRule="auto" w:before="111"/>
              <w:ind w:left="79"/>
              <w:rPr>
                <w:sz w:val="20"/>
              </w:rPr>
            </w:pPr>
            <w:r>
              <w:rPr>
                <w:w w:val="120"/>
                <w:sz w:val="20"/>
              </w:rPr>
              <w:t>A call for renewal of the United Reformed Church’s commitment to the Jesus project of full life for all and the deepening habits that will promote God’s justice for all.</w:t>
            </w:r>
          </w:p>
        </w:tc>
      </w:tr>
      <w:tr>
        <w:trPr>
          <w:trHeight w:val="406" w:hRule="atLeast"/>
        </w:trPr>
        <w:tc>
          <w:tcPr>
            <w:tcW w:w="2184"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7512" w:type="dxa"/>
            <w:shd w:val="clear" w:color="auto" w:fill="FFFFFF"/>
          </w:tcPr>
          <w:p>
            <w:pPr>
              <w:pStyle w:val="TableParagraph"/>
              <w:spacing w:before="107"/>
              <w:ind w:left="79"/>
              <w:rPr>
                <w:sz w:val="20"/>
              </w:rPr>
            </w:pPr>
            <w:r>
              <w:rPr>
                <w:w w:val="120"/>
                <w:sz w:val="20"/>
              </w:rPr>
              <w:t>As per above resolution.</w:t>
            </w:r>
          </w:p>
        </w:tc>
      </w:tr>
      <w:tr>
        <w:trPr>
          <w:trHeight w:val="934" w:hRule="atLeast"/>
        </w:trPr>
        <w:tc>
          <w:tcPr>
            <w:tcW w:w="2184" w:type="dxa"/>
            <w:shd w:val="clear" w:color="auto" w:fill="FFFFFF"/>
          </w:tcPr>
          <w:p>
            <w:pPr>
              <w:pStyle w:val="TableParagraph"/>
              <w:spacing w:line="213" w:lineRule="auto" w:before="117"/>
              <w:ind w:left="80" w:right="225"/>
              <w:rPr>
                <w:rFonts w:ascii="Stone Sans II ITC Std Bk"/>
                <w:b/>
                <w:sz w:val="20"/>
              </w:rPr>
            </w:pPr>
            <w:r>
              <w:rPr>
                <w:rFonts w:ascii="Stone Sans II ITC Std Bk"/>
                <w:b/>
                <w:w w:val="110"/>
                <w:sz w:val="20"/>
              </w:rPr>
              <w:t>Previous relevant documents</w:t>
            </w:r>
          </w:p>
        </w:tc>
        <w:tc>
          <w:tcPr>
            <w:tcW w:w="7512" w:type="dxa"/>
            <w:shd w:val="clear" w:color="auto" w:fill="FFFFFF"/>
          </w:tcPr>
          <w:p>
            <w:pPr>
              <w:pStyle w:val="TableParagraph"/>
              <w:spacing w:line="259" w:lineRule="auto" w:before="108"/>
              <w:ind w:left="80" w:right="69" w:hanging="1"/>
              <w:jc w:val="both"/>
              <w:rPr>
                <w:sz w:val="20"/>
              </w:rPr>
            </w:pPr>
            <w:r>
              <w:rPr>
                <w:spacing w:val="-3"/>
                <w:w w:val="120"/>
                <w:sz w:val="20"/>
              </w:rPr>
              <w:t>Various</w:t>
            </w:r>
            <w:r>
              <w:rPr>
                <w:spacing w:val="-11"/>
                <w:w w:val="120"/>
                <w:sz w:val="20"/>
              </w:rPr>
              <w:t> </w:t>
            </w:r>
            <w:r>
              <w:rPr>
                <w:w w:val="120"/>
                <w:sz w:val="20"/>
              </w:rPr>
              <w:t>relevant</w:t>
            </w:r>
            <w:r>
              <w:rPr>
                <w:spacing w:val="-11"/>
                <w:w w:val="120"/>
                <w:sz w:val="20"/>
              </w:rPr>
              <w:t> </w:t>
            </w:r>
            <w:r>
              <w:rPr>
                <w:w w:val="120"/>
                <w:sz w:val="20"/>
              </w:rPr>
              <w:t>General</w:t>
            </w:r>
            <w:r>
              <w:rPr>
                <w:spacing w:val="-11"/>
                <w:w w:val="120"/>
                <w:sz w:val="20"/>
              </w:rPr>
              <w:t> </w:t>
            </w:r>
            <w:r>
              <w:rPr>
                <w:w w:val="120"/>
                <w:sz w:val="20"/>
              </w:rPr>
              <w:t>Assembly</w:t>
            </w:r>
            <w:r>
              <w:rPr>
                <w:spacing w:val="-10"/>
                <w:w w:val="120"/>
                <w:sz w:val="20"/>
              </w:rPr>
              <w:t> </w:t>
            </w:r>
            <w:r>
              <w:rPr>
                <w:spacing w:val="-3"/>
                <w:w w:val="120"/>
                <w:sz w:val="20"/>
              </w:rPr>
              <w:t>resolutions</w:t>
            </w:r>
            <w:r>
              <w:rPr>
                <w:spacing w:val="-11"/>
                <w:w w:val="120"/>
                <w:sz w:val="20"/>
              </w:rPr>
              <w:t> </w:t>
            </w:r>
            <w:r>
              <w:rPr>
                <w:spacing w:val="-3"/>
                <w:w w:val="120"/>
                <w:sz w:val="20"/>
              </w:rPr>
              <w:t>related</w:t>
            </w:r>
            <w:r>
              <w:rPr>
                <w:spacing w:val="-11"/>
                <w:w w:val="120"/>
                <w:sz w:val="20"/>
              </w:rPr>
              <w:t> </w:t>
            </w:r>
            <w:r>
              <w:rPr>
                <w:spacing w:val="-3"/>
                <w:w w:val="120"/>
                <w:sz w:val="20"/>
              </w:rPr>
              <w:t>to</w:t>
            </w:r>
            <w:r>
              <w:rPr>
                <w:spacing w:val="-11"/>
                <w:w w:val="120"/>
                <w:sz w:val="20"/>
              </w:rPr>
              <w:t> </w:t>
            </w:r>
            <w:r>
              <w:rPr>
                <w:w w:val="120"/>
                <w:sz w:val="20"/>
              </w:rPr>
              <w:t>racial</w:t>
            </w:r>
            <w:r>
              <w:rPr>
                <w:spacing w:val="-10"/>
                <w:w w:val="120"/>
                <w:sz w:val="20"/>
              </w:rPr>
              <w:t> </w:t>
            </w:r>
            <w:r>
              <w:rPr>
                <w:spacing w:val="-3"/>
                <w:w w:val="120"/>
                <w:sz w:val="20"/>
              </w:rPr>
              <w:t>justice,</w:t>
            </w:r>
            <w:r>
              <w:rPr>
                <w:spacing w:val="-11"/>
                <w:w w:val="120"/>
                <w:sz w:val="20"/>
              </w:rPr>
              <w:t> </w:t>
            </w:r>
            <w:r>
              <w:rPr>
                <w:w w:val="120"/>
                <w:sz w:val="20"/>
              </w:rPr>
              <w:t>multi- </w:t>
            </w:r>
            <w:r>
              <w:rPr>
                <w:spacing w:val="-3"/>
                <w:w w:val="120"/>
                <w:sz w:val="20"/>
              </w:rPr>
              <w:t>cultural ministry, </w:t>
            </w:r>
            <w:r>
              <w:rPr>
                <w:w w:val="120"/>
                <w:sz w:val="20"/>
              </w:rPr>
              <w:t>‘Belonging </w:t>
            </w:r>
            <w:r>
              <w:rPr>
                <w:spacing w:val="-3"/>
                <w:w w:val="120"/>
                <w:sz w:val="20"/>
              </w:rPr>
              <w:t>to </w:t>
            </w:r>
            <w:r>
              <w:rPr>
                <w:w w:val="120"/>
                <w:sz w:val="20"/>
              </w:rPr>
              <w:t>the World </w:t>
            </w:r>
            <w:r>
              <w:rPr>
                <w:spacing w:val="-6"/>
                <w:w w:val="120"/>
                <w:sz w:val="20"/>
              </w:rPr>
              <w:t>Church’, </w:t>
            </w:r>
            <w:r>
              <w:rPr>
                <w:w w:val="120"/>
                <w:sz w:val="20"/>
              </w:rPr>
              <w:t>equalities and global and </w:t>
            </w:r>
            <w:r>
              <w:rPr>
                <w:spacing w:val="-3"/>
                <w:w w:val="120"/>
                <w:sz w:val="20"/>
              </w:rPr>
              <w:t>intercultural</w:t>
            </w:r>
            <w:r>
              <w:rPr>
                <w:spacing w:val="5"/>
                <w:w w:val="120"/>
                <w:sz w:val="20"/>
              </w:rPr>
              <w:t> </w:t>
            </w:r>
            <w:r>
              <w:rPr>
                <w:w w:val="120"/>
                <w:sz w:val="20"/>
              </w:rPr>
              <w:t>ministries</w:t>
            </w:r>
            <w:r>
              <w:rPr>
                <w:spacing w:val="5"/>
                <w:w w:val="120"/>
                <w:sz w:val="20"/>
              </w:rPr>
              <w:t> </w:t>
            </w:r>
            <w:r>
              <w:rPr>
                <w:spacing w:val="-7"/>
                <w:w w:val="120"/>
                <w:sz w:val="20"/>
              </w:rPr>
              <w:t>(1990,</w:t>
            </w:r>
            <w:r>
              <w:rPr>
                <w:spacing w:val="5"/>
                <w:w w:val="120"/>
                <w:sz w:val="20"/>
              </w:rPr>
              <w:t> </w:t>
            </w:r>
            <w:r>
              <w:rPr>
                <w:spacing w:val="-7"/>
                <w:w w:val="120"/>
                <w:sz w:val="20"/>
              </w:rPr>
              <w:t>1994,</w:t>
            </w:r>
            <w:r>
              <w:rPr>
                <w:spacing w:val="5"/>
                <w:w w:val="120"/>
                <w:sz w:val="20"/>
              </w:rPr>
              <w:t> </w:t>
            </w:r>
            <w:r>
              <w:rPr>
                <w:spacing w:val="-6"/>
                <w:w w:val="120"/>
                <w:sz w:val="20"/>
              </w:rPr>
              <w:t>1996,</w:t>
            </w:r>
            <w:r>
              <w:rPr>
                <w:spacing w:val="5"/>
                <w:w w:val="120"/>
                <w:sz w:val="20"/>
              </w:rPr>
              <w:t> </w:t>
            </w:r>
            <w:r>
              <w:rPr>
                <w:spacing w:val="-6"/>
                <w:w w:val="120"/>
                <w:sz w:val="20"/>
              </w:rPr>
              <w:t>1998,</w:t>
            </w:r>
            <w:r>
              <w:rPr>
                <w:spacing w:val="5"/>
                <w:w w:val="120"/>
                <w:sz w:val="20"/>
              </w:rPr>
              <w:t> </w:t>
            </w:r>
            <w:r>
              <w:rPr>
                <w:w w:val="120"/>
                <w:sz w:val="20"/>
              </w:rPr>
              <w:t>2004,</w:t>
            </w:r>
            <w:r>
              <w:rPr>
                <w:spacing w:val="6"/>
                <w:w w:val="120"/>
                <w:sz w:val="20"/>
              </w:rPr>
              <w:t> </w:t>
            </w:r>
            <w:r>
              <w:rPr>
                <w:spacing w:val="-3"/>
                <w:w w:val="120"/>
                <w:sz w:val="20"/>
              </w:rPr>
              <w:t>2005,</w:t>
            </w:r>
            <w:r>
              <w:rPr>
                <w:spacing w:val="5"/>
                <w:w w:val="120"/>
                <w:sz w:val="20"/>
              </w:rPr>
              <w:t> </w:t>
            </w:r>
            <w:r>
              <w:rPr>
                <w:spacing w:val="-9"/>
                <w:w w:val="120"/>
                <w:sz w:val="20"/>
              </w:rPr>
              <w:t>2012).</w:t>
            </w:r>
          </w:p>
        </w:tc>
      </w:tr>
      <w:tr>
        <w:trPr>
          <w:trHeight w:val="646" w:hRule="atLeast"/>
        </w:trPr>
        <w:tc>
          <w:tcPr>
            <w:tcW w:w="2184" w:type="dxa"/>
            <w:shd w:val="clear" w:color="auto" w:fill="FFFFFF"/>
          </w:tcPr>
          <w:p>
            <w:pPr>
              <w:pStyle w:val="TableParagraph"/>
              <w:spacing w:line="213" w:lineRule="auto" w:before="117"/>
              <w:ind w:left="80" w:right="100"/>
              <w:rPr>
                <w:rFonts w:ascii="Stone Sans II ITC Std Bk"/>
                <w:b/>
                <w:sz w:val="20"/>
              </w:rPr>
            </w:pPr>
            <w:r>
              <w:rPr>
                <w:rFonts w:ascii="Stone Sans II ITC Std Bk"/>
                <w:b/>
                <w:w w:val="110"/>
                <w:sz w:val="20"/>
              </w:rPr>
              <w:t>Consultation has taken place with...</w:t>
            </w:r>
          </w:p>
        </w:tc>
        <w:tc>
          <w:tcPr>
            <w:tcW w:w="7512" w:type="dxa"/>
            <w:shd w:val="clear" w:color="auto" w:fill="FFFFFF"/>
          </w:tcPr>
          <w:p>
            <w:pPr>
              <w:pStyle w:val="TableParagraph"/>
              <w:spacing w:line="235" w:lineRule="auto" w:before="111"/>
              <w:ind w:left="79" w:right="255"/>
              <w:rPr>
                <w:sz w:val="20"/>
              </w:rPr>
            </w:pPr>
            <w:r>
              <w:rPr>
                <w:w w:val="120"/>
                <w:sz w:val="20"/>
              </w:rPr>
              <w:t>All global and intercultural ministries networks, the mission committee, the General Secretary and the Clerk of General Assembly.</w:t>
            </w:r>
          </w:p>
        </w:tc>
      </w:tr>
    </w:tbl>
    <w:p>
      <w:pPr>
        <w:spacing w:before="187" w:after="9"/>
        <w:ind w:left="869"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87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184"/>
        <w:gridCol w:w="7512"/>
      </w:tblGrid>
      <w:tr>
        <w:trPr>
          <w:trHeight w:val="646" w:hRule="atLeast"/>
        </w:trPr>
        <w:tc>
          <w:tcPr>
            <w:tcW w:w="2184"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7512" w:type="dxa"/>
            <w:shd w:val="clear" w:color="auto" w:fill="FFFFFF"/>
          </w:tcPr>
          <w:p>
            <w:pPr>
              <w:pStyle w:val="TableParagraph"/>
              <w:spacing w:line="235" w:lineRule="auto" w:before="111"/>
              <w:ind w:left="79"/>
              <w:rPr>
                <w:sz w:val="20"/>
              </w:rPr>
            </w:pPr>
            <w:r>
              <w:rPr>
                <w:w w:val="120"/>
                <w:sz w:val="20"/>
              </w:rPr>
              <w:t>A renewed and more intentional commitment to support and benefit from the opportunities provided through global and intercultural ministries.</w:t>
            </w:r>
          </w:p>
        </w:tc>
      </w:tr>
      <w:tr>
        <w:trPr>
          <w:trHeight w:val="886" w:hRule="atLeast"/>
        </w:trPr>
        <w:tc>
          <w:tcPr>
            <w:tcW w:w="2184"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7512" w:type="dxa"/>
            <w:shd w:val="clear" w:color="auto" w:fill="FFFFFF"/>
          </w:tcPr>
          <w:p>
            <w:pPr>
              <w:pStyle w:val="TableParagraph"/>
              <w:spacing w:line="235" w:lineRule="auto" w:before="111"/>
              <w:ind w:left="79" w:right="255"/>
              <w:rPr>
                <w:sz w:val="20"/>
              </w:rPr>
            </w:pPr>
            <w:r>
              <w:rPr>
                <w:w w:val="120"/>
                <w:sz w:val="20"/>
              </w:rPr>
              <w:t>Increasing the integrity of the URC in its unique commitment to the interrelationship between global and intercultural ministries (at home and abroad).</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11"/>
        <w:rPr>
          <w:rFonts w:ascii="Stone Sans II ITC Std Bk"/>
          <w:b/>
          <w:sz w:val="23"/>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159</w:t>
      </w:r>
    </w:p>
    <w:p>
      <w:pPr>
        <w:spacing w:after="0"/>
        <w:jc w:val="left"/>
        <w:rPr>
          <w:rFonts w:ascii="Stone Sans II ITC Std X Bd" w:hAnsi="Stone Sans II ITC Std X Bd"/>
          <w:sz w:val="24"/>
        </w:rPr>
        <w:sectPr>
          <w:headerReference w:type="default" r:id="rId432"/>
          <w:footerReference w:type="default" r:id="rId433"/>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6106752">
            <wp:simplePos x="0" y="0"/>
            <wp:positionH relativeFrom="page">
              <wp:posOffset>0</wp:posOffset>
            </wp:positionH>
            <wp:positionV relativeFrom="page">
              <wp:posOffset>0</wp:posOffset>
            </wp:positionV>
            <wp:extent cx="594067" cy="10692003"/>
            <wp:effectExtent l="0" t="0" r="0" b="0"/>
            <wp:wrapNone/>
            <wp:docPr id="309" name="image70.png"/>
            <wp:cNvGraphicFramePr>
              <a:graphicFrameLocks noChangeAspect="1"/>
            </wp:cNvGraphicFramePr>
            <a:graphic>
              <a:graphicData uri="http://schemas.openxmlformats.org/drawingml/2006/picture">
                <pic:pic>
                  <pic:nvPicPr>
                    <pic:cNvPr id="310" name="image70.png"/>
                    <pic:cNvPicPr/>
                  </pic:nvPicPr>
                  <pic:blipFill>
                    <a:blip r:embed="rId245" cstate="print"/>
                    <a:stretch>
                      <a:fillRect/>
                    </a:stretch>
                  </pic:blipFill>
                  <pic:spPr>
                    <a:xfrm>
                      <a:off x="0" y="0"/>
                      <a:ext cx="594067" cy="10692003"/>
                    </a:xfrm>
                    <a:prstGeom prst="rect">
                      <a:avLst/>
                    </a:prstGeom>
                  </pic:spPr>
                </pic:pic>
              </a:graphicData>
            </a:graphic>
          </wp:anchor>
        </w:drawing>
      </w:r>
      <w:r>
        <w:rPr/>
        <w:pict>
          <v:group style="position:absolute;margin-left:594.776001pt;margin-top:.000015pt;width:1pt;height:841.9pt;mso-position-horizontal-relative:page;mso-position-vertical-relative:page;z-index:252075008" coordorigin="11896,0" coordsize="20,16838">
            <v:line style="position:absolute" from="11906,0" to="11906,16838" stroked="true" strokeweight="0pt" strokecolor="#fef3ec">
              <v:stroke dashstyle="solid"/>
            </v:line>
            <v:line style="position:absolute" from="11906,0" to="11906,16838" stroked="true" strokeweight="1pt" strokecolor="#000000">
              <v:stroke dashstyle="solid"/>
            </v:line>
            <w10:wrap type="none"/>
          </v:group>
        </w:pict>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pStyle w:val="Heading2"/>
        <w:spacing w:line="213" w:lineRule="auto"/>
        <w:ind w:left="1544" w:right="2319" w:hanging="1"/>
        <w:jc w:val="center"/>
        <w:rPr>
          <w:b/>
        </w:rPr>
      </w:pPr>
      <w:r>
        <w:rPr/>
        <w:pict>
          <v:shape style="position:absolute;margin-left:20.519100pt;margin-top:-5.989334pt;width:26pt;height:375.4pt;mso-position-horizontal-relative:page;mso-position-vertical-relative:paragraph;z-index:252076032" type="#_x0000_t202" filled="false" stroked="false">
            <v:textbox inset="0,0,0,0" style="layout-flow:vertical">
              <w:txbxContent>
                <w:p>
                  <w:pPr>
                    <w:spacing w:before="29"/>
                    <w:ind w:left="20" w:right="0" w:firstLine="0"/>
                    <w:jc w:val="left"/>
                    <w:rPr>
                      <w:sz w:val="39"/>
                    </w:rPr>
                  </w:pPr>
                  <w:r>
                    <w:rPr>
                      <w:color w:val="FFFFFF"/>
                      <w:w w:val="125"/>
                      <w:sz w:val="39"/>
                    </w:rPr>
                    <w:t>Mission – </w:t>
                  </w:r>
                  <w:r>
                    <w:rPr>
                      <w:w w:val="125"/>
                      <w:sz w:val="39"/>
                    </w:rPr>
                    <w:t>Expressing commitment...</w:t>
                  </w:r>
                </w:p>
              </w:txbxContent>
            </v:textbox>
            <w10:wrap type="none"/>
          </v:shape>
        </w:pict>
      </w:r>
      <w:bookmarkStart w:name="_TOC_250001" w:id="37"/>
      <w:r>
        <w:rPr>
          <w:b/>
          <w:spacing w:val="-9"/>
          <w:w w:val="110"/>
        </w:rPr>
        <w:t>Expressing  </w:t>
      </w:r>
      <w:r>
        <w:rPr>
          <w:b/>
          <w:spacing w:val="-11"/>
          <w:w w:val="110"/>
        </w:rPr>
        <w:t>commitment </w:t>
      </w:r>
      <w:r>
        <w:rPr>
          <w:b/>
          <w:spacing w:val="-10"/>
          <w:w w:val="110"/>
        </w:rPr>
        <w:t>to </w:t>
      </w:r>
      <w:r>
        <w:rPr>
          <w:b/>
          <w:spacing w:val="-9"/>
          <w:w w:val="110"/>
        </w:rPr>
        <w:t>global </w:t>
      </w:r>
      <w:r>
        <w:rPr>
          <w:b/>
          <w:spacing w:val="-7"/>
          <w:w w:val="110"/>
        </w:rPr>
        <w:t>and </w:t>
      </w:r>
      <w:r>
        <w:rPr>
          <w:b/>
          <w:spacing w:val="-12"/>
          <w:w w:val="110"/>
        </w:rPr>
        <w:t>intercultural </w:t>
      </w:r>
      <w:bookmarkEnd w:id="37"/>
      <w:r>
        <w:rPr>
          <w:b/>
          <w:spacing w:val="-10"/>
          <w:w w:val="110"/>
        </w:rPr>
        <w:t>ministries</w:t>
      </w:r>
    </w:p>
    <w:p>
      <w:pPr>
        <w:pStyle w:val="ListParagraph"/>
        <w:numPr>
          <w:ilvl w:val="0"/>
          <w:numId w:val="115"/>
        </w:numPr>
        <w:tabs>
          <w:tab w:pos="1507" w:val="left" w:leader="none"/>
          <w:tab w:pos="1508" w:val="left" w:leader="none"/>
        </w:tabs>
        <w:spacing w:line="235" w:lineRule="auto" w:before="381" w:after="0"/>
        <w:ind w:left="827" w:right="1734" w:firstLine="0"/>
        <w:jc w:val="left"/>
        <w:rPr>
          <w:sz w:val="20"/>
        </w:rPr>
      </w:pPr>
      <w:r>
        <w:rPr>
          <w:w w:val="120"/>
          <w:sz w:val="20"/>
        </w:rPr>
        <w:t>From as early as </w:t>
      </w:r>
      <w:r>
        <w:rPr>
          <w:spacing w:val="-11"/>
          <w:w w:val="120"/>
          <w:sz w:val="20"/>
        </w:rPr>
        <w:t>1987, </w:t>
      </w:r>
      <w:r>
        <w:rPr>
          <w:w w:val="120"/>
          <w:sz w:val="20"/>
        </w:rPr>
        <w:t>the United Reformed Church took a public stand against racism and all related forms of discrimination. Likewise, the URC </w:t>
      </w:r>
      <w:r>
        <w:rPr>
          <w:spacing w:val="-5"/>
          <w:w w:val="120"/>
          <w:sz w:val="20"/>
        </w:rPr>
        <w:t>(and </w:t>
      </w:r>
      <w:r>
        <w:rPr>
          <w:w w:val="120"/>
          <w:sz w:val="20"/>
        </w:rPr>
        <w:t>its predecessors) has always valued being </w:t>
      </w:r>
      <w:r>
        <w:rPr>
          <w:spacing w:val="2"/>
          <w:w w:val="120"/>
          <w:sz w:val="20"/>
        </w:rPr>
        <w:t>part </w:t>
      </w:r>
      <w:r>
        <w:rPr>
          <w:w w:val="120"/>
          <w:sz w:val="20"/>
        </w:rPr>
        <w:t>of a global Church. Consequent General Assembly resolutions have seen us declaring ourselves an equal opportunities organisation </w:t>
      </w:r>
      <w:r>
        <w:rPr>
          <w:spacing w:val="-7"/>
          <w:w w:val="120"/>
          <w:sz w:val="20"/>
        </w:rPr>
        <w:t>(1990),  </w:t>
      </w:r>
      <w:r>
        <w:rPr>
          <w:w w:val="120"/>
          <w:sz w:val="20"/>
        </w:rPr>
        <w:t>affirming the diverse cultural make up of our congregations </w:t>
      </w:r>
      <w:r>
        <w:rPr>
          <w:spacing w:val="-7"/>
          <w:w w:val="120"/>
          <w:sz w:val="20"/>
        </w:rPr>
        <w:t>(1994),  </w:t>
      </w:r>
      <w:r>
        <w:rPr>
          <w:w w:val="120"/>
          <w:sz w:val="20"/>
        </w:rPr>
        <w:t>endorsing   a specialised multiracial-multicultural ministry </w:t>
      </w:r>
      <w:r>
        <w:rPr>
          <w:spacing w:val="-6"/>
          <w:w w:val="120"/>
          <w:sz w:val="20"/>
        </w:rPr>
        <w:t>(1996), </w:t>
      </w:r>
      <w:r>
        <w:rPr>
          <w:w w:val="120"/>
          <w:sz w:val="20"/>
        </w:rPr>
        <w:t>committing to work together with partners around the world and learn from one another </w:t>
      </w:r>
      <w:r>
        <w:rPr>
          <w:spacing w:val="-7"/>
          <w:w w:val="120"/>
          <w:sz w:val="20"/>
        </w:rPr>
        <w:t>(1998), </w:t>
      </w:r>
      <w:r>
        <w:rPr>
          <w:w w:val="120"/>
          <w:sz w:val="20"/>
        </w:rPr>
        <w:t>renewing our understanding</w:t>
      </w:r>
      <w:r>
        <w:rPr>
          <w:spacing w:val="8"/>
          <w:w w:val="120"/>
          <w:sz w:val="20"/>
        </w:rPr>
        <w:t> </w:t>
      </w:r>
      <w:r>
        <w:rPr>
          <w:w w:val="120"/>
          <w:sz w:val="20"/>
        </w:rPr>
        <w:t>of</w:t>
      </w:r>
      <w:r>
        <w:rPr>
          <w:spacing w:val="9"/>
          <w:w w:val="120"/>
          <w:sz w:val="20"/>
        </w:rPr>
        <w:t> </w:t>
      </w:r>
      <w:r>
        <w:rPr>
          <w:w w:val="120"/>
          <w:sz w:val="20"/>
        </w:rPr>
        <w:t>what</w:t>
      </w:r>
      <w:r>
        <w:rPr>
          <w:spacing w:val="9"/>
          <w:w w:val="120"/>
          <w:sz w:val="20"/>
        </w:rPr>
        <w:t> </w:t>
      </w:r>
      <w:r>
        <w:rPr>
          <w:w w:val="120"/>
          <w:sz w:val="20"/>
        </w:rPr>
        <w:t>it</w:t>
      </w:r>
      <w:r>
        <w:rPr>
          <w:spacing w:val="8"/>
          <w:w w:val="120"/>
          <w:sz w:val="20"/>
        </w:rPr>
        <w:t> </w:t>
      </w:r>
      <w:r>
        <w:rPr>
          <w:w w:val="120"/>
          <w:sz w:val="20"/>
        </w:rPr>
        <w:t>means</w:t>
      </w:r>
      <w:r>
        <w:rPr>
          <w:spacing w:val="9"/>
          <w:w w:val="120"/>
          <w:sz w:val="20"/>
        </w:rPr>
        <w:t> </w:t>
      </w:r>
      <w:r>
        <w:rPr>
          <w:w w:val="120"/>
          <w:sz w:val="20"/>
        </w:rPr>
        <w:t>in</w:t>
      </w:r>
      <w:r>
        <w:rPr>
          <w:spacing w:val="9"/>
          <w:w w:val="120"/>
          <w:sz w:val="20"/>
        </w:rPr>
        <w:t> </w:t>
      </w:r>
      <w:r>
        <w:rPr>
          <w:w w:val="120"/>
          <w:sz w:val="20"/>
        </w:rPr>
        <w:t>practice</w:t>
      </w:r>
      <w:r>
        <w:rPr>
          <w:spacing w:val="8"/>
          <w:w w:val="120"/>
          <w:sz w:val="20"/>
        </w:rPr>
        <w:t> </w:t>
      </w:r>
      <w:r>
        <w:rPr>
          <w:w w:val="120"/>
          <w:sz w:val="20"/>
        </w:rPr>
        <w:t>to</w:t>
      </w:r>
      <w:r>
        <w:rPr>
          <w:spacing w:val="9"/>
          <w:w w:val="120"/>
          <w:sz w:val="20"/>
        </w:rPr>
        <w:t> </w:t>
      </w:r>
      <w:r>
        <w:rPr>
          <w:w w:val="120"/>
          <w:sz w:val="20"/>
        </w:rPr>
        <w:t>be</w:t>
      </w:r>
      <w:r>
        <w:rPr>
          <w:spacing w:val="9"/>
          <w:w w:val="120"/>
          <w:sz w:val="20"/>
        </w:rPr>
        <w:t> </w:t>
      </w:r>
      <w:r>
        <w:rPr>
          <w:spacing w:val="2"/>
          <w:w w:val="120"/>
          <w:sz w:val="20"/>
        </w:rPr>
        <w:t>part</w:t>
      </w:r>
      <w:r>
        <w:rPr>
          <w:spacing w:val="8"/>
          <w:w w:val="120"/>
          <w:sz w:val="20"/>
        </w:rPr>
        <w:t> </w:t>
      </w:r>
      <w:r>
        <w:rPr>
          <w:w w:val="120"/>
          <w:sz w:val="20"/>
        </w:rPr>
        <w:t>of</w:t>
      </w:r>
      <w:r>
        <w:rPr>
          <w:spacing w:val="9"/>
          <w:w w:val="120"/>
          <w:sz w:val="20"/>
        </w:rPr>
        <w:t> </w:t>
      </w:r>
      <w:r>
        <w:rPr>
          <w:w w:val="120"/>
          <w:sz w:val="20"/>
        </w:rPr>
        <w:t>a</w:t>
      </w:r>
      <w:r>
        <w:rPr>
          <w:spacing w:val="9"/>
          <w:w w:val="120"/>
          <w:sz w:val="20"/>
        </w:rPr>
        <w:t> </w:t>
      </w:r>
      <w:r>
        <w:rPr>
          <w:w w:val="120"/>
          <w:sz w:val="20"/>
        </w:rPr>
        <w:t>world</w:t>
      </w:r>
      <w:r>
        <w:rPr>
          <w:spacing w:val="8"/>
          <w:w w:val="120"/>
          <w:sz w:val="20"/>
        </w:rPr>
        <w:t> </w:t>
      </w:r>
      <w:r>
        <w:rPr>
          <w:w w:val="120"/>
          <w:sz w:val="20"/>
        </w:rPr>
        <w:t>Church</w:t>
      </w:r>
      <w:r>
        <w:rPr>
          <w:spacing w:val="9"/>
          <w:w w:val="120"/>
          <w:sz w:val="20"/>
        </w:rPr>
        <w:t> </w:t>
      </w:r>
      <w:r>
        <w:rPr>
          <w:w w:val="120"/>
          <w:sz w:val="20"/>
        </w:rPr>
        <w:t>family</w:t>
      </w:r>
      <w:r>
        <w:rPr>
          <w:spacing w:val="9"/>
          <w:w w:val="120"/>
          <w:sz w:val="20"/>
        </w:rPr>
        <w:t> </w:t>
      </w:r>
      <w:r>
        <w:rPr>
          <w:spacing w:val="-3"/>
          <w:w w:val="120"/>
          <w:sz w:val="20"/>
        </w:rPr>
        <w:t>(2004),</w:t>
      </w:r>
    </w:p>
    <w:p>
      <w:pPr>
        <w:pStyle w:val="BodyText"/>
        <w:spacing w:line="235" w:lineRule="auto" w:before="5"/>
        <w:ind w:left="827" w:right="1814"/>
      </w:pPr>
      <w:r>
        <w:rPr>
          <w:w w:val="120"/>
        </w:rPr>
        <w:t>declaring the URC a multicultural Church </w:t>
      </w:r>
      <w:r>
        <w:rPr>
          <w:spacing w:val="-3"/>
          <w:w w:val="120"/>
        </w:rPr>
        <w:t>(2005) </w:t>
      </w:r>
      <w:r>
        <w:rPr>
          <w:w w:val="120"/>
        </w:rPr>
        <w:t>and endorsing the newly-named focus of multicultural church, intercultural habit</w:t>
      </w:r>
      <w:r>
        <w:rPr>
          <w:spacing w:val="13"/>
          <w:w w:val="120"/>
        </w:rPr>
        <w:t> </w:t>
      </w:r>
      <w:r>
        <w:rPr>
          <w:spacing w:val="-8"/>
          <w:w w:val="120"/>
        </w:rPr>
        <w:t>(2012).</w:t>
      </w:r>
    </w:p>
    <w:p>
      <w:pPr>
        <w:pStyle w:val="BodyText"/>
        <w:spacing w:before="10"/>
        <w:rPr>
          <w:sz w:val="19"/>
        </w:rPr>
      </w:pPr>
    </w:p>
    <w:p>
      <w:pPr>
        <w:pStyle w:val="ListParagraph"/>
        <w:numPr>
          <w:ilvl w:val="0"/>
          <w:numId w:val="115"/>
        </w:numPr>
        <w:tabs>
          <w:tab w:pos="1507" w:val="left" w:leader="none"/>
          <w:tab w:pos="1508" w:val="left" w:leader="none"/>
        </w:tabs>
        <w:spacing w:line="235" w:lineRule="auto" w:before="0" w:after="0"/>
        <w:ind w:left="827" w:right="1790" w:firstLine="0"/>
        <w:jc w:val="left"/>
        <w:rPr>
          <w:sz w:val="20"/>
        </w:rPr>
      </w:pPr>
      <w:r>
        <w:rPr>
          <w:spacing w:val="-3"/>
          <w:w w:val="120"/>
          <w:sz w:val="20"/>
        </w:rPr>
        <w:t>Together, </w:t>
      </w:r>
      <w:r>
        <w:rPr>
          <w:w w:val="120"/>
          <w:sz w:val="20"/>
        </w:rPr>
        <w:t>we have journeyed a long way towards our commitment to embody God’s love, live out God’s word, promote God’s justice and practice expansive hospitality the Jesus </w:t>
      </w:r>
      <w:r>
        <w:rPr>
          <w:spacing w:val="-4"/>
          <w:w w:val="120"/>
          <w:sz w:val="20"/>
        </w:rPr>
        <w:t>way, </w:t>
      </w:r>
      <w:r>
        <w:rPr>
          <w:w w:val="120"/>
          <w:sz w:val="20"/>
        </w:rPr>
        <w:t>locally and internationally, and in partnership. Indeed, we rejoice in and treasure the variety of </w:t>
      </w:r>
      <w:r>
        <w:rPr>
          <w:spacing w:val="2"/>
          <w:w w:val="120"/>
          <w:sz w:val="20"/>
        </w:rPr>
        <w:t>gifts </w:t>
      </w:r>
      <w:r>
        <w:rPr>
          <w:w w:val="120"/>
          <w:sz w:val="20"/>
        </w:rPr>
        <w:t>that our diverse family has brought and continues to bring to our common life together as people of the </w:t>
      </w:r>
      <w:r>
        <w:rPr>
          <w:spacing w:val="-4"/>
          <w:w w:val="120"/>
          <w:sz w:val="20"/>
        </w:rPr>
        <w:t>way. </w:t>
      </w:r>
      <w:r>
        <w:rPr>
          <w:w w:val="120"/>
          <w:sz w:val="20"/>
        </w:rPr>
        <w:t>It is through our global and intercultural partnerships that we are enriched in our understanding of the Gospel and our engagement in</w:t>
      </w:r>
      <w:r>
        <w:rPr>
          <w:spacing w:val="13"/>
          <w:w w:val="120"/>
          <w:sz w:val="20"/>
        </w:rPr>
        <w:t> </w:t>
      </w:r>
      <w:r>
        <w:rPr>
          <w:w w:val="120"/>
          <w:sz w:val="20"/>
        </w:rPr>
        <w:t>mission.</w:t>
      </w:r>
    </w:p>
    <w:p>
      <w:pPr>
        <w:pStyle w:val="BodyText"/>
      </w:pPr>
    </w:p>
    <w:p>
      <w:pPr>
        <w:pStyle w:val="ListParagraph"/>
        <w:numPr>
          <w:ilvl w:val="0"/>
          <w:numId w:val="115"/>
        </w:numPr>
        <w:tabs>
          <w:tab w:pos="1507" w:val="left" w:leader="none"/>
          <w:tab w:pos="1508" w:val="left" w:leader="none"/>
        </w:tabs>
        <w:spacing w:line="235" w:lineRule="auto" w:before="1" w:after="0"/>
        <w:ind w:left="827" w:right="1605" w:firstLine="0"/>
        <w:jc w:val="left"/>
        <w:rPr>
          <w:sz w:val="20"/>
        </w:rPr>
      </w:pPr>
      <w:r>
        <w:rPr>
          <w:w w:val="120"/>
          <w:sz w:val="20"/>
        </w:rPr>
        <w:t>At the same time, our changing landscape and the complex ways in which justice themes intersect locally and globally call for a renewal of our commitment to the Jesus project of full life for all and the deepening of habits that will promote God’s justice for all. It is for this reason that the mission committee brings this</w:t>
      </w:r>
      <w:r>
        <w:rPr>
          <w:spacing w:val="9"/>
          <w:w w:val="120"/>
          <w:sz w:val="20"/>
        </w:rPr>
        <w:t> </w:t>
      </w:r>
      <w:r>
        <w:rPr>
          <w:w w:val="120"/>
          <w:sz w:val="20"/>
        </w:rPr>
        <w:t>resolution.</w:t>
      </w:r>
    </w:p>
    <w:p>
      <w:pPr>
        <w:spacing w:after="0" w:line="235" w:lineRule="auto"/>
        <w:jc w:val="left"/>
        <w:rPr>
          <w:sz w:val="20"/>
        </w:rPr>
        <w:sectPr>
          <w:headerReference w:type="even" r:id="rId435"/>
          <w:footerReference w:type="even" r:id="rId436"/>
          <w:pgSz w:w="11910" w:h="16840"/>
          <w:pgMar w:header="0" w:footer="647" w:top="0" w:bottom="840" w:left="420" w:right="380"/>
        </w:sectPr>
      </w:pPr>
    </w:p>
    <w:p>
      <w:pPr>
        <w:pStyle w:val="BodyText"/>
      </w:pPr>
      <w:r>
        <w:rPr/>
        <w:pict>
          <v:rect style="position:absolute;margin-left:0pt;margin-top:.000015pt;width:549.207pt;height:841.89pt;mso-position-horizontal-relative:page;mso-position-vertical-relative:page;z-index:-267206656" filled="true" fillcolor="#fef3ec" stroked="false">
            <v:fill type="solid"/>
            <w10:wrap type="none"/>
          </v:rect>
        </w:pict>
      </w:r>
      <w:r>
        <w:rPr/>
        <w:pict>
          <v:line style="position:absolute;mso-position-horizontal-relative:page;mso-position-vertical-relative:page;z-index:252078080" from="0pt,.000015pt" to="0pt,841.890015pt" stroked="true" strokeweight="1pt" strokecolor="#000000">
            <v:stroke dashstyle="solid"/>
            <w10:wrap type="none"/>
          </v:line>
        </w:pict>
      </w:r>
      <w:r>
        <w:rPr/>
        <w:drawing>
          <wp:anchor distT="0" distB="0" distL="0" distR="0" allowOverlap="1" layoutInCell="1" locked="0" behindDoc="0" simplePos="0" relativeHeight="252079104">
            <wp:simplePos x="0" y="0"/>
            <wp:positionH relativeFrom="page">
              <wp:posOffset>6974928</wp:posOffset>
            </wp:positionH>
            <wp:positionV relativeFrom="page">
              <wp:posOffset>0</wp:posOffset>
            </wp:positionV>
            <wp:extent cx="585063" cy="10692003"/>
            <wp:effectExtent l="0" t="0" r="0" b="0"/>
            <wp:wrapNone/>
            <wp:docPr id="311" name="image74.png"/>
            <wp:cNvGraphicFramePr>
              <a:graphicFrameLocks noChangeAspect="1"/>
            </wp:cNvGraphicFramePr>
            <a:graphic>
              <a:graphicData uri="http://schemas.openxmlformats.org/drawingml/2006/picture">
                <pic:pic>
                  <pic:nvPicPr>
                    <pic:cNvPr id="312"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09" w:right="3093"/>
        <w:rPr>
          <w:b/>
        </w:rPr>
      </w:pPr>
      <w:r>
        <w:rPr/>
        <w:pict>
          <v:shape style="position:absolute;margin-left:554.141174pt;margin-top:-5.989334pt;width:26pt;height:133.75pt;mso-position-horizontal-relative:page;mso-position-vertical-relative:paragraph;z-index:252080128"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bookmarkStart w:name="_bookmark28" w:id="38"/>
      <w:bookmarkEnd w:id="38"/>
      <w:r>
        <w:rPr>
          <w:b w:val="0"/>
        </w:rPr>
      </w:r>
      <w:r>
        <w:rPr>
          <w:b/>
          <w:color w:val="E8581E"/>
          <w:w w:val="110"/>
        </w:rPr>
        <w:t>Nominations committee </w:t>
      </w:r>
      <w:r>
        <w:rPr>
          <w:b/>
          <w:w w:val="110"/>
        </w:rPr>
        <w:t>General report</w:t>
      </w:r>
    </w:p>
    <w:p>
      <w:pPr>
        <w:spacing w:before="356" w:after="9"/>
        <w:ind w:left="1309" w:right="0" w:firstLine="0"/>
        <w:jc w:val="left"/>
        <w:rPr>
          <w:rFonts w:ascii="Stone Sans II ITC Std Bk"/>
          <w:b/>
          <w:sz w:val="21"/>
        </w:rPr>
      </w:pPr>
      <w:r>
        <w:rPr>
          <w:rFonts w:ascii="Stone Sans II ITC Std Bk"/>
          <w:b/>
          <w:color w:val="707172"/>
          <w:w w:val="115"/>
          <w:sz w:val="21"/>
        </w:rPr>
        <w:t>Basic Information</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646" w:hRule="atLeast"/>
        </w:trPr>
        <w:tc>
          <w:tcPr>
            <w:tcW w:w="2660" w:type="dxa"/>
            <w:shd w:val="clear" w:color="auto" w:fill="FFFFFF"/>
          </w:tcPr>
          <w:p>
            <w:pPr>
              <w:pStyle w:val="TableParagraph"/>
              <w:spacing w:line="213" w:lineRule="auto" w:before="117"/>
              <w:ind w:left="80" w:right="595"/>
              <w:rPr>
                <w:rFonts w:ascii="Stone Sans II ITC Std Bk"/>
                <w:b/>
                <w:sz w:val="20"/>
              </w:rPr>
            </w:pPr>
            <w:r>
              <w:rPr>
                <w:rFonts w:ascii="Stone Sans II ITC Std Bk"/>
                <w:b/>
                <w:w w:val="110"/>
                <w:sz w:val="20"/>
              </w:rPr>
              <w:t>Contact name and email address</w:t>
            </w:r>
          </w:p>
        </w:tc>
        <w:tc>
          <w:tcPr>
            <w:tcW w:w="6582" w:type="dxa"/>
            <w:shd w:val="clear" w:color="auto" w:fill="FFFFFF"/>
          </w:tcPr>
          <w:p>
            <w:pPr>
              <w:pStyle w:val="TableParagraph"/>
              <w:spacing w:line="235" w:lineRule="auto" w:before="111"/>
              <w:ind w:left="80" w:right="1843"/>
              <w:rPr>
                <w:sz w:val="20"/>
              </w:rPr>
            </w:pPr>
            <w:r>
              <w:rPr>
                <w:w w:val="120"/>
                <w:sz w:val="20"/>
              </w:rPr>
              <w:t>Ray Adams: </w:t>
            </w:r>
            <w:hyperlink r:id="rId440">
              <w:r>
                <w:rPr>
                  <w:color w:val="006AB3"/>
                  <w:spacing w:val="-3"/>
                  <w:w w:val="120"/>
                  <w:sz w:val="20"/>
                </w:rPr>
                <w:t>ray.adams12@btinternet.com</w:t>
              </w:r>
            </w:hyperlink>
            <w:r>
              <w:rPr>
                <w:color w:val="006AB3"/>
                <w:spacing w:val="-3"/>
                <w:w w:val="120"/>
                <w:sz w:val="20"/>
              </w:rPr>
              <w:t> </w:t>
            </w:r>
            <w:r>
              <w:rPr>
                <w:w w:val="120"/>
                <w:sz w:val="20"/>
              </w:rPr>
              <w:t>George Faris: </w:t>
            </w:r>
            <w:hyperlink r:id="rId441">
              <w:r>
                <w:rPr>
                  <w:color w:val="006AB3"/>
                  <w:w w:val="120"/>
                  <w:sz w:val="20"/>
                </w:rPr>
                <w:t>gfaris48@gmail.com</w:t>
              </w:r>
            </w:hyperlink>
          </w:p>
        </w:tc>
      </w:tr>
      <w:tr>
        <w:trPr>
          <w:trHeight w:val="40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Action required</w:t>
            </w:r>
          </w:p>
        </w:tc>
        <w:tc>
          <w:tcPr>
            <w:tcW w:w="6582" w:type="dxa"/>
            <w:shd w:val="clear" w:color="auto" w:fill="FFFFFF"/>
          </w:tcPr>
          <w:p>
            <w:pPr>
              <w:pStyle w:val="TableParagraph"/>
              <w:spacing w:before="107"/>
              <w:ind w:left="80"/>
              <w:rPr>
                <w:sz w:val="20"/>
              </w:rPr>
            </w:pPr>
            <w:r>
              <w:rPr>
                <w:w w:val="120"/>
                <w:sz w:val="20"/>
              </w:rPr>
              <w:t>Decision.</w:t>
            </w:r>
          </w:p>
        </w:tc>
      </w:tr>
      <w:tr>
        <w:trPr>
          <w:trHeight w:val="1366" w:hRule="atLeast"/>
        </w:trPr>
        <w:tc>
          <w:tcPr>
            <w:tcW w:w="2660" w:type="dxa"/>
            <w:shd w:val="clear" w:color="auto" w:fill="FFFFFF"/>
          </w:tcPr>
          <w:p>
            <w:pPr>
              <w:pStyle w:val="TableParagraph"/>
              <w:spacing w:before="95"/>
              <w:ind w:left="79"/>
              <w:rPr>
                <w:rFonts w:ascii="Stone Sans II ITC Std Bk"/>
                <w:b/>
                <w:sz w:val="20"/>
              </w:rPr>
            </w:pPr>
            <w:r>
              <w:rPr>
                <w:rFonts w:ascii="Stone Sans II ITC Std Bk"/>
                <w:b/>
                <w:w w:val="110"/>
                <w:sz w:val="20"/>
              </w:rPr>
              <w:t>Draft resolution(s)</w:t>
            </w:r>
          </w:p>
        </w:tc>
        <w:tc>
          <w:tcPr>
            <w:tcW w:w="6582" w:type="dxa"/>
            <w:shd w:val="clear" w:color="auto" w:fill="FFFFFF"/>
          </w:tcPr>
          <w:p>
            <w:pPr>
              <w:pStyle w:val="TableParagraph"/>
              <w:tabs>
                <w:tab w:pos="760" w:val="left" w:leader="none"/>
              </w:tabs>
              <w:spacing w:line="213" w:lineRule="auto" w:before="117"/>
              <w:ind w:left="80" w:right="444"/>
              <w:rPr>
                <w:rFonts w:ascii="Stone Sans II ITC Std Bk"/>
                <w:b/>
                <w:sz w:val="20"/>
              </w:rPr>
            </w:pPr>
            <w:r>
              <w:rPr>
                <w:rFonts w:ascii="Stone Sans II ITC Std Bk"/>
                <w:b/>
                <w:w w:val="110"/>
                <w:sz w:val="20"/>
              </w:rPr>
              <w:t>32.</w:t>
              <w:tab/>
            </w:r>
            <w:r>
              <w:rPr>
                <w:rFonts w:ascii="Stone Sans II ITC Std Bk"/>
                <w:b/>
                <w:spacing w:val="2"/>
                <w:w w:val="110"/>
                <w:sz w:val="20"/>
              </w:rPr>
              <w:t>General Assembly appoints committees </w:t>
            </w:r>
            <w:r>
              <w:rPr>
                <w:rFonts w:ascii="Stone Sans II ITC Std Bk"/>
                <w:b/>
                <w:w w:val="110"/>
                <w:sz w:val="20"/>
              </w:rPr>
              <w:t>and </w:t>
            </w:r>
            <w:r>
              <w:rPr>
                <w:rFonts w:ascii="Stone Sans II ITC Std Bk"/>
                <w:b/>
                <w:spacing w:val="2"/>
                <w:w w:val="110"/>
                <w:sz w:val="20"/>
              </w:rPr>
              <w:t>representatives </w:t>
            </w:r>
            <w:r>
              <w:rPr>
                <w:rFonts w:ascii="Stone Sans II ITC Std Bk"/>
                <w:b/>
                <w:w w:val="110"/>
                <w:sz w:val="20"/>
              </w:rPr>
              <w:t>of the Church as set out on </w:t>
            </w:r>
            <w:r>
              <w:rPr>
                <w:rFonts w:ascii="Stone Sans II ITC Std Bk"/>
                <w:b/>
                <w:spacing w:val="2"/>
                <w:w w:val="110"/>
                <w:sz w:val="20"/>
              </w:rPr>
              <w:t>pages </w:t>
            </w:r>
            <w:r>
              <w:rPr>
                <w:rFonts w:ascii="Stone Sans II ITC Std Bk"/>
                <w:b/>
                <w:spacing w:val="-6"/>
                <w:w w:val="110"/>
                <w:sz w:val="20"/>
              </w:rPr>
              <w:t>163  </w:t>
            </w:r>
            <w:r>
              <w:rPr>
                <w:rFonts w:ascii="Stone Sans II ITC Std Bk"/>
                <w:b/>
                <w:w w:val="110"/>
                <w:sz w:val="20"/>
              </w:rPr>
              <w:t>to </w:t>
            </w:r>
            <w:r>
              <w:rPr>
                <w:rFonts w:ascii="Stone Sans II ITC Std Bk"/>
                <w:b/>
                <w:spacing w:val="-7"/>
                <w:w w:val="110"/>
                <w:sz w:val="20"/>
              </w:rPr>
              <w:t>178 </w:t>
            </w:r>
            <w:r>
              <w:rPr>
                <w:rFonts w:ascii="Stone Sans II ITC Std Bk"/>
                <w:b/>
                <w:w w:val="110"/>
                <w:sz w:val="20"/>
              </w:rPr>
              <w:t>of the </w:t>
            </w:r>
            <w:r>
              <w:rPr>
                <w:rFonts w:ascii="Stone Sans II ITC Std Bk"/>
                <w:b/>
                <w:i/>
                <w:spacing w:val="2"/>
                <w:w w:val="110"/>
                <w:sz w:val="20"/>
              </w:rPr>
              <w:t>Book </w:t>
            </w:r>
            <w:r>
              <w:rPr>
                <w:rFonts w:ascii="Stone Sans II ITC Std Bk"/>
                <w:b/>
                <w:i/>
                <w:w w:val="110"/>
                <w:sz w:val="20"/>
              </w:rPr>
              <w:t>of </w:t>
            </w:r>
            <w:r>
              <w:rPr>
                <w:rFonts w:ascii="Stone Sans II ITC Std Bk"/>
                <w:b/>
                <w:i/>
                <w:spacing w:val="3"/>
                <w:w w:val="110"/>
                <w:sz w:val="20"/>
              </w:rPr>
              <w:t>Reports</w:t>
            </w:r>
            <w:r>
              <w:rPr>
                <w:rFonts w:ascii="Stone Sans II ITC Std Bk"/>
                <w:b/>
                <w:spacing w:val="3"/>
                <w:w w:val="110"/>
                <w:sz w:val="20"/>
              </w:rPr>
              <w:t>, </w:t>
            </w:r>
            <w:r>
              <w:rPr>
                <w:rFonts w:ascii="Stone Sans II ITC Std Bk"/>
                <w:b/>
                <w:spacing w:val="2"/>
                <w:w w:val="110"/>
                <w:sz w:val="20"/>
              </w:rPr>
              <w:t>subject </w:t>
            </w:r>
            <w:r>
              <w:rPr>
                <w:rFonts w:ascii="Stone Sans II ITC Std Bk"/>
                <w:b/>
                <w:w w:val="110"/>
                <w:sz w:val="20"/>
              </w:rPr>
              <w:t>to the </w:t>
            </w:r>
            <w:r>
              <w:rPr>
                <w:rFonts w:ascii="Stone Sans II ITC Std Bk"/>
                <w:b/>
                <w:spacing w:val="2"/>
                <w:w w:val="110"/>
                <w:sz w:val="20"/>
              </w:rPr>
              <w:t>additions </w:t>
            </w:r>
            <w:r>
              <w:rPr>
                <w:rFonts w:ascii="Stone Sans II ITC Std Bk"/>
                <w:b/>
                <w:w w:val="110"/>
                <w:sz w:val="20"/>
              </w:rPr>
              <w:t>and </w:t>
            </w:r>
            <w:r>
              <w:rPr>
                <w:rFonts w:ascii="Stone Sans II ITC Std Bk"/>
                <w:b/>
                <w:spacing w:val="2"/>
                <w:w w:val="110"/>
                <w:sz w:val="20"/>
              </w:rPr>
              <w:t>corrections contained </w:t>
            </w:r>
            <w:r>
              <w:rPr>
                <w:rFonts w:ascii="Stone Sans II ITC Std Bk"/>
                <w:b/>
                <w:w w:val="110"/>
                <w:sz w:val="20"/>
              </w:rPr>
              <w:t>in the </w:t>
            </w:r>
            <w:r>
              <w:rPr>
                <w:rFonts w:ascii="Stone Sans II ITC Std Bk"/>
                <w:b/>
                <w:spacing w:val="3"/>
                <w:w w:val="110"/>
                <w:sz w:val="20"/>
              </w:rPr>
              <w:t>supplementary report </w:t>
            </w:r>
            <w:r>
              <w:rPr>
                <w:rFonts w:ascii="Stone Sans II ITC Std Bk"/>
                <w:b/>
                <w:w w:val="110"/>
                <w:sz w:val="20"/>
              </w:rPr>
              <w:t>to</w:t>
            </w:r>
            <w:r>
              <w:rPr>
                <w:rFonts w:ascii="Stone Sans II ITC Std Bk"/>
                <w:b/>
                <w:spacing w:val="3"/>
                <w:w w:val="110"/>
                <w:sz w:val="20"/>
              </w:rPr>
              <w:t> </w:t>
            </w:r>
            <w:r>
              <w:rPr>
                <w:rFonts w:ascii="Stone Sans II ITC Std Bk"/>
                <w:b/>
                <w:w w:val="110"/>
                <w:sz w:val="20"/>
              </w:rPr>
              <w:t>Assembly.</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Content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Subject and aim(s)</w:t>
            </w:r>
          </w:p>
        </w:tc>
        <w:tc>
          <w:tcPr>
            <w:tcW w:w="6582" w:type="dxa"/>
            <w:shd w:val="clear" w:color="auto" w:fill="FFFFFF"/>
          </w:tcPr>
          <w:p>
            <w:pPr>
              <w:pStyle w:val="TableParagraph"/>
              <w:spacing w:before="108"/>
              <w:ind w:left="80"/>
              <w:rPr>
                <w:sz w:val="20"/>
              </w:rPr>
            </w:pPr>
            <w:r>
              <w:rPr>
                <w:w w:val="120"/>
                <w:sz w:val="20"/>
              </w:rPr>
              <w:t>To appoint members of various committees.</w:t>
            </w:r>
          </w:p>
        </w:tc>
      </w:tr>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Main points</w:t>
            </w:r>
          </w:p>
        </w:tc>
        <w:tc>
          <w:tcPr>
            <w:tcW w:w="6582" w:type="dxa"/>
            <w:shd w:val="clear" w:color="auto" w:fill="FFFFFF"/>
          </w:tcPr>
          <w:p>
            <w:pPr>
              <w:pStyle w:val="TableParagraph"/>
              <w:spacing w:before="107"/>
              <w:ind w:left="80"/>
              <w:rPr>
                <w:sz w:val="20"/>
              </w:rPr>
            </w:pPr>
            <w:r>
              <w:rPr>
                <w:w w:val="120"/>
                <w:sz w:val="20"/>
              </w:rPr>
              <w:t>As above.</w:t>
            </w:r>
          </w:p>
        </w:tc>
      </w:tr>
      <w:tr>
        <w:trPr>
          <w:trHeight w:val="646" w:hRule="atLeast"/>
        </w:trPr>
        <w:tc>
          <w:tcPr>
            <w:tcW w:w="2660" w:type="dxa"/>
            <w:shd w:val="clear" w:color="auto" w:fill="FFFFFF"/>
          </w:tcPr>
          <w:p>
            <w:pPr>
              <w:pStyle w:val="TableParagraph"/>
              <w:spacing w:line="213" w:lineRule="auto" w:before="117"/>
              <w:ind w:left="80" w:right="701"/>
              <w:rPr>
                <w:rFonts w:ascii="Stone Sans II ITC Std Bk"/>
                <w:b/>
                <w:sz w:val="20"/>
              </w:rPr>
            </w:pPr>
            <w:r>
              <w:rPr>
                <w:rFonts w:ascii="Stone Sans II ITC Std Bk"/>
                <w:b/>
                <w:w w:val="110"/>
                <w:sz w:val="20"/>
              </w:rPr>
              <w:t>Previous relevant documents</w:t>
            </w:r>
          </w:p>
        </w:tc>
        <w:tc>
          <w:tcPr>
            <w:tcW w:w="6582" w:type="dxa"/>
            <w:shd w:val="clear" w:color="auto" w:fill="FFFFFF"/>
          </w:tcPr>
          <w:p>
            <w:pPr>
              <w:pStyle w:val="TableParagraph"/>
              <w:spacing w:before="107"/>
              <w:ind w:left="80"/>
              <w:rPr>
                <w:sz w:val="20"/>
              </w:rPr>
            </w:pPr>
            <w:r>
              <w:rPr>
                <w:w w:val="125"/>
                <w:sz w:val="20"/>
              </w:rPr>
              <w:t>None.</w:t>
            </w:r>
          </w:p>
        </w:tc>
      </w:tr>
      <w:tr>
        <w:trPr>
          <w:trHeight w:val="646" w:hRule="atLeast"/>
        </w:trPr>
        <w:tc>
          <w:tcPr>
            <w:tcW w:w="2660" w:type="dxa"/>
            <w:shd w:val="clear" w:color="auto" w:fill="FFFFFF"/>
          </w:tcPr>
          <w:p>
            <w:pPr>
              <w:pStyle w:val="TableParagraph"/>
              <w:spacing w:line="213" w:lineRule="auto" w:before="117"/>
              <w:ind w:left="80" w:right="576"/>
              <w:rPr>
                <w:rFonts w:ascii="Stone Sans II ITC Std Bk"/>
                <w:b/>
                <w:sz w:val="20"/>
              </w:rPr>
            </w:pPr>
            <w:r>
              <w:rPr>
                <w:rFonts w:ascii="Stone Sans II ITC Std Bk"/>
                <w:b/>
                <w:w w:val="110"/>
                <w:sz w:val="20"/>
              </w:rPr>
              <w:t>Consultation has taken place with...</w:t>
            </w:r>
          </w:p>
        </w:tc>
        <w:tc>
          <w:tcPr>
            <w:tcW w:w="6582" w:type="dxa"/>
            <w:shd w:val="clear" w:color="auto" w:fill="FFFFFF"/>
          </w:tcPr>
          <w:p>
            <w:pPr>
              <w:pStyle w:val="TableParagraph"/>
              <w:spacing w:line="235" w:lineRule="auto" w:before="111"/>
              <w:ind w:left="80" w:right="395"/>
              <w:rPr>
                <w:sz w:val="20"/>
              </w:rPr>
            </w:pPr>
            <w:r>
              <w:rPr>
                <w:w w:val="120"/>
                <w:sz w:val="20"/>
              </w:rPr>
              <w:t>Wide consultation with synods, local churches and the committees and groups where appointments are needed.</w:t>
            </w:r>
          </w:p>
        </w:tc>
      </w:tr>
    </w:tbl>
    <w:p>
      <w:pPr>
        <w:spacing w:before="187" w:after="9"/>
        <w:ind w:left="1309" w:right="0" w:firstLine="0"/>
        <w:jc w:val="left"/>
        <w:rPr>
          <w:rFonts w:ascii="Stone Sans II ITC Std Bk"/>
          <w:b/>
          <w:sz w:val="21"/>
        </w:rPr>
      </w:pPr>
      <w:r>
        <w:rPr>
          <w:rFonts w:ascii="Stone Sans II ITC Std Bk"/>
          <w:b/>
          <w:color w:val="707172"/>
          <w:w w:val="115"/>
          <w:sz w:val="21"/>
        </w:rPr>
        <w:t>Summary of Impact</w:t>
      </w:r>
    </w:p>
    <w:tbl>
      <w:tblPr>
        <w:tblW w:w="0" w:type="auto"/>
        <w:jc w:val="left"/>
        <w:tblInd w:w="1319"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60"/>
        <w:gridCol w:w="6582"/>
      </w:tblGrid>
      <w:tr>
        <w:trPr>
          <w:trHeight w:val="406" w:hRule="atLeast"/>
        </w:trPr>
        <w:tc>
          <w:tcPr>
            <w:tcW w:w="2660" w:type="dxa"/>
            <w:shd w:val="clear" w:color="auto" w:fill="FFFFFF"/>
          </w:tcPr>
          <w:p>
            <w:pPr>
              <w:pStyle w:val="TableParagraph"/>
              <w:spacing w:before="95"/>
              <w:ind w:left="80"/>
              <w:rPr>
                <w:rFonts w:ascii="Stone Sans II ITC Std Bk"/>
                <w:b/>
                <w:sz w:val="20"/>
              </w:rPr>
            </w:pPr>
            <w:r>
              <w:rPr>
                <w:rFonts w:ascii="Stone Sans II ITC Std Bk"/>
                <w:b/>
                <w:w w:val="110"/>
                <w:sz w:val="20"/>
              </w:rPr>
              <w:t>Financial</w:t>
            </w:r>
          </w:p>
        </w:tc>
        <w:tc>
          <w:tcPr>
            <w:tcW w:w="6582" w:type="dxa"/>
            <w:shd w:val="clear" w:color="auto" w:fill="FFFFFF"/>
          </w:tcPr>
          <w:p>
            <w:pPr>
              <w:pStyle w:val="TableParagraph"/>
              <w:spacing w:before="108"/>
              <w:ind w:left="80"/>
              <w:rPr>
                <w:sz w:val="20"/>
              </w:rPr>
            </w:pPr>
            <w:r>
              <w:rPr>
                <w:w w:val="125"/>
                <w:sz w:val="20"/>
              </w:rPr>
              <w:t>None.</w:t>
            </w:r>
          </w:p>
        </w:tc>
      </w:tr>
      <w:tr>
        <w:trPr>
          <w:trHeight w:val="646" w:hRule="atLeast"/>
        </w:trPr>
        <w:tc>
          <w:tcPr>
            <w:tcW w:w="2660" w:type="dxa"/>
            <w:shd w:val="clear" w:color="auto" w:fill="FFFFFF"/>
          </w:tcPr>
          <w:p>
            <w:pPr>
              <w:pStyle w:val="TableParagraph"/>
              <w:spacing w:line="255" w:lineRule="exact" w:before="95"/>
              <w:ind w:left="80"/>
              <w:rPr>
                <w:rFonts w:ascii="Stone Sans II ITC Std Bk"/>
                <w:b/>
                <w:sz w:val="20"/>
              </w:rPr>
            </w:pPr>
            <w:r>
              <w:rPr>
                <w:rFonts w:ascii="Stone Sans II ITC Std Bk"/>
                <w:b/>
                <w:w w:val="110"/>
                <w:sz w:val="20"/>
              </w:rPr>
              <w:t>External</w:t>
            </w:r>
          </w:p>
          <w:p>
            <w:pPr>
              <w:pStyle w:val="TableParagraph"/>
              <w:spacing w:line="255" w:lineRule="exact"/>
              <w:ind w:left="80"/>
              <w:rPr>
                <w:rFonts w:ascii="Stone Sans II ITC Std Bk"/>
                <w:b/>
                <w:sz w:val="20"/>
              </w:rPr>
            </w:pPr>
            <w:r>
              <w:rPr>
                <w:rFonts w:ascii="Stone Sans II ITC Std Bk"/>
                <w:b/>
                <w:w w:val="110"/>
                <w:sz w:val="20"/>
              </w:rPr>
              <w:t>(e.g. ecumenical)</w:t>
            </w:r>
          </w:p>
        </w:tc>
        <w:tc>
          <w:tcPr>
            <w:tcW w:w="6582" w:type="dxa"/>
            <w:shd w:val="clear" w:color="auto" w:fill="FFFFFF"/>
          </w:tcPr>
          <w:p>
            <w:pPr>
              <w:pStyle w:val="TableParagraph"/>
              <w:spacing w:before="108"/>
              <w:ind w:left="80"/>
              <w:rPr>
                <w:sz w:val="20"/>
              </w:rPr>
            </w:pPr>
            <w:r>
              <w:rPr>
                <w:w w:val="125"/>
                <w:sz w:val="20"/>
              </w:rPr>
              <w:t>None.</w:t>
            </w:r>
          </w:p>
        </w:tc>
      </w:tr>
    </w:tbl>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rPr>
          <w:rFonts w:ascii="Stone Sans II ITC Std Bk"/>
          <w:b/>
          <w:sz w:val="26"/>
        </w:rPr>
      </w:pPr>
    </w:p>
    <w:p>
      <w:pPr>
        <w:pStyle w:val="BodyText"/>
        <w:spacing w:before="5"/>
        <w:rPr>
          <w:rFonts w:ascii="Stone Sans II ITC Std Bk"/>
          <w:b/>
          <w:sz w:val="18"/>
        </w:rPr>
      </w:pPr>
    </w:p>
    <w:p>
      <w:pPr>
        <w:spacing w:before="0"/>
        <w:ind w:left="3842"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161</w:t>
      </w:r>
    </w:p>
    <w:p>
      <w:pPr>
        <w:spacing w:after="0"/>
        <w:jc w:val="left"/>
        <w:rPr>
          <w:rFonts w:ascii="Stone Sans II ITC Std X Bd" w:hAnsi="Stone Sans II ITC Std X Bd"/>
          <w:sz w:val="24"/>
        </w:rPr>
        <w:sectPr>
          <w:headerReference w:type="default" r:id="rId437"/>
          <w:footerReference w:type="default" r:id="rId438"/>
          <w:pgSz w:w="11910" w:h="16840"/>
          <w:pgMar w:header="0" w:footer="0" w:top="0" w:bottom="0" w:left="420" w:right="380"/>
        </w:sectPr>
      </w:pPr>
    </w:p>
    <w:p>
      <w:pPr>
        <w:pStyle w:val="BodyText"/>
        <w:rPr>
          <w:rFonts w:ascii="Stone Sans II ITC Std X Bd"/>
          <w:b/>
        </w:rPr>
      </w:pPr>
      <w:r>
        <w:rPr/>
        <w:drawing>
          <wp:anchor distT="0" distB="0" distL="0" distR="0" allowOverlap="1" layoutInCell="1" locked="0" behindDoc="1" simplePos="0" relativeHeight="236113920">
            <wp:simplePos x="0" y="0"/>
            <wp:positionH relativeFrom="page">
              <wp:posOffset>0</wp:posOffset>
            </wp:positionH>
            <wp:positionV relativeFrom="page">
              <wp:posOffset>0</wp:posOffset>
            </wp:positionV>
            <wp:extent cx="594067" cy="10692003"/>
            <wp:effectExtent l="0" t="0" r="0" b="0"/>
            <wp:wrapNone/>
            <wp:docPr id="313" name="image75.png"/>
            <wp:cNvGraphicFramePr>
              <a:graphicFrameLocks noChangeAspect="1"/>
            </wp:cNvGraphicFramePr>
            <a:graphic>
              <a:graphicData uri="http://schemas.openxmlformats.org/drawingml/2006/picture">
                <pic:pic>
                  <pic:nvPicPr>
                    <pic:cNvPr id="314"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before="98"/>
        <w:ind w:left="392" w:right="1167" w:firstLine="0"/>
        <w:jc w:val="center"/>
        <w:rPr>
          <w:rFonts w:ascii="Stone Sans II ITC Std X Bd"/>
          <w:b/>
          <w:sz w:val="50"/>
        </w:rPr>
      </w:pPr>
      <w:r>
        <w:rPr/>
        <w:pict>
          <v:shape style="position:absolute;margin-left:20.519100pt;margin-top:-5.948083pt;width:26pt;height:133.75pt;mso-position-horizontal-relative:page;mso-position-vertical-relative:paragraph;z-index:252083200"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rFonts w:ascii="Stone Sans II ITC Std X Bd"/>
          <w:b/>
          <w:w w:val="110"/>
          <w:sz w:val="50"/>
        </w:rPr>
        <w:t>General report</w:t>
      </w:r>
    </w:p>
    <w:p>
      <w:pPr>
        <w:spacing w:line="261" w:lineRule="auto" w:before="140"/>
        <w:ind w:left="940" w:right="1868" w:firstLine="0"/>
        <w:jc w:val="left"/>
        <w:rPr>
          <w:sz w:val="18"/>
        </w:rPr>
      </w:pPr>
      <w:r>
        <w:rPr/>
        <w:pict>
          <v:line style="position:absolute;mso-position-horizontal-relative:page;mso-position-vertical-relative:paragraph;z-index:252082176" from="62.362202pt,8.504453pt" to="62.362202pt,320.315453pt" stroked="true" strokeweight="1pt" strokecolor="#e8581e">
            <v:stroke dashstyle="solid"/>
            <w10:wrap type="none"/>
          </v:line>
        </w:pict>
      </w:r>
      <w:r>
        <w:rPr>
          <w:color w:val="707172"/>
          <w:w w:val="120"/>
          <w:sz w:val="18"/>
        </w:rPr>
        <w:t>This committee nominates to General Assembly the names of people to serve as convenors, secretaries and members of all Assembly committees. It also suggests names of United Reformed Church representatives on other bodies. It recommends people to make up appointment and review groups for synod moderators and Assembly-appointed staff.</w:t>
      </w:r>
    </w:p>
    <w:p>
      <w:pPr>
        <w:pStyle w:val="BodyText"/>
        <w:spacing w:before="9"/>
        <w:rPr>
          <w:sz w:val="19"/>
        </w:rPr>
      </w:pPr>
    </w:p>
    <w:p>
      <w:pPr>
        <w:spacing w:line="261" w:lineRule="auto" w:before="1"/>
        <w:ind w:left="940" w:right="1868" w:firstLine="0"/>
        <w:jc w:val="left"/>
        <w:rPr>
          <w:sz w:val="18"/>
        </w:rPr>
      </w:pPr>
      <w:r>
        <w:rPr>
          <w:color w:val="707172"/>
          <w:w w:val="120"/>
          <w:sz w:val="18"/>
        </w:rPr>
        <w:t>Each synod is represented on the nominations committee: some by their synod clerk or moderator, others by individuals with a good knowledge of their own people. One of the former Assembly Moderators and the General Secretary are also committee members.</w:t>
      </w:r>
    </w:p>
    <w:p>
      <w:pPr>
        <w:pStyle w:val="BodyText"/>
        <w:spacing w:before="10"/>
        <w:rPr>
          <w:sz w:val="18"/>
        </w:rPr>
      </w:pPr>
    </w:p>
    <w:p>
      <w:pPr>
        <w:spacing w:before="0"/>
        <w:ind w:left="940" w:right="0" w:firstLine="0"/>
        <w:jc w:val="left"/>
        <w:rPr>
          <w:rFonts w:ascii="Stone Sans II ITC Std Bk"/>
          <w:b/>
          <w:sz w:val="18"/>
        </w:rPr>
      </w:pPr>
      <w:r>
        <w:rPr>
          <w:rFonts w:ascii="Stone Sans II ITC Std Bk"/>
          <w:b/>
          <w:color w:val="707172"/>
          <w:w w:val="110"/>
          <w:sz w:val="18"/>
        </w:rPr>
        <w:t>Committee</w:t>
      </w:r>
      <w:r>
        <w:rPr>
          <w:rFonts w:ascii="Stone Sans II ITC Std Bk"/>
          <w:b/>
          <w:color w:val="707172"/>
          <w:spacing w:val="36"/>
          <w:w w:val="110"/>
          <w:sz w:val="18"/>
        </w:rPr>
        <w:t> </w:t>
      </w:r>
      <w:r>
        <w:rPr>
          <w:rFonts w:ascii="Stone Sans II ITC Std Bk"/>
          <w:b/>
          <w:color w:val="707172"/>
          <w:w w:val="110"/>
          <w:sz w:val="18"/>
        </w:rPr>
        <w:t>members</w:t>
      </w:r>
    </w:p>
    <w:p>
      <w:pPr>
        <w:spacing w:line="261" w:lineRule="auto" w:before="8"/>
        <w:ind w:left="940" w:right="5224" w:firstLine="0"/>
        <w:jc w:val="left"/>
        <w:rPr>
          <w:sz w:val="18"/>
        </w:rPr>
      </w:pPr>
      <w:r>
        <w:rPr>
          <w:color w:val="707172"/>
          <w:w w:val="120"/>
          <w:sz w:val="18"/>
        </w:rPr>
        <w:t>Convenor: Ray Adams (Irene Wren to September </w:t>
      </w:r>
      <w:r>
        <w:rPr>
          <w:color w:val="707172"/>
          <w:spacing w:val="-5"/>
          <w:w w:val="120"/>
          <w:sz w:val="18"/>
        </w:rPr>
        <w:t>2016) </w:t>
      </w:r>
      <w:r>
        <w:rPr>
          <w:color w:val="707172"/>
          <w:w w:val="120"/>
          <w:sz w:val="18"/>
        </w:rPr>
        <w:t>Secretary: George Faris (Carol Rogers to June </w:t>
      </w:r>
      <w:r>
        <w:rPr>
          <w:color w:val="707172"/>
          <w:spacing w:val="-6"/>
          <w:w w:val="120"/>
          <w:sz w:val="18"/>
        </w:rPr>
        <w:t>2017) </w:t>
      </w:r>
      <w:r>
        <w:rPr>
          <w:color w:val="707172"/>
          <w:w w:val="120"/>
          <w:sz w:val="18"/>
        </w:rPr>
        <w:t>Synod</w:t>
      </w:r>
      <w:r>
        <w:rPr>
          <w:color w:val="707172"/>
          <w:spacing w:val="2"/>
          <w:w w:val="120"/>
          <w:sz w:val="18"/>
        </w:rPr>
        <w:t> </w:t>
      </w:r>
      <w:r>
        <w:rPr>
          <w:color w:val="707172"/>
          <w:w w:val="120"/>
          <w:sz w:val="18"/>
        </w:rPr>
        <w:t>representatives:</w:t>
      </w:r>
    </w:p>
    <w:p>
      <w:pPr>
        <w:pStyle w:val="ListParagraph"/>
        <w:numPr>
          <w:ilvl w:val="1"/>
          <w:numId w:val="115"/>
        </w:numPr>
        <w:tabs>
          <w:tab w:pos="1507" w:val="left" w:leader="none"/>
          <w:tab w:pos="1508" w:val="left" w:leader="none"/>
        </w:tabs>
        <w:spacing w:line="240" w:lineRule="auto" w:before="1" w:after="0"/>
        <w:ind w:left="1507" w:right="0" w:hanging="568"/>
        <w:jc w:val="left"/>
        <w:rPr>
          <w:sz w:val="18"/>
        </w:rPr>
      </w:pPr>
      <w:r>
        <w:rPr>
          <w:color w:val="707172"/>
          <w:w w:val="120"/>
          <w:sz w:val="18"/>
        </w:rPr>
        <w:t>Melanie</w:t>
      </w:r>
      <w:r>
        <w:rPr>
          <w:color w:val="707172"/>
          <w:spacing w:val="2"/>
          <w:w w:val="120"/>
          <w:sz w:val="18"/>
        </w:rPr>
        <w:t> </w:t>
      </w:r>
      <w:r>
        <w:rPr>
          <w:color w:val="707172"/>
          <w:w w:val="120"/>
          <w:sz w:val="18"/>
        </w:rPr>
        <w:t>Campbell</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0"/>
          <w:sz w:val="18"/>
        </w:rPr>
        <w:t>Brian Jolly (Martin Smith to November</w:t>
      </w:r>
      <w:r>
        <w:rPr>
          <w:color w:val="707172"/>
          <w:spacing w:val="15"/>
          <w:w w:val="120"/>
          <w:sz w:val="18"/>
        </w:rPr>
        <w:t> </w:t>
      </w:r>
      <w:r>
        <w:rPr>
          <w:color w:val="707172"/>
          <w:spacing w:val="-6"/>
          <w:w w:val="120"/>
          <w:sz w:val="18"/>
        </w:rPr>
        <w:t>2017)</w:t>
      </w:r>
    </w:p>
    <w:p>
      <w:pPr>
        <w:pStyle w:val="ListParagraph"/>
        <w:numPr>
          <w:ilvl w:val="1"/>
          <w:numId w:val="115"/>
        </w:numPr>
        <w:tabs>
          <w:tab w:pos="1507" w:val="left" w:leader="none"/>
          <w:tab w:pos="1508" w:val="left" w:leader="none"/>
        </w:tabs>
        <w:spacing w:line="240" w:lineRule="auto" w:before="21" w:after="0"/>
        <w:ind w:left="1507" w:right="0" w:hanging="568"/>
        <w:jc w:val="left"/>
        <w:rPr>
          <w:sz w:val="18"/>
        </w:rPr>
      </w:pPr>
      <w:r>
        <w:rPr>
          <w:color w:val="707172"/>
          <w:w w:val="120"/>
          <w:sz w:val="18"/>
        </w:rPr>
        <w:t>Bill Gould (Robert Shallcross to November</w:t>
      </w:r>
      <w:r>
        <w:rPr>
          <w:color w:val="707172"/>
          <w:spacing w:val="18"/>
          <w:w w:val="120"/>
          <w:sz w:val="18"/>
        </w:rPr>
        <w:t> </w:t>
      </w:r>
      <w:r>
        <w:rPr>
          <w:color w:val="707172"/>
          <w:spacing w:val="-5"/>
          <w:w w:val="120"/>
          <w:sz w:val="18"/>
        </w:rPr>
        <w:t>2016)</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0"/>
          <w:sz w:val="18"/>
        </w:rPr>
        <w:t>Chris</w:t>
      </w:r>
      <w:r>
        <w:rPr>
          <w:color w:val="707172"/>
          <w:spacing w:val="2"/>
          <w:w w:val="120"/>
          <w:sz w:val="18"/>
        </w:rPr>
        <w:t> </w:t>
      </w:r>
      <w:r>
        <w:rPr>
          <w:color w:val="707172"/>
          <w:w w:val="120"/>
          <w:sz w:val="18"/>
        </w:rPr>
        <w:t>Reed</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5"/>
          <w:sz w:val="18"/>
        </w:rPr>
        <w:t>Helen</w:t>
      </w:r>
      <w:r>
        <w:rPr>
          <w:color w:val="707172"/>
          <w:spacing w:val="-1"/>
          <w:w w:val="125"/>
          <w:sz w:val="18"/>
        </w:rPr>
        <w:t> </w:t>
      </w:r>
      <w:r>
        <w:rPr>
          <w:color w:val="707172"/>
          <w:w w:val="125"/>
          <w:sz w:val="18"/>
        </w:rPr>
        <w:t>Lidgett</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0"/>
          <w:sz w:val="18"/>
        </w:rPr>
        <w:t>Margaret</w:t>
      </w:r>
      <w:r>
        <w:rPr>
          <w:color w:val="707172"/>
          <w:spacing w:val="1"/>
          <w:w w:val="120"/>
          <w:sz w:val="18"/>
        </w:rPr>
        <w:t> </w:t>
      </w:r>
      <w:r>
        <w:rPr>
          <w:color w:val="707172"/>
          <w:w w:val="120"/>
          <w:sz w:val="18"/>
        </w:rPr>
        <w:t>Marshall</w:t>
      </w:r>
    </w:p>
    <w:p>
      <w:pPr>
        <w:pStyle w:val="ListParagraph"/>
        <w:numPr>
          <w:ilvl w:val="1"/>
          <w:numId w:val="115"/>
        </w:numPr>
        <w:tabs>
          <w:tab w:pos="1507" w:val="left" w:leader="none"/>
          <w:tab w:pos="1508" w:val="left" w:leader="none"/>
        </w:tabs>
        <w:spacing w:line="240" w:lineRule="auto" w:before="21" w:after="0"/>
        <w:ind w:left="1507" w:right="0" w:hanging="568"/>
        <w:jc w:val="left"/>
        <w:rPr>
          <w:sz w:val="18"/>
        </w:rPr>
      </w:pPr>
      <w:r>
        <w:rPr>
          <w:color w:val="707172"/>
          <w:w w:val="120"/>
          <w:sz w:val="18"/>
        </w:rPr>
        <w:t>Paul</w:t>
      </w:r>
      <w:r>
        <w:rPr>
          <w:color w:val="707172"/>
          <w:spacing w:val="1"/>
          <w:w w:val="120"/>
          <w:sz w:val="18"/>
        </w:rPr>
        <w:t> </w:t>
      </w:r>
      <w:r>
        <w:rPr>
          <w:color w:val="707172"/>
          <w:w w:val="120"/>
          <w:sz w:val="18"/>
        </w:rPr>
        <w:t>Whittle</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0"/>
          <w:sz w:val="18"/>
        </w:rPr>
        <w:t>Douglas Burnett (George Faris to June</w:t>
      </w:r>
      <w:r>
        <w:rPr>
          <w:color w:val="707172"/>
          <w:spacing w:val="16"/>
          <w:w w:val="120"/>
          <w:sz w:val="18"/>
        </w:rPr>
        <w:t> </w:t>
      </w:r>
      <w:r>
        <w:rPr>
          <w:color w:val="707172"/>
          <w:spacing w:val="-6"/>
          <w:w w:val="120"/>
          <w:sz w:val="18"/>
        </w:rPr>
        <w:t>2017)</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0"/>
          <w:sz w:val="18"/>
        </w:rPr>
        <w:t>Sue</w:t>
      </w:r>
      <w:r>
        <w:rPr>
          <w:color w:val="707172"/>
          <w:spacing w:val="1"/>
          <w:w w:val="120"/>
          <w:sz w:val="18"/>
        </w:rPr>
        <w:t> </w:t>
      </w:r>
      <w:r>
        <w:rPr>
          <w:color w:val="707172"/>
          <w:w w:val="120"/>
          <w:sz w:val="18"/>
        </w:rPr>
        <w:t>Brown</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5"/>
          <w:sz w:val="18"/>
        </w:rPr>
        <w:t>Simon</w:t>
      </w:r>
      <w:r>
        <w:rPr>
          <w:color w:val="707172"/>
          <w:spacing w:val="-1"/>
          <w:w w:val="125"/>
          <w:sz w:val="18"/>
        </w:rPr>
        <w:t> </w:t>
      </w:r>
      <w:r>
        <w:rPr>
          <w:color w:val="707172"/>
          <w:w w:val="125"/>
          <w:sz w:val="18"/>
        </w:rPr>
        <w:t>Fairnington</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5"/>
          <w:sz w:val="18"/>
        </w:rPr>
        <w:t>Derrick</w:t>
      </w:r>
      <w:r>
        <w:rPr>
          <w:color w:val="707172"/>
          <w:spacing w:val="-1"/>
          <w:w w:val="125"/>
          <w:sz w:val="18"/>
        </w:rPr>
        <w:t> </w:t>
      </w:r>
      <w:r>
        <w:rPr>
          <w:color w:val="707172"/>
          <w:w w:val="125"/>
          <w:sz w:val="18"/>
        </w:rPr>
        <w:t>Dzandu-Hedidor</w:t>
      </w:r>
    </w:p>
    <w:p>
      <w:pPr>
        <w:pStyle w:val="ListParagraph"/>
        <w:numPr>
          <w:ilvl w:val="1"/>
          <w:numId w:val="115"/>
        </w:numPr>
        <w:tabs>
          <w:tab w:pos="1507" w:val="left" w:leader="none"/>
          <w:tab w:pos="1508" w:val="left" w:leader="none"/>
        </w:tabs>
        <w:spacing w:line="240" w:lineRule="auto" w:before="21" w:after="0"/>
        <w:ind w:left="1507" w:right="0" w:hanging="568"/>
        <w:jc w:val="left"/>
        <w:rPr>
          <w:sz w:val="18"/>
        </w:rPr>
      </w:pPr>
      <w:r>
        <w:rPr>
          <w:color w:val="707172"/>
          <w:w w:val="125"/>
          <w:sz w:val="18"/>
        </w:rPr>
        <w:t>Adrian Bulley (Shelagh Pollard to November</w:t>
      </w:r>
      <w:r>
        <w:rPr>
          <w:color w:val="707172"/>
          <w:spacing w:val="-4"/>
          <w:w w:val="125"/>
          <w:sz w:val="18"/>
        </w:rPr>
        <w:t> </w:t>
      </w:r>
      <w:r>
        <w:rPr>
          <w:color w:val="707172"/>
          <w:spacing w:val="-6"/>
          <w:w w:val="125"/>
          <w:sz w:val="18"/>
        </w:rPr>
        <w:t>2017)</w:t>
      </w:r>
    </w:p>
    <w:p>
      <w:pPr>
        <w:pStyle w:val="ListParagraph"/>
        <w:numPr>
          <w:ilvl w:val="1"/>
          <w:numId w:val="115"/>
        </w:numPr>
        <w:tabs>
          <w:tab w:pos="1507" w:val="left" w:leader="none"/>
          <w:tab w:pos="1508" w:val="left" w:leader="none"/>
        </w:tabs>
        <w:spacing w:line="240" w:lineRule="auto" w:before="20" w:after="0"/>
        <w:ind w:left="1507" w:right="0" w:hanging="568"/>
        <w:jc w:val="left"/>
        <w:rPr>
          <w:sz w:val="18"/>
        </w:rPr>
      </w:pPr>
      <w:r>
        <w:rPr>
          <w:color w:val="707172"/>
          <w:w w:val="125"/>
          <w:sz w:val="18"/>
        </w:rPr>
        <w:t>Morag</w:t>
      </w:r>
      <w:r>
        <w:rPr>
          <w:color w:val="707172"/>
          <w:spacing w:val="-1"/>
          <w:w w:val="125"/>
          <w:sz w:val="18"/>
        </w:rPr>
        <w:t> </w:t>
      </w:r>
      <w:r>
        <w:rPr>
          <w:color w:val="707172"/>
          <w:w w:val="125"/>
          <w:sz w:val="18"/>
        </w:rPr>
        <w:t>Donaldson</w:t>
      </w:r>
    </w:p>
    <w:p>
      <w:pPr>
        <w:pStyle w:val="BodyText"/>
        <w:rPr>
          <w:sz w:val="22"/>
        </w:rPr>
      </w:pPr>
    </w:p>
    <w:p>
      <w:pPr>
        <w:pStyle w:val="BodyText"/>
        <w:spacing w:before="2"/>
      </w:pPr>
    </w:p>
    <w:p>
      <w:pPr>
        <w:spacing w:before="0"/>
        <w:ind w:left="827" w:right="0" w:firstLine="0"/>
        <w:jc w:val="left"/>
        <w:rPr>
          <w:rFonts w:ascii="Stone Sans II ITC Std Bk"/>
          <w:b/>
          <w:sz w:val="29"/>
        </w:rPr>
      </w:pPr>
      <w:r>
        <w:rPr>
          <w:rFonts w:ascii="Stone Sans II ITC Std Bk"/>
          <w:b/>
          <w:w w:val="110"/>
          <w:sz w:val="29"/>
        </w:rPr>
        <w:t>Current work</w:t>
      </w:r>
    </w:p>
    <w:p>
      <w:pPr>
        <w:pStyle w:val="ListParagraph"/>
        <w:numPr>
          <w:ilvl w:val="1"/>
          <w:numId w:val="116"/>
        </w:numPr>
        <w:tabs>
          <w:tab w:pos="1507" w:val="left" w:leader="none"/>
          <w:tab w:pos="1508" w:val="left" w:leader="none"/>
        </w:tabs>
        <w:spacing w:line="235" w:lineRule="auto" w:before="69" w:after="0"/>
        <w:ind w:left="827" w:right="1698" w:firstLine="0"/>
        <w:jc w:val="left"/>
        <w:rPr>
          <w:sz w:val="20"/>
        </w:rPr>
      </w:pPr>
      <w:r>
        <w:rPr>
          <w:w w:val="120"/>
          <w:sz w:val="20"/>
        </w:rPr>
        <w:t>The main task of this committee is to maintain the work of all Assembly committees and working groups by bringing names for General Assembly </w:t>
      </w:r>
      <w:r>
        <w:rPr>
          <w:spacing w:val="-6"/>
          <w:w w:val="120"/>
          <w:sz w:val="20"/>
        </w:rPr>
        <w:t>(or </w:t>
      </w:r>
      <w:r>
        <w:rPr>
          <w:w w:val="120"/>
          <w:sz w:val="20"/>
        </w:rPr>
        <w:t>Mission Council acting in its </w:t>
      </w:r>
      <w:r>
        <w:rPr>
          <w:spacing w:val="-4"/>
          <w:w w:val="120"/>
          <w:sz w:val="20"/>
        </w:rPr>
        <w:t>name) </w:t>
      </w:r>
      <w:r>
        <w:rPr>
          <w:w w:val="120"/>
          <w:sz w:val="20"/>
        </w:rPr>
        <w:t>to appoint to serve on them. </w:t>
      </w:r>
      <w:r>
        <w:rPr>
          <w:spacing w:val="-7"/>
          <w:w w:val="120"/>
          <w:sz w:val="20"/>
        </w:rPr>
        <w:t>To </w:t>
      </w:r>
      <w:r>
        <w:rPr>
          <w:w w:val="120"/>
          <w:sz w:val="20"/>
        </w:rPr>
        <w:t>achieve this, we depend on the </w:t>
      </w:r>
      <w:r>
        <w:rPr>
          <w:spacing w:val="2"/>
          <w:w w:val="120"/>
          <w:sz w:val="20"/>
        </w:rPr>
        <w:t>gifts </w:t>
      </w:r>
      <w:r>
        <w:rPr>
          <w:w w:val="120"/>
          <w:sz w:val="20"/>
        </w:rPr>
        <w:t>and the goodwill of members of the Church. Nominations committee seeks to ensure that invitations are issued which result in committees being appointed where every member contributes to the work of the</w:t>
      </w:r>
      <w:r>
        <w:rPr>
          <w:spacing w:val="16"/>
          <w:w w:val="120"/>
          <w:sz w:val="20"/>
        </w:rPr>
        <w:t> </w:t>
      </w:r>
      <w:r>
        <w:rPr>
          <w:w w:val="120"/>
          <w:sz w:val="20"/>
        </w:rPr>
        <w:t>whole.</w:t>
      </w:r>
    </w:p>
    <w:p>
      <w:pPr>
        <w:pStyle w:val="BodyText"/>
      </w:pPr>
    </w:p>
    <w:p>
      <w:pPr>
        <w:pStyle w:val="ListParagraph"/>
        <w:numPr>
          <w:ilvl w:val="1"/>
          <w:numId w:val="116"/>
        </w:numPr>
        <w:tabs>
          <w:tab w:pos="1507" w:val="left" w:leader="none"/>
          <w:tab w:pos="1508" w:val="left" w:leader="none"/>
        </w:tabs>
        <w:spacing w:line="235" w:lineRule="auto" w:before="0" w:after="0"/>
        <w:ind w:left="827" w:right="1798" w:firstLine="0"/>
        <w:jc w:val="left"/>
        <w:rPr>
          <w:sz w:val="20"/>
        </w:rPr>
      </w:pPr>
      <w:r>
        <w:rPr>
          <w:w w:val="120"/>
          <w:sz w:val="20"/>
        </w:rPr>
        <w:t>Synod representative members, through consulting their own synod networks, bring names which are then discussed as vacancies occur in Assembly committees   and groups. An annual letter, which lists forthcoming vacancies, is usually sent to</w:t>
      </w:r>
      <w:r>
        <w:rPr>
          <w:spacing w:val="42"/>
          <w:w w:val="120"/>
          <w:sz w:val="20"/>
        </w:rPr>
        <w:t> </w:t>
      </w:r>
      <w:r>
        <w:rPr>
          <w:w w:val="120"/>
          <w:sz w:val="20"/>
        </w:rPr>
        <w:t>the</w:t>
      </w:r>
    </w:p>
    <w:p>
      <w:pPr>
        <w:pStyle w:val="BodyText"/>
        <w:spacing w:line="235" w:lineRule="auto" w:before="3"/>
        <w:ind w:left="827" w:right="1653"/>
      </w:pPr>
      <w:r>
        <w:rPr>
          <w:w w:val="120"/>
        </w:rPr>
        <w:t>synods for them to respond with suggested nominees. Other committees are welcome to make suggestions, where appropriate, recognising that often they have the clearest understanding of their own needs. </w:t>
      </w:r>
      <w:r>
        <w:rPr>
          <w:spacing w:val="-7"/>
          <w:w w:val="120"/>
        </w:rPr>
        <w:t>To </w:t>
      </w:r>
      <w:r>
        <w:rPr>
          <w:w w:val="120"/>
        </w:rPr>
        <w:t>keep a healthy balance between established expertise and new members, between lay and ordained, and male and female is sometimes challenging, not least when people – for a variety of reasons – are unable to complete their term of appointment. However, the committee remains deeply grateful to members of local churches who willingly accept invitations to participate in the life of the Church in this</w:t>
      </w:r>
      <w:r>
        <w:rPr>
          <w:spacing w:val="8"/>
          <w:w w:val="120"/>
        </w:rPr>
        <w:t> </w:t>
      </w:r>
      <w:r>
        <w:rPr>
          <w:spacing w:val="-4"/>
          <w:w w:val="120"/>
        </w:rPr>
        <w:t>way.</w:t>
      </w:r>
    </w:p>
    <w:p>
      <w:pPr>
        <w:pStyle w:val="BodyText"/>
        <w:spacing w:before="1"/>
      </w:pPr>
    </w:p>
    <w:p>
      <w:pPr>
        <w:pStyle w:val="ListParagraph"/>
        <w:numPr>
          <w:ilvl w:val="1"/>
          <w:numId w:val="116"/>
        </w:numPr>
        <w:tabs>
          <w:tab w:pos="1507" w:val="left" w:leader="none"/>
          <w:tab w:pos="1508" w:val="left" w:leader="none"/>
        </w:tabs>
        <w:spacing w:line="235" w:lineRule="auto" w:before="0" w:after="0"/>
        <w:ind w:left="827" w:right="1692" w:firstLine="0"/>
        <w:jc w:val="left"/>
        <w:rPr>
          <w:sz w:val="20"/>
        </w:rPr>
      </w:pPr>
      <w:r>
        <w:rPr>
          <w:w w:val="120"/>
          <w:sz w:val="20"/>
        </w:rPr>
        <w:t>The committee is also responsible for appointing members of Assembly panels and for ensuring that the URC is represented on outside bodies. The last section of this </w:t>
      </w:r>
      <w:r>
        <w:rPr>
          <w:spacing w:val="2"/>
          <w:w w:val="120"/>
          <w:sz w:val="20"/>
        </w:rPr>
        <w:t>report </w:t>
      </w:r>
      <w:r>
        <w:rPr>
          <w:w w:val="120"/>
          <w:sz w:val="20"/>
        </w:rPr>
        <w:t>indicates the scope of this task. Even where the responsibility for appointing some of these representatives lies in other </w:t>
      </w:r>
      <w:r>
        <w:rPr>
          <w:spacing w:val="2"/>
          <w:w w:val="120"/>
          <w:sz w:val="20"/>
        </w:rPr>
        <w:t>parts </w:t>
      </w:r>
      <w:r>
        <w:rPr>
          <w:w w:val="120"/>
          <w:sz w:val="20"/>
        </w:rPr>
        <w:t>of the URC, they are included below in order to give a comprehensive</w:t>
      </w:r>
      <w:r>
        <w:rPr>
          <w:spacing w:val="11"/>
          <w:w w:val="120"/>
          <w:sz w:val="20"/>
        </w:rPr>
        <w:t> </w:t>
      </w:r>
      <w:r>
        <w:rPr>
          <w:w w:val="120"/>
          <w:sz w:val="20"/>
        </w:rPr>
        <w:t>picture.</w:t>
      </w:r>
    </w:p>
    <w:p>
      <w:pPr>
        <w:spacing w:after="0" w:line="235" w:lineRule="auto"/>
        <w:jc w:val="left"/>
        <w:rPr>
          <w:sz w:val="20"/>
        </w:rPr>
        <w:sectPr>
          <w:headerReference w:type="even" r:id="rId442"/>
          <w:footerReference w:type="even" r:id="rId443"/>
          <w:footerReference w:type="default" r:id="rId444"/>
          <w:pgSz w:w="11910" w:h="16840"/>
          <w:pgMar w:header="0" w:footer="647" w:top="0" w:bottom="840" w:left="420" w:right="380"/>
          <w:pgNumType w:start="162"/>
        </w:sectPr>
      </w:pPr>
    </w:p>
    <w:p>
      <w:pPr>
        <w:pStyle w:val="BodyText"/>
      </w:pPr>
    </w:p>
    <w:p>
      <w:pPr>
        <w:pStyle w:val="BodyText"/>
        <w:spacing w:before="5"/>
        <w:rPr>
          <w:sz w:val="21"/>
        </w:rPr>
      </w:pPr>
    </w:p>
    <w:p>
      <w:pPr>
        <w:spacing w:after="0"/>
        <w:rPr>
          <w:sz w:val="21"/>
        </w:rPr>
        <w:sectPr>
          <w:headerReference w:type="default" r:id="rId446"/>
          <w:pgSz w:w="11910" w:h="16840"/>
          <w:pgMar w:header="0" w:footer="647" w:top="0" w:bottom="840" w:left="420" w:right="380"/>
        </w:sectPr>
      </w:pPr>
    </w:p>
    <w:p>
      <w:pPr>
        <w:pStyle w:val="BodyText"/>
        <w:spacing w:before="6"/>
        <w:rPr>
          <w:sz w:val="52"/>
        </w:rPr>
      </w:pPr>
    </w:p>
    <w:p>
      <w:pPr>
        <w:pStyle w:val="Heading4"/>
        <w:ind w:left="1564" w:firstLine="0"/>
      </w:pPr>
      <w:r>
        <w:rPr>
          <w:w w:val="110"/>
        </w:rPr>
        <w:t>Monitoring</w:t>
      </w:r>
    </w:p>
    <w:p>
      <w:pPr>
        <w:pStyle w:val="Heading5"/>
        <w:ind w:left="1564"/>
      </w:pPr>
      <w:bookmarkStart w:name="_TOC_250000" w:id="39"/>
      <w:r>
        <w:rPr/>
        <w:br w:type="column"/>
      </w:r>
      <w:bookmarkEnd w:id="39"/>
      <w:r>
        <w:rPr>
          <w:color w:val="7EAABF"/>
          <w:w w:val="120"/>
        </w:rPr>
        <w:t>Nominations</w:t>
      </w:r>
    </w:p>
    <w:p>
      <w:pPr>
        <w:spacing w:after="0"/>
        <w:sectPr>
          <w:type w:val="continuous"/>
          <w:pgSz w:w="11910" w:h="16840"/>
          <w:pgMar w:top="1580" w:bottom="280" w:left="420" w:right="380"/>
          <w:cols w:num="2" w:equalWidth="0">
            <w:col w:w="3407" w:space="3667"/>
            <w:col w:w="4036"/>
          </w:cols>
        </w:sectPr>
      </w:pPr>
    </w:p>
    <w:p>
      <w:pPr>
        <w:pStyle w:val="ListParagraph"/>
        <w:numPr>
          <w:ilvl w:val="1"/>
          <w:numId w:val="117"/>
        </w:numPr>
        <w:tabs>
          <w:tab w:pos="2244" w:val="left" w:leader="none"/>
          <w:tab w:pos="2245" w:val="left" w:leader="none"/>
        </w:tabs>
        <w:spacing w:line="235" w:lineRule="auto" w:before="69" w:after="0"/>
        <w:ind w:left="1564" w:right="1451" w:firstLine="0"/>
        <w:jc w:val="left"/>
        <w:rPr>
          <w:sz w:val="20"/>
        </w:rPr>
      </w:pPr>
      <w:r>
        <w:rPr/>
        <w:drawing>
          <wp:anchor distT="0" distB="0" distL="0" distR="0" allowOverlap="1" layoutInCell="1" locked="0" behindDoc="0" simplePos="0" relativeHeight="252084224">
            <wp:simplePos x="0" y="0"/>
            <wp:positionH relativeFrom="page">
              <wp:posOffset>6974928</wp:posOffset>
            </wp:positionH>
            <wp:positionV relativeFrom="page">
              <wp:posOffset>0</wp:posOffset>
            </wp:positionV>
            <wp:extent cx="585063" cy="10692003"/>
            <wp:effectExtent l="0" t="0" r="0" b="0"/>
            <wp:wrapNone/>
            <wp:docPr id="315" name="image74.png"/>
            <wp:cNvGraphicFramePr>
              <a:graphicFrameLocks noChangeAspect="1"/>
            </wp:cNvGraphicFramePr>
            <a:graphic>
              <a:graphicData uri="http://schemas.openxmlformats.org/drawingml/2006/picture">
                <pic:pic>
                  <pic:nvPicPr>
                    <pic:cNvPr id="316" name="image74.png"/>
                    <pic:cNvPicPr/>
                  </pic:nvPicPr>
                  <pic:blipFill>
                    <a:blip r:embed="rId439" cstate="print"/>
                    <a:stretch>
                      <a:fillRect/>
                    </a:stretch>
                  </pic:blipFill>
                  <pic:spPr>
                    <a:xfrm>
                      <a:off x="0" y="0"/>
                      <a:ext cx="585063" cy="10692003"/>
                    </a:xfrm>
                    <a:prstGeom prst="rect">
                      <a:avLst/>
                    </a:prstGeom>
                  </pic:spPr>
                </pic:pic>
              </a:graphicData>
            </a:graphic>
          </wp:anchor>
        </w:drawing>
      </w:r>
      <w:r>
        <w:rPr/>
        <w:pict>
          <v:shape style="position:absolute;margin-left:554.141174pt;margin-top:-28.931347pt;width:26pt;height:133.75pt;mso-position-horizontal-relative:page;mso-position-vertical-relative:paragraph;z-index:252085248"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w w:val="120"/>
          <w:sz w:val="20"/>
        </w:rPr>
        <w:t>Those invited to serve on the </w:t>
      </w:r>
      <w:r>
        <w:rPr>
          <w:spacing w:val="-3"/>
          <w:w w:val="120"/>
          <w:sz w:val="20"/>
        </w:rPr>
        <w:t>Church’s </w:t>
      </w:r>
      <w:r>
        <w:rPr>
          <w:w w:val="120"/>
          <w:sz w:val="20"/>
        </w:rPr>
        <w:t>committees and working groups are asked to complete a monitoring form. The results are shared with the equalities committee.</w:t>
      </w:r>
    </w:p>
    <w:p>
      <w:pPr>
        <w:pStyle w:val="BodyText"/>
        <w:spacing w:before="10"/>
        <w:rPr>
          <w:sz w:val="19"/>
        </w:rPr>
      </w:pPr>
    </w:p>
    <w:p>
      <w:pPr>
        <w:pStyle w:val="ListParagraph"/>
        <w:numPr>
          <w:ilvl w:val="1"/>
          <w:numId w:val="117"/>
        </w:numPr>
        <w:tabs>
          <w:tab w:pos="2244" w:val="left" w:leader="none"/>
          <w:tab w:pos="2245" w:val="left" w:leader="none"/>
        </w:tabs>
        <w:spacing w:line="235" w:lineRule="auto" w:before="0" w:after="0"/>
        <w:ind w:left="1564" w:right="1192" w:firstLine="0"/>
        <w:jc w:val="left"/>
        <w:rPr>
          <w:sz w:val="20"/>
        </w:rPr>
      </w:pPr>
      <w:r>
        <w:rPr>
          <w:w w:val="120"/>
          <w:sz w:val="20"/>
        </w:rPr>
        <w:t>Seventy-eight acceptances were received between July </w:t>
      </w:r>
      <w:r>
        <w:rPr>
          <w:spacing w:val="-9"/>
          <w:w w:val="120"/>
          <w:sz w:val="20"/>
        </w:rPr>
        <w:t>2017 </w:t>
      </w:r>
      <w:r>
        <w:rPr>
          <w:w w:val="120"/>
          <w:sz w:val="20"/>
        </w:rPr>
        <w:t>and March </w:t>
      </w:r>
      <w:r>
        <w:rPr>
          <w:spacing w:val="-5"/>
          <w:w w:val="120"/>
          <w:sz w:val="20"/>
        </w:rPr>
        <w:t>2018. </w:t>
      </w:r>
      <w:r>
        <w:rPr>
          <w:w w:val="120"/>
          <w:sz w:val="20"/>
        </w:rPr>
        <w:t>The ordained/lay and male/female figures are as</w:t>
      </w:r>
      <w:r>
        <w:rPr>
          <w:spacing w:val="7"/>
          <w:w w:val="120"/>
          <w:sz w:val="20"/>
        </w:rPr>
        <w:t> </w:t>
      </w:r>
      <w:r>
        <w:rPr>
          <w:w w:val="120"/>
          <w:sz w:val="20"/>
        </w:rPr>
        <w:t>follows:</w:t>
      </w:r>
    </w:p>
    <w:p>
      <w:pPr>
        <w:pStyle w:val="BodyText"/>
        <w:rPr>
          <w:sz w:val="22"/>
        </w:rPr>
      </w:pPr>
    </w:p>
    <w:tbl>
      <w:tblPr>
        <w:tblW w:w="0" w:type="auto"/>
        <w:jc w:val="left"/>
        <w:tblInd w:w="4780" w:type="dxa"/>
        <w:tblBorders>
          <w:top w:val="single" w:sz="4" w:space="0" w:color="E8581E"/>
          <w:left w:val="single" w:sz="4" w:space="0" w:color="E8581E"/>
          <w:bottom w:val="single" w:sz="4" w:space="0" w:color="E8581E"/>
          <w:right w:val="single" w:sz="4" w:space="0" w:color="E8581E"/>
          <w:insideH w:val="single" w:sz="4" w:space="0" w:color="E8581E"/>
          <w:insideV w:val="single" w:sz="4" w:space="0" w:color="E8581E"/>
        </w:tblBorders>
        <w:tblLayout w:type="fixed"/>
        <w:tblCellMar>
          <w:top w:w="0" w:type="dxa"/>
          <w:left w:w="0" w:type="dxa"/>
          <w:bottom w:w="0" w:type="dxa"/>
          <w:right w:w="0" w:type="dxa"/>
        </w:tblCellMar>
        <w:tblLook w:val="01E0"/>
      </w:tblPr>
      <w:tblGrid>
        <w:gridCol w:w="1134"/>
        <w:gridCol w:w="461"/>
        <w:gridCol w:w="657"/>
      </w:tblGrid>
      <w:tr>
        <w:trPr>
          <w:trHeight w:val="373" w:hRule="atLeast"/>
        </w:trPr>
        <w:tc>
          <w:tcPr>
            <w:tcW w:w="1134" w:type="dxa"/>
          </w:tcPr>
          <w:p>
            <w:pPr>
              <w:pStyle w:val="TableParagraph"/>
              <w:spacing w:before="108"/>
              <w:ind w:left="91" w:right="82"/>
              <w:jc w:val="center"/>
              <w:rPr>
                <w:sz w:val="20"/>
              </w:rPr>
            </w:pPr>
            <w:r>
              <w:rPr>
                <w:w w:val="120"/>
                <w:sz w:val="20"/>
              </w:rPr>
              <w:t>Ordained</w:t>
            </w:r>
          </w:p>
        </w:tc>
        <w:tc>
          <w:tcPr>
            <w:tcW w:w="461" w:type="dxa"/>
          </w:tcPr>
          <w:p>
            <w:pPr>
              <w:pStyle w:val="TableParagraph"/>
              <w:spacing w:before="108"/>
              <w:ind w:left="105"/>
              <w:rPr>
                <w:sz w:val="20"/>
              </w:rPr>
            </w:pPr>
            <w:r>
              <w:rPr>
                <w:w w:val="125"/>
                <w:sz w:val="20"/>
              </w:rPr>
              <w:t>36</w:t>
            </w:r>
          </w:p>
        </w:tc>
        <w:tc>
          <w:tcPr>
            <w:tcW w:w="657" w:type="dxa"/>
          </w:tcPr>
          <w:p>
            <w:pPr>
              <w:pStyle w:val="TableParagraph"/>
              <w:spacing w:before="108"/>
              <w:ind w:left="78" w:right="73"/>
              <w:jc w:val="center"/>
              <w:rPr>
                <w:sz w:val="20"/>
              </w:rPr>
            </w:pPr>
            <w:r>
              <w:rPr>
                <w:w w:val="130"/>
                <w:sz w:val="20"/>
              </w:rPr>
              <w:t>46%</w:t>
            </w:r>
          </w:p>
        </w:tc>
      </w:tr>
      <w:tr>
        <w:trPr>
          <w:trHeight w:val="373" w:hRule="atLeast"/>
        </w:trPr>
        <w:tc>
          <w:tcPr>
            <w:tcW w:w="1134" w:type="dxa"/>
          </w:tcPr>
          <w:p>
            <w:pPr>
              <w:pStyle w:val="TableParagraph"/>
              <w:spacing w:before="108"/>
              <w:ind w:left="90" w:right="82"/>
              <w:jc w:val="center"/>
              <w:rPr>
                <w:sz w:val="20"/>
              </w:rPr>
            </w:pPr>
            <w:r>
              <w:rPr>
                <w:w w:val="120"/>
                <w:sz w:val="20"/>
              </w:rPr>
              <w:t>Lay</w:t>
            </w:r>
          </w:p>
        </w:tc>
        <w:tc>
          <w:tcPr>
            <w:tcW w:w="461" w:type="dxa"/>
          </w:tcPr>
          <w:p>
            <w:pPr>
              <w:pStyle w:val="TableParagraph"/>
              <w:spacing w:before="108"/>
              <w:ind w:left="108"/>
              <w:rPr>
                <w:sz w:val="20"/>
              </w:rPr>
            </w:pPr>
            <w:r>
              <w:rPr>
                <w:w w:val="125"/>
                <w:sz w:val="20"/>
              </w:rPr>
              <w:t>42</w:t>
            </w:r>
          </w:p>
        </w:tc>
        <w:tc>
          <w:tcPr>
            <w:tcW w:w="657" w:type="dxa"/>
          </w:tcPr>
          <w:p>
            <w:pPr>
              <w:pStyle w:val="TableParagraph"/>
              <w:spacing w:before="108"/>
              <w:ind w:left="78" w:right="73"/>
              <w:jc w:val="center"/>
              <w:rPr>
                <w:sz w:val="20"/>
              </w:rPr>
            </w:pPr>
            <w:r>
              <w:rPr>
                <w:w w:val="130"/>
                <w:sz w:val="20"/>
              </w:rPr>
              <w:t>54%</w:t>
            </w:r>
          </w:p>
        </w:tc>
      </w:tr>
    </w:tbl>
    <w:p>
      <w:pPr>
        <w:pStyle w:val="BodyText"/>
        <w:spacing w:before="2"/>
        <w:rPr>
          <w:sz w:val="26"/>
        </w:rPr>
      </w:pPr>
    </w:p>
    <w:tbl>
      <w:tblPr>
        <w:tblW w:w="0" w:type="auto"/>
        <w:jc w:val="left"/>
        <w:tblInd w:w="4780" w:type="dxa"/>
        <w:tblBorders>
          <w:top w:val="single" w:sz="4" w:space="0" w:color="E8581E"/>
          <w:left w:val="single" w:sz="4" w:space="0" w:color="E8581E"/>
          <w:bottom w:val="single" w:sz="4" w:space="0" w:color="E8581E"/>
          <w:right w:val="single" w:sz="4" w:space="0" w:color="E8581E"/>
          <w:insideH w:val="single" w:sz="4" w:space="0" w:color="E8581E"/>
          <w:insideV w:val="single" w:sz="4" w:space="0" w:color="E8581E"/>
        </w:tblBorders>
        <w:tblLayout w:type="fixed"/>
        <w:tblCellMar>
          <w:top w:w="0" w:type="dxa"/>
          <w:left w:w="0" w:type="dxa"/>
          <w:bottom w:w="0" w:type="dxa"/>
          <w:right w:w="0" w:type="dxa"/>
        </w:tblCellMar>
        <w:tblLook w:val="01E0"/>
      </w:tblPr>
      <w:tblGrid>
        <w:gridCol w:w="1134"/>
        <w:gridCol w:w="461"/>
        <w:gridCol w:w="657"/>
      </w:tblGrid>
      <w:tr>
        <w:trPr>
          <w:trHeight w:val="373" w:hRule="atLeast"/>
        </w:trPr>
        <w:tc>
          <w:tcPr>
            <w:tcW w:w="1134" w:type="dxa"/>
          </w:tcPr>
          <w:p>
            <w:pPr>
              <w:pStyle w:val="TableParagraph"/>
              <w:spacing w:before="108"/>
              <w:ind w:left="91" w:right="82"/>
              <w:jc w:val="center"/>
              <w:rPr>
                <w:sz w:val="20"/>
              </w:rPr>
            </w:pPr>
            <w:r>
              <w:rPr>
                <w:w w:val="115"/>
                <w:sz w:val="20"/>
              </w:rPr>
              <w:t>Male</w:t>
            </w:r>
          </w:p>
        </w:tc>
        <w:tc>
          <w:tcPr>
            <w:tcW w:w="461" w:type="dxa"/>
          </w:tcPr>
          <w:p>
            <w:pPr>
              <w:pStyle w:val="TableParagraph"/>
              <w:spacing w:before="108"/>
              <w:ind w:left="107"/>
              <w:rPr>
                <w:sz w:val="20"/>
              </w:rPr>
            </w:pPr>
            <w:r>
              <w:rPr>
                <w:w w:val="125"/>
                <w:sz w:val="20"/>
              </w:rPr>
              <w:t>45</w:t>
            </w:r>
          </w:p>
        </w:tc>
        <w:tc>
          <w:tcPr>
            <w:tcW w:w="657" w:type="dxa"/>
          </w:tcPr>
          <w:p>
            <w:pPr>
              <w:pStyle w:val="TableParagraph"/>
              <w:spacing w:before="108"/>
              <w:ind w:left="81" w:right="71"/>
              <w:jc w:val="center"/>
              <w:rPr>
                <w:sz w:val="20"/>
              </w:rPr>
            </w:pPr>
            <w:r>
              <w:rPr>
                <w:w w:val="130"/>
                <w:sz w:val="20"/>
              </w:rPr>
              <w:t>58%</w:t>
            </w:r>
          </w:p>
        </w:tc>
      </w:tr>
      <w:tr>
        <w:trPr>
          <w:trHeight w:val="373" w:hRule="atLeast"/>
        </w:trPr>
        <w:tc>
          <w:tcPr>
            <w:tcW w:w="1134" w:type="dxa"/>
          </w:tcPr>
          <w:p>
            <w:pPr>
              <w:pStyle w:val="TableParagraph"/>
              <w:spacing w:before="108"/>
              <w:ind w:left="91" w:right="81"/>
              <w:jc w:val="center"/>
              <w:rPr>
                <w:sz w:val="20"/>
              </w:rPr>
            </w:pPr>
            <w:r>
              <w:rPr>
                <w:w w:val="120"/>
                <w:sz w:val="20"/>
              </w:rPr>
              <w:t>Female</w:t>
            </w:r>
          </w:p>
        </w:tc>
        <w:tc>
          <w:tcPr>
            <w:tcW w:w="461" w:type="dxa"/>
          </w:tcPr>
          <w:p>
            <w:pPr>
              <w:pStyle w:val="TableParagraph"/>
              <w:spacing w:before="108"/>
              <w:ind w:left="108"/>
              <w:rPr>
                <w:sz w:val="20"/>
              </w:rPr>
            </w:pPr>
            <w:r>
              <w:rPr>
                <w:w w:val="125"/>
                <w:sz w:val="20"/>
              </w:rPr>
              <w:t>33</w:t>
            </w:r>
          </w:p>
        </w:tc>
        <w:tc>
          <w:tcPr>
            <w:tcW w:w="657" w:type="dxa"/>
          </w:tcPr>
          <w:p>
            <w:pPr>
              <w:pStyle w:val="TableParagraph"/>
              <w:spacing w:before="108"/>
              <w:ind w:left="81" w:right="71"/>
              <w:jc w:val="center"/>
              <w:rPr>
                <w:sz w:val="20"/>
              </w:rPr>
            </w:pPr>
            <w:r>
              <w:rPr>
                <w:w w:val="130"/>
                <w:sz w:val="20"/>
              </w:rPr>
              <w:t>42%</w:t>
            </w:r>
          </w:p>
        </w:tc>
      </w:tr>
    </w:tbl>
    <w:p>
      <w:pPr>
        <w:pStyle w:val="ListParagraph"/>
        <w:numPr>
          <w:ilvl w:val="1"/>
          <w:numId w:val="117"/>
        </w:numPr>
        <w:tabs>
          <w:tab w:pos="2244" w:val="left" w:leader="none"/>
          <w:tab w:pos="2245" w:val="left" w:leader="none"/>
        </w:tabs>
        <w:spacing w:line="240" w:lineRule="auto" w:before="209" w:after="0"/>
        <w:ind w:left="2244" w:right="0" w:hanging="681"/>
        <w:jc w:val="left"/>
        <w:rPr>
          <w:sz w:val="20"/>
        </w:rPr>
      </w:pPr>
      <w:r>
        <w:rPr>
          <w:w w:val="120"/>
          <w:sz w:val="20"/>
        </w:rPr>
        <w:t>An analysis of </w:t>
      </w:r>
      <w:r>
        <w:rPr>
          <w:spacing w:val="-7"/>
          <w:w w:val="120"/>
          <w:sz w:val="20"/>
        </w:rPr>
        <w:t>37 </w:t>
      </w:r>
      <w:r>
        <w:rPr>
          <w:w w:val="120"/>
          <w:sz w:val="20"/>
        </w:rPr>
        <w:t>forms shows the following age</w:t>
      </w:r>
      <w:r>
        <w:rPr>
          <w:spacing w:val="25"/>
          <w:w w:val="120"/>
          <w:sz w:val="20"/>
        </w:rPr>
        <w:t> </w:t>
      </w:r>
      <w:r>
        <w:rPr>
          <w:w w:val="120"/>
          <w:sz w:val="20"/>
        </w:rPr>
        <w:t>spread:</w:t>
      </w:r>
    </w:p>
    <w:p>
      <w:pPr>
        <w:pStyle w:val="BodyText"/>
        <w:spacing w:before="10"/>
        <w:rPr>
          <w:sz w:val="21"/>
        </w:rPr>
      </w:pPr>
    </w:p>
    <w:tbl>
      <w:tblPr>
        <w:tblW w:w="0" w:type="auto"/>
        <w:jc w:val="left"/>
        <w:tblInd w:w="28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258"/>
        <w:gridCol w:w="862"/>
        <w:gridCol w:w="920"/>
        <w:gridCol w:w="949"/>
        <w:gridCol w:w="879"/>
        <w:gridCol w:w="1264"/>
      </w:tblGrid>
      <w:tr>
        <w:trPr>
          <w:trHeight w:val="393" w:hRule="atLeast"/>
        </w:trPr>
        <w:tc>
          <w:tcPr>
            <w:tcW w:w="1258" w:type="dxa"/>
            <w:tcBorders>
              <w:top w:val="nil"/>
              <w:left w:val="nil"/>
              <w:bottom w:val="nil"/>
            </w:tcBorders>
            <w:shd w:val="clear" w:color="auto" w:fill="E8581E"/>
          </w:tcPr>
          <w:p>
            <w:pPr>
              <w:pStyle w:val="TableParagraph"/>
              <w:spacing w:line="268" w:lineRule="exact" w:before="105"/>
              <w:ind w:left="113" w:right="99"/>
              <w:jc w:val="center"/>
              <w:rPr>
                <w:rFonts w:ascii="Stone Sans II ITC Std Bk"/>
                <w:b/>
                <w:sz w:val="20"/>
              </w:rPr>
            </w:pPr>
            <w:r>
              <w:rPr>
                <w:rFonts w:ascii="Stone Sans II ITC Std Bk"/>
                <w:b/>
                <w:color w:val="FFFFFF"/>
                <w:w w:val="110"/>
                <w:sz w:val="20"/>
              </w:rPr>
              <w:t>Under 26</w:t>
            </w:r>
          </w:p>
        </w:tc>
        <w:tc>
          <w:tcPr>
            <w:tcW w:w="862" w:type="dxa"/>
            <w:tcBorders>
              <w:top w:val="nil"/>
              <w:bottom w:val="nil"/>
            </w:tcBorders>
            <w:shd w:val="clear" w:color="auto" w:fill="E8581E"/>
          </w:tcPr>
          <w:p>
            <w:pPr>
              <w:pStyle w:val="TableParagraph"/>
              <w:spacing w:line="268" w:lineRule="exact" w:before="105"/>
              <w:ind w:left="88" w:right="85"/>
              <w:jc w:val="center"/>
              <w:rPr>
                <w:rFonts w:ascii="Stone Sans II ITC Std Bk"/>
                <w:b/>
                <w:sz w:val="20"/>
              </w:rPr>
            </w:pPr>
            <w:r>
              <w:rPr>
                <w:rFonts w:ascii="Stone Sans II ITC Std Bk"/>
                <w:b/>
                <w:color w:val="FFFFFF"/>
                <w:w w:val="110"/>
                <w:sz w:val="20"/>
              </w:rPr>
              <w:t>26-35</w:t>
            </w:r>
          </w:p>
        </w:tc>
        <w:tc>
          <w:tcPr>
            <w:tcW w:w="920" w:type="dxa"/>
            <w:tcBorders>
              <w:top w:val="nil"/>
              <w:bottom w:val="nil"/>
            </w:tcBorders>
            <w:shd w:val="clear" w:color="auto" w:fill="E8581E"/>
          </w:tcPr>
          <w:p>
            <w:pPr>
              <w:pStyle w:val="TableParagraph"/>
              <w:spacing w:line="268" w:lineRule="exact" w:before="105"/>
              <w:ind w:left="118" w:right="112"/>
              <w:jc w:val="center"/>
              <w:rPr>
                <w:rFonts w:ascii="Stone Sans II ITC Std Bk"/>
                <w:b/>
                <w:sz w:val="20"/>
              </w:rPr>
            </w:pPr>
            <w:r>
              <w:rPr>
                <w:rFonts w:ascii="Stone Sans II ITC Std Bk"/>
                <w:b/>
                <w:color w:val="FFFFFF"/>
                <w:w w:val="110"/>
                <w:sz w:val="20"/>
              </w:rPr>
              <w:t>36-45</w:t>
            </w:r>
          </w:p>
        </w:tc>
        <w:tc>
          <w:tcPr>
            <w:tcW w:w="949" w:type="dxa"/>
            <w:tcBorders>
              <w:top w:val="nil"/>
              <w:bottom w:val="nil"/>
            </w:tcBorders>
            <w:shd w:val="clear" w:color="auto" w:fill="E8581E"/>
          </w:tcPr>
          <w:p>
            <w:pPr>
              <w:pStyle w:val="TableParagraph"/>
              <w:spacing w:line="268" w:lineRule="exact" w:before="105"/>
              <w:ind w:left="134" w:right="125"/>
              <w:jc w:val="center"/>
              <w:rPr>
                <w:rFonts w:ascii="Stone Sans II ITC Std Bk"/>
                <w:b/>
                <w:sz w:val="20"/>
              </w:rPr>
            </w:pPr>
            <w:r>
              <w:rPr>
                <w:rFonts w:ascii="Stone Sans II ITC Std Bk"/>
                <w:b/>
                <w:color w:val="FFFFFF"/>
                <w:w w:val="110"/>
                <w:sz w:val="20"/>
              </w:rPr>
              <w:t>46-55</w:t>
            </w:r>
          </w:p>
        </w:tc>
        <w:tc>
          <w:tcPr>
            <w:tcW w:w="879" w:type="dxa"/>
            <w:tcBorders>
              <w:top w:val="nil"/>
              <w:bottom w:val="nil"/>
            </w:tcBorders>
            <w:shd w:val="clear" w:color="auto" w:fill="E8581E"/>
          </w:tcPr>
          <w:p>
            <w:pPr>
              <w:pStyle w:val="TableParagraph"/>
              <w:spacing w:line="268" w:lineRule="exact" w:before="105"/>
              <w:ind w:left="99" w:right="90"/>
              <w:jc w:val="center"/>
              <w:rPr>
                <w:rFonts w:ascii="Stone Sans II ITC Std Bk"/>
                <w:b/>
                <w:sz w:val="20"/>
              </w:rPr>
            </w:pPr>
            <w:r>
              <w:rPr>
                <w:rFonts w:ascii="Stone Sans II ITC Std Bk"/>
                <w:b/>
                <w:color w:val="FFFFFF"/>
                <w:w w:val="110"/>
                <w:sz w:val="20"/>
              </w:rPr>
              <w:t>56-65</w:t>
            </w:r>
          </w:p>
        </w:tc>
        <w:tc>
          <w:tcPr>
            <w:tcW w:w="1264" w:type="dxa"/>
            <w:tcBorders>
              <w:top w:val="nil"/>
              <w:bottom w:val="nil"/>
              <w:right w:val="nil"/>
            </w:tcBorders>
            <w:shd w:val="clear" w:color="auto" w:fill="E8581E"/>
          </w:tcPr>
          <w:p>
            <w:pPr>
              <w:pStyle w:val="TableParagraph"/>
              <w:spacing w:line="268" w:lineRule="exact" w:before="105"/>
              <w:ind w:left="187" w:right="183"/>
              <w:jc w:val="center"/>
              <w:rPr>
                <w:rFonts w:ascii="Stone Sans II ITC Std Bk"/>
                <w:b/>
                <w:sz w:val="20"/>
              </w:rPr>
            </w:pPr>
            <w:r>
              <w:rPr>
                <w:rFonts w:ascii="Stone Sans II ITC Std Bk"/>
                <w:b/>
                <w:color w:val="FFFFFF"/>
                <w:w w:val="110"/>
                <w:sz w:val="20"/>
              </w:rPr>
              <w:t>Over 65</w:t>
            </w:r>
          </w:p>
        </w:tc>
      </w:tr>
      <w:tr>
        <w:trPr>
          <w:trHeight w:val="373" w:hRule="atLeast"/>
        </w:trPr>
        <w:tc>
          <w:tcPr>
            <w:tcW w:w="1258" w:type="dxa"/>
            <w:tcBorders>
              <w:top w:val="nil"/>
              <w:left w:val="single" w:sz="4" w:space="0" w:color="E8581E"/>
              <w:bottom w:val="single" w:sz="4" w:space="0" w:color="E8581E"/>
              <w:right w:val="single" w:sz="4" w:space="0" w:color="E8581E"/>
            </w:tcBorders>
          </w:tcPr>
          <w:p>
            <w:pPr>
              <w:pStyle w:val="TableParagraph"/>
              <w:spacing w:before="108"/>
              <w:ind w:left="10"/>
              <w:jc w:val="center"/>
              <w:rPr>
                <w:sz w:val="20"/>
              </w:rPr>
            </w:pPr>
            <w:r>
              <w:rPr>
                <w:w w:val="125"/>
                <w:sz w:val="20"/>
              </w:rPr>
              <w:t>3</w:t>
            </w:r>
          </w:p>
        </w:tc>
        <w:tc>
          <w:tcPr>
            <w:tcW w:w="862" w:type="dxa"/>
            <w:tcBorders>
              <w:top w:val="nil"/>
              <w:left w:val="single" w:sz="4" w:space="0" w:color="E8581E"/>
              <w:bottom w:val="single" w:sz="4" w:space="0" w:color="E8581E"/>
              <w:right w:val="single" w:sz="4" w:space="0" w:color="E8581E"/>
            </w:tcBorders>
          </w:tcPr>
          <w:p>
            <w:pPr>
              <w:pStyle w:val="TableParagraph"/>
              <w:spacing w:before="108"/>
              <w:ind w:left="9"/>
              <w:jc w:val="center"/>
              <w:rPr>
                <w:sz w:val="20"/>
              </w:rPr>
            </w:pPr>
            <w:r>
              <w:rPr>
                <w:w w:val="125"/>
                <w:sz w:val="20"/>
              </w:rPr>
              <w:t>0</w:t>
            </w:r>
          </w:p>
        </w:tc>
        <w:tc>
          <w:tcPr>
            <w:tcW w:w="920" w:type="dxa"/>
            <w:tcBorders>
              <w:top w:val="nil"/>
              <w:left w:val="single" w:sz="4" w:space="0" w:color="E8581E"/>
              <w:bottom w:val="single" w:sz="4" w:space="0" w:color="E8581E"/>
              <w:right w:val="single" w:sz="4" w:space="0" w:color="E8581E"/>
            </w:tcBorders>
          </w:tcPr>
          <w:p>
            <w:pPr>
              <w:pStyle w:val="TableParagraph"/>
              <w:spacing w:before="108"/>
              <w:ind w:left="9"/>
              <w:jc w:val="center"/>
              <w:rPr>
                <w:sz w:val="20"/>
              </w:rPr>
            </w:pPr>
            <w:r>
              <w:rPr>
                <w:w w:val="125"/>
                <w:sz w:val="20"/>
              </w:rPr>
              <w:t>0</w:t>
            </w:r>
          </w:p>
        </w:tc>
        <w:tc>
          <w:tcPr>
            <w:tcW w:w="949" w:type="dxa"/>
            <w:tcBorders>
              <w:top w:val="nil"/>
              <w:left w:val="single" w:sz="4" w:space="0" w:color="E8581E"/>
              <w:bottom w:val="single" w:sz="4" w:space="0" w:color="E8581E"/>
              <w:right w:val="single" w:sz="4" w:space="0" w:color="E8581E"/>
            </w:tcBorders>
          </w:tcPr>
          <w:p>
            <w:pPr>
              <w:pStyle w:val="TableParagraph"/>
              <w:spacing w:before="108"/>
              <w:ind w:left="9"/>
              <w:jc w:val="center"/>
              <w:rPr>
                <w:sz w:val="20"/>
              </w:rPr>
            </w:pPr>
            <w:r>
              <w:rPr>
                <w:w w:val="125"/>
                <w:sz w:val="20"/>
              </w:rPr>
              <w:t>3</w:t>
            </w:r>
          </w:p>
        </w:tc>
        <w:tc>
          <w:tcPr>
            <w:tcW w:w="879" w:type="dxa"/>
            <w:tcBorders>
              <w:top w:val="nil"/>
              <w:left w:val="single" w:sz="4" w:space="0" w:color="E8581E"/>
              <w:bottom w:val="single" w:sz="4" w:space="0" w:color="E8581E"/>
              <w:right w:val="single" w:sz="4" w:space="0" w:color="E8581E"/>
            </w:tcBorders>
          </w:tcPr>
          <w:p>
            <w:pPr>
              <w:pStyle w:val="TableParagraph"/>
              <w:spacing w:before="108"/>
              <w:ind w:left="9"/>
              <w:jc w:val="center"/>
              <w:rPr>
                <w:sz w:val="20"/>
              </w:rPr>
            </w:pPr>
            <w:r>
              <w:rPr>
                <w:w w:val="125"/>
                <w:sz w:val="20"/>
              </w:rPr>
              <w:t>8</w:t>
            </w:r>
          </w:p>
        </w:tc>
        <w:tc>
          <w:tcPr>
            <w:tcW w:w="1264" w:type="dxa"/>
            <w:tcBorders>
              <w:top w:val="nil"/>
              <w:left w:val="single" w:sz="4" w:space="0" w:color="E8581E"/>
              <w:bottom w:val="single" w:sz="4" w:space="0" w:color="E8581E"/>
              <w:right w:val="single" w:sz="4" w:space="0" w:color="E8581E"/>
            </w:tcBorders>
          </w:tcPr>
          <w:p>
            <w:pPr>
              <w:pStyle w:val="TableParagraph"/>
              <w:spacing w:before="108"/>
              <w:ind w:left="382" w:right="377"/>
              <w:jc w:val="center"/>
              <w:rPr>
                <w:sz w:val="20"/>
              </w:rPr>
            </w:pPr>
            <w:r>
              <w:rPr>
                <w:w w:val="125"/>
                <w:sz w:val="20"/>
              </w:rPr>
              <w:t>23</w:t>
            </w:r>
          </w:p>
        </w:tc>
      </w:tr>
      <w:tr>
        <w:trPr>
          <w:trHeight w:val="373" w:hRule="atLeast"/>
        </w:trPr>
        <w:tc>
          <w:tcPr>
            <w:tcW w:w="1258" w:type="dxa"/>
            <w:tcBorders>
              <w:top w:val="single" w:sz="4" w:space="0" w:color="E8581E"/>
              <w:left w:val="single" w:sz="4" w:space="0" w:color="E8581E"/>
              <w:bottom w:val="single" w:sz="4" w:space="0" w:color="E8581E"/>
              <w:right w:val="single" w:sz="4" w:space="0" w:color="E8581E"/>
            </w:tcBorders>
          </w:tcPr>
          <w:p>
            <w:pPr>
              <w:pStyle w:val="TableParagraph"/>
              <w:spacing w:before="108"/>
              <w:ind w:left="443" w:right="435"/>
              <w:jc w:val="center"/>
              <w:rPr>
                <w:sz w:val="20"/>
              </w:rPr>
            </w:pPr>
            <w:r>
              <w:rPr>
                <w:w w:val="135"/>
                <w:sz w:val="20"/>
              </w:rPr>
              <w:t>8%</w:t>
            </w:r>
          </w:p>
        </w:tc>
        <w:tc>
          <w:tcPr>
            <w:tcW w:w="862" w:type="dxa"/>
            <w:tcBorders>
              <w:top w:val="single" w:sz="4" w:space="0" w:color="E8581E"/>
              <w:left w:val="single" w:sz="4" w:space="0" w:color="E8581E"/>
              <w:bottom w:val="single" w:sz="4" w:space="0" w:color="E8581E"/>
              <w:right w:val="single" w:sz="4" w:space="0" w:color="E8581E"/>
            </w:tcBorders>
          </w:tcPr>
          <w:p>
            <w:pPr>
              <w:pStyle w:val="TableParagraph"/>
              <w:spacing w:before="108"/>
              <w:ind w:left="88" w:right="76"/>
              <w:jc w:val="center"/>
              <w:rPr>
                <w:sz w:val="20"/>
              </w:rPr>
            </w:pPr>
            <w:r>
              <w:rPr>
                <w:w w:val="135"/>
                <w:sz w:val="20"/>
              </w:rPr>
              <w:t>0%</w:t>
            </w:r>
          </w:p>
        </w:tc>
        <w:tc>
          <w:tcPr>
            <w:tcW w:w="920" w:type="dxa"/>
            <w:tcBorders>
              <w:top w:val="single" w:sz="4" w:space="0" w:color="E8581E"/>
              <w:left w:val="single" w:sz="4" w:space="0" w:color="E8581E"/>
              <w:bottom w:val="single" w:sz="4" w:space="0" w:color="E8581E"/>
              <w:right w:val="single" w:sz="4" w:space="0" w:color="E8581E"/>
            </w:tcBorders>
          </w:tcPr>
          <w:p>
            <w:pPr>
              <w:pStyle w:val="TableParagraph"/>
              <w:spacing w:before="108"/>
              <w:ind w:left="118" w:right="106"/>
              <w:jc w:val="center"/>
              <w:rPr>
                <w:sz w:val="20"/>
              </w:rPr>
            </w:pPr>
            <w:r>
              <w:rPr>
                <w:w w:val="135"/>
                <w:sz w:val="20"/>
              </w:rPr>
              <w:t>0%</w:t>
            </w:r>
          </w:p>
        </w:tc>
        <w:tc>
          <w:tcPr>
            <w:tcW w:w="949" w:type="dxa"/>
            <w:tcBorders>
              <w:top w:val="single" w:sz="4" w:space="0" w:color="E8581E"/>
              <w:left w:val="single" w:sz="4" w:space="0" w:color="E8581E"/>
              <w:bottom w:val="single" w:sz="4" w:space="0" w:color="E8581E"/>
              <w:right w:val="single" w:sz="4" w:space="0" w:color="E8581E"/>
            </w:tcBorders>
          </w:tcPr>
          <w:p>
            <w:pPr>
              <w:pStyle w:val="TableParagraph"/>
              <w:spacing w:before="108"/>
              <w:ind w:left="132" w:right="125"/>
              <w:jc w:val="center"/>
              <w:rPr>
                <w:sz w:val="20"/>
              </w:rPr>
            </w:pPr>
            <w:r>
              <w:rPr>
                <w:w w:val="135"/>
                <w:sz w:val="20"/>
              </w:rPr>
              <w:t>8%</w:t>
            </w:r>
          </w:p>
        </w:tc>
        <w:tc>
          <w:tcPr>
            <w:tcW w:w="879" w:type="dxa"/>
            <w:tcBorders>
              <w:top w:val="single" w:sz="4" w:space="0" w:color="E8581E"/>
              <w:left w:val="single" w:sz="4" w:space="0" w:color="E8581E"/>
              <w:bottom w:val="single" w:sz="4" w:space="0" w:color="E8581E"/>
              <w:right w:val="single" w:sz="4" w:space="0" w:color="E8581E"/>
            </w:tcBorders>
          </w:tcPr>
          <w:p>
            <w:pPr>
              <w:pStyle w:val="TableParagraph"/>
              <w:spacing w:before="108"/>
              <w:ind w:left="99" w:right="90"/>
              <w:jc w:val="center"/>
              <w:rPr>
                <w:sz w:val="20"/>
              </w:rPr>
            </w:pPr>
            <w:r>
              <w:rPr>
                <w:w w:val="130"/>
                <w:sz w:val="20"/>
              </w:rPr>
              <w:t>22%</w:t>
            </w:r>
          </w:p>
        </w:tc>
        <w:tc>
          <w:tcPr>
            <w:tcW w:w="1264" w:type="dxa"/>
            <w:tcBorders>
              <w:top w:val="single" w:sz="4" w:space="0" w:color="E8581E"/>
              <w:left w:val="single" w:sz="4" w:space="0" w:color="E8581E"/>
              <w:bottom w:val="single" w:sz="4" w:space="0" w:color="E8581E"/>
              <w:right w:val="single" w:sz="4" w:space="0" w:color="E8581E"/>
            </w:tcBorders>
          </w:tcPr>
          <w:p>
            <w:pPr>
              <w:pStyle w:val="TableParagraph"/>
              <w:spacing w:before="108"/>
              <w:ind w:left="386" w:right="377"/>
              <w:jc w:val="center"/>
              <w:rPr>
                <w:sz w:val="20"/>
              </w:rPr>
            </w:pPr>
            <w:r>
              <w:rPr>
                <w:w w:val="130"/>
                <w:sz w:val="20"/>
              </w:rPr>
              <w:t>62%</w:t>
            </w:r>
          </w:p>
        </w:tc>
      </w:tr>
    </w:tbl>
    <w:p>
      <w:pPr>
        <w:pStyle w:val="BodyText"/>
        <w:spacing w:before="209"/>
        <w:ind w:left="1564"/>
      </w:pPr>
      <w:r>
        <w:rPr>
          <w:w w:val="120"/>
        </w:rPr>
        <w:t>These figures are similar to those previously reported to Assembly.</w:t>
      </w:r>
    </w:p>
    <w:p>
      <w:pPr>
        <w:pStyle w:val="BodyText"/>
        <w:spacing w:before="8"/>
        <w:rPr>
          <w:sz w:val="19"/>
        </w:rPr>
      </w:pPr>
    </w:p>
    <w:p>
      <w:pPr>
        <w:pStyle w:val="ListParagraph"/>
        <w:numPr>
          <w:ilvl w:val="1"/>
          <w:numId w:val="117"/>
        </w:numPr>
        <w:tabs>
          <w:tab w:pos="2244" w:val="left" w:leader="none"/>
          <w:tab w:pos="2245" w:val="left" w:leader="none"/>
        </w:tabs>
        <w:spacing w:line="235" w:lineRule="auto" w:before="0" w:after="0"/>
        <w:ind w:left="1564" w:right="1444" w:firstLine="0"/>
        <w:jc w:val="left"/>
        <w:rPr>
          <w:sz w:val="20"/>
        </w:rPr>
      </w:pPr>
      <w:r>
        <w:rPr>
          <w:w w:val="120"/>
          <w:sz w:val="20"/>
        </w:rPr>
        <w:t>Consideration is being given to making it easier to accept invitations and to improve the analysis of the monitoring data</w:t>
      </w:r>
      <w:r>
        <w:rPr>
          <w:spacing w:val="17"/>
          <w:w w:val="120"/>
          <w:sz w:val="20"/>
        </w:rPr>
        <w:t> </w:t>
      </w:r>
      <w:r>
        <w:rPr>
          <w:w w:val="120"/>
          <w:sz w:val="20"/>
        </w:rPr>
        <w:t>provided.</w:t>
      </w:r>
    </w:p>
    <w:p>
      <w:pPr>
        <w:pStyle w:val="BodyText"/>
        <w:spacing w:before="2"/>
        <w:rPr>
          <w:sz w:val="22"/>
        </w:rPr>
      </w:pPr>
    </w:p>
    <w:p>
      <w:pPr>
        <w:pStyle w:val="Heading4"/>
        <w:ind w:left="1564" w:firstLine="0"/>
      </w:pPr>
      <w:r>
        <w:rPr>
          <w:w w:val="110"/>
        </w:rPr>
        <w:t>Thanks to all who serve</w:t>
      </w:r>
    </w:p>
    <w:p>
      <w:pPr>
        <w:pStyle w:val="BodyText"/>
        <w:tabs>
          <w:tab w:pos="2244" w:val="left" w:leader="none"/>
        </w:tabs>
        <w:spacing w:line="235" w:lineRule="auto" w:before="69"/>
        <w:ind w:left="1564" w:right="923"/>
      </w:pPr>
      <w:r>
        <w:rPr>
          <w:w w:val="120"/>
        </w:rPr>
        <w:t>3.</w:t>
        <w:tab/>
        <w:t>The Church continues to be blessed by many willing members who give their  time and </w:t>
      </w:r>
      <w:r>
        <w:rPr>
          <w:spacing w:val="2"/>
          <w:w w:val="120"/>
        </w:rPr>
        <w:t>gifts </w:t>
      </w:r>
      <w:r>
        <w:rPr>
          <w:w w:val="120"/>
        </w:rPr>
        <w:t>to serve on its committees, panels and working groups, or who represent it on outside bodies. The formal acceptance of this </w:t>
      </w:r>
      <w:r>
        <w:rPr>
          <w:spacing w:val="2"/>
          <w:w w:val="120"/>
        </w:rPr>
        <w:t>report </w:t>
      </w:r>
      <w:r>
        <w:rPr>
          <w:w w:val="120"/>
        </w:rPr>
        <w:t>and the long list of names  that follows is offered with a real sense of gratitude for all who serve in this</w:t>
      </w:r>
      <w:r>
        <w:rPr>
          <w:spacing w:val="-4"/>
          <w:w w:val="120"/>
        </w:rPr>
        <w:t> way.</w:t>
      </w:r>
    </w:p>
    <w:p>
      <w:pPr>
        <w:pStyle w:val="BodyText"/>
        <w:spacing w:before="3"/>
        <w:rPr>
          <w:sz w:val="22"/>
        </w:rPr>
      </w:pPr>
    </w:p>
    <w:p>
      <w:pPr>
        <w:pStyle w:val="Heading4"/>
        <w:ind w:left="1564" w:firstLine="0"/>
      </w:pPr>
      <w:r>
        <w:rPr>
          <w:spacing w:val="3"/>
          <w:w w:val="110"/>
        </w:rPr>
        <w:t>Those </w:t>
      </w:r>
      <w:r>
        <w:rPr>
          <w:w w:val="110"/>
        </w:rPr>
        <w:t>to </w:t>
      </w:r>
      <w:r>
        <w:rPr>
          <w:spacing w:val="3"/>
          <w:w w:val="110"/>
        </w:rPr>
        <w:t>be appointed </w:t>
      </w:r>
      <w:r>
        <w:rPr>
          <w:spacing w:val="2"/>
          <w:w w:val="110"/>
        </w:rPr>
        <w:t>or</w:t>
      </w:r>
      <w:r>
        <w:rPr>
          <w:spacing w:val="56"/>
          <w:w w:val="110"/>
        </w:rPr>
        <w:t> </w:t>
      </w:r>
      <w:r>
        <w:rPr>
          <w:spacing w:val="3"/>
          <w:w w:val="110"/>
        </w:rPr>
        <w:t>reappointed</w:t>
      </w:r>
    </w:p>
    <w:p>
      <w:pPr>
        <w:pStyle w:val="ListParagraph"/>
        <w:numPr>
          <w:ilvl w:val="1"/>
          <w:numId w:val="118"/>
        </w:numPr>
        <w:tabs>
          <w:tab w:pos="2244" w:val="left" w:leader="none"/>
          <w:tab w:pos="2245" w:val="left" w:leader="none"/>
        </w:tabs>
        <w:spacing w:line="240" w:lineRule="auto" w:before="66" w:after="0"/>
        <w:ind w:left="2244" w:right="0" w:hanging="681"/>
        <w:jc w:val="left"/>
        <w:rPr>
          <w:sz w:val="20"/>
        </w:rPr>
      </w:pPr>
      <w:r>
        <w:rPr>
          <w:w w:val="120"/>
          <w:sz w:val="20"/>
        </w:rPr>
        <w:t>General Assembly is invited to appoint or reappoint those listed</w:t>
      </w:r>
      <w:r>
        <w:rPr>
          <w:spacing w:val="26"/>
          <w:w w:val="120"/>
          <w:sz w:val="20"/>
        </w:rPr>
        <w:t> </w:t>
      </w:r>
      <w:r>
        <w:rPr>
          <w:w w:val="120"/>
          <w:sz w:val="20"/>
        </w:rPr>
        <w:t>below.</w:t>
      </w:r>
    </w:p>
    <w:p>
      <w:pPr>
        <w:pStyle w:val="BodyText"/>
        <w:spacing w:before="3"/>
        <w:rPr>
          <w:sz w:val="19"/>
        </w:rPr>
      </w:pPr>
    </w:p>
    <w:p>
      <w:pPr>
        <w:pStyle w:val="ListParagraph"/>
        <w:numPr>
          <w:ilvl w:val="1"/>
          <w:numId w:val="118"/>
        </w:numPr>
        <w:tabs>
          <w:tab w:pos="2244" w:val="left" w:leader="none"/>
          <w:tab w:pos="2245" w:val="left" w:leader="none"/>
        </w:tabs>
        <w:spacing w:line="242" w:lineRule="exact" w:before="0" w:after="0"/>
        <w:ind w:left="2244" w:right="0" w:hanging="681"/>
        <w:jc w:val="left"/>
        <w:rPr>
          <w:sz w:val="20"/>
        </w:rPr>
      </w:pPr>
      <w:r>
        <w:rPr>
          <w:w w:val="120"/>
          <w:sz w:val="20"/>
        </w:rPr>
        <w:t>Key:</w:t>
      </w:r>
    </w:p>
    <w:p>
      <w:pPr>
        <w:pStyle w:val="BodyText"/>
        <w:spacing w:line="235" w:lineRule="auto" w:before="2"/>
        <w:ind w:left="2244" w:right="1868"/>
      </w:pPr>
      <w:r>
        <w:rPr>
          <w:w w:val="120"/>
        </w:rPr>
        <w:t>† = extension of term of service, the default is a new appointment. GA18 = from the end of General Assembly 2018</w:t>
      </w:r>
    </w:p>
    <w:p>
      <w:pPr>
        <w:pStyle w:val="BodyText"/>
        <w:spacing w:line="240" w:lineRule="exact"/>
        <w:ind w:left="2244"/>
      </w:pPr>
      <w:r>
        <w:rPr>
          <w:w w:val="120"/>
        </w:rPr>
        <w:t>Jul19 = from 1 July 2019</w:t>
      </w:r>
    </w:p>
    <w:p>
      <w:pPr>
        <w:pStyle w:val="BodyText"/>
        <w:spacing w:line="235" w:lineRule="auto" w:before="2"/>
        <w:ind w:left="2244" w:right="3783"/>
      </w:pPr>
      <w:r>
        <w:rPr>
          <w:w w:val="120"/>
        </w:rPr>
        <w:t>GA20 = from the end of General Assembly 2020 Years = term of service</w:t>
      </w:r>
    </w:p>
    <w:p>
      <w:pPr>
        <w:pStyle w:val="BodyText"/>
        <w:spacing w:before="9"/>
        <w:rPr>
          <w:sz w:val="22"/>
        </w:rPr>
      </w:pPr>
    </w:p>
    <w:tbl>
      <w:tblPr>
        <w:tblW w:w="0" w:type="auto"/>
        <w:jc w:val="left"/>
        <w:tblInd w:w="15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24"/>
        <w:gridCol w:w="3335"/>
        <w:gridCol w:w="2297"/>
        <w:gridCol w:w="1362"/>
        <w:gridCol w:w="695"/>
        <w:gridCol w:w="676"/>
      </w:tblGrid>
      <w:tr>
        <w:trPr>
          <w:trHeight w:val="373" w:hRule="atLeast"/>
        </w:trPr>
        <w:tc>
          <w:tcPr>
            <w:tcW w:w="624" w:type="dxa"/>
            <w:tcBorders>
              <w:top w:val="nil"/>
              <w:left w:val="nil"/>
              <w:bottom w:val="nil"/>
            </w:tcBorders>
            <w:shd w:val="clear" w:color="auto" w:fill="E8581E"/>
          </w:tcPr>
          <w:p>
            <w:pPr>
              <w:pStyle w:val="TableParagraph"/>
              <w:spacing w:before="100"/>
              <w:ind w:left="107" w:right="88"/>
              <w:jc w:val="center"/>
              <w:rPr>
                <w:rFonts w:ascii="Stone Sans II ITC Std Bk"/>
                <w:b/>
                <w:sz w:val="18"/>
              </w:rPr>
            </w:pPr>
            <w:r>
              <w:rPr>
                <w:rFonts w:ascii="Stone Sans II ITC Std Bk"/>
                <w:b/>
                <w:color w:val="FFFFFF"/>
                <w:w w:val="110"/>
                <w:sz w:val="18"/>
              </w:rPr>
              <w:t>Ref</w:t>
            </w:r>
          </w:p>
        </w:tc>
        <w:tc>
          <w:tcPr>
            <w:tcW w:w="3335" w:type="dxa"/>
            <w:tcBorders>
              <w:top w:val="nil"/>
              <w:bottom w:val="nil"/>
            </w:tcBorders>
            <w:shd w:val="clear" w:color="auto" w:fill="E8581E"/>
          </w:tcPr>
          <w:p>
            <w:pPr>
              <w:pStyle w:val="TableParagraph"/>
              <w:spacing w:before="100"/>
              <w:ind w:left="772"/>
              <w:rPr>
                <w:rFonts w:ascii="Stone Sans II ITC Std Bk"/>
                <w:b/>
                <w:sz w:val="18"/>
              </w:rPr>
            </w:pPr>
            <w:r>
              <w:rPr>
                <w:rFonts w:ascii="Stone Sans II ITC Std Bk"/>
                <w:b/>
                <w:color w:val="FFFFFF"/>
                <w:w w:val="110"/>
                <w:sz w:val="18"/>
              </w:rPr>
              <w:t>Committee/group</w:t>
            </w:r>
          </w:p>
        </w:tc>
        <w:tc>
          <w:tcPr>
            <w:tcW w:w="2297" w:type="dxa"/>
            <w:tcBorders>
              <w:top w:val="nil"/>
              <w:bottom w:val="nil"/>
            </w:tcBorders>
            <w:shd w:val="clear" w:color="auto" w:fill="E8581E"/>
          </w:tcPr>
          <w:p>
            <w:pPr>
              <w:pStyle w:val="TableParagraph"/>
              <w:spacing w:before="100"/>
              <w:ind w:left="842" w:right="834"/>
              <w:jc w:val="center"/>
              <w:rPr>
                <w:rFonts w:ascii="Stone Sans II ITC Std Bk"/>
                <w:b/>
                <w:sz w:val="18"/>
              </w:rPr>
            </w:pPr>
            <w:r>
              <w:rPr>
                <w:rFonts w:ascii="Stone Sans II ITC Std Bk"/>
                <w:b/>
                <w:color w:val="FFFFFF"/>
                <w:w w:val="110"/>
                <w:sz w:val="18"/>
              </w:rPr>
              <w:t>Name</w:t>
            </w:r>
          </w:p>
        </w:tc>
        <w:tc>
          <w:tcPr>
            <w:tcW w:w="1362" w:type="dxa"/>
            <w:tcBorders>
              <w:top w:val="nil"/>
              <w:bottom w:val="nil"/>
            </w:tcBorders>
            <w:shd w:val="clear" w:color="auto" w:fill="E8581E"/>
          </w:tcPr>
          <w:p>
            <w:pPr>
              <w:pStyle w:val="TableParagraph"/>
              <w:spacing w:before="100"/>
              <w:ind w:left="444" w:right="436"/>
              <w:jc w:val="center"/>
              <w:rPr>
                <w:rFonts w:ascii="Stone Sans II ITC Std Bk"/>
                <w:b/>
                <w:sz w:val="18"/>
              </w:rPr>
            </w:pPr>
            <w:r>
              <w:rPr>
                <w:rFonts w:ascii="Stone Sans II ITC Std Bk"/>
                <w:b/>
                <w:color w:val="FFFFFF"/>
                <w:w w:val="110"/>
                <w:sz w:val="18"/>
              </w:rPr>
              <w:t>Role</w:t>
            </w:r>
          </w:p>
        </w:tc>
        <w:tc>
          <w:tcPr>
            <w:tcW w:w="695" w:type="dxa"/>
            <w:tcBorders>
              <w:top w:val="nil"/>
              <w:bottom w:val="nil"/>
            </w:tcBorders>
            <w:shd w:val="clear" w:color="auto" w:fill="E8581E"/>
          </w:tcPr>
          <w:p>
            <w:pPr>
              <w:pStyle w:val="TableParagraph"/>
              <w:spacing w:before="100"/>
              <w:ind w:left="71" w:right="67"/>
              <w:jc w:val="center"/>
              <w:rPr>
                <w:rFonts w:ascii="Stone Sans II ITC Std Bk"/>
                <w:b/>
                <w:sz w:val="18"/>
              </w:rPr>
            </w:pPr>
            <w:r>
              <w:rPr>
                <w:rFonts w:ascii="Stone Sans II ITC Std Bk"/>
                <w:b/>
                <w:color w:val="FFFFFF"/>
                <w:w w:val="110"/>
                <w:sz w:val="18"/>
              </w:rPr>
              <w:t>From</w:t>
            </w:r>
          </w:p>
        </w:tc>
        <w:tc>
          <w:tcPr>
            <w:tcW w:w="676" w:type="dxa"/>
            <w:tcBorders>
              <w:top w:val="nil"/>
              <w:bottom w:val="nil"/>
              <w:right w:val="nil"/>
            </w:tcBorders>
            <w:shd w:val="clear" w:color="auto" w:fill="E8581E"/>
          </w:tcPr>
          <w:p>
            <w:pPr>
              <w:pStyle w:val="TableParagraph"/>
              <w:spacing w:before="100"/>
              <w:ind w:left="55" w:right="60"/>
              <w:jc w:val="center"/>
              <w:rPr>
                <w:rFonts w:ascii="Stone Sans II ITC Std Bk"/>
                <w:b/>
                <w:sz w:val="18"/>
              </w:rPr>
            </w:pPr>
            <w:r>
              <w:rPr>
                <w:rFonts w:ascii="Stone Sans II ITC Std Bk"/>
                <w:b/>
                <w:color w:val="FFFFFF"/>
                <w:w w:val="110"/>
                <w:sz w:val="18"/>
              </w:rPr>
              <w:t>Years</w:t>
            </w:r>
          </w:p>
        </w:tc>
      </w:tr>
      <w:tr>
        <w:trPr>
          <w:trHeight w:val="792" w:hRule="atLeast"/>
        </w:trPr>
        <w:tc>
          <w:tcPr>
            <w:tcW w:w="624" w:type="dxa"/>
            <w:tcBorders>
              <w:top w:val="nil"/>
              <w:left w:val="single" w:sz="4" w:space="0" w:color="E8581E"/>
              <w:bottom w:val="single" w:sz="4" w:space="0" w:color="E8581E"/>
              <w:right w:val="single" w:sz="4" w:space="0" w:color="E8581E"/>
            </w:tcBorders>
          </w:tcPr>
          <w:p>
            <w:pPr>
              <w:pStyle w:val="TableParagraph"/>
              <w:spacing w:before="104"/>
              <w:ind w:left="107" w:right="97"/>
              <w:jc w:val="center"/>
              <w:rPr>
                <w:sz w:val="14"/>
              </w:rPr>
            </w:pPr>
            <w:r>
              <w:rPr>
                <w:w w:val="130"/>
                <w:sz w:val="14"/>
              </w:rPr>
              <w:t>1.6</w:t>
            </w:r>
          </w:p>
        </w:tc>
        <w:tc>
          <w:tcPr>
            <w:tcW w:w="3335" w:type="dxa"/>
            <w:tcBorders>
              <w:top w:val="nil"/>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Resource sharing task group</w:t>
            </w:r>
          </w:p>
        </w:tc>
        <w:tc>
          <w:tcPr>
            <w:tcW w:w="2297" w:type="dxa"/>
            <w:tcBorders>
              <w:top w:val="nil"/>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Jacky Embrey</w:t>
            </w:r>
          </w:p>
        </w:tc>
        <w:tc>
          <w:tcPr>
            <w:tcW w:w="1362" w:type="dxa"/>
            <w:tcBorders>
              <w:top w:val="nil"/>
              <w:left w:val="single" w:sz="4" w:space="0" w:color="E8581E"/>
              <w:bottom w:val="single" w:sz="4" w:space="0" w:color="E8581E"/>
              <w:right w:val="single" w:sz="4" w:space="0" w:color="E8581E"/>
            </w:tcBorders>
          </w:tcPr>
          <w:p>
            <w:pPr>
              <w:pStyle w:val="TableParagraph"/>
              <w:spacing w:line="240" w:lineRule="atLeast" w:before="35"/>
              <w:ind w:left="78" w:right="111"/>
              <w:rPr>
                <w:sz w:val="14"/>
              </w:rPr>
            </w:pPr>
            <w:r>
              <w:rPr>
                <w:w w:val="125"/>
                <w:sz w:val="14"/>
              </w:rPr>
              <w:t>Synod Moderator and convenor</w:t>
            </w:r>
          </w:p>
        </w:tc>
        <w:tc>
          <w:tcPr>
            <w:tcW w:w="695" w:type="dxa"/>
            <w:tcBorders>
              <w:top w:val="nil"/>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nil"/>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97" w:right="97"/>
              <w:jc w:val="center"/>
              <w:rPr>
                <w:sz w:val="14"/>
              </w:rPr>
            </w:pPr>
            <w:r>
              <w:rPr>
                <w:w w:val="130"/>
                <w:sz w:val="14"/>
              </w:rPr>
              <w:t>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Faith and order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Dr Robert Pope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6</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97" w:right="97"/>
              <w:jc w:val="center"/>
              <w:rPr>
                <w:sz w:val="14"/>
              </w:rPr>
            </w:pPr>
            <w:r>
              <w:rPr>
                <w:w w:val="130"/>
                <w:sz w:val="14"/>
              </w:rPr>
              <w:t>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Faith and order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Dr Rosalind Selby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6</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07" w:right="97"/>
              <w:jc w:val="center"/>
              <w:rPr>
                <w:sz w:val="14"/>
              </w:rPr>
            </w:pPr>
            <w:r>
              <w:rPr>
                <w:w w:val="130"/>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Alison Hall</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07" w:right="97"/>
              <w:jc w:val="center"/>
              <w:rPr>
                <w:sz w:val="14"/>
              </w:rPr>
            </w:pPr>
            <w:r>
              <w:rPr>
                <w:w w:val="130"/>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Mrs Barbara Ellis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07" w:right="96"/>
              <w:jc w:val="center"/>
              <w:rPr>
                <w:sz w:val="14"/>
              </w:rPr>
            </w:pPr>
            <w:r>
              <w:rPr>
                <w:w w:val="130"/>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Mrs Helen Lidgett</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bl>
    <w:p>
      <w:pPr>
        <w:spacing w:after="0"/>
        <w:jc w:val="center"/>
        <w:rPr>
          <w:sz w:val="14"/>
        </w:rPr>
        <w:sectPr>
          <w:type w:val="continuous"/>
          <w:pgSz w:w="11910" w:h="16840"/>
          <w:pgMar w:top="1580" w:bottom="280" w:left="420" w:right="380"/>
        </w:sectPr>
      </w:pPr>
    </w:p>
    <w:p>
      <w:pPr>
        <w:pStyle w:val="BodyText"/>
      </w:pPr>
      <w:r>
        <w:rPr/>
        <w:drawing>
          <wp:anchor distT="0" distB="0" distL="0" distR="0" allowOverlap="1" layoutInCell="1" locked="0" behindDoc="1" simplePos="0" relativeHeight="236119040">
            <wp:simplePos x="0" y="0"/>
            <wp:positionH relativeFrom="page">
              <wp:posOffset>0</wp:posOffset>
            </wp:positionH>
            <wp:positionV relativeFrom="page">
              <wp:posOffset>0</wp:posOffset>
            </wp:positionV>
            <wp:extent cx="594067" cy="10692003"/>
            <wp:effectExtent l="0" t="0" r="0" b="0"/>
            <wp:wrapNone/>
            <wp:docPr id="317" name="image75.png"/>
            <wp:cNvGraphicFramePr>
              <a:graphicFrameLocks noChangeAspect="1"/>
            </wp:cNvGraphicFramePr>
            <a:graphic>
              <a:graphicData uri="http://schemas.openxmlformats.org/drawingml/2006/picture">
                <pic:pic>
                  <pic:nvPicPr>
                    <pic:cNvPr id="318"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33.75pt;mso-position-horizontal-relative:page;mso-position-vertical-relative:paragraph;z-index:252087296"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rPr>
        <w:t>Nominations</w:t>
      </w:r>
    </w:p>
    <w:p>
      <w:pPr>
        <w:pStyle w:val="BodyText"/>
        <w:spacing w:before="2"/>
        <w:rPr>
          <w:sz w:val="15"/>
        </w:rPr>
      </w:pPr>
    </w:p>
    <w:tbl>
      <w:tblPr>
        <w:tblW w:w="0" w:type="auto"/>
        <w:jc w:val="left"/>
        <w:tblInd w:w="8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24"/>
        <w:gridCol w:w="3335"/>
        <w:gridCol w:w="2297"/>
        <w:gridCol w:w="1362"/>
        <w:gridCol w:w="695"/>
        <w:gridCol w:w="676"/>
      </w:tblGrid>
      <w:tr>
        <w:trPr>
          <w:trHeight w:val="383" w:hRule="atLeast"/>
        </w:trPr>
        <w:tc>
          <w:tcPr>
            <w:tcW w:w="624" w:type="dxa"/>
            <w:tcBorders>
              <w:top w:val="nil"/>
              <w:left w:val="nil"/>
              <w:bottom w:val="nil"/>
            </w:tcBorders>
            <w:shd w:val="clear" w:color="auto" w:fill="E8581E"/>
          </w:tcPr>
          <w:p>
            <w:pPr>
              <w:pStyle w:val="TableParagraph"/>
              <w:spacing w:before="110"/>
              <w:ind w:right="139"/>
              <w:jc w:val="right"/>
              <w:rPr>
                <w:rFonts w:ascii="Stone Sans II ITC Std Bk"/>
                <w:b/>
                <w:sz w:val="18"/>
              </w:rPr>
            </w:pPr>
            <w:r>
              <w:rPr>
                <w:rFonts w:ascii="Stone Sans II ITC Std Bk"/>
                <w:b/>
                <w:color w:val="FFFFFF"/>
                <w:w w:val="110"/>
                <w:sz w:val="18"/>
              </w:rPr>
              <w:t>Ref</w:t>
            </w:r>
          </w:p>
        </w:tc>
        <w:tc>
          <w:tcPr>
            <w:tcW w:w="3335" w:type="dxa"/>
            <w:tcBorders>
              <w:top w:val="nil"/>
              <w:bottom w:val="nil"/>
            </w:tcBorders>
            <w:shd w:val="clear" w:color="auto" w:fill="E8581E"/>
          </w:tcPr>
          <w:p>
            <w:pPr>
              <w:pStyle w:val="TableParagraph"/>
              <w:spacing w:before="110"/>
              <w:ind w:left="772"/>
              <w:rPr>
                <w:rFonts w:ascii="Stone Sans II ITC Std Bk"/>
                <w:b/>
                <w:sz w:val="18"/>
              </w:rPr>
            </w:pPr>
            <w:r>
              <w:rPr>
                <w:rFonts w:ascii="Stone Sans II ITC Std Bk"/>
                <w:b/>
                <w:color w:val="FFFFFF"/>
                <w:w w:val="110"/>
                <w:sz w:val="18"/>
              </w:rPr>
              <w:t>Committee/group</w:t>
            </w:r>
          </w:p>
        </w:tc>
        <w:tc>
          <w:tcPr>
            <w:tcW w:w="2297" w:type="dxa"/>
            <w:tcBorders>
              <w:top w:val="nil"/>
              <w:bottom w:val="nil"/>
            </w:tcBorders>
            <w:shd w:val="clear" w:color="auto" w:fill="E8581E"/>
          </w:tcPr>
          <w:p>
            <w:pPr>
              <w:pStyle w:val="TableParagraph"/>
              <w:spacing w:before="110"/>
              <w:ind w:left="842" w:right="834"/>
              <w:jc w:val="center"/>
              <w:rPr>
                <w:rFonts w:ascii="Stone Sans II ITC Std Bk"/>
                <w:b/>
                <w:sz w:val="18"/>
              </w:rPr>
            </w:pPr>
            <w:r>
              <w:rPr>
                <w:rFonts w:ascii="Stone Sans II ITC Std Bk"/>
                <w:b/>
                <w:color w:val="FFFFFF"/>
                <w:w w:val="110"/>
                <w:sz w:val="18"/>
              </w:rPr>
              <w:t>Name</w:t>
            </w:r>
          </w:p>
        </w:tc>
        <w:tc>
          <w:tcPr>
            <w:tcW w:w="1362" w:type="dxa"/>
            <w:tcBorders>
              <w:top w:val="nil"/>
              <w:bottom w:val="nil"/>
            </w:tcBorders>
            <w:shd w:val="clear" w:color="auto" w:fill="E8581E"/>
          </w:tcPr>
          <w:p>
            <w:pPr>
              <w:pStyle w:val="TableParagraph"/>
              <w:spacing w:before="110"/>
              <w:ind w:left="444" w:right="436"/>
              <w:jc w:val="center"/>
              <w:rPr>
                <w:rFonts w:ascii="Stone Sans II ITC Std Bk"/>
                <w:b/>
                <w:sz w:val="18"/>
              </w:rPr>
            </w:pPr>
            <w:r>
              <w:rPr>
                <w:rFonts w:ascii="Stone Sans II ITC Std Bk"/>
                <w:b/>
                <w:color w:val="FFFFFF"/>
                <w:w w:val="110"/>
                <w:sz w:val="18"/>
              </w:rPr>
              <w:t>Role</w:t>
            </w:r>
          </w:p>
        </w:tc>
        <w:tc>
          <w:tcPr>
            <w:tcW w:w="695" w:type="dxa"/>
            <w:tcBorders>
              <w:top w:val="nil"/>
              <w:bottom w:val="nil"/>
            </w:tcBorders>
            <w:shd w:val="clear" w:color="auto" w:fill="E8581E"/>
          </w:tcPr>
          <w:p>
            <w:pPr>
              <w:pStyle w:val="TableParagraph"/>
              <w:spacing w:before="110"/>
              <w:ind w:left="71" w:right="67"/>
              <w:jc w:val="center"/>
              <w:rPr>
                <w:rFonts w:ascii="Stone Sans II ITC Std Bk"/>
                <w:b/>
                <w:sz w:val="18"/>
              </w:rPr>
            </w:pPr>
            <w:r>
              <w:rPr>
                <w:rFonts w:ascii="Stone Sans II ITC Std Bk"/>
                <w:b/>
                <w:color w:val="FFFFFF"/>
                <w:w w:val="110"/>
                <w:sz w:val="18"/>
              </w:rPr>
              <w:t>From</w:t>
            </w:r>
          </w:p>
        </w:tc>
        <w:tc>
          <w:tcPr>
            <w:tcW w:w="676" w:type="dxa"/>
            <w:tcBorders>
              <w:top w:val="nil"/>
              <w:bottom w:val="nil"/>
              <w:right w:val="nil"/>
            </w:tcBorders>
            <w:shd w:val="clear" w:color="auto" w:fill="E8581E"/>
          </w:tcPr>
          <w:p>
            <w:pPr>
              <w:pStyle w:val="TableParagraph"/>
              <w:spacing w:before="110"/>
              <w:ind w:left="55" w:right="60"/>
              <w:jc w:val="center"/>
              <w:rPr>
                <w:rFonts w:ascii="Stone Sans II ITC Std Bk"/>
                <w:b/>
                <w:sz w:val="18"/>
              </w:rPr>
            </w:pPr>
            <w:r>
              <w:rPr>
                <w:rFonts w:ascii="Stone Sans II ITC Std Bk"/>
                <w:b/>
                <w:color w:val="FFFFFF"/>
                <w:w w:val="110"/>
                <w:sz w:val="18"/>
              </w:rPr>
              <w:t>Years</w:t>
            </w:r>
          </w:p>
        </w:tc>
      </w:tr>
      <w:tr>
        <w:trPr>
          <w:trHeight w:val="312" w:hRule="atLeast"/>
        </w:trPr>
        <w:tc>
          <w:tcPr>
            <w:tcW w:w="624" w:type="dxa"/>
            <w:tcBorders>
              <w:top w:val="nil"/>
              <w:left w:val="single" w:sz="4" w:space="0" w:color="E8581E"/>
              <w:bottom w:val="single" w:sz="4" w:space="0" w:color="E8581E"/>
              <w:right w:val="single" w:sz="4" w:space="0" w:color="E8581E"/>
            </w:tcBorders>
          </w:tcPr>
          <w:p>
            <w:pPr>
              <w:pStyle w:val="TableParagraph"/>
              <w:spacing w:before="104"/>
              <w:ind w:right="117"/>
              <w:jc w:val="right"/>
              <w:rPr>
                <w:sz w:val="14"/>
              </w:rPr>
            </w:pPr>
            <w:r>
              <w:rPr>
                <w:w w:val="125"/>
                <w:sz w:val="14"/>
              </w:rPr>
              <w:t>2.2.1</w:t>
            </w:r>
          </w:p>
        </w:tc>
        <w:tc>
          <w:tcPr>
            <w:tcW w:w="3335" w:type="dxa"/>
            <w:tcBorders>
              <w:top w:val="nil"/>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nil"/>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Hugh Graham</w:t>
            </w:r>
          </w:p>
        </w:tc>
        <w:tc>
          <w:tcPr>
            <w:tcW w:w="1362" w:type="dxa"/>
            <w:tcBorders>
              <w:top w:val="nil"/>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nil"/>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nil"/>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7"/>
              <w:jc w:val="right"/>
              <w:rPr>
                <w:sz w:val="14"/>
              </w:rPr>
            </w:pPr>
            <w:r>
              <w:rPr>
                <w:w w:val="125"/>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Ms Helen Stenson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7"/>
              <w:jc w:val="right"/>
              <w:rPr>
                <w:sz w:val="14"/>
              </w:rPr>
            </w:pPr>
            <w:r>
              <w:rPr>
                <w:w w:val="125"/>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Dr Jim Merrilees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7"/>
              <w:jc w:val="right"/>
              <w:rPr>
                <w:sz w:val="14"/>
              </w:rPr>
            </w:pPr>
            <w:r>
              <w:rPr>
                <w:w w:val="125"/>
                <w:sz w:val="14"/>
              </w:rPr>
              <w:t>2.2.1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Panel for General Assembly appointments</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Ruth Whitehead</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3"/>
              <w:jc w:val="right"/>
              <w:rPr>
                <w:sz w:val="14"/>
              </w:rPr>
            </w:pPr>
            <w:r>
              <w:rPr>
                <w:w w:val="130"/>
                <w:sz w:val="14"/>
              </w:rPr>
              <w:t>2.3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Pr>
                <w:sz w:val="14"/>
              </w:rPr>
            </w:pPr>
            <w:r>
              <w:rPr>
                <w:w w:val="125"/>
                <w:sz w:val="14"/>
              </w:rPr>
              <w:t>Mind (Ministerial incapacity and discipline) advisory group</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Chris Copley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Secretary</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1"/>
              <w:jc w:val="right"/>
              <w:rPr>
                <w:sz w:val="14"/>
              </w:rPr>
            </w:pPr>
            <w:r>
              <w:rPr>
                <w:w w:val="130"/>
                <w:sz w:val="14"/>
              </w:rPr>
              <w:t>2.5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Standing panel for the incapacity procedure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Simon Walkling</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5</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1"/>
              <w:jc w:val="right"/>
              <w:rPr>
                <w:sz w:val="14"/>
              </w:rPr>
            </w:pPr>
            <w:r>
              <w:rPr>
                <w:w w:val="130"/>
                <w:sz w:val="14"/>
              </w:rPr>
              <w:t>2.5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Standing panel for the incapacity procedure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Dr Ewen Harley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GP 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6"/>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2"/>
              <w:jc w:val="center"/>
              <w:rPr>
                <w:sz w:val="8"/>
              </w:rPr>
            </w:pPr>
            <w:r>
              <w:rPr>
                <w:w w:val="130"/>
                <w:position w:val="-4"/>
                <w:sz w:val="14"/>
              </w:rPr>
              <w:t>5</w:t>
            </w:r>
            <w:r>
              <w:rPr>
                <w:w w:val="130"/>
                <w:sz w:val="8"/>
              </w:rPr>
              <w:t>†</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2.5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Standing panel for the incapacity procedure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David Nash</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8"/>
              <w:rPr>
                <w:sz w:val="14"/>
              </w:rPr>
            </w:pPr>
            <w:r>
              <w:rPr>
                <w:w w:val="125"/>
                <w:sz w:val="14"/>
              </w:rPr>
              <w:t>Member with legal experience</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5</w:t>
            </w:r>
            <w:r>
              <w:rPr>
                <w:w w:val="130"/>
                <w:sz w:val="8"/>
              </w:rPr>
              <w:t>†</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2.5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Standing panel for the incapacity procedure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Roy Lowes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8" w:right="111"/>
              <w:rPr>
                <w:sz w:val="14"/>
              </w:rPr>
            </w:pPr>
            <w:r>
              <w:rPr>
                <w:w w:val="125"/>
                <w:sz w:val="14"/>
              </w:rPr>
              <w:t>Commission officer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5</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2.6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Pastoral reference and welfare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9"/>
              <w:rPr>
                <w:sz w:val="14"/>
              </w:rPr>
            </w:pPr>
            <w:r>
              <w:rPr>
                <w:w w:val="125"/>
                <w:sz w:val="14"/>
              </w:rPr>
              <w:t>The Revd David Grosch- Miller</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Convenor-elect</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1</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2.6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Pastoral reference and welfare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9"/>
              <w:rPr>
                <w:sz w:val="14"/>
              </w:rPr>
            </w:pPr>
            <w:r>
              <w:rPr>
                <w:w w:val="125"/>
                <w:sz w:val="14"/>
              </w:rPr>
              <w:t>The Revd David Grosch- Miller</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16" w:right="117"/>
              <w:jc w:val="center"/>
              <w:rPr>
                <w:sz w:val="14"/>
              </w:rPr>
            </w:pPr>
            <w:r>
              <w:rPr>
                <w:w w:val="120"/>
                <w:sz w:val="14"/>
              </w:rPr>
              <w:t>Jul19</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2.6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Pastoral reference and welfare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David Pickering</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8"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39"/>
              <w:jc w:val="right"/>
              <w:rPr>
                <w:sz w:val="14"/>
              </w:rPr>
            </w:pPr>
            <w:r>
              <w:rPr>
                <w:w w:val="130"/>
                <w:sz w:val="14"/>
              </w:rPr>
              <w:t>3.1.1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International exchange reference group</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Paul Whittle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4"/>
              <w:jc w:val="right"/>
              <w:rPr>
                <w:sz w:val="14"/>
              </w:rPr>
            </w:pPr>
            <w:r>
              <w:rPr>
                <w:w w:val="130"/>
                <w:sz w:val="14"/>
              </w:rPr>
              <w:t>3.1.3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Methodist/URC interfaith reference group</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Tracey Lewis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1"/>
              <w:rPr>
                <w:sz w:val="14"/>
              </w:rPr>
            </w:pPr>
            <w:r>
              <w:rPr>
                <w:w w:val="125"/>
                <w:sz w:val="14"/>
              </w:rPr>
              <w:t>Co-convenor- elect</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1</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3"/>
              <w:jc w:val="right"/>
              <w:rPr>
                <w:sz w:val="14"/>
              </w:rPr>
            </w:pPr>
            <w:r>
              <w:rPr>
                <w:w w:val="130"/>
                <w:sz w:val="14"/>
              </w:rPr>
              <w:t>3.1.3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Methodist/URC interfaith reference group</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Tracey Lewis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Co-convenor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17" w:right="117"/>
              <w:jc w:val="center"/>
              <w:rPr>
                <w:sz w:val="14"/>
              </w:rPr>
            </w:pPr>
            <w:r>
              <w:rPr>
                <w:w w:val="120"/>
                <w:sz w:val="14"/>
              </w:rPr>
              <w:t>Jul19</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6</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99"/>
              <w:jc w:val="right"/>
              <w:rPr>
                <w:sz w:val="14"/>
              </w:rPr>
            </w:pPr>
            <w:r>
              <w:rPr>
                <w:w w:val="130"/>
                <w:sz w:val="14"/>
              </w:rPr>
              <w:t>4.1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Ministries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Nicola Furley-Smith</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38"/>
              <w:jc w:val="right"/>
              <w:rPr>
                <w:sz w:val="14"/>
              </w:rPr>
            </w:pPr>
            <w:r>
              <w:rPr>
                <w:w w:val="130"/>
                <w:sz w:val="14"/>
              </w:rPr>
              <w:t>4.1.1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Accreditation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 Rob Moverley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1"/>
              <w:jc w:val="right"/>
              <w:rPr>
                <w:sz w:val="14"/>
              </w:rPr>
            </w:pPr>
            <w:r>
              <w:rPr>
                <w:w w:val="125"/>
                <w:sz w:val="14"/>
              </w:rPr>
              <w:t>4.1.2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Ministries – CRCW programme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Ms Ann Honey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1"/>
              <w:jc w:val="right"/>
              <w:rPr>
                <w:sz w:val="14"/>
              </w:rPr>
            </w:pPr>
            <w:r>
              <w:rPr>
                <w:w w:val="125"/>
                <w:sz w:val="14"/>
              </w:rPr>
              <w:t>4.1.2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ight="190"/>
              <w:rPr>
                <w:sz w:val="14"/>
              </w:rPr>
            </w:pPr>
            <w:r>
              <w:rPr>
                <w:w w:val="125"/>
                <w:sz w:val="14"/>
              </w:rPr>
              <w:t>Ministries – CRCW programme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Peter Meek</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3"/>
              <w:jc w:val="right"/>
              <w:rPr>
                <w:sz w:val="14"/>
              </w:rPr>
            </w:pPr>
            <w:r>
              <w:rPr>
                <w:w w:val="125"/>
                <w:sz w:val="14"/>
              </w:rPr>
              <w:t>4.1.3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Pr>
                <w:sz w:val="14"/>
              </w:rPr>
            </w:pPr>
            <w:r>
              <w:rPr>
                <w:w w:val="125"/>
                <w:sz w:val="14"/>
              </w:rPr>
              <w:t>Ministries – Maintenance of Ministry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David Coote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6"/>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3"/>
              <w:jc w:val="right"/>
              <w:rPr>
                <w:sz w:val="14"/>
              </w:rPr>
            </w:pPr>
            <w:r>
              <w:rPr>
                <w:w w:val="125"/>
                <w:sz w:val="14"/>
              </w:rPr>
              <w:t>4.1.3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1"/>
              <w:rPr>
                <w:sz w:val="14"/>
              </w:rPr>
            </w:pPr>
            <w:r>
              <w:rPr>
                <w:w w:val="125"/>
                <w:sz w:val="14"/>
              </w:rPr>
              <w:t>Ministries – Maintenance of ministry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 David Black</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6"/>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2"/>
              <w:jc w:val="center"/>
              <w:rPr>
                <w:sz w:val="8"/>
              </w:rPr>
            </w:pPr>
            <w:r>
              <w:rPr>
                <w:w w:val="130"/>
                <w:position w:val="-4"/>
                <w:sz w:val="14"/>
              </w:rPr>
              <w:t>1</w:t>
            </w:r>
            <w:r>
              <w:rPr>
                <w:w w:val="130"/>
                <w:sz w:val="8"/>
              </w:rPr>
              <w:t>†</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4"/>
              <w:jc w:val="right"/>
              <w:rPr>
                <w:sz w:val="14"/>
              </w:rPr>
            </w:pPr>
            <w:r>
              <w:rPr>
                <w:w w:val="125"/>
                <w:sz w:val="14"/>
              </w:rPr>
              <w:t>4.1.3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9"/>
              <w:rPr>
                <w:sz w:val="14"/>
              </w:rPr>
            </w:pPr>
            <w:r>
              <w:rPr>
                <w:w w:val="125"/>
                <w:sz w:val="14"/>
              </w:rPr>
              <w:t>Ministries – Maintenance of ministry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Mrs Jean Wyber</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4"/>
              <w:jc w:val="right"/>
              <w:rPr>
                <w:sz w:val="14"/>
              </w:rPr>
            </w:pPr>
            <w:r>
              <w:rPr>
                <w:w w:val="125"/>
                <w:sz w:val="14"/>
              </w:rPr>
              <w:t>4.1.3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80"/>
              <w:rPr>
                <w:sz w:val="14"/>
              </w:rPr>
            </w:pPr>
            <w:r>
              <w:rPr>
                <w:w w:val="125"/>
                <w:sz w:val="14"/>
              </w:rPr>
              <w:t>Ministries – Maintenance of ministry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David Gartside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55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5"/>
              <w:jc w:val="right"/>
              <w:rPr>
                <w:sz w:val="14"/>
              </w:rPr>
            </w:pPr>
            <w:r>
              <w:rPr>
                <w:w w:val="130"/>
                <w:sz w:val="14"/>
              </w:rPr>
              <w:t>4.1.4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Retired ministers’ housing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Andrew Mills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line="240" w:lineRule="atLeast" w:before="35"/>
              <w:ind w:left="78" w:right="111"/>
              <w:rPr>
                <w:sz w:val="14"/>
              </w:rPr>
            </w:pPr>
            <w:r>
              <w:rPr>
                <w:w w:val="125"/>
                <w:sz w:val="14"/>
              </w:rPr>
              <w:t>Synod </w:t>
            </w:r>
            <w:r>
              <w:rPr>
                <w:w w:val="120"/>
                <w:sz w:val="14"/>
              </w:rPr>
              <w:t>Moderator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1"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2"/>
              <w:jc w:val="right"/>
              <w:rPr>
                <w:sz w:val="14"/>
              </w:rPr>
            </w:pPr>
            <w:r>
              <w:rPr>
                <w:w w:val="130"/>
                <w:sz w:val="14"/>
              </w:rPr>
              <w:t>4.1.5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Assessment board</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 Dan Morrell</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2"/>
              <w:jc w:val="right"/>
              <w:rPr>
                <w:sz w:val="14"/>
              </w:rPr>
            </w:pPr>
            <w:r>
              <w:rPr>
                <w:w w:val="130"/>
                <w:sz w:val="14"/>
              </w:rPr>
              <w:t>4.1.5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Assessment board</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The Revd John Danso</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5</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4.2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Education and learning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0"/>
                <w:sz w:val="14"/>
              </w:rPr>
              <w:t>Mr Alan Yates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Convenor-elect</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7"/>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1</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4.2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Education and learning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0"/>
                <w:sz w:val="14"/>
              </w:rPr>
              <w:t>Mr Alan Yates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17" w:right="117"/>
              <w:jc w:val="center"/>
              <w:rPr>
                <w:sz w:val="14"/>
              </w:rPr>
            </w:pPr>
            <w:r>
              <w:rPr>
                <w:w w:val="120"/>
                <w:sz w:val="14"/>
              </w:rPr>
              <w:t>Jul19</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4.2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Education and learning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Mrs Sandra Ackroyd</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6"/>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82"/>
              <w:jc w:val="right"/>
              <w:rPr>
                <w:sz w:val="14"/>
              </w:rPr>
            </w:pPr>
            <w:r>
              <w:rPr>
                <w:w w:val="130"/>
                <w:sz w:val="14"/>
              </w:rPr>
              <w:t>4.2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1"/>
              <w:rPr>
                <w:sz w:val="14"/>
              </w:rPr>
            </w:pPr>
            <w:r>
              <w:rPr>
                <w:w w:val="125"/>
                <w:sz w:val="14"/>
              </w:rPr>
              <w:t>Education and learning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Ms Adella Pritchard</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left="122" w:right="116"/>
              <w:jc w:val="center"/>
              <w:rPr>
                <w:sz w:val="14"/>
              </w:rPr>
            </w:pPr>
            <w:r>
              <w:rPr>
                <w:w w:val="130"/>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bl>
    <w:p>
      <w:pPr>
        <w:spacing w:after="0"/>
        <w:jc w:val="center"/>
        <w:rPr>
          <w:sz w:val="14"/>
        </w:rPr>
        <w:sectPr>
          <w:headerReference w:type="even" r:id="rId447"/>
          <w:footerReference w:type="even" r:id="rId448"/>
          <w:footerReference w:type="default" r:id="rId449"/>
          <w:pgSz w:w="11910" w:h="16840"/>
          <w:pgMar w:header="0" w:footer="647" w:top="0" w:bottom="840" w:left="420" w:right="380"/>
          <w:pgNumType w:start="164"/>
        </w:sectPr>
      </w:pPr>
    </w:p>
    <w:p>
      <w:pPr>
        <w:pStyle w:val="BodyText"/>
      </w:pPr>
      <w:r>
        <w:rPr/>
        <w:drawing>
          <wp:anchor distT="0" distB="0" distL="0" distR="0" allowOverlap="1" layoutInCell="1" locked="0" behindDoc="0" simplePos="0" relativeHeight="252088320">
            <wp:simplePos x="0" y="0"/>
            <wp:positionH relativeFrom="page">
              <wp:posOffset>6974928</wp:posOffset>
            </wp:positionH>
            <wp:positionV relativeFrom="page">
              <wp:posOffset>0</wp:posOffset>
            </wp:positionV>
            <wp:extent cx="585063" cy="10692003"/>
            <wp:effectExtent l="0" t="0" r="0" b="0"/>
            <wp:wrapNone/>
            <wp:docPr id="319" name="image74.png"/>
            <wp:cNvGraphicFramePr>
              <a:graphicFrameLocks noChangeAspect="1"/>
            </wp:cNvGraphicFramePr>
            <a:graphic>
              <a:graphicData uri="http://schemas.openxmlformats.org/drawingml/2006/picture">
                <pic:pic>
                  <pic:nvPicPr>
                    <pic:cNvPr id="320"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089344"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BodyText"/>
        <w:spacing w:before="2"/>
        <w:rPr>
          <w:sz w:val="15"/>
        </w:rPr>
      </w:pPr>
    </w:p>
    <w:tbl>
      <w:tblPr>
        <w:tblW w:w="0" w:type="auto"/>
        <w:jc w:val="left"/>
        <w:tblInd w:w="15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24"/>
        <w:gridCol w:w="3335"/>
        <w:gridCol w:w="2297"/>
        <w:gridCol w:w="1362"/>
        <w:gridCol w:w="695"/>
        <w:gridCol w:w="676"/>
      </w:tblGrid>
      <w:tr>
        <w:trPr>
          <w:trHeight w:val="383" w:hRule="atLeast"/>
        </w:trPr>
        <w:tc>
          <w:tcPr>
            <w:tcW w:w="624" w:type="dxa"/>
            <w:tcBorders>
              <w:top w:val="nil"/>
              <w:left w:val="nil"/>
              <w:bottom w:val="nil"/>
            </w:tcBorders>
            <w:shd w:val="clear" w:color="auto" w:fill="E8581E"/>
          </w:tcPr>
          <w:p>
            <w:pPr>
              <w:pStyle w:val="TableParagraph"/>
              <w:spacing w:before="110"/>
              <w:ind w:left="159"/>
              <w:rPr>
                <w:rFonts w:ascii="Stone Sans II ITC Std Bk"/>
                <w:b/>
                <w:sz w:val="18"/>
              </w:rPr>
            </w:pPr>
            <w:r>
              <w:rPr>
                <w:rFonts w:ascii="Stone Sans II ITC Std Bk"/>
                <w:b/>
                <w:color w:val="FFFFFF"/>
                <w:w w:val="110"/>
                <w:sz w:val="18"/>
              </w:rPr>
              <w:t>Ref</w:t>
            </w:r>
          </w:p>
        </w:tc>
        <w:tc>
          <w:tcPr>
            <w:tcW w:w="3335" w:type="dxa"/>
            <w:tcBorders>
              <w:top w:val="nil"/>
              <w:bottom w:val="nil"/>
            </w:tcBorders>
            <w:shd w:val="clear" w:color="auto" w:fill="E8581E"/>
          </w:tcPr>
          <w:p>
            <w:pPr>
              <w:pStyle w:val="TableParagraph"/>
              <w:spacing w:before="110"/>
              <w:ind w:left="772"/>
              <w:rPr>
                <w:rFonts w:ascii="Stone Sans II ITC Std Bk"/>
                <w:b/>
                <w:sz w:val="18"/>
              </w:rPr>
            </w:pPr>
            <w:r>
              <w:rPr>
                <w:rFonts w:ascii="Stone Sans II ITC Std Bk"/>
                <w:b/>
                <w:color w:val="FFFFFF"/>
                <w:w w:val="110"/>
                <w:sz w:val="18"/>
              </w:rPr>
              <w:t>Committee/group</w:t>
            </w:r>
          </w:p>
        </w:tc>
        <w:tc>
          <w:tcPr>
            <w:tcW w:w="2297" w:type="dxa"/>
            <w:tcBorders>
              <w:top w:val="nil"/>
              <w:bottom w:val="nil"/>
            </w:tcBorders>
            <w:shd w:val="clear" w:color="auto" w:fill="E8581E"/>
          </w:tcPr>
          <w:p>
            <w:pPr>
              <w:pStyle w:val="TableParagraph"/>
              <w:spacing w:before="110"/>
              <w:ind w:left="842" w:right="834"/>
              <w:jc w:val="center"/>
              <w:rPr>
                <w:rFonts w:ascii="Stone Sans II ITC Std Bk"/>
                <w:b/>
                <w:sz w:val="18"/>
              </w:rPr>
            </w:pPr>
            <w:r>
              <w:rPr>
                <w:rFonts w:ascii="Stone Sans II ITC Std Bk"/>
                <w:b/>
                <w:color w:val="FFFFFF"/>
                <w:w w:val="110"/>
                <w:sz w:val="18"/>
              </w:rPr>
              <w:t>Name</w:t>
            </w:r>
          </w:p>
        </w:tc>
        <w:tc>
          <w:tcPr>
            <w:tcW w:w="1362" w:type="dxa"/>
            <w:tcBorders>
              <w:top w:val="nil"/>
              <w:bottom w:val="nil"/>
            </w:tcBorders>
            <w:shd w:val="clear" w:color="auto" w:fill="E8581E"/>
          </w:tcPr>
          <w:p>
            <w:pPr>
              <w:pStyle w:val="TableParagraph"/>
              <w:spacing w:before="110"/>
              <w:ind w:left="444" w:right="436"/>
              <w:jc w:val="center"/>
              <w:rPr>
                <w:rFonts w:ascii="Stone Sans II ITC Std Bk"/>
                <w:b/>
                <w:sz w:val="18"/>
              </w:rPr>
            </w:pPr>
            <w:r>
              <w:rPr>
                <w:rFonts w:ascii="Stone Sans II ITC Std Bk"/>
                <w:b/>
                <w:color w:val="FFFFFF"/>
                <w:w w:val="110"/>
                <w:sz w:val="18"/>
              </w:rPr>
              <w:t>Role</w:t>
            </w:r>
          </w:p>
        </w:tc>
        <w:tc>
          <w:tcPr>
            <w:tcW w:w="695" w:type="dxa"/>
            <w:tcBorders>
              <w:top w:val="nil"/>
              <w:bottom w:val="nil"/>
            </w:tcBorders>
            <w:shd w:val="clear" w:color="auto" w:fill="E8581E"/>
          </w:tcPr>
          <w:p>
            <w:pPr>
              <w:pStyle w:val="TableParagraph"/>
              <w:spacing w:before="110"/>
              <w:ind w:right="81"/>
              <w:jc w:val="right"/>
              <w:rPr>
                <w:rFonts w:ascii="Stone Sans II ITC Std Bk"/>
                <w:b/>
                <w:sz w:val="18"/>
              </w:rPr>
            </w:pPr>
            <w:r>
              <w:rPr>
                <w:rFonts w:ascii="Stone Sans II ITC Std Bk"/>
                <w:b/>
                <w:color w:val="FFFFFF"/>
                <w:w w:val="110"/>
                <w:sz w:val="18"/>
              </w:rPr>
              <w:t>From</w:t>
            </w:r>
          </w:p>
        </w:tc>
        <w:tc>
          <w:tcPr>
            <w:tcW w:w="676" w:type="dxa"/>
            <w:tcBorders>
              <w:top w:val="nil"/>
              <w:bottom w:val="nil"/>
              <w:right w:val="nil"/>
            </w:tcBorders>
            <w:shd w:val="clear" w:color="auto" w:fill="E8581E"/>
          </w:tcPr>
          <w:p>
            <w:pPr>
              <w:pStyle w:val="TableParagraph"/>
              <w:spacing w:before="110"/>
              <w:ind w:left="55" w:right="60"/>
              <w:jc w:val="center"/>
              <w:rPr>
                <w:rFonts w:ascii="Stone Sans II ITC Std Bk"/>
                <w:b/>
                <w:sz w:val="18"/>
              </w:rPr>
            </w:pPr>
            <w:r>
              <w:rPr>
                <w:rFonts w:ascii="Stone Sans II ITC Std Bk"/>
                <w:b/>
                <w:color w:val="FFFFFF"/>
                <w:w w:val="110"/>
                <w:sz w:val="18"/>
              </w:rPr>
              <w:t>Years</w:t>
            </w:r>
          </w:p>
        </w:tc>
      </w:tr>
      <w:tr>
        <w:trPr>
          <w:trHeight w:val="312" w:hRule="atLeast"/>
        </w:trPr>
        <w:tc>
          <w:tcPr>
            <w:tcW w:w="624" w:type="dxa"/>
            <w:tcBorders>
              <w:top w:val="nil"/>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4.2</w:t>
            </w:r>
          </w:p>
        </w:tc>
        <w:tc>
          <w:tcPr>
            <w:tcW w:w="3335" w:type="dxa"/>
            <w:tcBorders>
              <w:top w:val="nil"/>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Education and learning committee</w:t>
            </w:r>
          </w:p>
        </w:tc>
        <w:tc>
          <w:tcPr>
            <w:tcW w:w="2297" w:type="dxa"/>
            <w:tcBorders>
              <w:top w:val="nil"/>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Dr Rosalind Selby</w:t>
            </w:r>
          </w:p>
        </w:tc>
        <w:tc>
          <w:tcPr>
            <w:tcW w:w="1362" w:type="dxa"/>
            <w:tcBorders>
              <w:top w:val="nil"/>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nil"/>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nil"/>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4.2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Education and learning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Martin Truscott</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4.3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Children’s and youth work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Mrs Ruth Roddison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2</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4.3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Children’s and youth work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Mrs Alison Tansom</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2</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4.3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Children’s and youth work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Ms Charmaine Mutare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1"/>
              <w:jc w:val="right"/>
              <w:rPr>
                <w:sz w:val="14"/>
              </w:rPr>
            </w:pPr>
            <w:r>
              <w:rPr>
                <w:w w:val="130"/>
                <w:sz w:val="14"/>
              </w:rPr>
              <w:t>4.3.1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Pilots management subcommittee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Mrs Margaret Smith</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202"/>
              <w:rPr>
                <w:sz w:val="14"/>
              </w:rPr>
            </w:pPr>
            <w:r>
              <w:rPr>
                <w:w w:val="130"/>
                <w:sz w:val="14"/>
              </w:rPr>
              <w:t>5.1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Assembly arrangements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Adrian Bulley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Convenor-elect</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2</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202"/>
              <w:rPr>
                <w:sz w:val="14"/>
              </w:rPr>
            </w:pPr>
            <w:r>
              <w:rPr>
                <w:w w:val="130"/>
                <w:sz w:val="14"/>
              </w:rPr>
              <w:t>5.1</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Assembly arrangements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Adrian Bulley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28"/>
              <w:jc w:val="right"/>
              <w:rPr>
                <w:sz w:val="14"/>
              </w:rPr>
            </w:pPr>
            <w:r>
              <w:rPr>
                <w:w w:val="125"/>
                <w:sz w:val="14"/>
              </w:rPr>
              <w:t>GA20</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6</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5.2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Communications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Stan Hazell</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8"/>
              <w:rPr>
                <w:sz w:val="14"/>
              </w:rPr>
            </w:pPr>
            <w:r>
              <w:rPr>
                <w:w w:val="130"/>
                <w:sz w:val="14"/>
              </w:rPr>
              <w:t>5.3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Equalities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Ms Pam Gold</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1"/>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8"/>
              <w:rPr>
                <w:sz w:val="14"/>
              </w:rPr>
            </w:pPr>
            <w:r>
              <w:rPr>
                <w:w w:val="130"/>
                <w:sz w:val="14"/>
              </w:rPr>
              <w:t>5.3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Equalities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0"/>
                <w:sz w:val="14"/>
              </w:rPr>
              <w:t>Mr Jake Convery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1"/>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4"/>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8"/>
              <w:rPr>
                <w:sz w:val="14"/>
              </w:rPr>
            </w:pPr>
            <w:r>
              <w:rPr>
                <w:w w:val="130"/>
                <w:sz w:val="14"/>
              </w:rPr>
              <w:t>5.3</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Equalities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Mr Clive Curtis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1"/>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2"/>
              <w:jc w:val="center"/>
              <w:rPr>
                <w:sz w:val="8"/>
              </w:rPr>
            </w:pPr>
            <w:r>
              <w:rPr>
                <w:w w:val="130"/>
                <w:position w:val="-4"/>
                <w:sz w:val="14"/>
              </w:rPr>
              <w:t>1</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8"/>
              <w:rPr>
                <w:sz w:val="14"/>
              </w:rPr>
            </w:pPr>
            <w:r>
              <w:rPr>
                <w:w w:val="130"/>
                <w:sz w:val="14"/>
              </w:rPr>
              <w:t>5.4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Finance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Frank Liddell</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5.5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Mrs Val Morrison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2</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5.5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Ms Catriona Wheeler</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5.5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David Lathbury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5"/>
              <w:rPr>
                <w:sz w:val="14"/>
              </w:rPr>
            </w:pPr>
            <w:r>
              <w:rPr>
                <w:w w:val="130"/>
                <w:sz w:val="14"/>
              </w:rPr>
              <w:t>5.5</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Leslie Morrison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5.6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Ministers Pensions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Richard Nunn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4</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5.6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URC Ministers Pensions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Miss Margaret Atkinson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2</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7"/>
              <w:rPr>
                <w:sz w:val="14"/>
              </w:rPr>
            </w:pPr>
            <w:r>
              <w:rPr>
                <w:w w:val="130"/>
                <w:sz w:val="14"/>
              </w:rPr>
              <w:t>5.6</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URC Ministers Pensions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Mr Lyndon Thomas</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2"/>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6"/>
              <w:rPr>
                <w:sz w:val="14"/>
              </w:rPr>
            </w:pPr>
            <w:r>
              <w:rPr>
                <w:w w:val="130"/>
                <w:sz w:val="14"/>
              </w:rPr>
              <w:t>5.8</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Investment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Dick Gray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30"/>
                <w:sz w:val="14"/>
              </w:rPr>
              <w:t>Convenor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96"/>
              <w:rPr>
                <w:sz w:val="14"/>
              </w:rPr>
            </w:pPr>
            <w:r>
              <w:rPr>
                <w:w w:val="130"/>
                <w:sz w:val="14"/>
              </w:rPr>
              <w:t>5.8</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Investment committee</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 David Martin</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54"/>
              <w:rPr>
                <w:sz w:val="14"/>
              </w:rPr>
            </w:pPr>
            <w:r>
              <w:rPr>
                <w:w w:val="130"/>
                <w:sz w:val="14"/>
              </w:rPr>
              <w:t>10.4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Milton Mount Foundation</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June Colley</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Governor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54"/>
              <w:rPr>
                <w:sz w:val="14"/>
              </w:rPr>
            </w:pPr>
            <w:r>
              <w:rPr>
                <w:w w:val="130"/>
                <w:sz w:val="14"/>
              </w:rPr>
              <w:t>10.4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Milton Mount Foundation</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Carole Elphick</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Governor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4"/>
              <w:ind w:left="3"/>
              <w:jc w:val="center"/>
              <w:rPr>
                <w:sz w:val="14"/>
              </w:rPr>
            </w:pPr>
            <w:r>
              <w:rPr>
                <w:w w:val="129"/>
                <w:sz w:val="14"/>
              </w:rPr>
              <w:t>4</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left="154"/>
              <w:rPr>
                <w:sz w:val="14"/>
              </w:rPr>
            </w:pPr>
            <w:r>
              <w:rPr>
                <w:w w:val="130"/>
                <w:sz w:val="14"/>
              </w:rPr>
              <w:t>10.4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Milton Mount Foundation</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Derek Lindfield</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Governor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4</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2"/>
              <w:jc w:val="right"/>
              <w:rPr>
                <w:sz w:val="14"/>
              </w:rPr>
            </w:pPr>
            <w:r>
              <w:rPr>
                <w:w w:val="130"/>
                <w:sz w:val="14"/>
              </w:rPr>
              <w:t>11.12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History Society council</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Dr Michael Jagessar</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1</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2"/>
              <w:jc w:val="right"/>
              <w:rPr>
                <w:sz w:val="14"/>
              </w:rPr>
            </w:pPr>
            <w:r>
              <w:rPr>
                <w:w w:val="130"/>
                <w:sz w:val="14"/>
              </w:rPr>
              <w:t>11.12</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URC History Society council</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5"/>
                <w:sz w:val="14"/>
              </w:rPr>
              <w:t>The Revd Dr Kirsty Thorpe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5</w:t>
            </w:r>
            <w:r>
              <w:rPr>
                <w:w w:val="130"/>
                <w:sz w:val="8"/>
              </w:rPr>
              <w:t>†</w:t>
            </w:r>
          </w:p>
        </w:tc>
      </w:tr>
      <w:tr>
        <w:trPr>
          <w:trHeight w:val="312" w:hRule="atLeast"/>
        </w:trPr>
        <w:tc>
          <w:tcPr>
            <w:tcW w:w="624" w:type="dxa"/>
            <w:tcBorders>
              <w:top w:val="single" w:sz="4" w:space="0" w:color="E8581E"/>
              <w:left w:val="single" w:sz="4" w:space="0" w:color="E8581E"/>
              <w:bottom w:val="single" w:sz="4" w:space="0" w:color="E8581E"/>
              <w:right w:val="single" w:sz="4" w:space="0" w:color="E8581E"/>
            </w:tcBorders>
          </w:tcPr>
          <w:p>
            <w:pPr>
              <w:pStyle w:val="TableParagraph"/>
              <w:spacing w:before="104"/>
              <w:ind w:right="112"/>
              <w:jc w:val="right"/>
              <w:rPr>
                <w:sz w:val="14"/>
              </w:rPr>
            </w:pPr>
            <w:r>
              <w:rPr>
                <w:w w:val="130"/>
                <w:sz w:val="14"/>
              </w:rPr>
              <w:t>11.14</w:t>
            </w:r>
          </w:p>
        </w:tc>
        <w:tc>
          <w:tcPr>
            <w:tcW w:w="3335" w:type="dxa"/>
            <w:tcBorders>
              <w:top w:val="single" w:sz="4" w:space="0" w:color="E8581E"/>
              <w:left w:val="single" w:sz="4" w:space="0" w:color="E8581E"/>
              <w:bottom w:val="single" w:sz="4" w:space="0" w:color="E8581E"/>
              <w:right w:val="single" w:sz="4" w:space="0" w:color="E8581E"/>
            </w:tcBorders>
          </w:tcPr>
          <w:p>
            <w:pPr>
              <w:pStyle w:val="TableParagraph"/>
              <w:spacing w:before="104"/>
              <w:ind w:left="80"/>
              <w:rPr>
                <w:sz w:val="14"/>
              </w:rPr>
            </w:pPr>
            <w:r>
              <w:rPr>
                <w:w w:val="125"/>
                <w:sz w:val="14"/>
              </w:rPr>
              <w:t>Westhill Endowment Trust</w:t>
            </w:r>
          </w:p>
        </w:tc>
        <w:tc>
          <w:tcPr>
            <w:tcW w:w="2297" w:type="dxa"/>
            <w:tcBorders>
              <w:top w:val="single" w:sz="4" w:space="0" w:color="E8581E"/>
              <w:left w:val="single" w:sz="4" w:space="0" w:color="E8581E"/>
              <w:bottom w:val="single" w:sz="4" w:space="0" w:color="E8581E"/>
              <w:right w:val="single" w:sz="4" w:space="0" w:color="E8581E"/>
            </w:tcBorders>
          </w:tcPr>
          <w:p>
            <w:pPr>
              <w:pStyle w:val="TableParagraph"/>
              <w:spacing w:before="104"/>
              <w:ind w:left="79"/>
              <w:rPr>
                <w:sz w:val="14"/>
              </w:rPr>
            </w:pPr>
            <w:r>
              <w:rPr>
                <w:w w:val="120"/>
                <w:sz w:val="14"/>
              </w:rPr>
              <w:t>Mrs Julie Grove MBE</w:t>
            </w:r>
          </w:p>
        </w:tc>
        <w:tc>
          <w:tcPr>
            <w:tcW w:w="1362" w:type="dxa"/>
            <w:tcBorders>
              <w:top w:val="single" w:sz="4" w:space="0" w:color="E8581E"/>
              <w:left w:val="single" w:sz="4" w:space="0" w:color="E8581E"/>
              <w:bottom w:val="single" w:sz="4" w:space="0" w:color="E8581E"/>
              <w:right w:val="single" w:sz="4" w:space="0" w:color="E8581E"/>
            </w:tcBorders>
          </w:tcPr>
          <w:p>
            <w:pPr>
              <w:pStyle w:val="TableParagraph"/>
              <w:spacing w:before="104"/>
              <w:ind w:left="78"/>
              <w:rPr>
                <w:sz w:val="14"/>
              </w:rPr>
            </w:pPr>
            <w:r>
              <w:rPr>
                <w:w w:val="125"/>
                <w:sz w:val="14"/>
              </w:rPr>
              <w:t>Member</w:t>
            </w:r>
          </w:p>
        </w:tc>
        <w:tc>
          <w:tcPr>
            <w:tcW w:w="695" w:type="dxa"/>
            <w:tcBorders>
              <w:top w:val="single" w:sz="4" w:space="0" w:color="E8581E"/>
              <w:left w:val="single" w:sz="4" w:space="0" w:color="E8581E"/>
              <w:bottom w:val="single" w:sz="4" w:space="0" w:color="E8581E"/>
              <w:right w:val="single" w:sz="4" w:space="0" w:color="E8581E"/>
            </w:tcBorders>
          </w:tcPr>
          <w:p>
            <w:pPr>
              <w:pStyle w:val="TableParagraph"/>
              <w:spacing w:before="104"/>
              <w:ind w:right="142"/>
              <w:jc w:val="right"/>
              <w:rPr>
                <w:sz w:val="14"/>
              </w:rPr>
            </w:pPr>
            <w:r>
              <w:rPr>
                <w:w w:val="125"/>
                <w:sz w:val="14"/>
              </w:rPr>
              <w:t>GA18</w:t>
            </w:r>
          </w:p>
        </w:tc>
        <w:tc>
          <w:tcPr>
            <w:tcW w:w="676" w:type="dxa"/>
            <w:tcBorders>
              <w:top w:val="single" w:sz="4" w:space="0" w:color="E8581E"/>
              <w:left w:val="single" w:sz="4" w:space="0" w:color="E8581E"/>
              <w:bottom w:val="single" w:sz="4" w:space="0" w:color="E8581E"/>
              <w:right w:val="single" w:sz="4" w:space="0" w:color="E8581E"/>
            </w:tcBorders>
          </w:tcPr>
          <w:p>
            <w:pPr>
              <w:pStyle w:val="TableParagraph"/>
              <w:spacing w:before="106"/>
              <w:ind w:left="55" w:right="53"/>
              <w:jc w:val="center"/>
              <w:rPr>
                <w:sz w:val="8"/>
              </w:rPr>
            </w:pPr>
            <w:r>
              <w:rPr>
                <w:w w:val="130"/>
                <w:position w:val="-4"/>
                <w:sz w:val="14"/>
              </w:rPr>
              <w:t>4</w:t>
            </w:r>
            <w:r>
              <w:rPr>
                <w:w w:val="130"/>
                <w:sz w:val="8"/>
              </w:rPr>
              <w:t>†</w:t>
            </w:r>
          </w:p>
        </w:tc>
      </w:tr>
    </w:tbl>
    <w:p>
      <w:pPr>
        <w:spacing w:before="242"/>
        <w:ind w:left="1564" w:right="0" w:firstLine="0"/>
        <w:jc w:val="left"/>
        <w:rPr>
          <w:rFonts w:ascii="Stone Sans II ITC Std Bk"/>
          <w:b/>
          <w:sz w:val="29"/>
        </w:rPr>
      </w:pPr>
      <w:r>
        <w:rPr>
          <w:rFonts w:ascii="Stone Sans II ITC Std Bk"/>
          <w:b/>
          <w:w w:val="110"/>
          <w:sz w:val="29"/>
        </w:rPr>
        <w:t>Assembly committees and other appointments</w:t>
      </w:r>
    </w:p>
    <w:p>
      <w:pPr>
        <w:pStyle w:val="BodyText"/>
        <w:spacing w:line="242" w:lineRule="exact" w:before="65"/>
        <w:ind w:left="1564"/>
      </w:pPr>
      <w:r>
        <w:rPr>
          <w:w w:val="120"/>
        </w:rPr>
        <w:t>Notes:</w:t>
      </w:r>
    </w:p>
    <w:p>
      <w:pPr>
        <w:pStyle w:val="ListParagraph"/>
        <w:numPr>
          <w:ilvl w:val="0"/>
          <w:numId w:val="119"/>
        </w:numPr>
        <w:tabs>
          <w:tab w:pos="2244" w:val="left" w:leader="none"/>
          <w:tab w:pos="2245" w:val="left" w:leader="none"/>
        </w:tabs>
        <w:spacing w:line="235" w:lineRule="auto" w:before="2" w:after="0"/>
        <w:ind w:left="2244" w:right="1062" w:hanging="681"/>
        <w:jc w:val="left"/>
        <w:rPr>
          <w:sz w:val="20"/>
        </w:rPr>
      </w:pPr>
      <w:r>
        <w:rPr>
          <w:w w:val="120"/>
          <w:sz w:val="20"/>
        </w:rPr>
        <w:t>General Assembly Moderators, Assembly Moderators-elect, the Immediate- past Assembly Moderators and the General Secretary are members ex officio</w:t>
      </w:r>
      <w:r>
        <w:rPr>
          <w:spacing w:val="6"/>
          <w:w w:val="120"/>
          <w:sz w:val="20"/>
        </w:rPr>
        <w:t> </w:t>
      </w:r>
      <w:r>
        <w:rPr>
          <w:w w:val="120"/>
          <w:sz w:val="20"/>
        </w:rPr>
        <w:t>of</w:t>
      </w:r>
    </w:p>
    <w:p>
      <w:pPr>
        <w:pStyle w:val="BodyText"/>
        <w:spacing w:line="235" w:lineRule="auto" w:before="1"/>
        <w:ind w:left="2244" w:right="923"/>
      </w:pPr>
      <w:r>
        <w:rPr>
          <w:w w:val="120"/>
        </w:rPr>
        <w:t>every standing committee. Deputy General Secretaries are members ex officio of every standing committee within their department. Any ex officio member may arrange for an appropriate deputy, such as any Deputy General Secretary or an officer of Assembly, to attend on their behalf. Any committee may invite other Assembly officers (or their deputies) or staff members to attend in a non-voting capacity where the business so requires.</w:t>
      </w:r>
    </w:p>
    <w:p>
      <w:pPr>
        <w:pStyle w:val="BodyText"/>
        <w:spacing w:before="12"/>
        <w:rPr>
          <w:sz w:val="18"/>
        </w:rPr>
      </w:pPr>
    </w:p>
    <w:p>
      <w:pPr>
        <w:pStyle w:val="ListParagraph"/>
        <w:numPr>
          <w:ilvl w:val="0"/>
          <w:numId w:val="119"/>
        </w:numPr>
        <w:tabs>
          <w:tab w:pos="2244" w:val="left" w:leader="none"/>
          <w:tab w:pos="2245" w:val="left" w:leader="none"/>
        </w:tabs>
        <w:spacing w:line="235" w:lineRule="auto" w:before="0" w:after="0"/>
        <w:ind w:left="2244" w:right="993" w:hanging="681"/>
        <w:jc w:val="left"/>
        <w:rPr>
          <w:sz w:val="20"/>
        </w:rPr>
      </w:pPr>
      <w:r>
        <w:rPr>
          <w:w w:val="120"/>
          <w:sz w:val="20"/>
        </w:rPr>
        <w:t>Symbols have been used as follows: </w:t>
      </w:r>
      <w:r>
        <w:rPr>
          <w:spacing w:val="3"/>
          <w:w w:val="120"/>
          <w:sz w:val="20"/>
        </w:rPr>
        <w:t>** </w:t>
      </w:r>
      <w:r>
        <w:rPr>
          <w:w w:val="120"/>
          <w:sz w:val="20"/>
        </w:rPr>
        <w:t>denotes those whom General Assembly is invited to appoint for the first time; † denotes those who have been invited to extend their periods of</w:t>
      </w:r>
      <w:r>
        <w:rPr>
          <w:spacing w:val="8"/>
          <w:w w:val="120"/>
          <w:sz w:val="20"/>
        </w:rPr>
        <w:t> </w:t>
      </w:r>
      <w:r>
        <w:rPr>
          <w:w w:val="120"/>
          <w:sz w:val="20"/>
        </w:rPr>
        <w:t>service;</w:t>
      </w:r>
    </w:p>
    <w:p>
      <w:pPr>
        <w:pStyle w:val="BodyText"/>
        <w:spacing w:before="9"/>
        <w:rPr>
          <w:sz w:val="18"/>
        </w:rPr>
      </w:pPr>
    </w:p>
    <w:p>
      <w:pPr>
        <w:pStyle w:val="ListParagraph"/>
        <w:numPr>
          <w:ilvl w:val="0"/>
          <w:numId w:val="119"/>
        </w:numPr>
        <w:tabs>
          <w:tab w:pos="2244" w:val="left" w:leader="none"/>
          <w:tab w:pos="2245" w:val="left" w:leader="none"/>
        </w:tabs>
        <w:spacing w:line="235" w:lineRule="auto" w:before="0" w:after="0"/>
        <w:ind w:left="2244" w:right="1074" w:hanging="681"/>
        <w:jc w:val="left"/>
        <w:rPr>
          <w:sz w:val="20"/>
        </w:rPr>
      </w:pPr>
      <w:r>
        <w:rPr>
          <w:w w:val="125"/>
          <w:sz w:val="20"/>
        </w:rPr>
        <w:t>Numbers</w:t>
      </w:r>
      <w:r>
        <w:rPr>
          <w:spacing w:val="-17"/>
          <w:w w:val="125"/>
          <w:sz w:val="20"/>
        </w:rPr>
        <w:t> </w:t>
      </w:r>
      <w:r>
        <w:rPr>
          <w:w w:val="125"/>
          <w:sz w:val="20"/>
        </w:rPr>
        <w:t>in</w:t>
      </w:r>
      <w:r>
        <w:rPr>
          <w:spacing w:val="-17"/>
          <w:w w:val="125"/>
          <w:sz w:val="20"/>
        </w:rPr>
        <w:t> </w:t>
      </w:r>
      <w:r>
        <w:rPr>
          <w:w w:val="125"/>
          <w:sz w:val="20"/>
        </w:rPr>
        <w:t>round</w:t>
      </w:r>
      <w:r>
        <w:rPr>
          <w:spacing w:val="-16"/>
          <w:w w:val="125"/>
          <w:sz w:val="20"/>
        </w:rPr>
        <w:t> </w:t>
      </w:r>
      <w:r>
        <w:rPr>
          <w:w w:val="125"/>
          <w:sz w:val="20"/>
        </w:rPr>
        <w:t>brackets</w:t>
      </w:r>
      <w:r>
        <w:rPr>
          <w:spacing w:val="-17"/>
          <w:w w:val="125"/>
          <w:sz w:val="20"/>
        </w:rPr>
        <w:t> </w:t>
      </w:r>
      <w:r>
        <w:rPr>
          <w:w w:val="125"/>
          <w:sz w:val="20"/>
        </w:rPr>
        <w:t>following</w:t>
      </w:r>
      <w:r>
        <w:rPr>
          <w:spacing w:val="-17"/>
          <w:w w:val="125"/>
          <w:sz w:val="20"/>
        </w:rPr>
        <w:t> </w:t>
      </w:r>
      <w:r>
        <w:rPr>
          <w:w w:val="125"/>
          <w:sz w:val="20"/>
        </w:rPr>
        <w:t>names</w:t>
      </w:r>
      <w:r>
        <w:rPr>
          <w:spacing w:val="-16"/>
          <w:w w:val="125"/>
          <w:sz w:val="20"/>
        </w:rPr>
        <w:t> </w:t>
      </w:r>
      <w:r>
        <w:rPr>
          <w:w w:val="125"/>
          <w:sz w:val="20"/>
        </w:rPr>
        <w:t>indicate</w:t>
      </w:r>
      <w:r>
        <w:rPr>
          <w:spacing w:val="-17"/>
          <w:w w:val="125"/>
          <w:sz w:val="20"/>
        </w:rPr>
        <w:t> </w:t>
      </w:r>
      <w:r>
        <w:rPr>
          <w:w w:val="125"/>
          <w:sz w:val="20"/>
        </w:rPr>
        <w:t>the</w:t>
      </w:r>
      <w:r>
        <w:rPr>
          <w:spacing w:val="-16"/>
          <w:w w:val="125"/>
          <w:sz w:val="20"/>
        </w:rPr>
        <w:t> </w:t>
      </w:r>
      <w:r>
        <w:rPr>
          <w:w w:val="125"/>
          <w:sz w:val="20"/>
        </w:rPr>
        <w:t>member’s</w:t>
      </w:r>
      <w:r>
        <w:rPr>
          <w:spacing w:val="-17"/>
          <w:w w:val="125"/>
          <w:sz w:val="20"/>
        </w:rPr>
        <w:t> </w:t>
      </w:r>
      <w:r>
        <w:rPr>
          <w:w w:val="125"/>
          <w:sz w:val="20"/>
        </w:rPr>
        <w:t>synod:</w:t>
      </w:r>
      <w:r>
        <w:rPr>
          <w:spacing w:val="-17"/>
          <w:w w:val="125"/>
          <w:sz w:val="20"/>
        </w:rPr>
        <w:t> </w:t>
      </w:r>
      <w:r>
        <w:rPr>
          <w:spacing w:val="-11"/>
          <w:w w:val="125"/>
          <w:sz w:val="20"/>
        </w:rPr>
        <w:t>(1) </w:t>
      </w:r>
      <w:r>
        <w:rPr>
          <w:w w:val="125"/>
          <w:sz w:val="20"/>
        </w:rPr>
        <w:t>Northern, </w:t>
      </w:r>
      <w:r>
        <w:rPr>
          <w:spacing w:val="-8"/>
          <w:w w:val="125"/>
          <w:sz w:val="20"/>
        </w:rPr>
        <w:t>(2) </w:t>
      </w:r>
      <w:r>
        <w:rPr>
          <w:spacing w:val="2"/>
          <w:w w:val="125"/>
          <w:sz w:val="20"/>
        </w:rPr>
        <w:t>North </w:t>
      </w:r>
      <w:r>
        <w:rPr>
          <w:w w:val="125"/>
          <w:sz w:val="20"/>
        </w:rPr>
        <w:t>Western, </w:t>
      </w:r>
      <w:r>
        <w:rPr>
          <w:spacing w:val="-8"/>
          <w:w w:val="125"/>
          <w:sz w:val="20"/>
        </w:rPr>
        <w:t>(3) </w:t>
      </w:r>
      <w:r>
        <w:rPr>
          <w:w w:val="125"/>
          <w:sz w:val="20"/>
        </w:rPr>
        <w:t>Mersey, </w:t>
      </w:r>
      <w:r>
        <w:rPr>
          <w:spacing w:val="-10"/>
          <w:w w:val="125"/>
          <w:sz w:val="20"/>
        </w:rPr>
        <w:t>(4) </w:t>
      </w:r>
      <w:r>
        <w:rPr>
          <w:w w:val="125"/>
          <w:sz w:val="20"/>
        </w:rPr>
        <w:t>Yorkshire, </w:t>
      </w:r>
      <w:r>
        <w:rPr>
          <w:spacing w:val="-8"/>
          <w:w w:val="125"/>
          <w:sz w:val="20"/>
        </w:rPr>
        <w:t>(5) </w:t>
      </w:r>
      <w:r>
        <w:rPr>
          <w:w w:val="125"/>
          <w:sz w:val="20"/>
        </w:rPr>
        <w:t>East Midlands, </w:t>
      </w:r>
      <w:r>
        <w:rPr>
          <w:spacing w:val="-7"/>
          <w:w w:val="125"/>
          <w:sz w:val="20"/>
        </w:rPr>
        <w:t>(6) </w:t>
      </w:r>
      <w:r>
        <w:rPr>
          <w:w w:val="125"/>
          <w:sz w:val="20"/>
        </w:rPr>
        <w:t>West</w:t>
      </w:r>
      <w:r>
        <w:rPr>
          <w:spacing w:val="-18"/>
          <w:w w:val="125"/>
          <w:sz w:val="20"/>
        </w:rPr>
        <w:t> </w:t>
      </w:r>
      <w:r>
        <w:rPr>
          <w:w w:val="125"/>
          <w:sz w:val="20"/>
        </w:rPr>
        <w:t>Midlands,</w:t>
      </w:r>
      <w:r>
        <w:rPr>
          <w:spacing w:val="-18"/>
          <w:w w:val="125"/>
          <w:sz w:val="20"/>
        </w:rPr>
        <w:t> </w:t>
      </w:r>
      <w:r>
        <w:rPr>
          <w:w w:val="125"/>
          <w:sz w:val="20"/>
        </w:rPr>
        <w:t>(7)</w:t>
      </w:r>
      <w:r>
        <w:rPr>
          <w:spacing w:val="-17"/>
          <w:w w:val="125"/>
          <w:sz w:val="20"/>
        </w:rPr>
        <w:t> </w:t>
      </w:r>
      <w:r>
        <w:rPr>
          <w:w w:val="125"/>
          <w:sz w:val="20"/>
        </w:rPr>
        <w:t>Eastern,</w:t>
      </w:r>
      <w:r>
        <w:rPr>
          <w:spacing w:val="-18"/>
          <w:w w:val="125"/>
          <w:sz w:val="20"/>
        </w:rPr>
        <w:t> </w:t>
      </w:r>
      <w:r>
        <w:rPr>
          <w:spacing w:val="-8"/>
          <w:w w:val="125"/>
          <w:sz w:val="20"/>
        </w:rPr>
        <w:t>(8)</w:t>
      </w:r>
      <w:r>
        <w:rPr>
          <w:spacing w:val="-17"/>
          <w:w w:val="125"/>
          <w:sz w:val="20"/>
        </w:rPr>
        <w:t> </w:t>
      </w:r>
      <w:r>
        <w:rPr>
          <w:w w:val="125"/>
          <w:sz w:val="20"/>
        </w:rPr>
        <w:t>South</w:t>
      </w:r>
      <w:r>
        <w:rPr>
          <w:spacing w:val="-18"/>
          <w:w w:val="125"/>
          <w:sz w:val="20"/>
        </w:rPr>
        <w:t> </w:t>
      </w:r>
      <w:r>
        <w:rPr>
          <w:w w:val="125"/>
          <w:sz w:val="20"/>
        </w:rPr>
        <w:t>Western,</w:t>
      </w:r>
      <w:r>
        <w:rPr>
          <w:spacing w:val="-17"/>
          <w:w w:val="125"/>
          <w:sz w:val="20"/>
        </w:rPr>
        <w:t> </w:t>
      </w:r>
      <w:r>
        <w:rPr>
          <w:spacing w:val="-8"/>
          <w:w w:val="125"/>
          <w:sz w:val="20"/>
        </w:rPr>
        <w:t>(9)</w:t>
      </w:r>
      <w:r>
        <w:rPr>
          <w:spacing w:val="-18"/>
          <w:w w:val="125"/>
          <w:sz w:val="20"/>
        </w:rPr>
        <w:t> </w:t>
      </w:r>
      <w:r>
        <w:rPr>
          <w:w w:val="125"/>
          <w:sz w:val="20"/>
        </w:rPr>
        <w:t>Wessex,</w:t>
      </w:r>
      <w:r>
        <w:rPr>
          <w:spacing w:val="-17"/>
          <w:w w:val="125"/>
          <w:sz w:val="20"/>
        </w:rPr>
        <w:t> </w:t>
      </w:r>
      <w:r>
        <w:rPr>
          <w:spacing w:val="-9"/>
          <w:w w:val="125"/>
          <w:sz w:val="20"/>
        </w:rPr>
        <w:t>(10)</w:t>
      </w:r>
      <w:r>
        <w:rPr>
          <w:spacing w:val="-18"/>
          <w:w w:val="125"/>
          <w:sz w:val="20"/>
        </w:rPr>
        <w:t> </w:t>
      </w:r>
      <w:r>
        <w:rPr>
          <w:w w:val="125"/>
          <w:sz w:val="20"/>
        </w:rPr>
        <w:t>Thames</w:t>
      </w:r>
      <w:r>
        <w:rPr>
          <w:spacing w:val="-18"/>
          <w:w w:val="125"/>
          <w:sz w:val="20"/>
        </w:rPr>
        <w:t> </w:t>
      </w:r>
      <w:r>
        <w:rPr>
          <w:w w:val="125"/>
          <w:sz w:val="20"/>
        </w:rPr>
        <w:t>North,</w:t>
      </w:r>
    </w:p>
    <w:p>
      <w:pPr>
        <w:pStyle w:val="BodyText"/>
        <w:spacing w:line="235" w:lineRule="auto" w:before="2"/>
        <w:ind w:left="2244" w:right="819"/>
      </w:pPr>
      <w:r>
        <w:rPr>
          <w:spacing w:val="-14"/>
          <w:w w:val="125"/>
        </w:rPr>
        <w:t>(11) </w:t>
      </w:r>
      <w:r>
        <w:rPr>
          <w:w w:val="125"/>
        </w:rPr>
        <w:t>Southern, </w:t>
      </w:r>
      <w:r>
        <w:rPr>
          <w:spacing w:val="-10"/>
          <w:w w:val="125"/>
        </w:rPr>
        <w:t>(12) </w:t>
      </w:r>
      <w:r>
        <w:rPr>
          <w:w w:val="125"/>
        </w:rPr>
        <w:t>Wales, </w:t>
      </w:r>
      <w:r>
        <w:rPr>
          <w:spacing w:val="-12"/>
          <w:w w:val="125"/>
        </w:rPr>
        <w:t>(13) </w:t>
      </w:r>
      <w:r>
        <w:rPr>
          <w:w w:val="125"/>
        </w:rPr>
        <w:t>Scotland. This numbering is not shown where it is not relevant.</w:t>
      </w:r>
    </w:p>
    <w:p>
      <w:pPr>
        <w:spacing w:after="0" w:line="235" w:lineRule="auto"/>
        <w:sectPr>
          <w:headerReference w:type="default" r:id="rId450"/>
          <w:pgSz w:w="11910" w:h="16840"/>
          <w:pgMar w:header="0" w:footer="647" w:top="0" w:bottom="840" w:left="420" w:right="380"/>
        </w:sectPr>
      </w:pPr>
    </w:p>
    <w:p>
      <w:pPr>
        <w:pStyle w:val="BodyText"/>
      </w:pPr>
      <w:r>
        <w:rPr/>
        <w:drawing>
          <wp:anchor distT="0" distB="0" distL="0" distR="0" allowOverlap="1" layoutInCell="1" locked="0" behindDoc="1" simplePos="0" relativeHeight="236123136">
            <wp:simplePos x="0" y="0"/>
            <wp:positionH relativeFrom="page">
              <wp:posOffset>0</wp:posOffset>
            </wp:positionH>
            <wp:positionV relativeFrom="page">
              <wp:posOffset>0</wp:posOffset>
            </wp:positionV>
            <wp:extent cx="594067" cy="10692003"/>
            <wp:effectExtent l="0" t="0" r="0" b="0"/>
            <wp:wrapNone/>
            <wp:docPr id="321" name="image75.png"/>
            <wp:cNvGraphicFramePr>
              <a:graphicFrameLocks noChangeAspect="1"/>
            </wp:cNvGraphicFramePr>
            <a:graphic>
              <a:graphicData uri="http://schemas.openxmlformats.org/drawingml/2006/picture">
                <pic:pic>
                  <pic:nvPicPr>
                    <pic:cNvPr id="322"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33.75pt;mso-position-horizontal-relative:page;mso-position-vertical-relative:paragraph;z-index:252091392"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rPr>
        <w:t>Nominations</w:t>
      </w:r>
    </w:p>
    <w:p>
      <w:pPr>
        <w:pStyle w:val="ListParagraph"/>
        <w:numPr>
          <w:ilvl w:val="0"/>
          <w:numId w:val="119"/>
        </w:numPr>
        <w:tabs>
          <w:tab w:pos="1507" w:val="left" w:leader="none"/>
          <w:tab w:pos="1508" w:val="left" w:leader="none"/>
        </w:tabs>
        <w:spacing w:line="235" w:lineRule="auto" w:before="222" w:after="0"/>
        <w:ind w:left="1507" w:right="1648" w:hanging="681"/>
        <w:jc w:val="left"/>
        <w:rPr>
          <w:sz w:val="20"/>
        </w:rPr>
      </w:pPr>
      <w:r>
        <w:rPr>
          <w:w w:val="120"/>
          <w:sz w:val="20"/>
        </w:rPr>
        <w:t>When a member of a committee is there as a representative of another body or a particular category this is indicated in round brackets following the</w:t>
      </w:r>
      <w:r>
        <w:rPr>
          <w:spacing w:val="46"/>
          <w:w w:val="120"/>
          <w:sz w:val="20"/>
        </w:rPr>
        <w:t> </w:t>
      </w:r>
      <w:r>
        <w:rPr>
          <w:w w:val="120"/>
          <w:sz w:val="20"/>
        </w:rPr>
        <w:t>name.</w:t>
      </w:r>
    </w:p>
    <w:p>
      <w:pPr>
        <w:pStyle w:val="BodyText"/>
        <w:spacing w:before="8"/>
        <w:rPr>
          <w:sz w:val="18"/>
        </w:rPr>
      </w:pPr>
    </w:p>
    <w:p>
      <w:pPr>
        <w:pStyle w:val="ListParagraph"/>
        <w:numPr>
          <w:ilvl w:val="0"/>
          <w:numId w:val="119"/>
        </w:numPr>
        <w:tabs>
          <w:tab w:pos="1507" w:val="left" w:leader="none"/>
          <w:tab w:pos="1508" w:val="left" w:leader="none"/>
        </w:tabs>
        <w:spacing w:line="235" w:lineRule="auto" w:before="0" w:after="0"/>
        <w:ind w:left="1507" w:right="2111" w:hanging="681"/>
        <w:jc w:val="left"/>
        <w:rPr>
          <w:sz w:val="20"/>
        </w:rPr>
      </w:pPr>
      <w:r>
        <w:rPr>
          <w:w w:val="120"/>
          <w:sz w:val="20"/>
        </w:rPr>
        <w:t>Committee membership is normally for a period of four years, though this may sometimes exceptionally be renewable. Committee convenors serve an additional preliminary year as convenor-elect. In sections one to four of the report, appointments with a different term are</w:t>
      </w:r>
      <w:r>
        <w:rPr>
          <w:spacing w:val="13"/>
          <w:w w:val="120"/>
          <w:sz w:val="20"/>
        </w:rPr>
        <w:t> </w:t>
      </w:r>
      <w:r>
        <w:rPr>
          <w:w w:val="120"/>
          <w:sz w:val="20"/>
        </w:rPr>
        <w:t>noted.</w:t>
      </w:r>
    </w:p>
    <w:p>
      <w:pPr>
        <w:pStyle w:val="BodyText"/>
        <w:spacing w:before="10"/>
        <w:rPr>
          <w:sz w:val="18"/>
        </w:rPr>
      </w:pPr>
    </w:p>
    <w:p>
      <w:pPr>
        <w:pStyle w:val="ListParagraph"/>
        <w:numPr>
          <w:ilvl w:val="0"/>
          <w:numId w:val="119"/>
        </w:numPr>
        <w:tabs>
          <w:tab w:pos="1507" w:val="left" w:leader="none"/>
          <w:tab w:pos="1508" w:val="left" w:leader="none"/>
        </w:tabs>
        <w:spacing w:line="235" w:lineRule="auto" w:before="0" w:after="0"/>
        <w:ind w:left="1507" w:right="2384" w:hanging="681"/>
        <w:jc w:val="left"/>
        <w:rPr>
          <w:sz w:val="20"/>
        </w:rPr>
      </w:pPr>
      <w:r>
        <w:rPr>
          <w:w w:val="120"/>
          <w:sz w:val="20"/>
        </w:rPr>
        <w:t>Dates in square brackets following names indicate the date of retirement, assuming a full</w:t>
      </w:r>
      <w:r>
        <w:rPr>
          <w:spacing w:val="5"/>
          <w:w w:val="120"/>
          <w:sz w:val="20"/>
        </w:rPr>
        <w:t> </w:t>
      </w:r>
      <w:r>
        <w:rPr>
          <w:w w:val="120"/>
          <w:sz w:val="20"/>
        </w:rPr>
        <w:t>term.</w:t>
      </w:r>
    </w:p>
    <w:p>
      <w:pPr>
        <w:pStyle w:val="BodyText"/>
        <w:spacing w:before="8"/>
        <w:rPr>
          <w:sz w:val="18"/>
        </w:rPr>
      </w:pPr>
    </w:p>
    <w:p>
      <w:pPr>
        <w:pStyle w:val="ListParagraph"/>
        <w:numPr>
          <w:ilvl w:val="0"/>
          <w:numId w:val="119"/>
        </w:numPr>
        <w:tabs>
          <w:tab w:pos="1507" w:val="left" w:leader="none"/>
          <w:tab w:pos="1508" w:val="left" w:leader="none"/>
        </w:tabs>
        <w:spacing w:line="235" w:lineRule="auto" w:before="0" w:after="0"/>
        <w:ind w:left="1507" w:right="1888" w:hanging="681"/>
        <w:jc w:val="left"/>
        <w:rPr>
          <w:sz w:val="20"/>
        </w:rPr>
      </w:pPr>
      <w:r>
        <w:rPr>
          <w:w w:val="120"/>
          <w:sz w:val="20"/>
        </w:rPr>
        <w:t>In accordance with the decision of General Assembly 2000, some nominations are made directly by the National Synods of Wales and</w:t>
      </w:r>
      <w:r>
        <w:rPr>
          <w:spacing w:val="22"/>
          <w:w w:val="120"/>
          <w:sz w:val="20"/>
        </w:rPr>
        <w:t> </w:t>
      </w:r>
      <w:r>
        <w:rPr>
          <w:w w:val="120"/>
          <w:sz w:val="20"/>
        </w:rPr>
        <w:t>Scotland.</w:t>
      </w:r>
    </w:p>
    <w:p>
      <w:pPr>
        <w:pStyle w:val="BodyText"/>
        <w:spacing w:before="8"/>
        <w:rPr>
          <w:sz w:val="18"/>
        </w:rPr>
      </w:pPr>
    </w:p>
    <w:p>
      <w:pPr>
        <w:pStyle w:val="ListParagraph"/>
        <w:numPr>
          <w:ilvl w:val="0"/>
          <w:numId w:val="119"/>
        </w:numPr>
        <w:tabs>
          <w:tab w:pos="1507" w:val="left" w:leader="none"/>
          <w:tab w:pos="1508" w:val="left" w:leader="none"/>
        </w:tabs>
        <w:spacing w:line="235" w:lineRule="auto" w:before="1" w:after="0"/>
        <w:ind w:left="1507" w:right="1699" w:hanging="681"/>
        <w:jc w:val="left"/>
        <w:rPr>
          <w:sz w:val="20"/>
        </w:rPr>
      </w:pPr>
      <w:r>
        <w:rPr>
          <w:w w:val="120"/>
          <w:sz w:val="20"/>
        </w:rPr>
        <w:t>In years when General Assembly meets, new committee members normally take up their roles at the conclusion of Assembly. In years when Assembly does not meet, they normally begin on 1</w:t>
      </w:r>
      <w:r>
        <w:rPr>
          <w:spacing w:val="14"/>
          <w:w w:val="120"/>
          <w:sz w:val="20"/>
        </w:rPr>
        <w:t> </w:t>
      </w:r>
      <w:r>
        <w:rPr>
          <w:spacing w:val="-3"/>
          <w:w w:val="120"/>
          <w:sz w:val="20"/>
        </w:rPr>
        <w:t>July.</w:t>
      </w:r>
    </w:p>
    <w:p>
      <w:pPr>
        <w:pStyle w:val="BodyText"/>
        <w:spacing w:before="9"/>
        <w:rPr>
          <w:sz w:val="18"/>
        </w:rPr>
      </w:pPr>
    </w:p>
    <w:p>
      <w:pPr>
        <w:pStyle w:val="ListParagraph"/>
        <w:numPr>
          <w:ilvl w:val="0"/>
          <w:numId w:val="119"/>
        </w:numPr>
        <w:tabs>
          <w:tab w:pos="1507" w:val="left" w:leader="none"/>
          <w:tab w:pos="1508" w:val="left" w:leader="none"/>
        </w:tabs>
        <w:spacing w:line="235" w:lineRule="auto" w:before="0" w:after="0"/>
        <w:ind w:left="1507" w:right="1705" w:hanging="681"/>
        <w:jc w:val="left"/>
        <w:rPr>
          <w:sz w:val="20"/>
        </w:rPr>
      </w:pPr>
      <w:r>
        <w:rPr>
          <w:w w:val="120"/>
          <w:sz w:val="20"/>
        </w:rPr>
        <w:t>Nominations to Assembly committees and their subcommittees, and to advisory and task groups serving Assembly and Mission Council, should be of members   of the United Reformed Church, or youth representatives who meet the criteria for membership of Assembly. A term of service may normally be completed if someone ceases to be a member of the URC during their</w:t>
      </w:r>
      <w:r>
        <w:rPr>
          <w:spacing w:val="26"/>
          <w:w w:val="120"/>
          <w:sz w:val="20"/>
        </w:rPr>
        <w:t> </w:t>
      </w:r>
      <w:r>
        <w:rPr>
          <w:w w:val="120"/>
          <w:sz w:val="20"/>
        </w:rPr>
        <w:t>term.</w:t>
      </w:r>
    </w:p>
    <w:p>
      <w:pPr>
        <w:pStyle w:val="BodyText"/>
        <w:spacing w:before="10"/>
        <w:rPr>
          <w:sz w:val="18"/>
        </w:rPr>
      </w:pPr>
    </w:p>
    <w:p>
      <w:pPr>
        <w:pStyle w:val="ListParagraph"/>
        <w:numPr>
          <w:ilvl w:val="0"/>
          <w:numId w:val="119"/>
        </w:numPr>
        <w:tabs>
          <w:tab w:pos="1507" w:val="left" w:leader="none"/>
          <w:tab w:pos="1508" w:val="left" w:leader="none"/>
        </w:tabs>
        <w:spacing w:line="235" w:lineRule="auto" w:before="0" w:after="0"/>
        <w:ind w:left="1507" w:right="1994" w:hanging="681"/>
        <w:jc w:val="left"/>
        <w:rPr>
          <w:sz w:val="20"/>
        </w:rPr>
      </w:pPr>
      <w:r>
        <w:rPr>
          <w:w w:val="120"/>
          <w:sz w:val="20"/>
        </w:rPr>
        <w:t>Nominations of URC representatives to external bodies should either be URC members, or youth representatives who meet the criteria for membership of Assembly, or URC staff who have relevant expertise. The nomination of a staff member would automatically lapse if the person concerned ceased to hold a URC</w:t>
      </w:r>
      <w:r>
        <w:rPr>
          <w:spacing w:val="2"/>
          <w:w w:val="120"/>
          <w:sz w:val="20"/>
        </w:rPr>
        <w:t> </w:t>
      </w:r>
      <w:r>
        <w:rPr>
          <w:w w:val="120"/>
          <w:sz w:val="20"/>
        </w:rPr>
        <w:t>post.</w:t>
      </w:r>
    </w:p>
    <w:p>
      <w:pPr>
        <w:pStyle w:val="BodyText"/>
        <w:spacing w:before="5"/>
        <w:rPr>
          <w:sz w:val="22"/>
        </w:rPr>
      </w:pPr>
    </w:p>
    <w:p>
      <w:pPr>
        <w:pStyle w:val="Heading4"/>
        <w:numPr>
          <w:ilvl w:val="0"/>
          <w:numId w:val="120"/>
        </w:numPr>
        <w:tabs>
          <w:tab w:pos="1507" w:val="left" w:leader="none"/>
          <w:tab w:pos="1508" w:val="left" w:leader="none"/>
        </w:tabs>
        <w:spacing w:line="240" w:lineRule="auto" w:before="0" w:after="0"/>
        <w:ind w:left="1507" w:right="0" w:hanging="681"/>
        <w:jc w:val="left"/>
      </w:pPr>
      <w:r>
        <w:rPr>
          <w:spacing w:val="3"/>
          <w:w w:val="110"/>
        </w:rPr>
        <w:t>Mission</w:t>
      </w:r>
      <w:r>
        <w:rPr>
          <w:spacing w:val="12"/>
          <w:w w:val="110"/>
        </w:rPr>
        <w:t> </w:t>
      </w:r>
      <w:r>
        <w:rPr>
          <w:spacing w:val="2"/>
          <w:w w:val="110"/>
        </w:rPr>
        <w:t>Council</w:t>
      </w:r>
    </w:p>
    <w:p>
      <w:pPr>
        <w:pStyle w:val="BodyText"/>
        <w:spacing w:line="235" w:lineRule="auto" w:before="69"/>
        <w:ind w:left="827" w:right="2054"/>
      </w:pPr>
      <w:r>
        <w:rPr>
          <w:w w:val="120"/>
        </w:rPr>
        <w:t>Mission Council </w:t>
      </w:r>
      <w:r>
        <w:rPr>
          <w:spacing w:val="2"/>
          <w:w w:val="120"/>
        </w:rPr>
        <w:t>acts </w:t>
      </w:r>
      <w:r>
        <w:rPr>
          <w:w w:val="120"/>
        </w:rPr>
        <w:t>on behalf of General Assembly. It consists of the officers of Assembly, the synod moderators and three representatives from each synod, one of whom is </w:t>
      </w:r>
      <w:r>
        <w:rPr>
          <w:spacing w:val="-3"/>
          <w:w w:val="120"/>
        </w:rPr>
        <w:t>usually, </w:t>
      </w:r>
      <w:r>
        <w:rPr>
          <w:w w:val="120"/>
        </w:rPr>
        <w:t>but not necessarily, the synod clerk, together with the convenors  of Assembly committees, the chair of the United Reformed Church Trust and</w:t>
      </w:r>
      <w:r>
        <w:rPr>
          <w:spacing w:val="19"/>
          <w:w w:val="120"/>
        </w:rPr>
        <w:t> </w:t>
      </w:r>
      <w:r>
        <w:rPr>
          <w:w w:val="120"/>
        </w:rPr>
        <w:t>three</w:t>
      </w:r>
    </w:p>
    <w:p>
      <w:pPr>
        <w:pStyle w:val="BodyText"/>
        <w:spacing w:line="235" w:lineRule="auto" w:before="3"/>
        <w:ind w:left="827" w:right="1528"/>
      </w:pPr>
      <w:r>
        <w:rPr>
          <w:w w:val="120"/>
        </w:rPr>
        <w:t>members for URC Youth, including the URC Youth Moderator. In attendance are staff secretaries, Assembly Moderators’ chaplains and others as appropriate.</w:t>
      </w:r>
    </w:p>
    <w:p>
      <w:pPr>
        <w:pStyle w:val="BodyText"/>
        <w:spacing w:before="1"/>
        <w:rPr>
          <w:sz w:val="19"/>
        </w:rPr>
      </w:pPr>
    </w:p>
    <w:p>
      <w:pPr>
        <w:pStyle w:val="ListParagraph"/>
        <w:numPr>
          <w:ilvl w:val="1"/>
          <w:numId w:val="120"/>
        </w:numPr>
        <w:tabs>
          <w:tab w:pos="1507" w:val="left" w:leader="none"/>
          <w:tab w:pos="1508" w:val="left" w:leader="none"/>
        </w:tabs>
        <w:spacing w:line="230" w:lineRule="auto" w:before="0" w:after="0"/>
        <w:ind w:left="827" w:right="5951" w:firstLine="0"/>
        <w:jc w:val="left"/>
        <w:rPr>
          <w:rFonts w:ascii="Stone Sans II ITC Std Bk"/>
          <w:sz w:val="20"/>
        </w:rPr>
      </w:pPr>
      <w:r>
        <w:rPr>
          <w:rFonts w:ascii="Stone Sans II ITC Std Bk"/>
          <w:b/>
          <w:w w:val="120"/>
          <w:sz w:val="20"/>
        </w:rPr>
        <w:t>Mission Council advisory group </w:t>
      </w:r>
      <w:r>
        <w:rPr>
          <w:w w:val="120"/>
          <w:sz w:val="20"/>
        </w:rPr>
        <w:t>Convenor: Moderators of General Assembly Secretary: General</w:t>
      </w:r>
      <w:r>
        <w:rPr>
          <w:spacing w:val="4"/>
          <w:w w:val="120"/>
          <w:sz w:val="20"/>
        </w:rPr>
        <w:t> </w:t>
      </w:r>
      <w:r>
        <w:rPr>
          <w:w w:val="120"/>
          <w:sz w:val="20"/>
        </w:rPr>
        <w:t>Secretary</w:t>
      </w:r>
    </w:p>
    <w:p>
      <w:pPr>
        <w:pStyle w:val="BodyText"/>
        <w:tabs>
          <w:tab w:pos="5867" w:val="left" w:leader="none"/>
        </w:tabs>
        <w:spacing w:line="238" w:lineRule="exact"/>
        <w:ind w:left="827"/>
      </w:pPr>
      <w:r>
        <w:rPr>
          <w:w w:val="120"/>
        </w:rPr>
        <w:t>The Revd Derrick </w:t>
      </w:r>
      <w:r>
        <w:rPr>
          <w:spacing w:val="16"/>
          <w:w w:val="120"/>
        </w:rPr>
        <w:t> </w:t>
      </w:r>
      <w:r>
        <w:rPr>
          <w:w w:val="120"/>
        </w:rPr>
        <w:t>Dzandu-Hedidor</w:t>
      </w:r>
      <w:r>
        <w:rPr>
          <w:spacing w:val="23"/>
          <w:w w:val="120"/>
        </w:rPr>
        <w:t> </w:t>
      </w:r>
      <w:r>
        <w:rPr>
          <w:spacing w:val="-8"/>
          <w:w w:val="120"/>
        </w:rPr>
        <w:t>[2019]</w:t>
        <w:tab/>
      </w:r>
      <w:r>
        <w:rPr>
          <w:w w:val="120"/>
        </w:rPr>
        <w:t>Mr Peter Knowles</w:t>
      </w:r>
      <w:r>
        <w:rPr>
          <w:spacing w:val="7"/>
          <w:w w:val="120"/>
        </w:rPr>
        <w:t> </w:t>
      </w:r>
      <w:r>
        <w:rPr>
          <w:spacing w:val="-5"/>
          <w:w w:val="120"/>
        </w:rPr>
        <w:t>[2020]</w:t>
      </w:r>
    </w:p>
    <w:p>
      <w:pPr>
        <w:pStyle w:val="BodyText"/>
        <w:tabs>
          <w:tab w:pos="5867" w:val="left" w:leader="none"/>
        </w:tabs>
        <w:spacing w:line="235" w:lineRule="auto" w:before="2"/>
        <w:ind w:left="827" w:right="1966"/>
      </w:pPr>
      <w:r>
        <w:rPr>
          <w:w w:val="120"/>
        </w:rPr>
        <w:t>Mrs  Helen</w:t>
      </w:r>
      <w:r>
        <w:rPr>
          <w:spacing w:val="-22"/>
          <w:w w:val="120"/>
        </w:rPr>
        <w:t> </w:t>
      </w:r>
      <w:r>
        <w:rPr>
          <w:w w:val="120"/>
        </w:rPr>
        <w:t>Lidgett</w:t>
      </w:r>
      <w:r>
        <w:rPr>
          <w:spacing w:val="17"/>
          <w:w w:val="120"/>
        </w:rPr>
        <w:t> </w:t>
      </w:r>
      <w:r>
        <w:rPr>
          <w:spacing w:val="-5"/>
          <w:w w:val="120"/>
        </w:rPr>
        <w:t>[2020]</w:t>
        <w:tab/>
      </w:r>
      <w:r>
        <w:rPr>
          <w:w w:val="120"/>
        </w:rPr>
        <w:t>The Revd Ruth Whitehead </w:t>
      </w:r>
      <w:r>
        <w:rPr>
          <w:spacing w:val="-5"/>
          <w:w w:val="120"/>
        </w:rPr>
        <w:t>[2020] </w:t>
      </w:r>
      <w:r>
        <w:rPr>
          <w:w w:val="120"/>
        </w:rPr>
        <w:t>Moderators-elect and Immediate-past Moderators of General</w:t>
      </w:r>
      <w:r>
        <w:rPr>
          <w:spacing w:val="11"/>
          <w:w w:val="120"/>
        </w:rPr>
        <w:t> </w:t>
      </w:r>
      <w:r>
        <w:rPr>
          <w:w w:val="120"/>
        </w:rPr>
        <w:t>Assembly</w:t>
      </w:r>
    </w:p>
    <w:p>
      <w:pPr>
        <w:pStyle w:val="BodyText"/>
        <w:spacing w:line="240" w:lineRule="exact"/>
        <w:ind w:left="827"/>
      </w:pPr>
      <w:r>
        <w:rPr>
          <w:w w:val="120"/>
        </w:rPr>
        <w:t>URC Treasurer</w:t>
      </w:r>
    </w:p>
    <w:p>
      <w:pPr>
        <w:pStyle w:val="BodyText"/>
        <w:spacing w:line="242" w:lineRule="exact"/>
        <w:ind w:left="827"/>
      </w:pPr>
      <w:r>
        <w:rPr>
          <w:w w:val="120"/>
        </w:rPr>
        <w:t>In attendance: The Clerk of General Assembly</w:t>
      </w:r>
    </w:p>
    <w:p>
      <w:pPr>
        <w:pStyle w:val="BodyText"/>
        <w:spacing w:before="4"/>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Human resources advisory</w:t>
      </w:r>
      <w:r>
        <w:rPr>
          <w:spacing w:val="-1"/>
          <w:w w:val="110"/>
        </w:rPr>
        <w:t> </w:t>
      </w:r>
      <w:r>
        <w:rPr>
          <w:w w:val="110"/>
        </w:rPr>
        <w:t>group</w:t>
      </w:r>
    </w:p>
    <w:p>
      <w:pPr>
        <w:pStyle w:val="BodyText"/>
        <w:spacing w:line="233" w:lineRule="exact"/>
        <w:ind w:left="827"/>
      </w:pPr>
      <w:r>
        <w:rPr>
          <w:w w:val="120"/>
        </w:rPr>
        <w:t>Convenor: Mr Geoff Shaw [2021]</w:t>
      </w:r>
    </w:p>
    <w:p>
      <w:pPr>
        <w:pStyle w:val="BodyText"/>
        <w:tabs>
          <w:tab w:pos="5867" w:val="left" w:leader="none"/>
        </w:tabs>
        <w:spacing w:line="240" w:lineRule="exact"/>
        <w:ind w:left="827"/>
      </w:pPr>
      <w:r>
        <w:rPr>
          <w:w w:val="120"/>
        </w:rPr>
        <w:t>Mr Mike</w:t>
      </w:r>
      <w:r>
        <w:rPr>
          <w:spacing w:val="21"/>
          <w:w w:val="120"/>
        </w:rPr>
        <w:t> </w:t>
      </w:r>
      <w:r>
        <w:rPr>
          <w:w w:val="120"/>
        </w:rPr>
        <w:t>Gould</w:t>
      </w:r>
      <w:r>
        <w:rPr>
          <w:spacing w:val="11"/>
          <w:w w:val="120"/>
        </w:rPr>
        <w:t> </w:t>
      </w:r>
      <w:r>
        <w:rPr>
          <w:spacing w:val="-8"/>
          <w:w w:val="120"/>
        </w:rPr>
        <w:t>[2017]</w:t>
        <w:tab/>
      </w:r>
      <w:r>
        <w:rPr>
          <w:w w:val="120"/>
        </w:rPr>
        <w:t>Mr Peter Pay</w:t>
      </w:r>
      <w:r>
        <w:rPr>
          <w:spacing w:val="6"/>
          <w:w w:val="120"/>
        </w:rPr>
        <w:t> </w:t>
      </w:r>
      <w:r>
        <w:rPr>
          <w:spacing w:val="-8"/>
          <w:w w:val="120"/>
        </w:rPr>
        <w:t>[2017]</w:t>
      </w:r>
    </w:p>
    <w:p>
      <w:pPr>
        <w:pStyle w:val="BodyText"/>
        <w:tabs>
          <w:tab w:pos="5867" w:val="left" w:leader="none"/>
        </w:tabs>
        <w:spacing w:line="235" w:lineRule="auto" w:before="1"/>
        <w:ind w:left="827" w:right="2701"/>
      </w:pPr>
      <w:r>
        <w:rPr>
          <w:w w:val="120"/>
        </w:rPr>
        <w:t>Mr Alistair</w:t>
      </w:r>
      <w:r>
        <w:rPr>
          <w:spacing w:val="7"/>
          <w:w w:val="120"/>
        </w:rPr>
        <w:t> </w:t>
      </w:r>
      <w:r>
        <w:rPr>
          <w:spacing w:val="2"/>
          <w:w w:val="120"/>
        </w:rPr>
        <w:t>Forsyth</w:t>
      </w:r>
      <w:r>
        <w:rPr>
          <w:spacing w:val="4"/>
          <w:w w:val="120"/>
        </w:rPr>
        <w:t> </w:t>
      </w:r>
      <w:r>
        <w:rPr>
          <w:spacing w:val="-8"/>
          <w:w w:val="120"/>
        </w:rPr>
        <w:t>[2017]</w:t>
        <w:tab/>
      </w:r>
      <w:r>
        <w:rPr>
          <w:w w:val="120"/>
        </w:rPr>
        <w:t>Mrs Bridget Fosten </w:t>
      </w:r>
      <w:r>
        <w:rPr>
          <w:spacing w:val="-8"/>
          <w:w w:val="120"/>
        </w:rPr>
        <w:t>[2019] </w:t>
      </w:r>
      <w:r>
        <w:rPr>
          <w:w w:val="120"/>
        </w:rPr>
        <w:t>Vacancy</w:t>
      </w:r>
    </w:p>
    <w:p>
      <w:pPr>
        <w:pStyle w:val="BodyText"/>
        <w:spacing w:line="240" w:lineRule="exact"/>
        <w:ind w:left="827"/>
      </w:pPr>
      <w:r>
        <w:rPr>
          <w:w w:val="120"/>
        </w:rPr>
        <w:t>General Secretary</w:t>
      </w:r>
    </w:p>
    <w:p>
      <w:pPr>
        <w:pStyle w:val="BodyText"/>
        <w:spacing w:line="235" w:lineRule="auto" w:before="2"/>
        <w:ind w:left="827" w:right="4229"/>
      </w:pPr>
      <w:r>
        <w:rPr>
          <w:w w:val="120"/>
        </w:rPr>
        <w:t>Deputy General Secretary (Administration and Resources) Note: The terms of service on this group are under review.</w:t>
      </w:r>
    </w:p>
    <w:p>
      <w:pPr>
        <w:pStyle w:val="BodyText"/>
        <w:spacing w:before="1"/>
        <w:rPr>
          <w:sz w:val="19"/>
        </w:rPr>
      </w:pPr>
    </w:p>
    <w:p>
      <w:pPr>
        <w:pStyle w:val="ListParagraph"/>
        <w:numPr>
          <w:ilvl w:val="1"/>
          <w:numId w:val="120"/>
        </w:numPr>
        <w:tabs>
          <w:tab w:pos="1507" w:val="left" w:leader="none"/>
          <w:tab w:pos="1508" w:val="left" w:leader="none"/>
        </w:tabs>
        <w:spacing w:line="230" w:lineRule="auto" w:before="0" w:after="0"/>
        <w:ind w:left="827" w:right="5589" w:firstLine="0"/>
        <w:jc w:val="left"/>
        <w:rPr>
          <w:rFonts w:ascii="Stone Sans II ITC Std Bk"/>
          <w:sz w:val="20"/>
        </w:rPr>
      </w:pPr>
      <w:r>
        <w:rPr>
          <w:rFonts w:ascii="Stone Sans II ITC Std Bk"/>
          <w:b/>
          <w:w w:val="120"/>
          <w:sz w:val="20"/>
        </w:rPr>
        <w:t>Law and polity advisory group </w:t>
      </w:r>
      <w:r>
        <w:rPr>
          <w:w w:val="120"/>
          <w:sz w:val="20"/>
        </w:rPr>
        <w:t>Convenor: The Revd Dr John Bradbury </w:t>
      </w:r>
      <w:r>
        <w:rPr>
          <w:spacing w:val="-3"/>
          <w:w w:val="120"/>
          <w:sz w:val="20"/>
        </w:rPr>
        <w:t>[2022]** </w:t>
      </w:r>
      <w:r>
        <w:rPr>
          <w:w w:val="120"/>
          <w:sz w:val="20"/>
        </w:rPr>
        <w:t>Secretary: Mr Neil Mackenzie</w:t>
      </w:r>
      <w:r>
        <w:rPr>
          <w:spacing w:val="13"/>
          <w:w w:val="120"/>
          <w:sz w:val="20"/>
        </w:rPr>
        <w:t> </w:t>
      </w:r>
      <w:r>
        <w:rPr>
          <w:spacing w:val="-5"/>
          <w:w w:val="120"/>
          <w:sz w:val="20"/>
        </w:rPr>
        <w:t>[2020]</w:t>
      </w:r>
    </w:p>
    <w:p>
      <w:pPr>
        <w:pStyle w:val="BodyText"/>
        <w:tabs>
          <w:tab w:pos="5867" w:val="left" w:leader="none"/>
        </w:tabs>
        <w:spacing w:line="240" w:lineRule="exact"/>
        <w:ind w:left="827"/>
      </w:pPr>
      <w:r>
        <w:rPr>
          <w:w w:val="120"/>
        </w:rPr>
        <w:t>Ms Morag</w:t>
      </w:r>
      <w:r>
        <w:rPr>
          <w:spacing w:val="21"/>
          <w:w w:val="120"/>
        </w:rPr>
        <w:t> </w:t>
      </w:r>
      <w:r>
        <w:rPr>
          <w:w w:val="120"/>
        </w:rPr>
        <w:t>McLintock</w:t>
      </w:r>
      <w:r>
        <w:rPr>
          <w:spacing w:val="11"/>
          <w:w w:val="120"/>
        </w:rPr>
        <w:t> </w:t>
      </w:r>
      <w:r>
        <w:rPr>
          <w:spacing w:val="-5"/>
          <w:w w:val="120"/>
        </w:rPr>
        <w:t>[2020]</w:t>
        <w:tab/>
      </w:r>
      <w:r>
        <w:rPr>
          <w:w w:val="120"/>
        </w:rPr>
        <w:t>Ms Denise FitzPatrick</w:t>
      </w:r>
      <w:r>
        <w:rPr>
          <w:spacing w:val="8"/>
          <w:w w:val="120"/>
        </w:rPr>
        <w:t> </w:t>
      </w:r>
      <w:r>
        <w:rPr>
          <w:spacing w:val="-5"/>
          <w:w w:val="120"/>
        </w:rPr>
        <w:t>[2022]</w:t>
      </w:r>
    </w:p>
    <w:p>
      <w:pPr>
        <w:spacing w:after="0" w:line="240" w:lineRule="exact"/>
        <w:sectPr>
          <w:headerReference w:type="even" r:id="rId451"/>
          <w:footerReference w:type="even" r:id="rId452"/>
          <w:footerReference w:type="default" r:id="rId453"/>
          <w:pgSz w:w="11910" w:h="16840"/>
          <w:pgMar w:header="0" w:footer="647" w:top="0" w:bottom="840" w:left="420" w:right="380"/>
          <w:pgNumType w:start="166"/>
        </w:sectPr>
      </w:pPr>
    </w:p>
    <w:p>
      <w:pPr>
        <w:pStyle w:val="BodyText"/>
      </w:pPr>
      <w:r>
        <w:rPr/>
        <w:drawing>
          <wp:anchor distT="0" distB="0" distL="0" distR="0" allowOverlap="1" layoutInCell="1" locked="0" behindDoc="0" simplePos="0" relativeHeight="252092416">
            <wp:simplePos x="0" y="0"/>
            <wp:positionH relativeFrom="page">
              <wp:posOffset>6974928</wp:posOffset>
            </wp:positionH>
            <wp:positionV relativeFrom="page">
              <wp:posOffset>0</wp:posOffset>
            </wp:positionV>
            <wp:extent cx="585063" cy="10692003"/>
            <wp:effectExtent l="0" t="0" r="0" b="0"/>
            <wp:wrapNone/>
            <wp:docPr id="323" name="image74.png"/>
            <wp:cNvGraphicFramePr>
              <a:graphicFrameLocks noChangeAspect="1"/>
            </wp:cNvGraphicFramePr>
            <a:graphic>
              <a:graphicData uri="http://schemas.openxmlformats.org/drawingml/2006/picture">
                <pic:pic>
                  <pic:nvPicPr>
                    <pic:cNvPr id="324"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093440"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BodyText"/>
        <w:spacing w:line="242" w:lineRule="exact" w:before="218"/>
        <w:ind w:left="1564"/>
      </w:pPr>
      <w:r>
        <w:rPr>
          <w:w w:val="120"/>
        </w:rPr>
        <w:t>Mr Keir Hounsome [2022] (Synod Clerk)**</w:t>
      </w:r>
    </w:p>
    <w:p>
      <w:pPr>
        <w:pStyle w:val="BodyText"/>
        <w:spacing w:line="240" w:lineRule="exact"/>
        <w:ind w:left="1564"/>
      </w:pPr>
      <w:r>
        <w:rPr>
          <w:w w:val="120"/>
        </w:rPr>
        <w:t>Mr Raoul Hewitt (Property, legal and Trust officers: PLATO)</w:t>
      </w:r>
    </w:p>
    <w:p>
      <w:pPr>
        <w:pStyle w:val="BodyText"/>
        <w:spacing w:line="240" w:lineRule="exact"/>
        <w:ind w:left="1564"/>
      </w:pPr>
      <w:r>
        <w:rPr>
          <w:w w:val="120"/>
        </w:rPr>
        <w:t>General Secretary</w:t>
      </w:r>
    </w:p>
    <w:p>
      <w:pPr>
        <w:pStyle w:val="BodyText"/>
        <w:spacing w:line="242" w:lineRule="exact"/>
        <w:ind w:left="1564"/>
      </w:pPr>
      <w:r>
        <w:rPr>
          <w:w w:val="120"/>
        </w:rPr>
        <w:t>[ex officio: Clerk of General Assembly, legal adviser]</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Listed buildings advisory</w:t>
      </w:r>
      <w:r>
        <w:rPr>
          <w:spacing w:val="-1"/>
          <w:w w:val="110"/>
        </w:rPr>
        <w:t> </w:t>
      </w:r>
      <w:r>
        <w:rPr>
          <w:w w:val="110"/>
        </w:rPr>
        <w:t>group</w:t>
      </w:r>
    </w:p>
    <w:p>
      <w:pPr>
        <w:pStyle w:val="BodyText"/>
        <w:spacing w:line="235" w:lineRule="auto"/>
        <w:ind w:left="1564" w:right="3149"/>
      </w:pPr>
      <w:r>
        <w:rPr>
          <w:w w:val="125"/>
        </w:rPr>
        <w:t>Convenor:</w:t>
      </w:r>
      <w:r>
        <w:rPr>
          <w:spacing w:val="-16"/>
          <w:w w:val="125"/>
        </w:rPr>
        <w:t> </w:t>
      </w:r>
      <w:r>
        <w:rPr>
          <w:w w:val="125"/>
        </w:rPr>
        <w:t>Mr</w:t>
      </w:r>
      <w:r>
        <w:rPr>
          <w:spacing w:val="-15"/>
          <w:w w:val="125"/>
        </w:rPr>
        <w:t> </w:t>
      </w:r>
      <w:r>
        <w:rPr>
          <w:w w:val="125"/>
        </w:rPr>
        <w:t>Peter</w:t>
      </w:r>
      <w:r>
        <w:rPr>
          <w:spacing w:val="-15"/>
          <w:w w:val="125"/>
        </w:rPr>
        <w:t> </w:t>
      </w:r>
      <w:r>
        <w:rPr>
          <w:w w:val="125"/>
        </w:rPr>
        <w:t>West</w:t>
      </w:r>
      <w:r>
        <w:rPr>
          <w:spacing w:val="-15"/>
          <w:w w:val="125"/>
        </w:rPr>
        <w:t> </w:t>
      </w:r>
      <w:r>
        <w:rPr>
          <w:spacing w:val="-8"/>
          <w:w w:val="125"/>
        </w:rPr>
        <w:t>[2019]</w:t>
      </w:r>
      <w:r>
        <w:rPr>
          <w:spacing w:val="-15"/>
          <w:w w:val="125"/>
        </w:rPr>
        <w:t> </w:t>
      </w:r>
      <w:r>
        <w:rPr>
          <w:spacing w:val="-3"/>
          <w:w w:val="125"/>
        </w:rPr>
        <w:t>(nominated</w:t>
      </w:r>
      <w:r>
        <w:rPr>
          <w:spacing w:val="-15"/>
          <w:w w:val="125"/>
        </w:rPr>
        <w:t> </w:t>
      </w:r>
      <w:r>
        <w:rPr>
          <w:w w:val="125"/>
        </w:rPr>
        <w:t>by</w:t>
      </w:r>
      <w:r>
        <w:rPr>
          <w:spacing w:val="-15"/>
          <w:w w:val="125"/>
        </w:rPr>
        <w:t> </w:t>
      </w:r>
      <w:r>
        <w:rPr>
          <w:w w:val="125"/>
        </w:rPr>
        <w:t>the</w:t>
      </w:r>
      <w:r>
        <w:rPr>
          <w:spacing w:val="-15"/>
          <w:w w:val="125"/>
        </w:rPr>
        <w:t> </w:t>
      </w:r>
      <w:r>
        <w:rPr>
          <w:spacing w:val="-3"/>
          <w:w w:val="125"/>
        </w:rPr>
        <w:t>group) </w:t>
      </w:r>
      <w:r>
        <w:rPr>
          <w:w w:val="125"/>
        </w:rPr>
        <w:t>Secretary: The Revd James</w:t>
      </w:r>
      <w:r>
        <w:rPr>
          <w:spacing w:val="-16"/>
          <w:w w:val="125"/>
        </w:rPr>
        <w:t> </w:t>
      </w:r>
      <w:r>
        <w:rPr>
          <w:w w:val="125"/>
        </w:rPr>
        <w:t>Mather</w:t>
      </w:r>
    </w:p>
    <w:p>
      <w:pPr>
        <w:pStyle w:val="BodyText"/>
        <w:tabs>
          <w:tab w:pos="5884" w:val="left" w:leader="none"/>
        </w:tabs>
        <w:spacing w:line="240" w:lineRule="exact"/>
        <w:ind w:left="1564"/>
      </w:pPr>
      <w:r>
        <w:rPr>
          <w:w w:val="120"/>
        </w:rPr>
        <w:t>The Revd Ray</w:t>
      </w:r>
      <w:r>
        <w:rPr>
          <w:spacing w:val="28"/>
          <w:w w:val="120"/>
        </w:rPr>
        <w:t> </w:t>
      </w:r>
      <w:r>
        <w:rPr>
          <w:w w:val="120"/>
        </w:rPr>
        <w:t>Anglesea</w:t>
      </w:r>
      <w:r>
        <w:rPr>
          <w:spacing w:val="9"/>
          <w:w w:val="120"/>
        </w:rPr>
        <w:t> </w:t>
      </w:r>
      <w:r>
        <w:rPr>
          <w:spacing w:val="-11"/>
          <w:w w:val="120"/>
        </w:rPr>
        <w:t>(1)</w:t>
        <w:tab/>
      </w:r>
      <w:r>
        <w:rPr>
          <w:w w:val="120"/>
        </w:rPr>
        <w:t>Mr Michael Williams</w:t>
      </w:r>
      <w:r>
        <w:rPr>
          <w:spacing w:val="6"/>
          <w:w w:val="120"/>
        </w:rPr>
        <w:t> </w:t>
      </w:r>
      <w:r>
        <w:rPr>
          <w:spacing w:val="-8"/>
          <w:w w:val="120"/>
        </w:rPr>
        <w:t>(2)</w:t>
      </w:r>
    </w:p>
    <w:p>
      <w:pPr>
        <w:pStyle w:val="BodyText"/>
        <w:tabs>
          <w:tab w:pos="5884" w:val="left" w:leader="none"/>
        </w:tabs>
        <w:spacing w:line="240" w:lineRule="exact"/>
        <w:ind w:left="1564"/>
      </w:pPr>
      <w:r>
        <w:rPr>
          <w:w w:val="125"/>
        </w:rPr>
        <w:t>Ms Alison</w:t>
      </w:r>
      <w:r>
        <w:rPr>
          <w:spacing w:val="-15"/>
          <w:w w:val="125"/>
        </w:rPr>
        <w:t> </w:t>
      </w:r>
      <w:r>
        <w:rPr>
          <w:w w:val="125"/>
        </w:rPr>
        <w:t>Lee</w:t>
      </w:r>
      <w:r>
        <w:rPr>
          <w:spacing w:val="-8"/>
          <w:w w:val="125"/>
        </w:rPr>
        <w:t> (3)</w:t>
        <w:tab/>
      </w:r>
      <w:r>
        <w:rPr>
          <w:w w:val="125"/>
        </w:rPr>
        <w:t>The Revd David Figures</w:t>
      </w:r>
      <w:r>
        <w:rPr>
          <w:spacing w:val="-3"/>
          <w:w w:val="125"/>
        </w:rPr>
        <w:t> </w:t>
      </w:r>
      <w:r>
        <w:rPr>
          <w:spacing w:val="-10"/>
          <w:w w:val="125"/>
        </w:rPr>
        <w:t>(4)</w:t>
      </w:r>
    </w:p>
    <w:p>
      <w:pPr>
        <w:pStyle w:val="BodyText"/>
        <w:tabs>
          <w:tab w:pos="5884" w:val="left" w:leader="none"/>
        </w:tabs>
        <w:spacing w:line="240" w:lineRule="exact"/>
        <w:ind w:left="1564"/>
      </w:pPr>
      <w:r>
        <w:rPr>
          <w:w w:val="125"/>
        </w:rPr>
        <w:t>Mrs Judith</w:t>
      </w:r>
      <w:r>
        <w:rPr>
          <w:spacing w:val="-23"/>
          <w:w w:val="125"/>
        </w:rPr>
        <w:t> </w:t>
      </w:r>
      <w:r>
        <w:rPr>
          <w:w w:val="125"/>
        </w:rPr>
        <w:t>Booth</w:t>
      </w:r>
      <w:r>
        <w:rPr>
          <w:spacing w:val="-12"/>
          <w:w w:val="125"/>
        </w:rPr>
        <w:t> </w:t>
      </w:r>
      <w:r>
        <w:rPr>
          <w:spacing w:val="-8"/>
          <w:w w:val="125"/>
        </w:rPr>
        <w:t>(5)</w:t>
        <w:tab/>
      </w:r>
      <w:r>
        <w:rPr>
          <w:w w:val="125"/>
        </w:rPr>
        <w:t>Mrs Rachel Wakeman</w:t>
      </w:r>
      <w:r>
        <w:rPr>
          <w:spacing w:val="-7"/>
          <w:w w:val="125"/>
        </w:rPr>
        <w:t> (6)</w:t>
      </w:r>
    </w:p>
    <w:p>
      <w:pPr>
        <w:pStyle w:val="BodyText"/>
        <w:tabs>
          <w:tab w:pos="5884" w:val="left" w:leader="none"/>
        </w:tabs>
        <w:spacing w:line="238" w:lineRule="exact"/>
        <w:ind w:left="1564"/>
      </w:pPr>
      <w:r>
        <w:rPr>
          <w:w w:val="120"/>
        </w:rPr>
        <w:t>Mr Peter</w:t>
      </w:r>
      <w:r>
        <w:rPr>
          <w:spacing w:val="-6"/>
          <w:w w:val="120"/>
        </w:rPr>
        <w:t> </w:t>
      </w:r>
      <w:r>
        <w:rPr>
          <w:w w:val="120"/>
        </w:rPr>
        <w:t>West</w:t>
      </w:r>
      <w:r>
        <w:rPr>
          <w:spacing w:val="-3"/>
          <w:w w:val="120"/>
        </w:rPr>
        <w:t> </w:t>
      </w:r>
      <w:r>
        <w:rPr>
          <w:w w:val="120"/>
        </w:rPr>
        <w:t>(7)</w:t>
        <w:tab/>
        <w:t>Mr Roger James</w:t>
      </w:r>
      <w:r>
        <w:rPr>
          <w:spacing w:val="6"/>
          <w:w w:val="120"/>
        </w:rPr>
        <w:t> </w:t>
      </w:r>
      <w:r>
        <w:rPr>
          <w:spacing w:val="-8"/>
          <w:w w:val="120"/>
        </w:rPr>
        <w:t>(8)</w:t>
      </w:r>
    </w:p>
    <w:p>
      <w:pPr>
        <w:pStyle w:val="BodyText"/>
        <w:tabs>
          <w:tab w:pos="5884" w:val="left" w:leader="none"/>
        </w:tabs>
        <w:spacing w:line="237" w:lineRule="exact"/>
        <w:ind w:left="1564"/>
      </w:pPr>
      <w:r>
        <w:rPr>
          <w:w w:val="125"/>
        </w:rPr>
        <w:t>Mr </w:t>
      </w:r>
      <w:r>
        <w:rPr>
          <w:spacing w:val="3"/>
          <w:w w:val="125"/>
        </w:rPr>
        <w:t>Gerry</w:t>
      </w:r>
      <w:r>
        <w:rPr>
          <w:spacing w:val="-31"/>
          <w:w w:val="125"/>
        </w:rPr>
        <w:t> </w:t>
      </w:r>
      <w:r>
        <w:rPr>
          <w:w w:val="125"/>
        </w:rPr>
        <w:t>Prosser</w:t>
      </w:r>
      <w:r>
        <w:rPr>
          <w:spacing w:val="-15"/>
          <w:w w:val="125"/>
        </w:rPr>
        <w:t> </w:t>
      </w:r>
      <w:r>
        <w:rPr>
          <w:spacing w:val="-8"/>
          <w:w w:val="125"/>
        </w:rPr>
        <w:t>(9)</w:t>
        <w:tab/>
      </w:r>
      <w:r>
        <w:rPr>
          <w:w w:val="125"/>
        </w:rPr>
        <w:t>Mr Christopher Buckwell</w:t>
      </w:r>
      <w:r>
        <w:rPr>
          <w:spacing w:val="-4"/>
          <w:w w:val="125"/>
        </w:rPr>
        <w:t> </w:t>
      </w:r>
      <w:r>
        <w:rPr>
          <w:spacing w:val="-9"/>
          <w:w w:val="125"/>
        </w:rPr>
        <w:t>(10)</w:t>
      </w:r>
    </w:p>
    <w:p>
      <w:pPr>
        <w:pStyle w:val="BodyText"/>
        <w:tabs>
          <w:tab w:pos="5884" w:val="left" w:leader="none"/>
        </w:tabs>
        <w:spacing w:line="240" w:lineRule="exact"/>
        <w:ind w:left="1564"/>
      </w:pPr>
      <w:r>
        <w:rPr>
          <w:w w:val="120"/>
        </w:rPr>
        <w:t>Mr Guy</w:t>
      </w:r>
      <w:r>
        <w:rPr>
          <w:spacing w:val="12"/>
          <w:w w:val="120"/>
        </w:rPr>
        <w:t> </w:t>
      </w:r>
      <w:r>
        <w:rPr>
          <w:spacing w:val="2"/>
          <w:w w:val="120"/>
        </w:rPr>
        <w:t>Morfett</w:t>
      </w:r>
      <w:r>
        <w:rPr>
          <w:spacing w:val="6"/>
          <w:w w:val="120"/>
        </w:rPr>
        <w:t> </w:t>
      </w:r>
      <w:r>
        <w:rPr>
          <w:spacing w:val="-14"/>
          <w:w w:val="120"/>
        </w:rPr>
        <w:t>(11)</w:t>
        <w:tab/>
      </w:r>
      <w:r>
        <w:rPr>
          <w:w w:val="120"/>
        </w:rPr>
        <w:t>Mrs Sue Cole</w:t>
      </w:r>
      <w:r>
        <w:rPr>
          <w:spacing w:val="8"/>
          <w:w w:val="120"/>
        </w:rPr>
        <w:t> </w:t>
      </w:r>
      <w:r>
        <w:rPr>
          <w:spacing w:val="-10"/>
          <w:w w:val="120"/>
        </w:rPr>
        <w:t>(12)</w:t>
      </w:r>
    </w:p>
    <w:p>
      <w:pPr>
        <w:pStyle w:val="BodyText"/>
        <w:spacing w:line="242" w:lineRule="exact"/>
        <w:ind w:left="1564"/>
      </w:pPr>
      <w:r>
        <w:rPr>
          <w:w w:val="120"/>
        </w:rPr>
        <w:t>General Secretary, Clerk of General Assembly, Secretary for Ministries, legal adviser</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Resource sharing task</w:t>
      </w:r>
      <w:r>
        <w:rPr>
          <w:spacing w:val="-1"/>
          <w:w w:val="110"/>
        </w:rPr>
        <w:t> </w:t>
      </w:r>
      <w:r>
        <w:rPr>
          <w:w w:val="110"/>
        </w:rPr>
        <w:t>group</w:t>
      </w:r>
    </w:p>
    <w:p>
      <w:pPr>
        <w:pStyle w:val="BodyText"/>
        <w:spacing w:line="235" w:lineRule="auto"/>
        <w:ind w:left="1564" w:right="3149"/>
      </w:pPr>
      <w:r>
        <w:rPr>
          <w:w w:val="120"/>
        </w:rPr>
        <w:t>Convenor: The Revd Jacky Embrey [2022] (Synod Moderator)** Secretary: Mr Chris Atherton</w:t>
      </w:r>
    </w:p>
    <w:p>
      <w:pPr>
        <w:pStyle w:val="BodyText"/>
        <w:spacing w:line="240" w:lineRule="exact"/>
        <w:ind w:left="1564"/>
      </w:pPr>
      <w:r>
        <w:rPr>
          <w:w w:val="120"/>
        </w:rPr>
        <w:t>Treasurer: The Revd Dick Gray</w:t>
      </w:r>
    </w:p>
    <w:p>
      <w:pPr>
        <w:pStyle w:val="BodyText"/>
        <w:tabs>
          <w:tab w:pos="5884" w:val="left" w:leader="none"/>
        </w:tabs>
        <w:spacing w:line="235" w:lineRule="auto"/>
        <w:ind w:left="1564" w:right="3738"/>
      </w:pPr>
      <w:r>
        <w:rPr>
          <w:w w:val="120"/>
        </w:rPr>
        <w:t>Miss</w:t>
      </w:r>
      <w:r>
        <w:rPr>
          <w:spacing w:val="-8"/>
          <w:w w:val="120"/>
        </w:rPr>
        <w:t> </w:t>
      </w:r>
      <w:r>
        <w:rPr>
          <w:w w:val="120"/>
        </w:rPr>
        <w:t>Margaret</w:t>
      </w:r>
      <w:r>
        <w:rPr>
          <w:spacing w:val="-7"/>
          <w:w w:val="120"/>
        </w:rPr>
        <w:t> </w:t>
      </w:r>
      <w:r>
        <w:rPr>
          <w:w w:val="120"/>
        </w:rPr>
        <w:t>Atkinson</w:t>
        <w:tab/>
        <w:t>Mr Mike </w:t>
      </w:r>
      <w:r>
        <w:rPr>
          <w:spacing w:val="-3"/>
          <w:w w:val="120"/>
        </w:rPr>
        <w:t>Gould </w:t>
      </w:r>
      <w:r>
        <w:rPr>
          <w:spacing w:val="-4"/>
          <w:w w:val="120"/>
        </w:rPr>
        <w:t>[ex </w:t>
      </w:r>
      <w:r>
        <w:rPr>
          <w:w w:val="120"/>
        </w:rPr>
        <w:t>officio: URC</w:t>
      </w:r>
      <w:r>
        <w:rPr>
          <w:spacing w:val="10"/>
          <w:w w:val="120"/>
        </w:rPr>
        <w:t> </w:t>
      </w:r>
      <w:r>
        <w:rPr>
          <w:spacing w:val="-3"/>
          <w:w w:val="120"/>
        </w:rPr>
        <w:t>Treasurer]</w:t>
      </w:r>
    </w:p>
    <w:p>
      <w:pPr>
        <w:pStyle w:val="BodyText"/>
        <w:spacing w:before="10"/>
        <w:rPr>
          <w:sz w:val="18"/>
        </w:rPr>
      </w:pPr>
    </w:p>
    <w:p>
      <w:pPr>
        <w:pStyle w:val="ListParagraph"/>
        <w:numPr>
          <w:ilvl w:val="1"/>
          <w:numId w:val="120"/>
        </w:numPr>
        <w:tabs>
          <w:tab w:pos="2244" w:val="left" w:leader="none"/>
          <w:tab w:pos="2245" w:val="left" w:leader="none"/>
        </w:tabs>
        <w:spacing w:line="230" w:lineRule="auto" w:before="0" w:after="0"/>
        <w:ind w:left="1564" w:right="2322" w:firstLine="0"/>
        <w:jc w:val="left"/>
        <w:rPr>
          <w:rFonts w:ascii="Stone Sans II ITC Std Bk" w:hAnsi="Stone Sans II ITC Std Bk"/>
          <w:sz w:val="20"/>
        </w:rPr>
      </w:pPr>
      <w:r>
        <w:rPr>
          <w:rFonts w:ascii="Stone Sans II ITC Std Bk" w:hAnsi="Stone Sans II ITC Std Bk"/>
          <w:b/>
          <w:w w:val="115"/>
          <w:sz w:val="20"/>
        </w:rPr>
        <w:t>The</w:t>
      </w:r>
      <w:r>
        <w:rPr>
          <w:rFonts w:ascii="Stone Sans II ITC Std Bk" w:hAnsi="Stone Sans II ITC Std Bk"/>
          <w:b/>
          <w:spacing w:val="-29"/>
          <w:w w:val="115"/>
          <w:sz w:val="20"/>
        </w:rPr>
        <w:t> </w:t>
      </w:r>
      <w:r>
        <w:rPr>
          <w:rFonts w:ascii="Stone Sans II ITC Std Bk" w:hAnsi="Stone Sans II ITC Std Bk"/>
          <w:b/>
          <w:w w:val="115"/>
          <w:sz w:val="20"/>
        </w:rPr>
        <w:t>Church’s</w:t>
      </w:r>
      <w:r>
        <w:rPr>
          <w:rFonts w:ascii="Stone Sans II ITC Std Bk" w:hAnsi="Stone Sans II ITC Std Bk"/>
          <w:b/>
          <w:spacing w:val="-29"/>
          <w:w w:val="115"/>
          <w:sz w:val="20"/>
        </w:rPr>
        <w:t> </w:t>
      </w:r>
      <w:r>
        <w:rPr>
          <w:rFonts w:ascii="Stone Sans II ITC Std Bk" w:hAnsi="Stone Sans II ITC Std Bk"/>
          <w:b/>
          <w:w w:val="115"/>
          <w:sz w:val="20"/>
        </w:rPr>
        <w:t>engagement</w:t>
      </w:r>
      <w:r>
        <w:rPr>
          <w:rFonts w:ascii="Stone Sans II ITC Std Bk" w:hAnsi="Stone Sans II ITC Std Bk"/>
          <w:b/>
          <w:spacing w:val="-29"/>
          <w:w w:val="115"/>
          <w:sz w:val="20"/>
        </w:rPr>
        <w:t> </w:t>
      </w:r>
      <w:r>
        <w:rPr>
          <w:rFonts w:ascii="Stone Sans II ITC Std Bk" w:hAnsi="Stone Sans II ITC Std Bk"/>
          <w:b/>
          <w:w w:val="115"/>
          <w:sz w:val="20"/>
        </w:rPr>
        <w:t>with</w:t>
      </w:r>
      <w:r>
        <w:rPr>
          <w:rFonts w:ascii="Stone Sans II ITC Std Bk" w:hAnsi="Stone Sans II ITC Std Bk"/>
          <w:b/>
          <w:spacing w:val="-29"/>
          <w:w w:val="115"/>
          <w:sz w:val="20"/>
        </w:rPr>
        <w:t> </w:t>
      </w:r>
      <w:r>
        <w:rPr>
          <w:rFonts w:ascii="Stone Sans II ITC Std Bk" w:hAnsi="Stone Sans II ITC Std Bk"/>
          <w:b/>
          <w:w w:val="115"/>
          <w:sz w:val="20"/>
        </w:rPr>
        <w:t>20</w:t>
      </w:r>
      <w:r>
        <w:rPr>
          <w:rFonts w:ascii="Stone Sans II ITC Std Bk" w:hAnsi="Stone Sans II ITC Std Bk"/>
          <w:b/>
          <w:spacing w:val="-29"/>
          <w:w w:val="115"/>
          <w:sz w:val="20"/>
        </w:rPr>
        <w:t> </w:t>
      </w:r>
      <w:r>
        <w:rPr>
          <w:rFonts w:ascii="Stone Sans II ITC Std Bk" w:hAnsi="Stone Sans II ITC Std Bk"/>
          <w:b/>
          <w:w w:val="115"/>
          <w:sz w:val="20"/>
        </w:rPr>
        <w:t>to</w:t>
      </w:r>
      <w:r>
        <w:rPr>
          <w:rFonts w:ascii="Stone Sans II ITC Std Bk" w:hAnsi="Stone Sans II ITC Std Bk"/>
          <w:b/>
          <w:spacing w:val="-29"/>
          <w:w w:val="115"/>
          <w:sz w:val="20"/>
        </w:rPr>
        <w:t> </w:t>
      </w:r>
      <w:r>
        <w:rPr>
          <w:rFonts w:ascii="Stone Sans II ITC Std Bk" w:hAnsi="Stone Sans II ITC Std Bk"/>
          <w:b/>
          <w:w w:val="115"/>
          <w:sz w:val="20"/>
        </w:rPr>
        <w:t>40</w:t>
      </w:r>
      <w:r>
        <w:rPr>
          <w:rFonts w:ascii="Stone Sans II ITC Std Bk" w:hAnsi="Stone Sans II ITC Std Bk"/>
          <w:b/>
          <w:spacing w:val="-29"/>
          <w:w w:val="115"/>
          <w:sz w:val="20"/>
        </w:rPr>
        <w:t> </w:t>
      </w:r>
      <w:r>
        <w:rPr>
          <w:rFonts w:ascii="Stone Sans II ITC Std Bk" w:hAnsi="Stone Sans II ITC Std Bk"/>
          <w:b/>
          <w:w w:val="115"/>
          <w:sz w:val="20"/>
        </w:rPr>
        <w:t>year</w:t>
      </w:r>
      <w:r>
        <w:rPr>
          <w:rFonts w:ascii="Stone Sans II ITC Std Bk" w:hAnsi="Stone Sans II ITC Std Bk"/>
          <w:b/>
          <w:spacing w:val="-29"/>
          <w:w w:val="115"/>
          <w:sz w:val="20"/>
        </w:rPr>
        <w:t> </w:t>
      </w:r>
      <w:r>
        <w:rPr>
          <w:rFonts w:ascii="Stone Sans II ITC Std Bk" w:hAnsi="Stone Sans II ITC Std Bk"/>
          <w:b/>
          <w:w w:val="115"/>
          <w:sz w:val="20"/>
        </w:rPr>
        <w:t>olds</w:t>
      </w:r>
      <w:r>
        <w:rPr>
          <w:rFonts w:ascii="Stone Sans II ITC Std Bk" w:hAnsi="Stone Sans II ITC Std Bk"/>
          <w:b/>
          <w:spacing w:val="-29"/>
          <w:w w:val="115"/>
          <w:sz w:val="20"/>
        </w:rPr>
        <w:t> </w:t>
      </w:r>
      <w:r>
        <w:rPr>
          <w:rFonts w:ascii="Stone Sans II ITC Std Bk" w:hAnsi="Stone Sans II ITC Std Bk"/>
          <w:b/>
          <w:w w:val="115"/>
          <w:sz w:val="20"/>
        </w:rPr>
        <w:t>task</w:t>
      </w:r>
      <w:r>
        <w:rPr>
          <w:rFonts w:ascii="Stone Sans II ITC Std Bk" w:hAnsi="Stone Sans II ITC Std Bk"/>
          <w:b/>
          <w:spacing w:val="-29"/>
          <w:w w:val="115"/>
          <w:sz w:val="20"/>
        </w:rPr>
        <w:t> </w:t>
      </w:r>
      <w:r>
        <w:rPr>
          <w:rFonts w:ascii="Stone Sans II ITC Std Bk" w:hAnsi="Stone Sans II ITC Std Bk"/>
          <w:b/>
          <w:w w:val="115"/>
          <w:sz w:val="20"/>
        </w:rPr>
        <w:t>group </w:t>
      </w:r>
      <w:r>
        <w:rPr>
          <w:w w:val="115"/>
          <w:sz w:val="20"/>
        </w:rPr>
        <w:t>This group </w:t>
      </w:r>
      <w:r>
        <w:rPr>
          <w:spacing w:val="2"/>
          <w:w w:val="115"/>
          <w:sz w:val="20"/>
        </w:rPr>
        <w:t>expects </w:t>
      </w:r>
      <w:r>
        <w:rPr>
          <w:w w:val="115"/>
          <w:sz w:val="20"/>
        </w:rPr>
        <w:t>to complete its work at the </w:t>
      </w:r>
      <w:r>
        <w:rPr>
          <w:spacing w:val="-6"/>
          <w:w w:val="115"/>
          <w:sz w:val="20"/>
        </w:rPr>
        <w:t>2018 </w:t>
      </w:r>
      <w:r>
        <w:rPr>
          <w:w w:val="115"/>
          <w:sz w:val="20"/>
        </w:rPr>
        <w:t>General Assembly. Convenor: Ms Victoria</w:t>
      </w:r>
      <w:r>
        <w:rPr>
          <w:spacing w:val="18"/>
          <w:w w:val="115"/>
          <w:sz w:val="20"/>
        </w:rPr>
        <w:t> </w:t>
      </w:r>
      <w:r>
        <w:rPr>
          <w:w w:val="115"/>
          <w:sz w:val="20"/>
        </w:rPr>
        <w:t>Paulding</w:t>
      </w:r>
    </w:p>
    <w:p>
      <w:pPr>
        <w:pStyle w:val="BodyText"/>
        <w:tabs>
          <w:tab w:pos="5884" w:val="left" w:leader="none"/>
        </w:tabs>
        <w:spacing w:line="238" w:lineRule="exact"/>
        <w:ind w:left="1564"/>
      </w:pPr>
      <w:r>
        <w:rPr>
          <w:w w:val="125"/>
        </w:rPr>
        <w:t>Mr</w:t>
      </w:r>
      <w:r>
        <w:rPr>
          <w:spacing w:val="-20"/>
          <w:w w:val="125"/>
        </w:rPr>
        <w:t> </w:t>
      </w:r>
      <w:r>
        <w:rPr>
          <w:w w:val="125"/>
        </w:rPr>
        <w:t>Stewart</w:t>
      </w:r>
      <w:r>
        <w:rPr>
          <w:spacing w:val="-19"/>
          <w:w w:val="125"/>
        </w:rPr>
        <w:t> </w:t>
      </w:r>
      <w:r>
        <w:rPr>
          <w:w w:val="125"/>
        </w:rPr>
        <w:t>Cutler</w:t>
        <w:tab/>
        <w:t>The Revd David</w:t>
      </w:r>
      <w:r>
        <w:rPr>
          <w:spacing w:val="-2"/>
          <w:w w:val="125"/>
        </w:rPr>
        <w:t> </w:t>
      </w:r>
      <w:r>
        <w:rPr>
          <w:w w:val="125"/>
        </w:rPr>
        <w:t>Downing</w:t>
      </w:r>
    </w:p>
    <w:p>
      <w:pPr>
        <w:pStyle w:val="BodyText"/>
        <w:tabs>
          <w:tab w:pos="5884" w:val="left" w:leader="none"/>
        </w:tabs>
        <w:spacing w:line="235" w:lineRule="auto" w:before="2"/>
        <w:ind w:left="1564" w:right="3701"/>
      </w:pPr>
      <w:r>
        <w:rPr>
          <w:w w:val="120"/>
        </w:rPr>
        <w:t>Ms</w:t>
      </w:r>
      <w:r>
        <w:rPr>
          <w:spacing w:val="1"/>
          <w:w w:val="120"/>
        </w:rPr>
        <w:t> </w:t>
      </w:r>
      <w:r>
        <w:rPr>
          <w:w w:val="120"/>
        </w:rPr>
        <w:t>Sabrina</w:t>
      </w:r>
      <w:r>
        <w:rPr>
          <w:spacing w:val="2"/>
          <w:w w:val="120"/>
        </w:rPr>
        <w:t> </w:t>
      </w:r>
      <w:r>
        <w:rPr>
          <w:w w:val="120"/>
        </w:rPr>
        <w:t>Groeschel</w:t>
        <w:tab/>
        <w:t>Ms Emma </w:t>
      </w:r>
      <w:r>
        <w:rPr>
          <w:spacing w:val="-4"/>
          <w:w w:val="120"/>
        </w:rPr>
        <w:t>Pugh </w:t>
      </w:r>
      <w:r>
        <w:rPr>
          <w:w w:val="120"/>
        </w:rPr>
        <w:t>The Revd Mike</w:t>
      </w:r>
      <w:r>
        <w:rPr>
          <w:spacing w:val="4"/>
          <w:w w:val="120"/>
        </w:rPr>
        <w:t> </w:t>
      </w:r>
      <w:r>
        <w:rPr>
          <w:w w:val="120"/>
        </w:rPr>
        <w:t>Walsh</w:t>
      </w:r>
    </w:p>
    <w:p>
      <w:pPr>
        <w:pStyle w:val="BodyText"/>
        <w:spacing w:line="242" w:lineRule="exact"/>
        <w:ind w:left="1564"/>
      </w:pPr>
      <w:r>
        <w:rPr>
          <w:w w:val="120"/>
        </w:rPr>
        <w:t>General Secretary</w:t>
      </w:r>
    </w:p>
    <w:p>
      <w:pPr>
        <w:pStyle w:val="BodyText"/>
        <w:spacing w:before="3"/>
        <w:rPr>
          <w:sz w:val="18"/>
        </w:rPr>
      </w:pPr>
    </w:p>
    <w:p>
      <w:pPr>
        <w:pStyle w:val="Heading8"/>
        <w:numPr>
          <w:ilvl w:val="1"/>
          <w:numId w:val="120"/>
        </w:numPr>
        <w:tabs>
          <w:tab w:pos="2244" w:val="left" w:leader="none"/>
          <w:tab w:pos="2245" w:val="left" w:leader="none"/>
        </w:tabs>
        <w:spacing w:line="261" w:lineRule="exact" w:before="1" w:after="0"/>
        <w:ind w:left="2244" w:right="0" w:hanging="681"/>
        <w:jc w:val="left"/>
      </w:pPr>
      <w:r>
        <w:rPr>
          <w:w w:val="110"/>
        </w:rPr>
        <w:t>Methodist/United Reformed Church faith and order</w:t>
      </w:r>
      <w:r>
        <w:rPr>
          <w:spacing w:val="1"/>
          <w:w w:val="110"/>
        </w:rPr>
        <w:t> </w:t>
      </w:r>
      <w:r>
        <w:rPr>
          <w:w w:val="110"/>
        </w:rPr>
        <w:t>conversations</w:t>
      </w:r>
    </w:p>
    <w:p>
      <w:pPr>
        <w:pStyle w:val="BodyText"/>
        <w:spacing w:line="235" w:lineRule="exact"/>
        <w:ind w:left="1564"/>
      </w:pPr>
      <w:r>
        <w:rPr>
          <w:w w:val="120"/>
        </w:rPr>
        <w:t>These conversations are not presently active.</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General Assembly task</w:t>
      </w:r>
      <w:r>
        <w:rPr>
          <w:spacing w:val="-1"/>
          <w:w w:val="110"/>
        </w:rPr>
        <w:t> </w:t>
      </w:r>
      <w:r>
        <w:rPr>
          <w:w w:val="110"/>
        </w:rPr>
        <w:t>group</w:t>
      </w:r>
    </w:p>
    <w:p>
      <w:pPr>
        <w:pStyle w:val="BodyText"/>
        <w:spacing w:line="233" w:lineRule="exact"/>
        <w:ind w:left="1564"/>
      </w:pPr>
      <w:r>
        <w:rPr>
          <w:w w:val="120"/>
        </w:rPr>
        <w:t>Convenor: Mrs Val Morrison</w:t>
      </w:r>
    </w:p>
    <w:p>
      <w:pPr>
        <w:pStyle w:val="BodyText"/>
        <w:tabs>
          <w:tab w:pos="5884" w:val="left" w:leader="none"/>
        </w:tabs>
        <w:spacing w:line="235" w:lineRule="auto" w:before="2"/>
        <w:ind w:left="1564" w:right="3292"/>
      </w:pPr>
      <w:r>
        <w:rPr>
          <w:w w:val="120"/>
        </w:rPr>
        <w:t>The Revd</w:t>
      </w:r>
      <w:r>
        <w:rPr>
          <w:spacing w:val="8"/>
          <w:w w:val="120"/>
        </w:rPr>
        <w:t> </w:t>
      </w:r>
      <w:r>
        <w:rPr>
          <w:w w:val="120"/>
        </w:rPr>
        <w:t>Adrian</w:t>
      </w:r>
      <w:r>
        <w:rPr>
          <w:spacing w:val="4"/>
          <w:w w:val="120"/>
        </w:rPr>
        <w:t> </w:t>
      </w:r>
      <w:r>
        <w:rPr>
          <w:w w:val="120"/>
        </w:rPr>
        <w:t>Bulley</w:t>
        <w:tab/>
        <w:t>The Revd Dick </w:t>
      </w:r>
      <w:r>
        <w:rPr>
          <w:spacing w:val="-3"/>
          <w:w w:val="120"/>
        </w:rPr>
        <w:t>Gray </w:t>
      </w:r>
      <w:r>
        <w:rPr>
          <w:w w:val="120"/>
        </w:rPr>
        <w:t>Mrs Margaret</w:t>
      </w:r>
      <w:r>
        <w:rPr>
          <w:spacing w:val="2"/>
          <w:w w:val="120"/>
        </w:rPr>
        <w:t> </w:t>
      </w:r>
      <w:r>
        <w:rPr>
          <w:w w:val="120"/>
        </w:rPr>
        <w:t>Marshall</w:t>
      </w:r>
    </w:p>
    <w:p>
      <w:pPr>
        <w:pStyle w:val="BodyText"/>
        <w:spacing w:line="242" w:lineRule="exact"/>
        <w:ind w:left="1564"/>
      </w:pPr>
      <w:r>
        <w:rPr>
          <w:w w:val="120"/>
        </w:rPr>
        <w:t>together with the Clerk of General Assembly.</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Environmental task</w:t>
      </w:r>
      <w:r>
        <w:rPr>
          <w:spacing w:val="-1"/>
          <w:w w:val="110"/>
        </w:rPr>
        <w:t> </w:t>
      </w:r>
      <w:r>
        <w:rPr>
          <w:w w:val="110"/>
        </w:rPr>
        <w:t>group</w:t>
      </w:r>
    </w:p>
    <w:p>
      <w:pPr>
        <w:pStyle w:val="BodyText"/>
        <w:spacing w:line="233" w:lineRule="exact"/>
        <w:ind w:left="1564"/>
      </w:pPr>
      <w:r>
        <w:rPr>
          <w:w w:val="120"/>
        </w:rPr>
        <w:t>Convenor: The Revd Rob Weston</w:t>
      </w:r>
    </w:p>
    <w:p>
      <w:pPr>
        <w:pStyle w:val="BodyText"/>
        <w:tabs>
          <w:tab w:pos="5884" w:val="left" w:leader="none"/>
        </w:tabs>
        <w:spacing w:line="235" w:lineRule="auto" w:before="2"/>
        <w:ind w:left="1564" w:right="2974"/>
      </w:pPr>
      <w:r>
        <w:rPr>
          <w:w w:val="120"/>
        </w:rPr>
        <w:t>The Revd </w:t>
      </w:r>
      <w:r>
        <w:rPr>
          <w:spacing w:val="-3"/>
          <w:w w:val="120"/>
        </w:rPr>
        <w:t>Trevor</w:t>
      </w:r>
      <w:r>
        <w:rPr>
          <w:w w:val="120"/>
        </w:rPr>
        <w:t> Jamison</w:t>
        <w:tab/>
        <w:t>Ms Charis Ollerenshaw Mr </w:t>
      </w:r>
      <w:r>
        <w:rPr>
          <w:spacing w:val="-5"/>
          <w:w w:val="120"/>
        </w:rPr>
        <w:t>Tom</w:t>
      </w:r>
      <w:r>
        <w:rPr>
          <w:spacing w:val="3"/>
          <w:w w:val="120"/>
        </w:rPr>
        <w:t> </w:t>
      </w:r>
      <w:r>
        <w:rPr>
          <w:w w:val="120"/>
        </w:rPr>
        <w:t>Veitch</w:t>
      </w:r>
    </w:p>
    <w:p>
      <w:pPr>
        <w:pStyle w:val="BodyText"/>
        <w:spacing w:before="2"/>
        <w:rPr>
          <w:sz w:val="22"/>
        </w:rPr>
      </w:pPr>
    </w:p>
    <w:p>
      <w:pPr>
        <w:pStyle w:val="Heading4"/>
        <w:numPr>
          <w:ilvl w:val="0"/>
          <w:numId w:val="120"/>
        </w:numPr>
        <w:tabs>
          <w:tab w:pos="2244" w:val="left" w:leader="none"/>
          <w:tab w:pos="2245" w:val="left" w:leader="none"/>
        </w:tabs>
        <w:spacing w:line="240" w:lineRule="auto" w:before="0" w:after="0"/>
        <w:ind w:left="2244" w:right="0" w:hanging="681"/>
        <w:jc w:val="left"/>
      </w:pPr>
      <w:r>
        <w:rPr>
          <w:spacing w:val="4"/>
          <w:w w:val="110"/>
        </w:rPr>
        <w:t>General</w:t>
      </w:r>
      <w:r>
        <w:rPr>
          <w:spacing w:val="12"/>
          <w:w w:val="110"/>
        </w:rPr>
        <w:t> </w:t>
      </w:r>
      <w:r>
        <w:rPr>
          <w:spacing w:val="3"/>
          <w:w w:val="110"/>
        </w:rPr>
        <w:t>Secretariat</w:t>
      </w:r>
    </w:p>
    <w:p>
      <w:pPr>
        <w:pStyle w:val="ListParagraph"/>
        <w:numPr>
          <w:ilvl w:val="1"/>
          <w:numId w:val="120"/>
        </w:numPr>
        <w:tabs>
          <w:tab w:pos="2244" w:val="left" w:leader="none"/>
          <w:tab w:pos="2245" w:val="left" w:leader="none"/>
        </w:tabs>
        <w:spacing w:line="230" w:lineRule="auto" w:before="61" w:after="0"/>
        <w:ind w:left="1564" w:right="5268" w:firstLine="0"/>
        <w:jc w:val="left"/>
        <w:rPr>
          <w:rFonts w:ascii="Stone Sans II ITC Std Bk"/>
          <w:sz w:val="20"/>
        </w:rPr>
      </w:pPr>
      <w:r>
        <w:rPr>
          <w:rFonts w:ascii="Stone Sans II ITC Std Bk"/>
          <w:b/>
          <w:w w:val="120"/>
          <w:sz w:val="20"/>
        </w:rPr>
        <w:t>Faith and order committee </w:t>
      </w:r>
      <w:r>
        <w:rPr>
          <w:w w:val="120"/>
          <w:sz w:val="20"/>
        </w:rPr>
        <w:t>Members normally serve for six years. Convenor:</w:t>
      </w:r>
      <w:r>
        <w:rPr>
          <w:spacing w:val="17"/>
          <w:w w:val="120"/>
          <w:sz w:val="20"/>
        </w:rPr>
        <w:t> </w:t>
      </w:r>
      <w:r>
        <w:rPr>
          <w:w w:val="120"/>
          <w:sz w:val="20"/>
        </w:rPr>
        <w:t>The</w:t>
      </w:r>
      <w:r>
        <w:rPr>
          <w:spacing w:val="17"/>
          <w:w w:val="120"/>
          <w:sz w:val="20"/>
        </w:rPr>
        <w:t> </w:t>
      </w:r>
      <w:r>
        <w:rPr>
          <w:w w:val="120"/>
          <w:sz w:val="20"/>
        </w:rPr>
        <w:t>Revd</w:t>
      </w:r>
      <w:r>
        <w:rPr>
          <w:spacing w:val="17"/>
          <w:w w:val="120"/>
          <w:sz w:val="20"/>
        </w:rPr>
        <w:t> </w:t>
      </w:r>
      <w:r>
        <w:rPr>
          <w:w w:val="120"/>
          <w:sz w:val="20"/>
        </w:rPr>
        <w:t>Dr</w:t>
      </w:r>
      <w:r>
        <w:rPr>
          <w:spacing w:val="17"/>
          <w:w w:val="120"/>
          <w:sz w:val="20"/>
        </w:rPr>
        <w:t> </w:t>
      </w:r>
      <w:r>
        <w:rPr>
          <w:w w:val="120"/>
          <w:sz w:val="20"/>
        </w:rPr>
        <w:t>Alan</w:t>
      </w:r>
      <w:r>
        <w:rPr>
          <w:spacing w:val="17"/>
          <w:w w:val="120"/>
          <w:sz w:val="20"/>
        </w:rPr>
        <w:t> </w:t>
      </w:r>
      <w:r>
        <w:rPr>
          <w:w w:val="120"/>
          <w:sz w:val="20"/>
        </w:rPr>
        <w:t>Spence</w:t>
      </w:r>
      <w:r>
        <w:rPr>
          <w:spacing w:val="18"/>
          <w:w w:val="120"/>
          <w:sz w:val="20"/>
        </w:rPr>
        <w:t> </w:t>
      </w:r>
      <w:r>
        <w:rPr>
          <w:spacing w:val="-6"/>
          <w:w w:val="120"/>
          <w:sz w:val="20"/>
        </w:rPr>
        <w:t>[2023]</w:t>
      </w:r>
    </w:p>
    <w:p>
      <w:pPr>
        <w:pStyle w:val="BodyText"/>
        <w:spacing w:line="238" w:lineRule="exact"/>
        <w:ind w:left="1564"/>
      </w:pPr>
      <w:r>
        <w:rPr>
          <w:w w:val="120"/>
        </w:rPr>
        <w:t>Secretary: Secretary for Ecumenical and Interfaith Relations</w:t>
      </w:r>
    </w:p>
    <w:p>
      <w:pPr>
        <w:pStyle w:val="BodyText"/>
        <w:tabs>
          <w:tab w:pos="5884" w:val="left" w:leader="none"/>
        </w:tabs>
        <w:spacing w:line="240" w:lineRule="exact"/>
        <w:ind w:left="1564"/>
      </w:pPr>
      <w:r>
        <w:rPr>
          <w:w w:val="125"/>
        </w:rPr>
        <w:t>The Revd Dr Catherine Ball</w:t>
      </w:r>
      <w:r>
        <w:rPr>
          <w:spacing w:val="-24"/>
          <w:w w:val="125"/>
        </w:rPr>
        <w:t> </w:t>
      </w:r>
      <w:r>
        <w:rPr>
          <w:w w:val="125"/>
        </w:rPr>
        <w:t>(7)</w:t>
      </w:r>
      <w:r>
        <w:rPr>
          <w:spacing w:val="-5"/>
          <w:w w:val="125"/>
        </w:rPr>
        <w:t> [2020]</w:t>
        <w:tab/>
      </w:r>
      <w:r>
        <w:rPr>
          <w:w w:val="125"/>
        </w:rPr>
        <w:t>Ms Anna Briggs </w:t>
      </w:r>
      <w:r>
        <w:rPr>
          <w:spacing w:val="-12"/>
          <w:w w:val="125"/>
        </w:rPr>
        <w:t>(13)</w:t>
      </w:r>
      <w:r>
        <w:rPr>
          <w:spacing w:val="-1"/>
          <w:w w:val="125"/>
        </w:rPr>
        <w:t> </w:t>
      </w:r>
      <w:r>
        <w:rPr>
          <w:spacing w:val="-5"/>
          <w:w w:val="125"/>
        </w:rPr>
        <w:t>[2020]</w:t>
      </w:r>
    </w:p>
    <w:p>
      <w:pPr>
        <w:pStyle w:val="BodyText"/>
        <w:tabs>
          <w:tab w:pos="5884" w:val="left" w:leader="none"/>
        </w:tabs>
        <w:spacing w:line="235" w:lineRule="auto" w:before="2"/>
        <w:ind w:left="1564" w:right="1828"/>
      </w:pPr>
      <w:r>
        <w:rPr>
          <w:w w:val="120"/>
        </w:rPr>
        <w:t>The Revd Samuel</w:t>
      </w:r>
      <w:r>
        <w:rPr>
          <w:spacing w:val="45"/>
          <w:w w:val="120"/>
        </w:rPr>
        <w:t> </w:t>
      </w:r>
      <w:r>
        <w:rPr>
          <w:w w:val="120"/>
        </w:rPr>
        <w:t>Silungwe</w:t>
      </w:r>
      <w:r>
        <w:rPr>
          <w:spacing w:val="15"/>
          <w:w w:val="120"/>
        </w:rPr>
        <w:t> </w:t>
      </w:r>
      <w:r>
        <w:rPr>
          <w:spacing w:val="-6"/>
          <w:w w:val="120"/>
        </w:rPr>
        <w:t>[2023]</w:t>
        <w:tab/>
      </w:r>
      <w:r>
        <w:rPr>
          <w:w w:val="120"/>
        </w:rPr>
        <w:t>The Revd Dr </w:t>
      </w:r>
      <w:r>
        <w:rPr>
          <w:spacing w:val="2"/>
          <w:w w:val="120"/>
        </w:rPr>
        <w:t>Robert </w:t>
      </w:r>
      <w:r>
        <w:rPr>
          <w:w w:val="120"/>
        </w:rPr>
        <w:t>Pope </w:t>
      </w:r>
      <w:r>
        <w:rPr>
          <w:spacing w:val="-4"/>
          <w:w w:val="120"/>
        </w:rPr>
        <w:t>[2024]** </w:t>
      </w:r>
      <w:r>
        <w:rPr>
          <w:w w:val="120"/>
        </w:rPr>
        <w:t>The Revd Dr Rosalind</w:t>
      </w:r>
      <w:r>
        <w:rPr>
          <w:spacing w:val="14"/>
          <w:w w:val="120"/>
        </w:rPr>
        <w:t> </w:t>
      </w:r>
      <w:r>
        <w:rPr>
          <w:w w:val="120"/>
        </w:rPr>
        <w:t>Selby</w:t>
      </w:r>
      <w:r>
        <w:rPr>
          <w:spacing w:val="4"/>
          <w:w w:val="120"/>
        </w:rPr>
        <w:t> </w:t>
      </w:r>
      <w:r>
        <w:rPr>
          <w:spacing w:val="-4"/>
          <w:w w:val="120"/>
        </w:rPr>
        <w:t>[2024]**</w:t>
        <w:tab/>
      </w:r>
      <w:r>
        <w:rPr>
          <w:w w:val="120"/>
        </w:rPr>
        <w:t>General</w:t>
      </w:r>
      <w:r>
        <w:rPr>
          <w:spacing w:val="2"/>
          <w:w w:val="120"/>
        </w:rPr>
        <w:t> </w:t>
      </w:r>
      <w:r>
        <w:rPr>
          <w:w w:val="120"/>
        </w:rPr>
        <w:t>Secretary</w:t>
      </w:r>
    </w:p>
    <w:p>
      <w:pPr>
        <w:pStyle w:val="BodyText"/>
        <w:spacing w:before="5"/>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Nominations</w:t>
      </w:r>
      <w:r>
        <w:rPr>
          <w:spacing w:val="-1"/>
          <w:w w:val="110"/>
        </w:rPr>
        <w:t> </w:t>
      </w:r>
      <w:r>
        <w:rPr>
          <w:w w:val="110"/>
        </w:rPr>
        <w:t>committee</w:t>
      </w:r>
    </w:p>
    <w:p>
      <w:pPr>
        <w:pStyle w:val="BodyText"/>
        <w:spacing w:line="235" w:lineRule="auto"/>
        <w:ind w:left="1564" w:right="3149"/>
      </w:pPr>
      <w:r>
        <w:rPr>
          <w:w w:val="120"/>
        </w:rPr>
        <w:t>Synods appoint and decide terms for their representation. Convenor: The Revd Ray Adams [2021]</w:t>
      </w:r>
    </w:p>
    <w:p>
      <w:pPr>
        <w:pStyle w:val="BodyText"/>
        <w:spacing w:line="240" w:lineRule="exact"/>
        <w:ind w:left="1564"/>
      </w:pPr>
      <w:r>
        <w:rPr>
          <w:w w:val="120"/>
        </w:rPr>
        <w:t>Secretary: Mr George Faris [2021]</w:t>
      </w:r>
    </w:p>
    <w:p>
      <w:pPr>
        <w:pStyle w:val="BodyText"/>
        <w:tabs>
          <w:tab w:pos="5884" w:val="left" w:leader="none"/>
        </w:tabs>
        <w:spacing w:line="240" w:lineRule="exact"/>
        <w:ind w:left="1564"/>
      </w:pPr>
      <w:r>
        <w:rPr>
          <w:w w:val="125"/>
        </w:rPr>
        <w:t>Mrs Melanie</w:t>
      </w:r>
      <w:r>
        <w:rPr>
          <w:spacing w:val="-21"/>
          <w:w w:val="125"/>
        </w:rPr>
        <w:t> </w:t>
      </w:r>
      <w:r>
        <w:rPr>
          <w:w w:val="125"/>
        </w:rPr>
        <w:t>Campbell</w:t>
      </w:r>
      <w:r>
        <w:rPr>
          <w:spacing w:val="-11"/>
          <w:w w:val="125"/>
        </w:rPr>
        <w:t> (1)</w:t>
        <w:tab/>
      </w:r>
      <w:r>
        <w:rPr>
          <w:w w:val="125"/>
        </w:rPr>
        <w:t>The Revd Brian Jolly</w:t>
      </w:r>
      <w:r>
        <w:rPr>
          <w:spacing w:val="-5"/>
          <w:w w:val="125"/>
        </w:rPr>
        <w:t> </w:t>
      </w:r>
      <w:r>
        <w:rPr>
          <w:spacing w:val="-8"/>
          <w:w w:val="125"/>
        </w:rPr>
        <w:t>(2)</w:t>
      </w:r>
    </w:p>
    <w:p>
      <w:pPr>
        <w:pStyle w:val="BodyText"/>
        <w:tabs>
          <w:tab w:pos="5884" w:val="left" w:leader="none"/>
        </w:tabs>
        <w:spacing w:line="242" w:lineRule="exact"/>
        <w:ind w:left="1564"/>
      </w:pPr>
      <w:r>
        <w:rPr>
          <w:w w:val="125"/>
        </w:rPr>
        <w:t>Mr Bill</w:t>
      </w:r>
      <w:r>
        <w:rPr>
          <w:spacing w:val="-4"/>
          <w:w w:val="125"/>
        </w:rPr>
        <w:t> </w:t>
      </w:r>
      <w:r>
        <w:rPr>
          <w:w w:val="125"/>
        </w:rPr>
        <w:t>Gould</w:t>
      </w:r>
      <w:r>
        <w:rPr>
          <w:spacing w:val="-2"/>
          <w:w w:val="125"/>
        </w:rPr>
        <w:t> </w:t>
      </w:r>
      <w:r>
        <w:rPr>
          <w:spacing w:val="-8"/>
          <w:w w:val="125"/>
        </w:rPr>
        <w:t>(3)</w:t>
        <w:tab/>
      </w:r>
      <w:r>
        <w:rPr>
          <w:w w:val="125"/>
        </w:rPr>
        <w:t>Mr Chris Reed</w:t>
      </w:r>
      <w:r>
        <w:rPr>
          <w:spacing w:val="-2"/>
          <w:w w:val="125"/>
        </w:rPr>
        <w:t> </w:t>
      </w:r>
      <w:r>
        <w:rPr>
          <w:spacing w:val="-10"/>
          <w:w w:val="125"/>
        </w:rPr>
        <w:t>(4)</w:t>
      </w:r>
    </w:p>
    <w:p>
      <w:pPr>
        <w:spacing w:after="0" w:line="242" w:lineRule="exact"/>
        <w:sectPr>
          <w:headerReference w:type="default" r:id="rId454"/>
          <w:pgSz w:w="11910" w:h="16840"/>
          <w:pgMar w:header="0" w:footer="647" w:top="0" w:bottom="840" w:left="420" w:right="380"/>
        </w:sectPr>
      </w:pPr>
    </w:p>
    <w:p>
      <w:pPr>
        <w:pStyle w:val="BodyText"/>
      </w:pPr>
      <w:r>
        <w:rPr/>
        <w:drawing>
          <wp:anchor distT="0" distB="0" distL="0" distR="0" allowOverlap="1" layoutInCell="1" locked="0" behindDoc="1" simplePos="0" relativeHeight="236127232">
            <wp:simplePos x="0" y="0"/>
            <wp:positionH relativeFrom="page">
              <wp:posOffset>0</wp:posOffset>
            </wp:positionH>
            <wp:positionV relativeFrom="page">
              <wp:posOffset>0</wp:posOffset>
            </wp:positionV>
            <wp:extent cx="594067" cy="10692003"/>
            <wp:effectExtent l="0" t="0" r="0" b="0"/>
            <wp:wrapNone/>
            <wp:docPr id="325" name="image75.png"/>
            <wp:cNvGraphicFramePr>
              <a:graphicFrameLocks noChangeAspect="1"/>
            </wp:cNvGraphicFramePr>
            <a:graphic>
              <a:graphicData uri="http://schemas.openxmlformats.org/drawingml/2006/picture">
                <pic:pic>
                  <pic:nvPicPr>
                    <pic:cNvPr id="326"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20.519100pt;margin-top:22.693945pt;width:26pt;height:133.75pt;mso-position-horizontal-relative:page;mso-position-vertical-relative:paragraph;z-index:252095488"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sz w:val="26"/>
        </w:rPr>
        <w:t>Nominations</w:t>
      </w:r>
    </w:p>
    <w:p>
      <w:pPr>
        <w:pStyle w:val="BodyText"/>
        <w:tabs>
          <w:tab w:pos="5867" w:val="left" w:leader="none"/>
        </w:tabs>
        <w:spacing w:line="242" w:lineRule="exact" w:before="218"/>
        <w:ind w:left="827"/>
      </w:pPr>
      <w:r>
        <w:rPr>
          <w:w w:val="125"/>
        </w:rPr>
        <w:t>Mrs Helen</w:t>
      </w:r>
      <w:r>
        <w:rPr>
          <w:spacing w:val="-5"/>
          <w:w w:val="125"/>
        </w:rPr>
        <w:t> </w:t>
      </w:r>
      <w:r>
        <w:rPr>
          <w:w w:val="125"/>
        </w:rPr>
        <w:t>Lidgett</w:t>
      </w:r>
      <w:r>
        <w:rPr>
          <w:spacing w:val="-2"/>
          <w:w w:val="125"/>
        </w:rPr>
        <w:t> </w:t>
      </w:r>
      <w:r>
        <w:rPr>
          <w:spacing w:val="-8"/>
          <w:w w:val="125"/>
        </w:rPr>
        <w:t>(5)</w:t>
        <w:tab/>
      </w:r>
      <w:r>
        <w:rPr>
          <w:w w:val="125"/>
        </w:rPr>
        <w:t>Mrs Margaret Marshall</w:t>
      </w:r>
      <w:r>
        <w:rPr>
          <w:spacing w:val="-8"/>
          <w:w w:val="125"/>
        </w:rPr>
        <w:t> </w:t>
      </w:r>
      <w:r>
        <w:rPr>
          <w:spacing w:val="-7"/>
          <w:w w:val="125"/>
        </w:rPr>
        <w:t>(6)</w:t>
      </w:r>
    </w:p>
    <w:p>
      <w:pPr>
        <w:pStyle w:val="BodyText"/>
        <w:tabs>
          <w:tab w:pos="5867" w:val="left" w:leader="none"/>
        </w:tabs>
        <w:spacing w:line="240" w:lineRule="exact"/>
        <w:ind w:left="827"/>
      </w:pPr>
      <w:r>
        <w:rPr>
          <w:w w:val="125"/>
        </w:rPr>
        <w:t>The Revd Paul</w:t>
      </w:r>
      <w:r>
        <w:rPr>
          <w:spacing w:val="-37"/>
          <w:w w:val="125"/>
        </w:rPr>
        <w:t> </w:t>
      </w:r>
      <w:r>
        <w:rPr>
          <w:w w:val="125"/>
        </w:rPr>
        <w:t>Whittle</w:t>
      </w:r>
      <w:r>
        <w:rPr>
          <w:spacing w:val="-12"/>
          <w:w w:val="125"/>
        </w:rPr>
        <w:t> </w:t>
      </w:r>
      <w:r>
        <w:rPr>
          <w:w w:val="125"/>
        </w:rPr>
        <w:t>(7)</w:t>
        <w:tab/>
        <w:t>The Revd Dougie Burnett</w:t>
      </w:r>
      <w:r>
        <w:rPr>
          <w:spacing w:val="-3"/>
          <w:w w:val="125"/>
        </w:rPr>
        <w:t> </w:t>
      </w:r>
      <w:r>
        <w:rPr>
          <w:spacing w:val="-8"/>
          <w:w w:val="125"/>
        </w:rPr>
        <w:t>(8)</w:t>
      </w:r>
    </w:p>
    <w:p>
      <w:pPr>
        <w:pStyle w:val="BodyText"/>
        <w:tabs>
          <w:tab w:pos="5867" w:val="left" w:leader="none"/>
        </w:tabs>
        <w:spacing w:line="235" w:lineRule="auto" w:before="1"/>
        <w:ind w:left="827" w:right="2512"/>
      </w:pPr>
      <w:r>
        <w:rPr>
          <w:w w:val="125"/>
        </w:rPr>
        <w:t>Mrs Sue</w:t>
      </w:r>
      <w:r>
        <w:rPr>
          <w:spacing w:val="-18"/>
          <w:w w:val="125"/>
        </w:rPr>
        <w:t> </w:t>
      </w:r>
      <w:r>
        <w:rPr>
          <w:w w:val="125"/>
        </w:rPr>
        <w:t>Brown</w:t>
      </w:r>
      <w:r>
        <w:rPr>
          <w:spacing w:val="-9"/>
          <w:w w:val="125"/>
        </w:rPr>
        <w:t> </w:t>
      </w:r>
      <w:r>
        <w:rPr>
          <w:spacing w:val="-8"/>
          <w:w w:val="125"/>
        </w:rPr>
        <w:t>(9)</w:t>
        <w:tab/>
      </w:r>
      <w:r>
        <w:rPr>
          <w:w w:val="125"/>
        </w:rPr>
        <w:t>Mr Simon Fairnington </w:t>
      </w:r>
      <w:r>
        <w:rPr>
          <w:spacing w:val="-9"/>
          <w:w w:val="125"/>
        </w:rPr>
        <w:t>(10) </w:t>
      </w:r>
      <w:r>
        <w:rPr>
          <w:w w:val="125"/>
        </w:rPr>
        <w:t>The Revd Derrick</w:t>
      </w:r>
      <w:r>
        <w:rPr>
          <w:spacing w:val="-9"/>
          <w:w w:val="125"/>
        </w:rPr>
        <w:t> </w:t>
      </w:r>
      <w:r>
        <w:rPr>
          <w:w w:val="125"/>
        </w:rPr>
        <w:t>Dzandu-Hedidor</w:t>
      </w:r>
      <w:r>
        <w:rPr>
          <w:spacing w:val="-2"/>
          <w:w w:val="125"/>
        </w:rPr>
        <w:t> </w:t>
      </w:r>
      <w:r>
        <w:rPr>
          <w:spacing w:val="-14"/>
          <w:w w:val="125"/>
        </w:rPr>
        <w:t>(11)</w:t>
        <w:tab/>
      </w:r>
      <w:r>
        <w:rPr>
          <w:w w:val="125"/>
        </w:rPr>
        <w:t>The</w:t>
      </w:r>
      <w:r>
        <w:rPr>
          <w:spacing w:val="-12"/>
          <w:w w:val="125"/>
        </w:rPr>
        <w:t> </w:t>
      </w:r>
      <w:r>
        <w:rPr>
          <w:w w:val="125"/>
        </w:rPr>
        <w:t>Revd</w:t>
      </w:r>
      <w:r>
        <w:rPr>
          <w:spacing w:val="-12"/>
          <w:w w:val="125"/>
        </w:rPr>
        <w:t> </w:t>
      </w:r>
      <w:r>
        <w:rPr>
          <w:w w:val="125"/>
        </w:rPr>
        <w:t>Adrian</w:t>
      </w:r>
      <w:r>
        <w:rPr>
          <w:spacing w:val="-12"/>
          <w:w w:val="125"/>
        </w:rPr>
        <w:t> </w:t>
      </w:r>
      <w:r>
        <w:rPr>
          <w:w w:val="125"/>
        </w:rPr>
        <w:t>Bulley</w:t>
      </w:r>
      <w:r>
        <w:rPr>
          <w:spacing w:val="-12"/>
          <w:w w:val="125"/>
        </w:rPr>
        <w:t> </w:t>
      </w:r>
      <w:r>
        <w:rPr>
          <w:spacing w:val="-10"/>
          <w:w w:val="125"/>
        </w:rPr>
        <w:t>(12) </w:t>
      </w:r>
      <w:r>
        <w:rPr>
          <w:w w:val="125"/>
        </w:rPr>
        <w:t>Miss Morag Donaldson</w:t>
      </w:r>
      <w:r>
        <w:rPr>
          <w:spacing w:val="-3"/>
          <w:w w:val="125"/>
        </w:rPr>
        <w:t> </w:t>
      </w:r>
      <w:r>
        <w:rPr>
          <w:spacing w:val="-12"/>
          <w:w w:val="125"/>
        </w:rPr>
        <w:t>(13)</w:t>
      </w:r>
    </w:p>
    <w:p>
      <w:pPr>
        <w:pStyle w:val="BodyText"/>
        <w:spacing w:line="240" w:lineRule="exact"/>
        <w:ind w:left="827"/>
      </w:pPr>
      <w:r>
        <w:rPr>
          <w:w w:val="120"/>
        </w:rPr>
        <w:t>General Secretary</w:t>
      </w:r>
    </w:p>
    <w:p>
      <w:pPr>
        <w:pStyle w:val="BodyText"/>
        <w:spacing w:line="235" w:lineRule="auto" w:before="2"/>
        <w:ind w:left="827" w:right="1528"/>
      </w:pPr>
      <w:r>
        <w:rPr>
          <w:w w:val="120"/>
        </w:rPr>
        <w:t>In attendance: Secretary for Global and Intercultural Ministries, advising on black and minority ethnic (BAME) nominations.</w:t>
      </w:r>
    </w:p>
    <w:p>
      <w:pPr>
        <w:pStyle w:val="BodyText"/>
        <w:spacing w:before="7"/>
        <w:rPr>
          <w:sz w:val="19"/>
        </w:rPr>
      </w:pPr>
    </w:p>
    <w:p>
      <w:pPr>
        <w:spacing w:line="223" w:lineRule="auto" w:before="1"/>
        <w:ind w:left="827" w:right="4507" w:firstLine="0"/>
        <w:jc w:val="left"/>
        <w:rPr>
          <w:rFonts w:ascii="Stone Sans II ITC Std Bk"/>
          <w:b/>
          <w:sz w:val="20"/>
        </w:rPr>
      </w:pPr>
      <w:r>
        <w:rPr>
          <w:rFonts w:ascii="Stone Sans II ITC Std Bk"/>
          <w:b/>
          <w:w w:val="110"/>
          <w:sz w:val="20"/>
        </w:rPr>
        <w:t>2.2.1 Panel for General Assembly appointments </w:t>
      </w:r>
      <w:r>
        <w:rPr>
          <w:w w:val="110"/>
          <w:sz w:val="20"/>
        </w:rPr>
        <w:t>Members usually serve for five years as training is required. </w:t>
      </w:r>
      <w:r>
        <w:rPr>
          <w:rFonts w:ascii="Stone Sans II ITC Std Bk"/>
          <w:b/>
          <w:w w:val="110"/>
          <w:sz w:val="20"/>
        </w:rPr>
        <w:t>Retiring 2019</w:t>
      </w:r>
    </w:p>
    <w:p>
      <w:pPr>
        <w:pStyle w:val="BodyText"/>
        <w:tabs>
          <w:tab w:pos="5867" w:val="left" w:leader="none"/>
        </w:tabs>
        <w:spacing w:line="231" w:lineRule="exact"/>
        <w:ind w:left="827"/>
      </w:pPr>
      <w:r>
        <w:rPr>
          <w:w w:val="120"/>
        </w:rPr>
        <w:t>Mrs Sue</w:t>
      </w:r>
      <w:r>
        <w:rPr>
          <w:spacing w:val="13"/>
          <w:w w:val="120"/>
        </w:rPr>
        <w:t> </w:t>
      </w:r>
      <w:r>
        <w:rPr>
          <w:w w:val="120"/>
        </w:rPr>
        <w:t>Brown</w:t>
      </w:r>
      <w:r>
        <w:rPr>
          <w:spacing w:val="7"/>
          <w:w w:val="120"/>
        </w:rPr>
        <w:t> </w:t>
      </w:r>
      <w:r>
        <w:rPr>
          <w:spacing w:val="-8"/>
          <w:w w:val="120"/>
        </w:rPr>
        <w:t>(9)</w:t>
        <w:tab/>
      </w:r>
      <w:r>
        <w:rPr>
          <w:w w:val="120"/>
        </w:rPr>
        <w:t>The Revd Nick Adlem</w:t>
      </w:r>
      <w:r>
        <w:rPr>
          <w:spacing w:val="13"/>
          <w:w w:val="120"/>
        </w:rPr>
        <w:t> </w:t>
      </w:r>
      <w:r>
        <w:rPr>
          <w:spacing w:val="-8"/>
          <w:w w:val="120"/>
        </w:rPr>
        <w:t>(9)</w:t>
      </w:r>
    </w:p>
    <w:p>
      <w:pPr>
        <w:pStyle w:val="BodyText"/>
        <w:tabs>
          <w:tab w:pos="5867" w:val="left" w:leader="none"/>
        </w:tabs>
        <w:spacing w:line="240" w:lineRule="exact"/>
        <w:ind w:left="827"/>
      </w:pPr>
      <w:r>
        <w:rPr>
          <w:w w:val="120"/>
        </w:rPr>
        <w:t>The Revd Paul</w:t>
      </w:r>
      <w:r>
        <w:rPr>
          <w:spacing w:val="26"/>
          <w:w w:val="120"/>
        </w:rPr>
        <w:t> </w:t>
      </w:r>
      <w:r>
        <w:rPr>
          <w:w w:val="120"/>
        </w:rPr>
        <w:t>Bedford</w:t>
      </w:r>
      <w:r>
        <w:rPr>
          <w:spacing w:val="8"/>
          <w:w w:val="120"/>
        </w:rPr>
        <w:t> </w:t>
      </w:r>
      <w:r>
        <w:rPr>
          <w:spacing w:val="-8"/>
          <w:w w:val="120"/>
        </w:rPr>
        <w:t>(9)</w:t>
        <w:tab/>
      </w:r>
      <w:r>
        <w:rPr>
          <w:w w:val="120"/>
        </w:rPr>
        <w:t>The Revd Sohail Ejaz</w:t>
      </w:r>
      <w:r>
        <w:rPr>
          <w:spacing w:val="11"/>
          <w:w w:val="120"/>
        </w:rPr>
        <w:t> </w:t>
      </w:r>
      <w:r>
        <w:rPr>
          <w:w w:val="120"/>
        </w:rPr>
        <w:t>(7)</w:t>
      </w:r>
    </w:p>
    <w:p>
      <w:pPr>
        <w:pStyle w:val="BodyText"/>
        <w:tabs>
          <w:tab w:pos="5867" w:val="left" w:leader="none"/>
        </w:tabs>
        <w:spacing w:line="234" w:lineRule="exact"/>
        <w:ind w:left="827"/>
      </w:pPr>
      <w:r>
        <w:rPr>
          <w:w w:val="125"/>
        </w:rPr>
        <w:t>The Revd Raymond</w:t>
      </w:r>
      <w:r>
        <w:rPr>
          <w:spacing w:val="-13"/>
          <w:w w:val="125"/>
        </w:rPr>
        <w:t> </w:t>
      </w:r>
      <w:r>
        <w:rPr>
          <w:w w:val="125"/>
        </w:rPr>
        <w:t>Singh</w:t>
      </w:r>
      <w:r>
        <w:rPr>
          <w:spacing w:val="-4"/>
          <w:w w:val="125"/>
        </w:rPr>
        <w:t> </w:t>
      </w:r>
      <w:r>
        <w:rPr>
          <w:spacing w:val="-14"/>
          <w:w w:val="125"/>
        </w:rPr>
        <w:t>(11)</w:t>
        <w:tab/>
      </w:r>
      <w:r>
        <w:rPr>
          <w:w w:val="125"/>
        </w:rPr>
        <w:t>The Revd Reginald Mudenda</w:t>
      </w:r>
      <w:r>
        <w:rPr>
          <w:spacing w:val="-6"/>
          <w:w w:val="125"/>
        </w:rPr>
        <w:t> </w:t>
      </w:r>
      <w:r>
        <w:rPr>
          <w:spacing w:val="-14"/>
          <w:w w:val="125"/>
        </w:rPr>
        <w:t>(11)</w:t>
      </w:r>
    </w:p>
    <w:p>
      <w:pPr>
        <w:pStyle w:val="Heading8"/>
        <w:spacing w:line="253" w:lineRule="exact"/>
        <w:ind w:left="827" w:firstLine="0"/>
      </w:pPr>
      <w:r>
        <w:rPr>
          <w:w w:val="110"/>
        </w:rPr>
        <w:t>Retiring 2020</w:t>
      </w:r>
    </w:p>
    <w:p>
      <w:pPr>
        <w:pStyle w:val="BodyText"/>
        <w:tabs>
          <w:tab w:pos="5867" w:val="left" w:leader="none"/>
        </w:tabs>
        <w:spacing w:line="233" w:lineRule="exact"/>
        <w:ind w:left="827"/>
      </w:pPr>
      <w:r>
        <w:rPr>
          <w:w w:val="125"/>
        </w:rPr>
        <w:t>Mrs Sheana</w:t>
      </w:r>
      <w:r>
        <w:rPr>
          <w:spacing w:val="-19"/>
          <w:w w:val="125"/>
        </w:rPr>
        <w:t> </w:t>
      </w:r>
      <w:r>
        <w:rPr>
          <w:w w:val="125"/>
        </w:rPr>
        <w:t>Dudley</w:t>
      </w:r>
      <w:r>
        <w:rPr>
          <w:spacing w:val="-9"/>
          <w:w w:val="125"/>
        </w:rPr>
        <w:t> </w:t>
      </w:r>
      <w:r>
        <w:rPr>
          <w:spacing w:val="-10"/>
          <w:w w:val="125"/>
        </w:rPr>
        <w:t>(4)</w:t>
        <w:tab/>
      </w:r>
      <w:r>
        <w:rPr>
          <w:w w:val="125"/>
        </w:rPr>
        <w:t>Mr Clive Curtis</w:t>
      </w:r>
      <w:r>
        <w:rPr>
          <w:spacing w:val="-2"/>
          <w:w w:val="125"/>
        </w:rPr>
        <w:t> </w:t>
      </w:r>
      <w:r>
        <w:rPr>
          <w:spacing w:val="-10"/>
          <w:w w:val="125"/>
        </w:rPr>
        <w:t>(12)</w:t>
      </w:r>
    </w:p>
    <w:p>
      <w:pPr>
        <w:pStyle w:val="BodyText"/>
        <w:tabs>
          <w:tab w:pos="5867" w:val="left" w:leader="none"/>
        </w:tabs>
        <w:spacing w:line="240" w:lineRule="exact"/>
        <w:ind w:left="827"/>
      </w:pPr>
      <w:r>
        <w:rPr>
          <w:w w:val="125"/>
        </w:rPr>
        <w:t>Mrs Gwen</w:t>
      </w:r>
      <w:r>
        <w:rPr>
          <w:spacing w:val="-20"/>
          <w:w w:val="125"/>
        </w:rPr>
        <w:t> </w:t>
      </w:r>
      <w:r>
        <w:rPr>
          <w:w w:val="125"/>
        </w:rPr>
        <w:t>Jennings</w:t>
      </w:r>
      <w:r>
        <w:rPr>
          <w:spacing w:val="-10"/>
          <w:w w:val="125"/>
        </w:rPr>
        <w:t> </w:t>
      </w:r>
      <w:r>
        <w:rPr>
          <w:spacing w:val="-8"/>
          <w:w w:val="125"/>
        </w:rPr>
        <w:t>(8)</w:t>
        <w:tab/>
      </w:r>
      <w:r>
        <w:rPr>
          <w:w w:val="125"/>
        </w:rPr>
        <w:t>The Revd Dick Gray</w:t>
      </w:r>
      <w:r>
        <w:rPr>
          <w:spacing w:val="-15"/>
          <w:w w:val="125"/>
        </w:rPr>
        <w:t> </w:t>
      </w:r>
      <w:r>
        <w:rPr>
          <w:spacing w:val="-8"/>
          <w:w w:val="125"/>
        </w:rPr>
        <w:t>(8)</w:t>
      </w:r>
    </w:p>
    <w:p>
      <w:pPr>
        <w:pStyle w:val="BodyText"/>
        <w:tabs>
          <w:tab w:pos="5867" w:val="left" w:leader="none"/>
        </w:tabs>
        <w:spacing w:line="234" w:lineRule="exact"/>
        <w:ind w:left="827"/>
      </w:pPr>
      <w:r>
        <w:rPr>
          <w:w w:val="125"/>
        </w:rPr>
        <w:t>The Revd Samuel</w:t>
      </w:r>
      <w:r>
        <w:rPr>
          <w:spacing w:val="-19"/>
          <w:w w:val="125"/>
        </w:rPr>
        <w:t> </w:t>
      </w:r>
      <w:r>
        <w:rPr>
          <w:w w:val="125"/>
        </w:rPr>
        <w:t>Silungwe</w:t>
      </w:r>
      <w:r>
        <w:rPr>
          <w:spacing w:val="-7"/>
          <w:w w:val="125"/>
        </w:rPr>
        <w:t> </w:t>
      </w:r>
      <w:r>
        <w:rPr>
          <w:spacing w:val="-8"/>
          <w:w w:val="125"/>
        </w:rPr>
        <w:t>(5)</w:t>
        <w:tab/>
      </w:r>
      <w:r>
        <w:rPr>
          <w:w w:val="125"/>
        </w:rPr>
        <w:t>The Revd Bill </w:t>
      </w:r>
      <w:r>
        <w:rPr>
          <w:spacing w:val="-3"/>
          <w:w w:val="125"/>
        </w:rPr>
        <w:t>Young</w:t>
      </w:r>
      <w:r>
        <w:rPr>
          <w:spacing w:val="-10"/>
          <w:w w:val="125"/>
        </w:rPr>
        <w:t> </w:t>
      </w:r>
      <w:r>
        <w:rPr>
          <w:spacing w:val="-7"/>
          <w:w w:val="125"/>
        </w:rPr>
        <w:t>(6)</w:t>
      </w:r>
    </w:p>
    <w:p>
      <w:pPr>
        <w:pStyle w:val="Heading8"/>
        <w:spacing w:line="253" w:lineRule="exact"/>
        <w:ind w:left="827" w:firstLine="0"/>
      </w:pPr>
      <w:r>
        <w:rPr>
          <w:w w:val="110"/>
        </w:rPr>
        <w:t>Retiring 2021</w:t>
      </w:r>
    </w:p>
    <w:p>
      <w:pPr>
        <w:pStyle w:val="BodyText"/>
        <w:tabs>
          <w:tab w:pos="5867" w:val="left" w:leader="none"/>
        </w:tabs>
        <w:spacing w:line="235" w:lineRule="auto"/>
        <w:ind w:left="827" w:right="3231"/>
      </w:pPr>
      <w:r>
        <w:rPr>
          <w:w w:val="125"/>
        </w:rPr>
        <w:t>The Revd David</w:t>
      </w:r>
      <w:r>
        <w:rPr>
          <w:spacing w:val="-14"/>
          <w:w w:val="125"/>
        </w:rPr>
        <w:t> </w:t>
      </w:r>
      <w:r>
        <w:rPr>
          <w:w w:val="125"/>
        </w:rPr>
        <w:t>Sebley</w:t>
      </w:r>
      <w:r>
        <w:rPr>
          <w:spacing w:val="-4"/>
          <w:w w:val="125"/>
        </w:rPr>
        <w:t> </w:t>
      </w:r>
      <w:r>
        <w:rPr>
          <w:w w:val="125"/>
        </w:rPr>
        <w:t>(7)</w:t>
        <w:tab/>
        <w:t>Mrs</w:t>
      </w:r>
      <w:r>
        <w:rPr>
          <w:spacing w:val="-24"/>
          <w:w w:val="125"/>
        </w:rPr>
        <w:t> </w:t>
      </w:r>
      <w:r>
        <w:rPr>
          <w:w w:val="125"/>
        </w:rPr>
        <w:t>Val</w:t>
      </w:r>
      <w:r>
        <w:rPr>
          <w:spacing w:val="-23"/>
          <w:w w:val="125"/>
        </w:rPr>
        <w:t> </w:t>
      </w:r>
      <w:r>
        <w:rPr>
          <w:w w:val="125"/>
        </w:rPr>
        <w:t>Morrison</w:t>
      </w:r>
      <w:r>
        <w:rPr>
          <w:spacing w:val="-24"/>
          <w:w w:val="125"/>
        </w:rPr>
        <w:t> </w:t>
      </w:r>
      <w:r>
        <w:rPr>
          <w:spacing w:val="-10"/>
          <w:w w:val="125"/>
        </w:rPr>
        <w:t>(4) </w:t>
      </w:r>
      <w:r>
        <w:rPr>
          <w:w w:val="125"/>
        </w:rPr>
        <w:t>Mrs Kate </w:t>
      </w:r>
      <w:r>
        <w:rPr>
          <w:spacing w:val="-3"/>
          <w:w w:val="125"/>
        </w:rPr>
        <w:t>Yates</w:t>
      </w:r>
      <w:r>
        <w:rPr>
          <w:spacing w:val="-4"/>
          <w:w w:val="125"/>
        </w:rPr>
        <w:t> </w:t>
      </w:r>
      <w:r>
        <w:rPr>
          <w:spacing w:val="-9"/>
          <w:w w:val="125"/>
        </w:rPr>
        <w:t>(10)</w:t>
      </w:r>
    </w:p>
    <w:p>
      <w:pPr>
        <w:pStyle w:val="Heading8"/>
        <w:spacing w:line="247" w:lineRule="exact"/>
        <w:ind w:left="827" w:firstLine="0"/>
      </w:pPr>
      <w:r>
        <w:rPr>
          <w:w w:val="110"/>
        </w:rPr>
        <w:t>Retiring 2022</w:t>
      </w:r>
    </w:p>
    <w:p>
      <w:pPr>
        <w:pStyle w:val="BodyText"/>
        <w:tabs>
          <w:tab w:pos="5867" w:val="left" w:leader="none"/>
        </w:tabs>
        <w:spacing w:line="227" w:lineRule="exact"/>
        <w:ind w:left="827"/>
      </w:pPr>
      <w:r>
        <w:rPr>
          <w:w w:val="120"/>
        </w:rPr>
        <w:t>Mr John</w:t>
      </w:r>
      <w:r>
        <w:rPr>
          <w:spacing w:val="8"/>
          <w:w w:val="120"/>
        </w:rPr>
        <w:t> </w:t>
      </w:r>
      <w:r>
        <w:rPr>
          <w:w w:val="120"/>
        </w:rPr>
        <w:t>Ellis</w:t>
      </w:r>
      <w:r>
        <w:rPr>
          <w:spacing w:val="5"/>
          <w:w w:val="120"/>
        </w:rPr>
        <w:t> </w:t>
      </w:r>
      <w:r>
        <w:rPr>
          <w:spacing w:val="-14"/>
          <w:w w:val="120"/>
        </w:rPr>
        <w:t>(11)</w:t>
        <w:tab/>
      </w:r>
      <w:r>
        <w:rPr>
          <w:w w:val="120"/>
        </w:rPr>
        <w:t>The Revd </w:t>
      </w:r>
      <w:r>
        <w:rPr>
          <w:spacing w:val="2"/>
          <w:w w:val="120"/>
        </w:rPr>
        <w:t>Mary </w:t>
      </w:r>
      <w:r>
        <w:rPr>
          <w:w w:val="120"/>
        </w:rPr>
        <w:t>Irish</w:t>
      </w:r>
      <w:r>
        <w:rPr>
          <w:spacing w:val="7"/>
          <w:w w:val="120"/>
        </w:rPr>
        <w:t> </w:t>
      </w:r>
      <w:r>
        <w:rPr>
          <w:w w:val="120"/>
        </w:rPr>
        <w:t>(7)</w:t>
      </w:r>
    </w:p>
    <w:p>
      <w:pPr>
        <w:pStyle w:val="Heading8"/>
        <w:spacing w:line="253" w:lineRule="exact"/>
        <w:ind w:left="827" w:firstLine="0"/>
      </w:pPr>
      <w:r>
        <w:rPr>
          <w:w w:val="110"/>
        </w:rPr>
        <w:t>Retiring 2023</w:t>
      </w:r>
    </w:p>
    <w:p>
      <w:pPr>
        <w:pStyle w:val="BodyText"/>
        <w:tabs>
          <w:tab w:pos="5867" w:val="left" w:leader="none"/>
        </w:tabs>
        <w:spacing w:line="233" w:lineRule="exact"/>
        <w:ind w:left="827"/>
      </w:pPr>
      <w:r>
        <w:rPr>
          <w:w w:val="120"/>
        </w:rPr>
        <w:t>Mrs Barbara</w:t>
      </w:r>
      <w:r>
        <w:rPr>
          <w:spacing w:val="-18"/>
          <w:w w:val="120"/>
        </w:rPr>
        <w:t> </w:t>
      </w:r>
      <w:r>
        <w:rPr>
          <w:w w:val="120"/>
        </w:rPr>
        <w:t>Ellis**</w:t>
      </w:r>
      <w:r>
        <w:rPr>
          <w:spacing w:val="-9"/>
          <w:w w:val="120"/>
        </w:rPr>
        <w:t> </w:t>
      </w:r>
      <w:r>
        <w:rPr>
          <w:spacing w:val="-8"/>
          <w:w w:val="120"/>
        </w:rPr>
        <w:t>(3)</w:t>
        <w:tab/>
      </w:r>
      <w:r>
        <w:rPr>
          <w:w w:val="120"/>
        </w:rPr>
        <w:t>The Revd Hugh Graham**</w:t>
      </w:r>
      <w:r>
        <w:rPr>
          <w:spacing w:val="11"/>
          <w:w w:val="120"/>
        </w:rPr>
        <w:t> </w:t>
      </w:r>
      <w:r>
        <w:rPr>
          <w:spacing w:val="-9"/>
          <w:w w:val="120"/>
        </w:rPr>
        <w:t>(10)</w:t>
      </w:r>
    </w:p>
    <w:p>
      <w:pPr>
        <w:pStyle w:val="BodyText"/>
        <w:tabs>
          <w:tab w:pos="5867" w:val="left" w:leader="none"/>
        </w:tabs>
        <w:spacing w:line="240" w:lineRule="exact"/>
        <w:ind w:left="827"/>
      </w:pPr>
      <w:r>
        <w:rPr>
          <w:w w:val="120"/>
        </w:rPr>
        <w:t>The Revd Alison</w:t>
      </w:r>
      <w:r>
        <w:rPr>
          <w:spacing w:val="7"/>
          <w:w w:val="120"/>
        </w:rPr>
        <w:t> </w:t>
      </w:r>
      <w:r>
        <w:rPr>
          <w:w w:val="120"/>
        </w:rPr>
        <w:t>Hall**</w:t>
      </w:r>
      <w:r>
        <w:rPr>
          <w:spacing w:val="2"/>
          <w:w w:val="120"/>
        </w:rPr>
        <w:t> </w:t>
      </w:r>
      <w:r>
        <w:rPr>
          <w:spacing w:val="-8"/>
          <w:w w:val="120"/>
        </w:rPr>
        <w:t>(3)</w:t>
        <w:tab/>
      </w:r>
      <w:r>
        <w:rPr>
          <w:w w:val="120"/>
        </w:rPr>
        <w:t>Mrs Helen Lidgett**</w:t>
      </w:r>
      <w:r>
        <w:rPr>
          <w:spacing w:val="7"/>
          <w:w w:val="120"/>
        </w:rPr>
        <w:t> </w:t>
      </w:r>
      <w:r>
        <w:rPr>
          <w:spacing w:val="-8"/>
          <w:w w:val="120"/>
        </w:rPr>
        <w:t>(5)</w:t>
      </w:r>
    </w:p>
    <w:p>
      <w:pPr>
        <w:pStyle w:val="BodyText"/>
        <w:tabs>
          <w:tab w:pos="5867" w:val="left" w:leader="none"/>
        </w:tabs>
        <w:spacing w:line="235" w:lineRule="auto"/>
        <w:ind w:left="827" w:right="2842"/>
      </w:pPr>
      <w:r>
        <w:rPr>
          <w:w w:val="120"/>
        </w:rPr>
        <w:t>Dr Jim</w:t>
      </w:r>
      <w:r>
        <w:rPr>
          <w:spacing w:val="-11"/>
          <w:w w:val="120"/>
        </w:rPr>
        <w:t> </w:t>
      </w:r>
      <w:r>
        <w:rPr>
          <w:w w:val="120"/>
        </w:rPr>
        <w:t>Merrilees**</w:t>
      </w:r>
      <w:r>
        <w:rPr>
          <w:spacing w:val="-5"/>
          <w:w w:val="120"/>
        </w:rPr>
        <w:t> </w:t>
      </w:r>
      <w:r>
        <w:rPr>
          <w:spacing w:val="-12"/>
          <w:w w:val="120"/>
        </w:rPr>
        <w:t>(13)</w:t>
        <w:tab/>
      </w:r>
      <w:r>
        <w:rPr>
          <w:w w:val="120"/>
        </w:rPr>
        <w:t>Ms Helen Stenson**</w:t>
      </w:r>
      <w:r>
        <w:rPr>
          <w:spacing w:val="-16"/>
          <w:w w:val="120"/>
        </w:rPr>
        <w:t> </w:t>
      </w:r>
      <w:r>
        <w:rPr>
          <w:spacing w:val="-10"/>
          <w:w w:val="120"/>
        </w:rPr>
        <w:t>(12) </w:t>
      </w:r>
      <w:r>
        <w:rPr>
          <w:w w:val="120"/>
        </w:rPr>
        <w:t>The Revd Ruth Whitehead**</w:t>
      </w:r>
      <w:r>
        <w:rPr>
          <w:spacing w:val="6"/>
          <w:w w:val="120"/>
        </w:rPr>
        <w:t> </w:t>
      </w:r>
      <w:r>
        <w:rPr>
          <w:spacing w:val="-8"/>
          <w:w w:val="120"/>
        </w:rPr>
        <w:t>(8)</w:t>
      </w:r>
    </w:p>
    <w:p>
      <w:pPr>
        <w:pStyle w:val="BodyText"/>
        <w:spacing w:before="1"/>
        <w:rPr>
          <w:sz w:val="18"/>
        </w:rPr>
      </w:pPr>
    </w:p>
    <w:p>
      <w:pPr>
        <w:pStyle w:val="Heading8"/>
        <w:numPr>
          <w:ilvl w:val="1"/>
          <w:numId w:val="120"/>
        </w:numPr>
        <w:tabs>
          <w:tab w:pos="1507" w:val="left" w:leader="none"/>
          <w:tab w:pos="1508" w:val="left" w:leader="none"/>
        </w:tabs>
        <w:spacing w:line="261" w:lineRule="exact" w:before="1" w:after="0"/>
        <w:ind w:left="1507" w:right="0" w:hanging="681"/>
        <w:jc w:val="left"/>
      </w:pPr>
      <w:r>
        <w:rPr>
          <w:w w:val="110"/>
        </w:rPr>
        <w:t>Ministerial incapacity and discipline (Mind) advisory group</w:t>
      </w:r>
    </w:p>
    <w:p>
      <w:pPr>
        <w:pStyle w:val="BodyText"/>
        <w:spacing w:line="235" w:lineRule="auto"/>
        <w:ind w:left="827" w:right="5860"/>
      </w:pPr>
      <w:r>
        <w:rPr>
          <w:w w:val="120"/>
        </w:rPr>
        <w:t>Convenor: The Revd John Durell </w:t>
      </w:r>
      <w:r>
        <w:rPr>
          <w:spacing w:val="-5"/>
          <w:w w:val="120"/>
        </w:rPr>
        <w:t>[2020] </w:t>
      </w:r>
      <w:r>
        <w:rPr>
          <w:w w:val="120"/>
        </w:rPr>
        <w:t>Secretary: The Revd Chris Copley </w:t>
      </w:r>
      <w:r>
        <w:rPr>
          <w:spacing w:val="-3"/>
          <w:w w:val="120"/>
        </w:rPr>
        <w:t>[2022]**</w:t>
      </w:r>
    </w:p>
    <w:p>
      <w:pPr>
        <w:pStyle w:val="BodyText"/>
        <w:spacing w:line="235" w:lineRule="auto"/>
        <w:ind w:left="827" w:right="4507"/>
      </w:pPr>
      <w:r>
        <w:rPr>
          <w:w w:val="120"/>
        </w:rPr>
        <w:t>Synod Moderator: The Revd Clare Downing [2021] Convenor of the Assembly commission</w:t>
      </w:r>
    </w:p>
    <w:p>
      <w:pPr>
        <w:pStyle w:val="BodyText"/>
        <w:spacing w:line="240" w:lineRule="exact"/>
        <w:ind w:left="827"/>
      </w:pPr>
      <w:r>
        <w:rPr>
          <w:w w:val="120"/>
        </w:rPr>
        <w:t>Secretary of the Assembly commission</w:t>
      </w:r>
    </w:p>
    <w:p>
      <w:pPr>
        <w:pStyle w:val="BodyText"/>
        <w:spacing w:line="235" w:lineRule="auto"/>
        <w:ind w:left="827" w:right="3967"/>
      </w:pPr>
      <w:r>
        <w:rPr>
          <w:w w:val="120"/>
        </w:rPr>
        <w:t>Convenor of the review commission of the incapacity procedure Secretary of the review commission of the incapacity procedure Consultant for ministers and CRCWs: The Revd Ken Chippindale Consultant for mandated groups: The Revd  Alison  Davis Training coordinator: Mr Keith</w:t>
      </w:r>
      <w:r>
        <w:rPr>
          <w:spacing w:val="5"/>
          <w:w w:val="120"/>
        </w:rPr>
        <w:t> </w:t>
      </w:r>
      <w:r>
        <w:rPr>
          <w:w w:val="120"/>
        </w:rPr>
        <w:t>Webster</w:t>
      </w:r>
    </w:p>
    <w:p>
      <w:pPr>
        <w:pStyle w:val="BodyText"/>
        <w:spacing w:line="235" w:lineRule="auto" w:before="1"/>
        <w:ind w:left="827" w:right="5063"/>
      </w:pPr>
      <w:r>
        <w:rPr>
          <w:w w:val="120"/>
        </w:rPr>
        <w:t>General Secretary; Clerk of General Assembly Secretary for Ministries; legal advisor</w:t>
      </w:r>
    </w:p>
    <w:p>
      <w:pPr>
        <w:pStyle w:val="BodyText"/>
        <w:spacing w:line="242" w:lineRule="exact"/>
        <w:ind w:left="827"/>
      </w:pPr>
      <w:r>
        <w:rPr>
          <w:w w:val="120"/>
        </w:rPr>
        <w:t>Co-opted: Mr Hartley Oldham</w:t>
      </w:r>
    </w:p>
    <w:p>
      <w:pPr>
        <w:pStyle w:val="BodyText"/>
        <w:spacing w:before="3"/>
        <w:rPr>
          <w:sz w:val="18"/>
        </w:rPr>
      </w:pPr>
    </w:p>
    <w:p>
      <w:pPr>
        <w:pStyle w:val="Heading8"/>
        <w:numPr>
          <w:ilvl w:val="1"/>
          <w:numId w:val="120"/>
        </w:numPr>
        <w:tabs>
          <w:tab w:pos="1507" w:val="left" w:leader="none"/>
          <w:tab w:pos="1508" w:val="left" w:leader="none"/>
        </w:tabs>
        <w:spacing w:line="261" w:lineRule="exact" w:before="1" w:after="0"/>
        <w:ind w:left="1507" w:right="0" w:hanging="681"/>
        <w:jc w:val="left"/>
      </w:pPr>
      <w:r>
        <w:rPr>
          <w:w w:val="110"/>
        </w:rPr>
        <w:t>Disciplinary process – commission</w:t>
      </w:r>
      <w:r>
        <w:rPr>
          <w:spacing w:val="-1"/>
          <w:w w:val="110"/>
        </w:rPr>
        <w:t> </w:t>
      </w:r>
      <w:r>
        <w:rPr>
          <w:w w:val="110"/>
        </w:rPr>
        <w:t>panel</w:t>
      </w:r>
    </w:p>
    <w:p>
      <w:pPr>
        <w:pStyle w:val="BodyText"/>
        <w:spacing w:line="235" w:lineRule="auto"/>
        <w:ind w:left="827" w:right="1528"/>
      </w:pPr>
      <w:r>
        <w:rPr>
          <w:w w:val="120"/>
        </w:rPr>
        <w:t>Members serve for five years as regular training is required. They may be invited to continue serving beyond this as experience is especially valuable on this</w:t>
      </w:r>
      <w:r>
        <w:rPr>
          <w:spacing w:val="53"/>
          <w:w w:val="120"/>
        </w:rPr>
        <w:t> </w:t>
      </w:r>
      <w:r>
        <w:rPr>
          <w:w w:val="120"/>
        </w:rPr>
        <w:t>panel.</w:t>
      </w:r>
    </w:p>
    <w:p>
      <w:pPr>
        <w:pStyle w:val="BodyText"/>
        <w:spacing w:line="235" w:lineRule="auto"/>
        <w:ind w:left="827" w:right="5224"/>
      </w:pPr>
      <w:r>
        <w:rPr>
          <w:w w:val="125"/>
        </w:rPr>
        <w:t>Convenor: The Revd Dr Janet Tollington (7) </w:t>
      </w:r>
      <w:r>
        <w:rPr>
          <w:spacing w:val="-5"/>
          <w:w w:val="125"/>
        </w:rPr>
        <w:t>[2020] </w:t>
      </w:r>
      <w:r>
        <w:rPr>
          <w:w w:val="125"/>
        </w:rPr>
        <w:t>Deputy convenor: Mr Keith Webster </w:t>
      </w:r>
      <w:r>
        <w:rPr>
          <w:spacing w:val="-9"/>
          <w:w w:val="125"/>
        </w:rPr>
        <w:t>(10) </w:t>
      </w:r>
      <w:r>
        <w:rPr>
          <w:spacing w:val="-5"/>
          <w:w w:val="125"/>
        </w:rPr>
        <w:t>[2022] </w:t>
      </w:r>
      <w:r>
        <w:rPr>
          <w:w w:val="125"/>
        </w:rPr>
        <w:t>Secretary: Mr Philip Laws </w:t>
      </w:r>
      <w:r>
        <w:rPr>
          <w:spacing w:val="-5"/>
          <w:w w:val="125"/>
        </w:rPr>
        <w:t>[2022]</w:t>
      </w:r>
    </w:p>
    <w:p>
      <w:pPr>
        <w:pStyle w:val="BodyText"/>
        <w:spacing w:line="234" w:lineRule="exact"/>
        <w:ind w:left="827"/>
      </w:pPr>
      <w:r>
        <w:rPr>
          <w:w w:val="120"/>
        </w:rPr>
        <w:t>Members:</w:t>
      </w:r>
    </w:p>
    <w:p>
      <w:pPr>
        <w:pStyle w:val="Heading8"/>
        <w:spacing w:line="253" w:lineRule="exact"/>
        <w:ind w:left="827" w:firstLine="0"/>
      </w:pPr>
      <w:r>
        <w:rPr>
          <w:w w:val="110"/>
        </w:rPr>
        <w:t>Retiring 2019</w:t>
      </w:r>
    </w:p>
    <w:p>
      <w:pPr>
        <w:pStyle w:val="BodyText"/>
        <w:tabs>
          <w:tab w:pos="5867" w:val="left" w:leader="none"/>
        </w:tabs>
        <w:spacing w:line="233" w:lineRule="exact"/>
        <w:ind w:left="827"/>
      </w:pPr>
      <w:r>
        <w:rPr>
          <w:w w:val="125"/>
        </w:rPr>
        <w:t>The Revd Debbie</w:t>
      </w:r>
      <w:r>
        <w:rPr>
          <w:spacing w:val="-12"/>
          <w:w w:val="125"/>
        </w:rPr>
        <w:t> </w:t>
      </w:r>
      <w:r>
        <w:rPr>
          <w:w w:val="125"/>
        </w:rPr>
        <w:t>Brown</w:t>
      </w:r>
      <w:r>
        <w:rPr>
          <w:spacing w:val="-4"/>
          <w:w w:val="125"/>
        </w:rPr>
        <w:t> </w:t>
      </w:r>
      <w:r>
        <w:rPr>
          <w:spacing w:val="-8"/>
          <w:w w:val="125"/>
        </w:rPr>
        <w:t>(3)</w:t>
        <w:tab/>
      </w:r>
      <w:r>
        <w:rPr>
          <w:w w:val="125"/>
        </w:rPr>
        <w:t>Mr Peter Etwell</w:t>
      </w:r>
      <w:r>
        <w:rPr>
          <w:spacing w:val="-4"/>
          <w:w w:val="125"/>
        </w:rPr>
        <w:t> </w:t>
      </w:r>
      <w:r>
        <w:rPr>
          <w:spacing w:val="-11"/>
          <w:w w:val="125"/>
        </w:rPr>
        <w:t>(1)</w:t>
      </w:r>
    </w:p>
    <w:p>
      <w:pPr>
        <w:pStyle w:val="BodyText"/>
        <w:tabs>
          <w:tab w:pos="5867" w:val="left" w:leader="none"/>
        </w:tabs>
        <w:spacing w:line="240" w:lineRule="exact"/>
        <w:ind w:left="827"/>
      </w:pPr>
      <w:r>
        <w:rPr>
          <w:w w:val="125"/>
        </w:rPr>
        <w:t>The Revd Peter</w:t>
      </w:r>
      <w:r>
        <w:rPr>
          <w:spacing w:val="-36"/>
          <w:w w:val="125"/>
        </w:rPr>
        <w:t> </w:t>
      </w:r>
      <w:r>
        <w:rPr>
          <w:w w:val="125"/>
        </w:rPr>
        <w:t>Flint</w:t>
      </w:r>
      <w:r>
        <w:rPr>
          <w:spacing w:val="-12"/>
          <w:w w:val="125"/>
        </w:rPr>
        <w:t> </w:t>
      </w:r>
      <w:r>
        <w:rPr>
          <w:spacing w:val="-14"/>
          <w:w w:val="125"/>
        </w:rPr>
        <w:t>(11)</w:t>
        <w:tab/>
      </w:r>
      <w:r>
        <w:rPr>
          <w:w w:val="125"/>
        </w:rPr>
        <w:t>Mrs Barbara Goom</w:t>
      </w:r>
      <w:r>
        <w:rPr>
          <w:spacing w:val="-3"/>
          <w:w w:val="125"/>
        </w:rPr>
        <w:t> </w:t>
      </w:r>
      <w:r>
        <w:rPr>
          <w:spacing w:val="-8"/>
          <w:w w:val="125"/>
        </w:rPr>
        <w:t>(8)</w:t>
      </w:r>
    </w:p>
    <w:p>
      <w:pPr>
        <w:pStyle w:val="BodyText"/>
        <w:tabs>
          <w:tab w:pos="5867" w:val="left" w:leader="none"/>
        </w:tabs>
        <w:spacing w:line="240" w:lineRule="exact"/>
        <w:ind w:left="827"/>
      </w:pPr>
      <w:r>
        <w:rPr>
          <w:w w:val="120"/>
        </w:rPr>
        <w:t>Mr Andrew</w:t>
      </w:r>
      <w:r>
        <w:rPr>
          <w:spacing w:val="20"/>
          <w:w w:val="120"/>
        </w:rPr>
        <w:t> </w:t>
      </w:r>
      <w:r>
        <w:rPr>
          <w:w w:val="120"/>
        </w:rPr>
        <w:t>Harvey</w:t>
      </w:r>
      <w:r>
        <w:rPr>
          <w:spacing w:val="10"/>
          <w:w w:val="120"/>
        </w:rPr>
        <w:t> </w:t>
      </w:r>
      <w:r>
        <w:rPr>
          <w:spacing w:val="-8"/>
          <w:w w:val="120"/>
        </w:rPr>
        <w:t>(8)</w:t>
        <w:tab/>
      </w:r>
      <w:r>
        <w:rPr>
          <w:w w:val="120"/>
        </w:rPr>
        <w:t>The Revd Naison Hove</w:t>
      </w:r>
      <w:r>
        <w:rPr>
          <w:spacing w:val="13"/>
          <w:w w:val="120"/>
        </w:rPr>
        <w:t> </w:t>
      </w:r>
      <w:r>
        <w:rPr>
          <w:spacing w:val="-9"/>
          <w:w w:val="120"/>
        </w:rPr>
        <w:t>(10)</w:t>
      </w:r>
    </w:p>
    <w:p>
      <w:pPr>
        <w:pStyle w:val="BodyText"/>
        <w:tabs>
          <w:tab w:pos="5867" w:val="left" w:leader="none"/>
        </w:tabs>
        <w:spacing w:line="240" w:lineRule="exact"/>
        <w:ind w:left="827"/>
      </w:pPr>
      <w:r>
        <w:rPr>
          <w:w w:val="120"/>
        </w:rPr>
        <w:t>The Revd Graham</w:t>
      </w:r>
      <w:r>
        <w:rPr>
          <w:spacing w:val="19"/>
          <w:w w:val="120"/>
        </w:rPr>
        <w:t> </w:t>
      </w:r>
      <w:r>
        <w:rPr>
          <w:w w:val="120"/>
        </w:rPr>
        <w:t>Maskery</w:t>
      </w:r>
      <w:r>
        <w:rPr>
          <w:spacing w:val="7"/>
          <w:w w:val="120"/>
        </w:rPr>
        <w:t> </w:t>
      </w:r>
      <w:r>
        <w:rPr>
          <w:spacing w:val="-8"/>
          <w:w w:val="120"/>
        </w:rPr>
        <w:t>(2)</w:t>
        <w:tab/>
      </w:r>
      <w:r>
        <w:rPr>
          <w:w w:val="120"/>
        </w:rPr>
        <w:t>The Revd Deborah McVey</w:t>
      </w:r>
      <w:r>
        <w:rPr>
          <w:spacing w:val="12"/>
          <w:w w:val="120"/>
        </w:rPr>
        <w:t> </w:t>
      </w:r>
      <w:r>
        <w:rPr>
          <w:w w:val="120"/>
        </w:rPr>
        <w:t>(7)</w:t>
      </w:r>
    </w:p>
    <w:p>
      <w:pPr>
        <w:pStyle w:val="BodyText"/>
        <w:tabs>
          <w:tab w:pos="5867" w:val="left" w:leader="none"/>
        </w:tabs>
        <w:spacing w:line="240" w:lineRule="exact"/>
        <w:ind w:left="827"/>
      </w:pPr>
      <w:r>
        <w:rPr>
          <w:w w:val="125"/>
        </w:rPr>
        <w:t>The Revd Sue</w:t>
      </w:r>
      <w:r>
        <w:rPr>
          <w:spacing w:val="-17"/>
          <w:w w:val="125"/>
        </w:rPr>
        <w:t> </w:t>
      </w:r>
      <w:r>
        <w:rPr>
          <w:w w:val="125"/>
        </w:rPr>
        <w:t>McCoan</w:t>
      </w:r>
      <w:r>
        <w:rPr>
          <w:spacing w:val="-5"/>
          <w:w w:val="125"/>
        </w:rPr>
        <w:t> </w:t>
      </w:r>
      <w:r>
        <w:rPr>
          <w:spacing w:val="-7"/>
          <w:w w:val="125"/>
        </w:rPr>
        <w:t>(6)</w:t>
        <w:tab/>
      </w:r>
      <w:r>
        <w:rPr>
          <w:w w:val="125"/>
        </w:rPr>
        <w:t>The</w:t>
      </w:r>
      <w:r>
        <w:rPr>
          <w:spacing w:val="-16"/>
          <w:w w:val="125"/>
        </w:rPr>
        <w:t> </w:t>
      </w:r>
      <w:r>
        <w:rPr>
          <w:w w:val="125"/>
        </w:rPr>
        <w:t>Revd</w:t>
      </w:r>
      <w:r>
        <w:rPr>
          <w:spacing w:val="-16"/>
          <w:w w:val="125"/>
        </w:rPr>
        <w:t> </w:t>
      </w:r>
      <w:r>
        <w:rPr>
          <w:w w:val="125"/>
        </w:rPr>
        <w:t>Sarah</w:t>
      </w:r>
      <w:r>
        <w:rPr>
          <w:spacing w:val="-16"/>
          <w:w w:val="125"/>
        </w:rPr>
        <w:t> </w:t>
      </w:r>
      <w:r>
        <w:rPr>
          <w:w w:val="125"/>
        </w:rPr>
        <w:t>Moore</w:t>
      </w:r>
      <w:r>
        <w:rPr>
          <w:spacing w:val="-16"/>
          <w:w w:val="125"/>
        </w:rPr>
        <w:t> </w:t>
      </w:r>
      <w:r>
        <w:rPr>
          <w:spacing w:val="-8"/>
          <w:w w:val="125"/>
        </w:rPr>
        <w:t>(2)</w:t>
      </w:r>
    </w:p>
    <w:p>
      <w:pPr>
        <w:pStyle w:val="BodyText"/>
        <w:tabs>
          <w:tab w:pos="5867" w:val="left" w:leader="none"/>
        </w:tabs>
        <w:spacing w:line="242" w:lineRule="exact"/>
        <w:ind w:left="827"/>
      </w:pPr>
      <w:r>
        <w:rPr>
          <w:w w:val="120"/>
        </w:rPr>
        <w:t>Mrs Pat</w:t>
      </w:r>
      <w:r>
        <w:rPr>
          <w:spacing w:val="5"/>
          <w:w w:val="120"/>
        </w:rPr>
        <w:t> </w:t>
      </w:r>
      <w:r>
        <w:rPr>
          <w:w w:val="120"/>
        </w:rPr>
        <w:t>Poinen</w:t>
      </w:r>
      <w:r>
        <w:rPr>
          <w:spacing w:val="3"/>
          <w:w w:val="120"/>
        </w:rPr>
        <w:t> </w:t>
      </w:r>
      <w:r>
        <w:rPr>
          <w:spacing w:val="-11"/>
          <w:w w:val="120"/>
        </w:rPr>
        <w:t>(1)</w:t>
        <w:tab/>
      </w:r>
      <w:r>
        <w:rPr>
          <w:w w:val="120"/>
        </w:rPr>
        <w:t>The Revd Wendy Swan</w:t>
      </w:r>
      <w:r>
        <w:rPr>
          <w:spacing w:val="50"/>
          <w:w w:val="120"/>
        </w:rPr>
        <w:t> </w:t>
      </w:r>
      <w:r>
        <w:rPr>
          <w:spacing w:val="-8"/>
          <w:w w:val="120"/>
        </w:rPr>
        <w:t>(9)</w:t>
      </w:r>
    </w:p>
    <w:p>
      <w:pPr>
        <w:spacing w:after="0" w:line="242" w:lineRule="exact"/>
        <w:sectPr>
          <w:headerReference w:type="even" r:id="rId455"/>
          <w:footerReference w:type="even" r:id="rId456"/>
          <w:footerReference w:type="default" r:id="rId457"/>
          <w:pgSz w:w="11910" w:h="16840"/>
          <w:pgMar w:header="0" w:footer="647" w:top="0" w:bottom="840" w:left="420" w:right="380"/>
          <w:pgNumType w:start="168"/>
        </w:sectPr>
      </w:pPr>
    </w:p>
    <w:p>
      <w:pPr>
        <w:pStyle w:val="BodyText"/>
      </w:pPr>
    </w:p>
    <w:p>
      <w:pPr>
        <w:pStyle w:val="BodyText"/>
        <w:spacing w:before="5"/>
        <w:rPr>
          <w:sz w:val="21"/>
        </w:rPr>
      </w:pPr>
    </w:p>
    <w:p>
      <w:pPr>
        <w:spacing w:after="0"/>
        <w:rPr>
          <w:sz w:val="21"/>
        </w:rPr>
        <w:sectPr>
          <w:headerReference w:type="default" r:id="rId458"/>
          <w:pgSz w:w="11910" w:h="16840"/>
          <w:pgMar w:header="0" w:footer="647" w:top="0" w:bottom="840" w:left="420" w:right="380"/>
        </w:sectPr>
      </w:pPr>
    </w:p>
    <w:p>
      <w:pPr>
        <w:pStyle w:val="BodyText"/>
        <w:rPr>
          <w:sz w:val="24"/>
        </w:rPr>
      </w:pPr>
    </w:p>
    <w:p>
      <w:pPr>
        <w:pStyle w:val="BodyText"/>
        <w:spacing w:before="8"/>
        <w:rPr>
          <w:sz w:val="27"/>
        </w:rPr>
      </w:pPr>
    </w:p>
    <w:p>
      <w:pPr>
        <w:pStyle w:val="Heading8"/>
        <w:spacing w:line="253" w:lineRule="exact"/>
        <w:ind w:left="1564" w:firstLine="0"/>
      </w:pPr>
      <w:r>
        <w:rPr/>
        <w:pict>
          <v:shape style="position:absolute;margin-left:554.141174pt;margin-top:-8.818079pt;width:26pt;height:133.75pt;mso-position-horizontal-relative:page;mso-position-vertical-relative:paragraph;z-index:252097536"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w w:val="110"/>
        </w:rPr>
        <w:t>Retiring 2020</w:t>
      </w:r>
    </w:p>
    <w:p>
      <w:pPr>
        <w:spacing w:before="108"/>
        <w:ind w:left="1564" w:right="0" w:firstLine="0"/>
        <w:jc w:val="left"/>
        <w:rPr>
          <w:sz w:val="26"/>
        </w:rPr>
      </w:pPr>
      <w:r>
        <w:rPr/>
        <w:br w:type="column"/>
      </w:r>
      <w:r>
        <w:rPr>
          <w:color w:val="7EAABF"/>
          <w:w w:val="120"/>
          <w:sz w:val="26"/>
        </w:rPr>
        <w:t>Nominations</w:t>
      </w:r>
    </w:p>
    <w:p>
      <w:pPr>
        <w:spacing w:after="0"/>
        <w:jc w:val="left"/>
        <w:rPr>
          <w:sz w:val="26"/>
        </w:rPr>
        <w:sectPr>
          <w:type w:val="continuous"/>
          <w:pgSz w:w="11910" w:h="16840"/>
          <w:pgMar w:top="1580" w:bottom="280" w:left="420" w:right="380"/>
          <w:cols w:num="2" w:equalWidth="0">
            <w:col w:w="3092" w:space="3983"/>
            <w:col w:w="4035"/>
          </w:cols>
        </w:sectPr>
      </w:pPr>
    </w:p>
    <w:p>
      <w:pPr>
        <w:pStyle w:val="BodyText"/>
        <w:tabs>
          <w:tab w:pos="5884" w:val="left" w:leader="none"/>
        </w:tabs>
        <w:spacing w:line="232" w:lineRule="auto" w:before="6"/>
        <w:ind w:left="1564" w:right="1947"/>
        <w:rPr>
          <w:rFonts w:ascii="Stone Sans II ITC Std Bk"/>
          <w:b/>
        </w:rPr>
      </w:pPr>
      <w:r>
        <w:rPr/>
        <w:drawing>
          <wp:anchor distT="0" distB="0" distL="0" distR="0" allowOverlap="1" layoutInCell="1" locked="0" behindDoc="0" simplePos="0" relativeHeight="252096512">
            <wp:simplePos x="0" y="0"/>
            <wp:positionH relativeFrom="page">
              <wp:posOffset>6974928</wp:posOffset>
            </wp:positionH>
            <wp:positionV relativeFrom="page">
              <wp:posOffset>0</wp:posOffset>
            </wp:positionV>
            <wp:extent cx="585063" cy="10692003"/>
            <wp:effectExtent l="0" t="0" r="0" b="0"/>
            <wp:wrapNone/>
            <wp:docPr id="327" name="image74.png"/>
            <wp:cNvGraphicFramePr>
              <a:graphicFrameLocks noChangeAspect="1"/>
            </wp:cNvGraphicFramePr>
            <a:graphic>
              <a:graphicData uri="http://schemas.openxmlformats.org/drawingml/2006/picture">
                <pic:pic>
                  <pic:nvPicPr>
                    <pic:cNvPr id="328" name="image74.png"/>
                    <pic:cNvPicPr/>
                  </pic:nvPicPr>
                  <pic:blipFill>
                    <a:blip r:embed="rId439" cstate="print"/>
                    <a:stretch>
                      <a:fillRect/>
                    </a:stretch>
                  </pic:blipFill>
                  <pic:spPr>
                    <a:xfrm>
                      <a:off x="0" y="0"/>
                      <a:ext cx="585063" cy="10692003"/>
                    </a:xfrm>
                    <a:prstGeom prst="rect">
                      <a:avLst/>
                    </a:prstGeom>
                  </pic:spPr>
                </pic:pic>
              </a:graphicData>
            </a:graphic>
          </wp:anchor>
        </w:drawing>
      </w:r>
      <w:r>
        <w:rPr>
          <w:w w:val="125"/>
        </w:rPr>
        <w:t>The</w:t>
      </w:r>
      <w:r>
        <w:rPr>
          <w:spacing w:val="-15"/>
          <w:w w:val="125"/>
        </w:rPr>
        <w:t> </w:t>
      </w:r>
      <w:r>
        <w:rPr>
          <w:w w:val="125"/>
        </w:rPr>
        <w:t>Revd</w:t>
      </w:r>
      <w:r>
        <w:rPr>
          <w:spacing w:val="-15"/>
          <w:w w:val="125"/>
        </w:rPr>
        <w:t> </w:t>
      </w:r>
      <w:r>
        <w:rPr>
          <w:w w:val="125"/>
        </w:rPr>
        <w:t>Martha</w:t>
      </w:r>
      <w:r>
        <w:rPr>
          <w:spacing w:val="-15"/>
          <w:w w:val="125"/>
        </w:rPr>
        <w:t> </w:t>
      </w:r>
      <w:r>
        <w:rPr>
          <w:w w:val="125"/>
        </w:rPr>
        <w:t>McInnes</w:t>
      </w:r>
      <w:r>
        <w:rPr>
          <w:spacing w:val="-15"/>
          <w:w w:val="125"/>
        </w:rPr>
        <w:t> </w:t>
      </w:r>
      <w:r>
        <w:rPr>
          <w:spacing w:val="-7"/>
          <w:w w:val="125"/>
        </w:rPr>
        <w:t>(6)</w:t>
        <w:tab/>
      </w:r>
      <w:r>
        <w:rPr>
          <w:w w:val="125"/>
        </w:rPr>
        <w:t>The Revd Rachel Poolman </w:t>
      </w:r>
      <w:r>
        <w:rPr>
          <w:spacing w:val="-11"/>
          <w:w w:val="125"/>
        </w:rPr>
        <w:t>(1) </w:t>
      </w:r>
      <w:r>
        <w:rPr>
          <w:w w:val="125"/>
        </w:rPr>
        <w:t>The Revd Hilary</w:t>
      </w:r>
      <w:r>
        <w:rPr>
          <w:spacing w:val="-14"/>
          <w:w w:val="125"/>
        </w:rPr>
        <w:t> </w:t>
      </w:r>
      <w:r>
        <w:rPr>
          <w:w w:val="125"/>
        </w:rPr>
        <w:t>Collinson</w:t>
      </w:r>
      <w:r>
        <w:rPr>
          <w:spacing w:val="-4"/>
          <w:w w:val="125"/>
        </w:rPr>
        <w:t> </w:t>
      </w:r>
      <w:r>
        <w:rPr>
          <w:spacing w:val="-11"/>
          <w:w w:val="125"/>
        </w:rPr>
        <w:t>(1)</w:t>
        <w:tab/>
      </w:r>
      <w:r>
        <w:rPr>
          <w:w w:val="125"/>
        </w:rPr>
        <w:t>The</w:t>
      </w:r>
      <w:r>
        <w:rPr>
          <w:spacing w:val="-18"/>
          <w:w w:val="125"/>
        </w:rPr>
        <w:t> </w:t>
      </w:r>
      <w:r>
        <w:rPr>
          <w:w w:val="125"/>
        </w:rPr>
        <w:t>Revd</w:t>
      </w:r>
      <w:r>
        <w:rPr>
          <w:spacing w:val="-18"/>
          <w:w w:val="125"/>
        </w:rPr>
        <w:t> </w:t>
      </w:r>
      <w:r>
        <w:rPr>
          <w:w w:val="125"/>
        </w:rPr>
        <w:t>Dr</w:t>
      </w:r>
      <w:r>
        <w:rPr>
          <w:spacing w:val="-18"/>
          <w:w w:val="125"/>
        </w:rPr>
        <w:t> </w:t>
      </w:r>
      <w:r>
        <w:rPr>
          <w:w w:val="125"/>
        </w:rPr>
        <w:t>Peter</w:t>
      </w:r>
      <w:r>
        <w:rPr>
          <w:spacing w:val="-18"/>
          <w:w w:val="125"/>
        </w:rPr>
        <w:t> </w:t>
      </w:r>
      <w:r>
        <w:rPr>
          <w:w w:val="125"/>
        </w:rPr>
        <w:t>Stevenson</w:t>
      </w:r>
      <w:r>
        <w:rPr>
          <w:spacing w:val="-18"/>
          <w:w w:val="125"/>
        </w:rPr>
        <w:t> </w:t>
      </w:r>
      <w:r>
        <w:rPr>
          <w:spacing w:val="-14"/>
          <w:w w:val="125"/>
        </w:rPr>
        <w:t>(11) </w:t>
      </w:r>
      <w:r>
        <w:rPr>
          <w:w w:val="125"/>
        </w:rPr>
        <w:t>Mr Patrick</w:t>
      </w:r>
      <w:r>
        <w:rPr>
          <w:spacing w:val="-24"/>
          <w:w w:val="125"/>
        </w:rPr>
        <w:t> </w:t>
      </w:r>
      <w:r>
        <w:rPr>
          <w:w w:val="125"/>
        </w:rPr>
        <w:t>Smyth</w:t>
      </w:r>
      <w:r>
        <w:rPr>
          <w:spacing w:val="-12"/>
          <w:w w:val="125"/>
        </w:rPr>
        <w:t> (13)</w:t>
        <w:tab/>
      </w:r>
      <w:r>
        <w:rPr>
          <w:w w:val="125"/>
        </w:rPr>
        <w:t>The Revd Andy Braunston </w:t>
      </w:r>
      <w:r>
        <w:rPr>
          <w:spacing w:val="-12"/>
          <w:w w:val="125"/>
        </w:rPr>
        <w:t>(13) </w:t>
      </w:r>
      <w:r>
        <w:rPr>
          <w:rFonts w:ascii="Stone Sans II ITC Std Bk"/>
          <w:b/>
          <w:w w:val="125"/>
        </w:rPr>
        <w:t>Retiring</w:t>
      </w:r>
      <w:r>
        <w:rPr>
          <w:rFonts w:ascii="Stone Sans II ITC Std Bk"/>
          <w:b/>
          <w:spacing w:val="-10"/>
          <w:w w:val="125"/>
        </w:rPr>
        <w:t> </w:t>
      </w:r>
      <w:r>
        <w:rPr>
          <w:rFonts w:ascii="Stone Sans II ITC Std Bk"/>
          <w:b/>
          <w:spacing w:val="-3"/>
          <w:w w:val="125"/>
        </w:rPr>
        <w:t>2021</w:t>
      </w:r>
    </w:p>
    <w:p>
      <w:pPr>
        <w:pStyle w:val="BodyText"/>
        <w:tabs>
          <w:tab w:pos="5884" w:val="left" w:leader="none"/>
        </w:tabs>
        <w:spacing w:line="224" w:lineRule="exact"/>
        <w:ind w:left="1564"/>
      </w:pPr>
      <w:r>
        <w:rPr>
          <w:w w:val="120"/>
        </w:rPr>
        <w:t>The Revd Dr Kirsty </w:t>
      </w:r>
      <w:r>
        <w:rPr>
          <w:spacing w:val="1"/>
          <w:w w:val="120"/>
        </w:rPr>
        <w:t> </w:t>
      </w:r>
      <w:r>
        <w:rPr>
          <w:w w:val="120"/>
        </w:rPr>
        <w:t>Thorpe</w:t>
      </w:r>
      <w:r>
        <w:rPr>
          <w:spacing w:val="14"/>
          <w:w w:val="120"/>
        </w:rPr>
        <w:t> </w:t>
      </w:r>
      <w:r>
        <w:rPr>
          <w:spacing w:val="-8"/>
          <w:w w:val="120"/>
        </w:rPr>
        <w:t>(2)</w:t>
        <w:tab/>
      </w:r>
      <w:r>
        <w:rPr>
          <w:w w:val="120"/>
        </w:rPr>
        <w:t>The Revd David M Miller</w:t>
      </w:r>
      <w:r>
        <w:rPr>
          <w:spacing w:val="14"/>
          <w:w w:val="120"/>
        </w:rPr>
        <w:t> </w:t>
      </w:r>
      <w:r>
        <w:rPr>
          <w:spacing w:val="-7"/>
          <w:w w:val="120"/>
        </w:rPr>
        <w:t>(6)</w:t>
      </w:r>
    </w:p>
    <w:p>
      <w:pPr>
        <w:pStyle w:val="BodyText"/>
        <w:tabs>
          <w:tab w:pos="5884" w:val="left" w:leader="none"/>
        </w:tabs>
        <w:spacing w:line="240" w:lineRule="exact"/>
        <w:ind w:left="1564"/>
      </w:pPr>
      <w:r>
        <w:rPr>
          <w:w w:val="120"/>
        </w:rPr>
        <w:t>Mrs Diane</w:t>
      </w:r>
      <w:r>
        <w:rPr>
          <w:spacing w:val="14"/>
          <w:w w:val="120"/>
        </w:rPr>
        <w:t> </w:t>
      </w:r>
      <w:r>
        <w:rPr>
          <w:w w:val="120"/>
        </w:rPr>
        <w:t>Moverley</w:t>
      </w:r>
      <w:r>
        <w:rPr>
          <w:spacing w:val="7"/>
          <w:w w:val="120"/>
        </w:rPr>
        <w:t> </w:t>
      </w:r>
      <w:r>
        <w:rPr>
          <w:spacing w:val="-10"/>
          <w:w w:val="120"/>
        </w:rPr>
        <w:t>(12)</w:t>
        <w:tab/>
      </w:r>
      <w:r>
        <w:rPr>
          <w:w w:val="120"/>
        </w:rPr>
        <w:t>Mrs Janet Virr</w:t>
      </w:r>
      <w:r>
        <w:rPr>
          <w:spacing w:val="5"/>
          <w:w w:val="120"/>
        </w:rPr>
        <w:t> </w:t>
      </w:r>
      <w:r>
        <w:rPr>
          <w:spacing w:val="-10"/>
          <w:w w:val="120"/>
        </w:rPr>
        <w:t>(4)</w:t>
      </w:r>
    </w:p>
    <w:p>
      <w:pPr>
        <w:pStyle w:val="BodyText"/>
        <w:tabs>
          <w:tab w:pos="5884" w:val="left" w:leader="none"/>
        </w:tabs>
        <w:spacing w:line="235" w:lineRule="auto" w:before="1"/>
        <w:ind w:left="1564" w:right="3482"/>
      </w:pPr>
      <w:r>
        <w:rPr>
          <w:w w:val="125"/>
        </w:rPr>
        <w:t>Mr David</w:t>
      </w:r>
      <w:r>
        <w:rPr>
          <w:spacing w:val="-17"/>
          <w:w w:val="125"/>
        </w:rPr>
        <w:t> </w:t>
      </w:r>
      <w:r>
        <w:rPr>
          <w:w w:val="125"/>
        </w:rPr>
        <w:t>Jones</w:t>
      </w:r>
      <w:r>
        <w:rPr>
          <w:spacing w:val="-8"/>
          <w:w w:val="125"/>
        </w:rPr>
        <w:t> (5)</w:t>
        <w:tab/>
      </w:r>
      <w:r>
        <w:rPr>
          <w:w w:val="125"/>
        </w:rPr>
        <w:t>Mr Ian Corless</w:t>
      </w:r>
      <w:r>
        <w:rPr>
          <w:spacing w:val="-37"/>
          <w:w w:val="125"/>
        </w:rPr>
        <w:t> </w:t>
      </w:r>
      <w:r>
        <w:rPr>
          <w:spacing w:val="-8"/>
          <w:w w:val="125"/>
        </w:rPr>
        <w:t>(9) </w:t>
      </w:r>
      <w:r>
        <w:rPr>
          <w:w w:val="125"/>
        </w:rPr>
        <w:t>The Revd Nigel Adkinson</w:t>
      </w:r>
      <w:r>
        <w:rPr>
          <w:spacing w:val="-3"/>
          <w:w w:val="125"/>
        </w:rPr>
        <w:t> </w:t>
      </w:r>
      <w:r>
        <w:rPr>
          <w:spacing w:val="-8"/>
          <w:w w:val="125"/>
        </w:rPr>
        <w:t>(2)</w:t>
      </w:r>
    </w:p>
    <w:p>
      <w:pPr>
        <w:pStyle w:val="Heading8"/>
        <w:spacing w:line="247" w:lineRule="exact"/>
        <w:ind w:left="1564" w:firstLine="0"/>
      </w:pPr>
      <w:r>
        <w:rPr>
          <w:w w:val="110"/>
        </w:rPr>
        <w:t>Retiring 2022</w:t>
      </w:r>
    </w:p>
    <w:p>
      <w:pPr>
        <w:pStyle w:val="BodyText"/>
        <w:tabs>
          <w:tab w:pos="5884" w:val="left" w:leader="none"/>
        </w:tabs>
        <w:spacing w:line="233" w:lineRule="exact"/>
        <w:ind w:left="1564"/>
      </w:pPr>
      <w:r>
        <w:rPr>
          <w:w w:val="120"/>
        </w:rPr>
        <w:t>Mr Alan</w:t>
      </w:r>
      <w:r>
        <w:rPr>
          <w:spacing w:val="21"/>
          <w:w w:val="120"/>
        </w:rPr>
        <w:t> </w:t>
      </w:r>
      <w:r>
        <w:rPr>
          <w:w w:val="120"/>
        </w:rPr>
        <w:t>Kirby</w:t>
      </w:r>
      <w:r>
        <w:rPr>
          <w:spacing w:val="10"/>
          <w:w w:val="120"/>
        </w:rPr>
        <w:t> </w:t>
      </w:r>
      <w:r>
        <w:rPr>
          <w:spacing w:val="-14"/>
          <w:w w:val="120"/>
        </w:rPr>
        <w:t>(11)</w:t>
        <w:tab/>
      </w:r>
      <w:r>
        <w:rPr>
          <w:w w:val="120"/>
        </w:rPr>
        <w:t>The Revd Ian Kirby</w:t>
      </w:r>
      <w:r>
        <w:rPr>
          <w:spacing w:val="12"/>
          <w:w w:val="120"/>
        </w:rPr>
        <w:t> </w:t>
      </w:r>
      <w:r>
        <w:rPr>
          <w:spacing w:val="-10"/>
          <w:w w:val="120"/>
        </w:rPr>
        <w:t>(12)</w:t>
      </w:r>
    </w:p>
    <w:p>
      <w:pPr>
        <w:pStyle w:val="BodyText"/>
        <w:tabs>
          <w:tab w:pos="5884" w:val="left" w:leader="none"/>
        </w:tabs>
        <w:spacing w:line="240" w:lineRule="exact"/>
        <w:ind w:left="1564"/>
      </w:pPr>
      <w:r>
        <w:rPr>
          <w:w w:val="125"/>
        </w:rPr>
        <w:t>Mrs Cathy</w:t>
      </w:r>
      <w:r>
        <w:rPr>
          <w:spacing w:val="-13"/>
          <w:w w:val="125"/>
        </w:rPr>
        <w:t> </w:t>
      </w:r>
      <w:r>
        <w:rPr>
          <w:w w:val="125"/>
        </w:rPr>
        <w:t>Glazier</w:t>
      </w:r>
      <w:r>
        <w:rPr>
          <w:spacing w:val="-6"/>
          <w:w w:val="125"/>
        </w:rPr>
        <w:t> </w:t>
      </w:r>
      <w:r>
        <w:rPr>
          <w:spacing w:val="-14"/>
          <w:w w:val="125"/>
        </w:rPr>
        <w:t>(11)</w:t>
        <w:tab/>
      </w:r>
      <w:r>
        <w:rPr>
          <w:w w:val="125"/>
        </w:rPr>
        <w:t>Mrs </w:t>
      </w:r>
      <w:r>
        <w:rPr>
          <w:spacing w:val="2"/>
          <w:w w:val="125"/>
        </w:rPr>
        <w:t>Mary </w:t>
      </w:r>
      <w:r>
        <w:rPr>
          <w:w w:val="125"/>
        </w:rPr>
        <w:t>Kelly</w:t>
      </w:r>
      <w:r>
        <w:rPr>
          <w:spacing w:val="-5"/>
          <w:w w:val="125"/>
        </w:rPr>
        <w:t> </w:t>
      </w:r>
      <w:r>
        <w:rPr>
          <w:spacing w:val="-14"/>
          <w:w w:val="125"/>
        </w:rPr>
        <w:t>(11)</w:t>
      </w:r>
    </w:p>
    <w:p>
      <w:pPr>
        <w:pStyle w:val="BodyText"/>
        <w:tabs>
          <w:tab w:pos="5884" w:val="left" w:leader="none"/>
        </w:tabs>
        <w:spacing w:line="235" w:lineRule="auto" w:before="2"/>
        <w:ind w:left="1564" w:right="2478"/>
      </w:pPr>
      <w:r>
        <w:rPr>
          <w:w w:val="125"/>
        </w:rPr>
        <w:t>The Revd Craig</w:t>
      </w:r>
      <w:r>
        <w:rPr>
          <w:spacing w:val="-10"/>
          <w:w w:val="125"/>
        </w:rPr>
        <w:t> </w:t>
      </w:r>
      <w:r>
        <w:rPr>
          <w:w w:val="125"/>
        </w:rPr>
        <w:t>Muir</w:t>
      </w:r>
      <w:r>
        <w:rPr>
          <w:spacing w:val="-3"/>
          <w:w w:val="125"/>
        </w:rPr>
        <w:t> </w:t>
      </w:r>
      <w:r>
        <w:rPr>
          <w:spacing w:val="-7"/>
          <w:w w:val="125"/>
        </w:rPr>
        <w:t>(6)</w:t>
        <w:tab/>
      </w:r>
      <w:r>
        <w:rPr>
          <w:w w:val="125"/>
        </w:rPr>
        <w:t>The Revd Jane Campbell</w:t>
      </w:r>
      <w:r>
        <w:rPr>
          <w:spacing w:val="-38"/>
          <w:w w:val="125"/>
        </w:rPr>
        <w:t> </w:t>
      </w:r>
      <w:r>
        <w:rPr>
          <w:spacing w:val="-8"/>
          <w:w w:val="125"/>
        </w:rPr>
        <w:t>(5) </w:t>
      </w:r>
      <w:r>
        <w:rPr>
          <w:w w:val="125"/>
        </w:rPr>
        <w:t>Mr Alastair </w:t>
      </w:r>
      <w:r>
        <w:rPr>
          <w:spacing w:val="2"/>
          <w:w w:val="125"/>
        </w:rPr>
        <w:t>Forsyth</w:t>
      </w:r>
      <w:r>
        <w:rPr>
          <w:spacing w:val="-4"/>
          <w:w w:val="125"/>
        </w:rPr>
        <w:t> </w:t>
      </w:r>
      <w:r>
        <w:rPr>
          <w:spacing w:val="-10"/>
          <w:w w:val="125"/>
        </w:rPr>
        <w:t>(4)</w:t>
      </w:r>
    </w:p>
    <w:p>
      <w:pPr>
        <w:pStyle w:val="BodyText"/>
        <w:spacing w:before="5"/>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Standing panel for the incapacity</w:t>
      </w:r>
      <w:r>
        <w:rPr>
          <w:spacing w:val="-1"/>
          <w:w w:val="110"/>
        </w:rPr>
        <w:t> </w:t>
      </w:r>
      <w:r>
        <w:rPr>
          <w:w w:val="110"/>
        </w:rPr>
        <w:t>procedure</w:t>
      </w:r>
    </w:p>
    <w:p>
      <w:pPr>
        <w:pStyle w:val="BodyText"/>
        <w:spacing w:line="235" w:lineRule="auto"/>
        <w:ind w:left="1564" w:right="923"/>
      </w:pPr>
      <w:r>
        <w:rPr>
          <w:w w:val="120"/>
        </w:rPr>
        <w:t>This panel is normally convened by the member with legal experience. Members serve one or two five-year terms.</w:t>
      </w:r>
    </w:p>
    <w:p>
      <w:pPr>
        <w:pStyle w:val="BodyText"/>
        <w:spacing w:line="240" w:lineRule="exact"/>
        <w:ind w:left="1564"/>
      </w:pPr>
      <w:r>
        <w:rPr>
          <w:w w:val="125"/>
        </w:rPr>
        <w:t>Secretary: Dr Augur Pearce (7) [2022]</w:t>
      </w:r>
    </w:p>
    <w:p>
      <w:pPr>
        <w:pStyle w:val="BodyText"/>
        <w:spacing w:line="240" w:lineRule="exact"/>
        <w:ind w:left="1564"/>
      </w:pPr>
      <w:r>
        <w:rPr>
          <w:w w:val="120"/>
        </w:rPr>
        <w:t>Synod Moderator: The Revd Simon Walkling [2023]**</w:t>
      </w:r>
    </w:p>
    <w:p>
      <w:pPr>
        <w:pStyle w:val="BodyText"/>
        <w:tabs>
          <w:tab w:pos="5884" w:val="left" w:leader="none"/>
        </w:tabs>
        <w:spacing w:line="235" w:lineRule="auto"/>
        <w:ind w:left="1564" w:right="1786"/>
      </w:pPr>
      <w:r>
        <w:rPr>
          <w:w w:val="125"/>
        </w:rPr>
        <w:t>Past Moderator of General Assembly: The Revd Dr Kirsty Thorpe </w:t>
      </w:r>
      <w:r>
        <w:rPr>
          <w:spacing w:val="-8"/>
          <w:w w:val="125"/>
        </w:rPr>
        <w:t>(2) </w:t>
      </w:r>
      <w:r>
        <w:rPr>
          <w:spacing w:val="-5"/>
          <w:w w:val="125"/>
        </w:rPr>
        <w:t>[2022] </w:t>
      </w:r>
      <w:r>
        <w:rPr>
          <w:w w:val="125"/>
        </w:rPr>
        <w:t>Commission</w:t>
      </w:r>
      <w:r>
        <w:rPr>
          <w:spacing w:val="-28"/>
          <w:w w:val="125"/>
        </w:rPr>
        <w:t> </w:t>
      </w:r>
      <w:r>
        <w:rPr>
          <w:w w:val="125"/>
        </w:rPr>
        <w:t>officer</w:t>
      </w:r>
      <w:r>
        <w:rPr>
          <w:spacing w:val="-28"/>
          <w:w w:val="125"/>
        </w:rPr>
        <w:t> </w:t>
      </w:r>
      <w:r>
        <w:rPr>
          <w:w w:val="125"/>
        </w:rPr>
        <w:t>for</w:t>
      </w:r>
      <w:r>
        <w:rPr>
          <w:spacing w:val="-28"/>
          <w:w w:val="125"/>
        </w:rPr>
        <w:t> </w:t>
      </w:r>
      <w:r>
        <w:rPr>
          <w:w w:val="125"/>
        </w:rPr>
        <w:t>the</w:t>
      </w:r>
      <w:r>
        <w:rPr>
          <w:spacing w:val="-28"/>
          <w:w w:val="125"/>
        </w:rPr>
        <w:t> </w:t>
      </w:r>
      <w:r>
        <w:rPr>
          <w:w w:val="125"/>
        </w:rPr>
        <w:t>incapacity</w:t>
      </w:r>
      <w:r>
        <w:rPr>
          <w:spacing w:val="-28"/>
          <w:w w:val="125"/>
        </w:rPr>
        <w:t> </w:t>
      </w:r>
      <w:r>
        <w:rPr>
          <w:w w:val="125"/>
        </w:rPr>
        <w:t>procedure:</w:t>
      </w:r>
      <w:r>
        <w:rPr>
          <w:spacing w:val="-28"/>
          <w:w w:val="125"/>
        </w:rPr>
        <w:t> </w:t>
      </w:r>
      <w:r>
        <w:rPr>
          <w:w w:val="125"/>
        </w:rPr>
        <w:t>The</w:t>
      </w:r>
      <w:r>
        <w:rPr>
          <w:spacing w:val="-28"/>
          <w:w w:val="125"/>
        </w:rPr>
        <w:t> </w:t>
      </w:r>
      <w:r>
        <w:rPr>
          <w:w w:val="125"/>
        </w:rPr>
        <w:t>Revd</w:t>
      </w:r>
      <w:r>
        <w:rPr>
          <w:spacing w:val="-28"/>
          <w:w w:val="125"/>
        </w:rPr>
        <w:t> </w:t>
      </w:r>
      <w:r>
        <w:rPr>
          <w:w w:val="125"/>
        </w:rPr>
        <w:t>Roy</w:t>
      </w:r>
      <w:r>
        <w:rPr>
          <w:spacing w:val="-27"/>
          <w:w w:val="125"/>
        </w:rPr>
        <w:t> </w:t>
      </w:r>
      <w:r>
        <w:rPr>
          <w:w w:val="125"/>
        </w:rPr>
        <w:t>Lowes</w:t>
      </w:r>
      <w:r>
        <w:rPr>
          <w:spacing w:val="-28"/>
          <w:w w:val="125"/>
        </w:rPr>
        <w:t> </w:t>
      </w:r>
      <w:r>
        <w:rPr>
          <w:spacing w:val="-4"/>
          <w:w w:val="125"/>
        </w:rPr>
        <w:t>[2023]** </w:t>
      </w:r>
      <w:r>
        <w:rPr>
          <w:w w:val="125"/>
        </w:rPr>
        <w:t>Mr David Nash (legal</w:t>
      </w:r>
      <w:r>
        <w:rPr>
          <w:spacing w:val="-40"/>
          <w:w w:val="125"/>
        </w:rPr>
        <w:t> </w:t>
      </w:r>
      <w:r>
        <w:rPr>
          <w:w w:val="125"/>
        </w:rPr>
        <w:t>experience)</w:t>
      </w:r>
      <w:r>
        <w:rPr>
          <w:spacing w:val="-10"/>
          <w:w w:val="125"/>
        </w:rPr>
        <w:t> </w:t>
      </w:r>
      <w:r>
        <w:rPr>
          <w:spacing w:val="-6"/>
          <w:w w:val="125"/>
        </w:rPr>
        <w:t>[2023]†</w:t>
        <w:tab/>
      </w:r>
      <w:r>
        <w:rPr>
          <w:w w:val="125"/>
        </w:rPr>
        <w:t>Dr Ewen Harley </w:t>
      </w:r>
      <w:r>
        <w:rPr>
          <w:spacing w:val="-6"/>
          <w:w w:val="125"/>
        </w:rPr>
        <w:t>(GP)</w:t>
      </w:r>
      <w:r>
        <w:rPr>
          <w:spacing w:val="-3"/>
          <w:w w:val="125"/>
        </w:rPr>
        <w:t> </w:t>
      </w:r>
      <w:r>
        <w:rPr>
          <w:spacing w:val="-6"/>
          <w:w w:val="125"/>
        </w:rPr>
        <w:t>[2023]†</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Pastoral reference and welfare</w:t>
      </w:r>
      <w:r>
        <w:rPr>
          <w:spacing w:val="-1"/>
          <w:w w:val="110"/>
        </w:rPr>
        <w:t> </w:t>
      </w:r>
      <w:r>
        <w:rPr>
          <w:w w:val="110"/>
        </w:rPr>
        <w:t>committee</w:t>
      </w:r>
    </w:p>
    <w:p>
      <w:pPr>
        <w:pStyle w:val="BodyText"/>
        <w:spacing w:line="233" w:lineRule="exact"/>
        <w:ind w:left="1564"/>
      </w:pPr>
      <w:r>
        <w:rPr>
          <w:w w:val="120"/>
        </w:rPr>
        <w:t>Convenor: Mrs Wilma Frew [2019]</w:t>
      </w:r>
    </w:p>
    <w:p>
      <w:pPr>
        <w:pStyle w:val="BodyText"/>
        <w:spacing w:line="235" w:lineRule="auto" w:before="2"/>
        <w:ind w:left="1564" w:right="1528"/>
      </w:pPr>
      <w:r>
        <w:rPr>
          <w:w w:val="120"/>
        </w:rPr>
        <w:t>Convenor-elect: The Revd David Grosch-Miller [to serve as convenor 2019-23]** Secretary: Deputy General Secretary (Discipleship)</w:t>
      </w:r>
    </w:p>
    <w:p>
      <w:pPr>
        <w:pStyle w:val="BodyText"/>
        <w:spacing w:line="240" w:lineRule="exact"/>
        <w:ind w:left="1564"/>
      </w:pPr>
      <w:r>
        <w:rPr>
          <w:w w:val="120"/>
        </w:rPr>
        <w:t>The Revd Dr David Pickering (Synod Moderator) [2022]**</w:t>
      </w:r>
    </w:p>
    <w:p>
      <w:pPr>
        <w:pStyle w:val="BodyText"/>
        <w:tabs>
          <w:tab w:pos="5884" w:val="left" w:leader="none"/>
        </w:tabs>
        <w:spacing w:line="235" w:lineRule="auto" w:before="2"/>
        <w:ind w:left="1564" w:right="1803"/>
      </w:pPr>
      <w:r>
        <w:rPr>
          <w:w w:val="125"/>
        </w:rPr>
        <w:t>Mrs Pam Sharp</w:t>
      </w:r>
      <w:r>
        <w:rPr>
          <w:spacing w:val="-19"/>
          <w:w w:val="125"/>
        </w:rPr>
        <w:t> </w:t>
      </w:r>
      <w:r>
        <w:rPr>
          <w:spacing w:val="-8"/>
          <w:w w:val="125"/>
        </w:rPr>
        <w:t>(9)</w:t>
      </w:r>
      <w:r>
        <w:rPr>
          <w:spacing w:val="-6"/>
          <w:w w:val="125"/>
        </w:rPr>
        <w:t> </w:t>
      </w:r>
      <w:r>
        <w:rPr>
          <w:spacing w:val="-8"/>
          <w:w w:val="125"/>
        </w:rPr>
        <w:t>[2019]</w:t>
        <w:tab/>
      </w:r>
      <w:r>
        <w:rPr>
          <w:w w:val="125"/>
        </w:rPr>
        <w:t>The Revd Camilla Veitch </w:t>
      </w:r>
      <w:r>
        <w:rPr>
          <w:spacing w:val="-7"/>
          <w:w w:val="125"/>
        </w:rPr>
        <w:t>(6)</w:t>
      </w:r>
      <w:r>
        <w:rPr>
          <w:spacing w:val="-36"/>
          <w:w w:val="125"/>
        </w:rPr>
        <w:t> </w:t>
      </w:r>
      <w:r>
        <w:rPr>
          <w:spacing w:val="-5"/>
          <w:w w:val="125"/>
        </w:rPr>
        <w:t>[2020] </w:t>
      </w:r>
      <w:r>
        <w:rPr>
          <w:w w:val="125"/>
        </w:rPr>
        <w:t>Professor Malcolm Johnson</w:t>
      </w:r>
      <w:r>
        <w:rPr>
          <w:spacing w:val="-6"/>
          <w:w w:val="125"/>
        </w:rPr>
        <w:t> </w:t>
      </w:r>
      <w:r>
        <w:rPr>
          <w:spacing w:val="-5"/>
          <w:w w:val="125"/>
        </w:rPr>
        <w:t>[2022]</w:t>
      </w:r>
    </w:p>
    <w:p>
      <w:pPr>
        <w:pStyle w:val="BodyText"/>
        <w:spacing w:line="242" w:lineRule="exact"/>
        <w:ind w:left="1564"/>
      </w:pPr>
      <w:r>
        <w:rPr>
          <w:w w:val="120"/>
        </w:rPr>
        <w:t>[ex officio: URC Treasurer; General Secretary; secretary for welfare]</w:t>
      </w:r>
    </w:p>
    <w:p>
      <w:pPr>
        <w:pStyle w:val="BodyText"/>
        <w:spacing w:before="12"/>
        <w:rPr>
          <w:sz w:val="21"/>
        </w:rPr>
      </w:pPr>
    </w:p>
    <w:p>
      <w:pPr>
        <w:pStyle w:val="Heading4"/>
        <w:numPr>
          <w:ilvl w:val="0"/>
          <w:numId w:val="120"/>
        </w:numPr>
        <w:tabs>
          <w:tab w:pos="2244" w:val="left" w:leader="none"/>
          <w:tab w:pos="2245" w:val="left" w:leader="none"/>
        </w:tabs>
        <w:spacing w:line="240" w:lineRule="auto" w:before="0" w:after="0"/>
        <w:ind w:left="2244" w:right="0" w:hanging="681"/>
        <w:jc w:val="left"/>
      </w:pPr>
      <w:r>
        <w:rPr>
          <w:spacing w:val="3"/>
          <w:w w:val="110"/>
        </w:rPr>
        <w:t>Mission</w:t>
      </w:r>
      <w:r>
        <w:rPr>
          <w:spacing w:val="12"/>
          <w:w w:val="110"/>
        </w:rPr>
        <w:t> </w:t>
      </w:r>
      <w:r>
        <w:rPr>
          <w:spacing w:val="4"/>
          <w:w w:val="110"/>
        </w:rPr>
        <w:t>department</w:t>
      </w:r>
    </w:p>
    <w:p>
      <w:pPr>
        <w:pStyle w:val="Heading8"/>
        <w:numPr>
          <w:ilvl w:val="1"/>
          <w:numId w:val="120"/>
        </w:numPr>
        <w:tabs>
          <w:tab w:pos="2244" w:val="left" w:leader="none"/>
          <w:tab w:pos="2245" w:val="left" w:leader="none"/>
        </w:tabs>
        <w:spacing w:line="261" w:lineRule="exact" w:before="53" w:after="0"/>
        <w:ind w:left="2244" w:right="0" w:hanging="681"/>
        <w:jc w:val="left"/>
      </w:pPr>
      <w:r>
        <w:rPr>
          <w:w w:val="110"/>
        </w:rPr>
        <w:t>Mission</w:t>
      </w:r>
      <w:r>
        <w:rPr>
          <w:spacing w:val="-1"/>
          <w:w w:val="110"/>
        </w:rPr>
        <w:t> </w:t>
      </w:r>
      <w:r>
        <w:rPr>
          <w:w w:val="110"/>
        </w:rPr>
        <w:t>committee</w:t>
      </w:r>
    </w:p>
    <w:p>
      <w:pPr>
        <w:pStyle w:val="BodyText"/>
        <w:spacing w:line="235" w:lineRule="auto"/>
        <w:ind w:left="1564" w:right="4968"/>
      </w:pPr>
      <w:r>
        <w:rPr>
          <w:w w:val="125"/>
        </w:rPr>
        <w:t>Convenor: The Revd Bernie Collins </w:t>
      </w:r>
      <w:r>
        <w:rPr>
          <w:spacing w:val="-5"/>
          <w:w w:val="125"/>
        </w:rPr>
        <w:t>[2020] </w:t>
      </w:r>
      <w:r>
        <w:rPr>
          <w:w w:val="125"/>
        </w:rPr>
        <w:t>Secretary:</w:t>
      </w:r>
      <w:r>
        <w:rPr>
          <w:spacing w:val="-27"/>
          <w:w w:val="125"/>
        </w:rPr>
        <w:t> </w:t>
      </w:r>
      <w:r>
        <w:rPr>
          <w:w w:val="125"/>
        </w:rPr>
        <w:t>Deputy</w:t>
      </w:r>
      <w:r>
        <w:rPr>
          <w:spacing w:val="-27"/>
          <w:w w:val="125"/>
        </w:rPr>
        <w:t> </w:t>
      </w:r>
      <w:r>
        <w:rPr>
          <w:w w:val="125"/>
        </w:rPr>
        <w:t>General</w:t>
      </w:r>
      <w:r>
        <w:rPr>
          <w:spacing w:val="-27"/>
          <w:w w:val="125"/>
        </w:rPr>
        <w:t> </w:t>
      </w:r>
      <w:r>
        <w:rPr>
          <w:w w:val="125"/>
        </w:rPr>
        <w:t>Secretary</w:t>
      </w:r>
      <w:r>
        <w:rPr>
          <w:spacing w:val="-27"/>
          <w:w w:val="125"/>
        </w:rPr>
        <w:t> </w:t>
      </w:r>
      <w:r>
        <w:rPr>
          <w:spacing w:val="-3"/>
          <w:w w:val="125"/>
        </w:rPr>
        <w:t>(Mission)</w:t>
      </w:r>
    </w:p>
    <w:p>
      <w:pPr>
        <w:pStyle w:val="BodyText"/>
        <w:tabs>
          <w:tab w:pos="5884" w:val="left" w:leader="none"/>
        </w:tabs>
        <w:spacing w:line="240" w:lineRule="exact"/>
        <w:ind w:left="1564"/>
      </w:pPr>
      <w:r>
        <w:rPr>
          <w:w w:val="125"/>
        </w:rPr>
        <w:t>Ms Chris Eddowes</w:t>
      </w:r>
      <w:r>
        <w:rPr>
          <w:spacing w:val="-7"/>
          <w:w w:val="125"/>
        </w:rPr>
        <w:t> </w:t>
      </w:r>
      <w:r>
        <w:rPr>
          <w:spacing w:val="-8"/>
          <w:w w:val="125"/>
        </w:rPr>
        <w:t>[2021]</w:t>
      </w:r>
      <w:r>
        <w:rPr>
          <w:spacing w:val="-2"/>
          <w:w w:val="125"/>
        </w:rPr>
        <w:t> </w:t>
      </w:r>
      <w:r>
        <w:rPr>
          <w:spacing w:val="-11"/>
          <w:w w:val="125"/>
        </w:rPr>
        <w:t>(1)</w:t>
        <w:tab/>
      </w:r>
      <w:r>
        <w:rPr>
          <w:w w:val="125"/>
        </w:rPr>
        <w:t>Vacancy </w:t>
      </w:r>
      <w:r>
        <w:rPr>
          <w:spacing w:val="-8"/>
          <w:w w:val="125"/>
        </w:rPr>
        <w:t>(2)</w:t>
      </w:r>
      <w:r>
        <w:rPr>
          <w:spacing w:val="17"/>
          <w:w w:val="125"/>
        </w:rPr>
        <w:t> </w:t>
      </w:r>
      <w:r>
        <w:rPr>
          <w:spacing w:val="-5"/>
          <w:w w:val="125"/>
        </w:rPr>
        <w:t>[2022]</w:t>
      </w:r>
    </w:p>
    <w:p>
      <w:pPr>
        <w:pStyle w:val="BodyText"/>
        <w:tabs>
          <w:tab w:pos="5884" w:val="left" w:leader="none"/>
        </w:tabs>
        <w:spacing w:line="235" w:lineRule="auto"/>
        <w:ind w:left="1564" w:right="2611"/>
        <w:jc w:val="both"/>
      </w:pPr>
      <w:r>
        <w:rPr>
          <w:w w:val="125"/>
        </w:rPr>
        <w:t>The Revd Hilary</w:t>
      </w:r>
      <w:r>
        <w:rPr>
          <w:spacing w:val="-17"/>
          <w:w w:val="125"/>
        </w:rPr>
        <w:t> </w:t>
      </w:r>
      <w:r>
        <w:rPr>
          <w:w w:val="125"/>
        </w:rPr>
        <w:t>Smith</w:t>
      </w:r>
      <w:r>
        <w:rPr>
          <w:spacing w:val="-6"/>
          <w:w w:val="125"/>
        </w:rPr>
        <w:t> </w:t>
      </w:r>
      <w:r>
        <w:rPr>
          <w:spacing w:val="-8"/>
          <w:w w:val="125"/>
        </w:rPr>
        <w:t>(3)</w:t>
        <w:tab/>
      </w:r>
      <w:r>
        <w:rPr>
          <w:w w:val="125"/>
        </w:rPr>
        <w:t>Mr John Cornell </w:t>
      </w:r>
      <w:r>
        <w:rPr>
          <w:spacing w:val="-10"/>
          <w:w w:val="125"/>
        </w:rPr>
        <w:t>(4) </w:t>
      </w:r>
      <w:r>
        <w:rPr>
          <w:spacing w:val="-8"/>
          <w:w w:val="125"/>
        </w:rPr>
        <w:t>[2019] </w:t>
      </w:r>
      <w:r>
        <w:rPr>
          <w:w w:val="125"/>
        </w:rPr>
        <w:t>The Revd Lesley Moseley</w:t>
      </w:r>
      <w:r>
        <w:rPr>
          <w:spacing w:val="-33"/>
          <w:w w:val="125"/>
        </w:rPr>
        <w:t> </w:t>
      </w:r>
      <w:r>
        <w:rPr>
          <w:spacing w:val="-8"/>
          <w:w w:val="125"/>
        </w:rPr>
        <w:t>(5) [2019]</w:t>
        <w:tab/>
      </w:r>
      <w:r>
        <w:rPr>
          <w:w w:val="125"/>
        </w:rPr>
        <w:t>Mr John Davey </w:t>
      </w:r>
      <w:r>
        <w:rPr>
          <w:spacing w:val="-7"/>
          <w:w w:val="125"/>
        </w:rPr>
        <w:t>(6)</w:t>
      </w:r>
      <w:r>
        <w:rPr>
          <w:spacing w:val="-30"/>
          <w:w w:val="125"/>
        </w:rPr>
        <w:t> </w:t>
      </w:r>
      <w:r>
        <w:rPr>
          <w:spacing w:val="-5"/>
          <w:w w:val="125"/>
        </w:rPr>
        <w:t>[2022]† </w:t>
      </w:r>
      <w:r>
        <w:rPr>
          <w:w w:val="125"/>
        </w:rPr>
        <w:t>The Revd David Sebley</w:t>
      </w:r>
      <w:r>
        <w:rPr>
          <w:spacing w:val="-6"/>
          <w:w w:val="125"/>
        </w:rPr>
        <w:t> </w:t>
      </w:r>
      <w:r>
        <w:rPr>
          <w:w w:val="125"/>
        </w:rPr>
        <w:t>(7)</w:t>
      </w:r>
      <w:r>
        <w:rPr>
          <w:spacing w:val="-1"/>
          <w:w w:val="125"/>
        </w:rPr>
        <w:t> </w:t>
      </w:r>
      <w:r>
        <w:rPr>
          <w:spacing w:val="-8"/>
          <w:w w:val="125"/>
        </w:rPr>
        <w:t>[2019]</w:t>
        <w:tab/>
      </w:r>
      <w:r>
        <w:rPr>
          <w:w w:val="125"/>
        </w:rPr>
        <w:t>Vacancy </w:t>
      </w:r>
      <w:r>
        <w:rPr>
          <w:spacing w:val="-8"/>
          <w:w w:val="125"/>
        </w:rPr>
        <w:t>(8)</w:t>
      </w:r>
      <w:r>
        <w:rPr>
          <w:spacing w:val="1"/>
          <w:w w:val="125"/>
        </w:rPr>
        <w:t> </w:t>
      </w:r>
      <w:r>
        <w:rPr>
          <w:spacing w:val="-5"/>
          <w:w w:val="125"/>
        </w:rPr>
        <w:t>[2022]</w:t>
      </w:r>
    </w:p>
    <w:p>
      <w:pPr>
        <w:pStyle w:val="BodyText"/>
        <w:tabs>
          <w:tab w:pos="5884" w:val="left" w:leader="none"/>
        </w:tabs>
        <w:spacing w:line="240" w:lineRule="exact"/>
        <w:ind w:left="1564"/>
      </w:pPr>
      <w:r>
        <w:rPr>
          <w:w w:val="125"/>
        </w:rPr>
        <w:t>The Revd Ray</w:t>
      </w:r>
      <w:r>
        <w:rPr>
          <w:spacing w:val="-32"/>
          <w:w w:val="125"/>
        </w:rPr>
        <w:t> </w:t>
      </w:r>
      <w:r>
        <w:rPr>
          <w:w w:val="125"/>
        </w:rPr>
        <w:t>Stanyon</w:t>
      </w:r>
      <w:r>
        <w:rPr>
          <w:spacing w:val="-11"/>
          <w:w w:val="125"/>
        </w:rPr>
        <w:t> </w:t>
      </w:r>
      <w:r>
        <w:rPr>
          <w:spacing w:val="-8"/>
          <w:w w:val="125"/>
        </w:rPr>
        <w:t>(9)</w:t>
        <w:tab/>
      </w:r>
      <w:r>
        <w:rPr>
          <w:w w:val="125"/>
        </w:rPr>
        <w:t>Ms Vivien Andrews </w:t>
      </w:r>
      <w:r>
        <w:rPr>
          <w:spacing w:val="-9"/>
          <w:w w:val="125"/>
        </w:rPr>
        <w:t>(10)</w:t>
      </w:r>
      <w:r>
        <w:rPr>
          <w:spacing w:val="-4"/>
          <w:w w:val="125"/>
        </w:rPr>
        <w:t> </w:t>
      </w:r>
      <w:r>
        <w:rPr>
          <w:spacing w:val="-8"/>
          <w:w w:val="125"/>
        </w:rPr>
        <w:t>[2019]</w:t>
      </w:r>
    </w:p>
    <w:p>
      <w:pPr>
        <w:pStyle w:val="BodyText"/>
        <w:tabs>
          <w:tab w:pos="5884" w:val="left" w:leader="none"/>
        </w:tabs>
        <w:spacing w:line="240" w:lineRule="exact"/>
        <w:ind w:left="1564"/>
      </w:pPr>
      <w:r>
        <w:rPr>
          <w:w w:val="125"/>
        </w:rPr>
        <w:t>Mr Martin Hayward</w:t>
      </w:r>
      <w:r>
        <w:rPr>
          <w:spacing w:val="-19"/>
          <w:w w:val="125"/>
        </w:rPr>
        <w:t> </w:t>
      </w:r>
      <w:r>
        <w:rPr>
          <w:spacing w:val="-14"/>
          <w:w w:val="125"/>
        </w:rPr>
        <w:t>(11)</w:t>
      </w:r>
      <w:r>
        <w:rPr>
          <w:spacing w:val="-6"/>
          <w:w w:val="125"/>
        </w:rPr>
        <w:t> </w:t>
      </w:r>
      <w:r>
        <w:rPr>
          <w:spacing w:val="-8"/>
          <w:w w:val="125"/>
        </w:rPr>
        <w:t>[2015]</w:t>
        <w:tab/>
      </w:r>
      <w:r>
        <w:rPr>
          <w:w w:val="125"/>
        </w:rPr>
        <w:t>The Revd Branwen Rees </w:t>
      </w:r>
      <w:r>
        <w:rPr>
          <w:spacing w:val="-10"/>
          <w:w w:val="125"/>
        </w:rPr>
        <w:t>(12) </w:t>
      </w:r>
      <w:r>
        <w:rPr>
          <w:spacing w:val="-5"/>
          <w:w w:val="125"/>
        </w:rPr>
        <w:t>[2022]</w:t>
      </w:r>
    </w:p>
    <w:p>
      <w:pPr>
        <w:pStyle w:val="BodyText"/>
        <w:spacing w:line="242" w:lineRule="exact"/>
        <w:ind w:left="1564"/>
      </w:pPr>
      <w:r>
        <w:rPr>
          <w:w w:val="125"/>
        </w:rPr>
        <w:t>Mr John Collings (13) [2019]</w:t>
      </w:r>
    </w:p>
    <w:p>
      <w:pPr>
        <w:pStyle w:val="BodyText"/>
        <w:spacing w:before="12"/>
        <w:rPr>
          <w:sz w:val="17"/>
        </w:rPr>
      </w:pPr>
    </w:p>
    <w:p>
      <w:pPr>
        <w:pStyle w:val="Heading8"/>
        <w:numPr>
          <w:ilvl w:val="2"/>
          <w:numId w:val="120"/>
        </w:numPr>
        <w:tabs>
          <w:tab w:pos="2245" w:val="left" w:leader="none"/>
        </w:tabs>
        <w:spacing w:line="261" w:lineRule="exact" w:before="0" w:after="0"/>
        <w:ind w:left="2244" w:right="0" w:hanging="681"/>
        <w:jc w:val="left"/>
      </w:pPr>
      <w:r>
        <w:rPr>
          <w:w w:val="110"/>
        </w:rPr>
        <w:t>International exchange reference</w:t>
      </w:r>
      <w:r>
        <w:rPr>
          <w:spacing w:val="-1"/>
          <w:w w:val="110"/>
        </w:rPr>
        <w:t> </w:t>
      </w:r>
      <w:r>
        <w:rPr>
          <w:w w:val="110"/>
        </w:rPr>
        <w:t>group</w:t>
      </w:r>
    </w:p>
    <w:p>
      <w:pPr>
        <w:pStyle w:val="BodyText"/>
        <w:spacing w:line="233" w:lineRule="exact"/>
        <w:ind w:left="1564"/>
      </w:pPr>
      <w:r>
        <w:rPr>
          <w:w w:val="125"/>
        </w:rPr>
        <w:t>Convenor: Mrs Judith North (5) [2020]</w:t>
      </w:r>
    </w:p>
    <w:p>
      <w:pPr>
        <w:pStyle w:val="BodyText"/>
        <w:spacing w:line="235" w:lineRule="auto" w:before="2"/>
        <w:ind w:left="1564" w:right="3368"/>
      </w:pPr>
      <w:r>
        <w:rPr>
          <w:w w:val="120"/>
        </w:rPr>
        <w:t>Members: The Revd Paul Whittle (Synod Moderator) [2022]† Ms Angela Bogg [2019]</w:t>
      </w:r>
    </w:p>
    <w:p>
      <w:pPr>
        <w:pStyle w:val="BodyText"/>
        <w:spacing w:line="242" w:lineRule="exact"/>
        <w:ind w:left="1564"/>
      </w:pPr>
      <w:r>
        <w:rPr>
          <w:w w:val="120"/>
        </w:rPr>
        <w:t>Secretary for Global and Intercultural Ministries</w:t>
      </w:r>
    </w:p>
    <w:p>
      <w:pPr>
        <w:pStyle w:val="BodyText"/>
        <w:spacing w:before="3"/>
        <w:rPr>
          <w:sz w:val="18"/>
        </w:rPr>
      </w:pPr>
    </w:p>
    <w:p>
      <w:pPr>
        <w:pStyle w:val="Heading8"/>
        <w:numPr>
          <w:ilvl w:val="2"/>
          <w:numId w:val="120"/>
        </w:numPr>
        <w:tabs>
          <w:tab w:pos="2245" w:val="left" w:leader="none"/>
        </w:tabs>
        <w:spacing w:line="261" w:lineRule="exact" w:before="0" w:after="0"/>
        <w:ind w:left="2244" w:right="0" w:hanging="681"/>
        <w:jc w:val="left"/>
      </w:pPr>
      <w:r>
        <w:rPr>
          <w:w w:val="110"/>
        </w:rPr>
        <w:t>Commitment for Life </w:t>
      </w:r>
      <w:r>
        <w:rPr>
          <w:spacing w:val="-4"/>
          <w:w w:val="110"/>
        </w:rPr>
        <w:t>(CfL) </w:t>
      </w:r>
      <w:r>
        <w:rPr>
          <w:w w:val="110"/>
        </w:rPr>
        <w:t>reference</w:t>
      </w:r>
      <w:r>
        <w:rPr>
          <w:spacing w:val="3"/>
          <w:w w:val="110"/>
        </w:rPr>
        <w:t> </w:t>
      </w:r>
      <w:r>
        <w:rPr>
          <w:w w:val="110"/>
        </w:rPr>
        <w:t>group</w:t>
      </w:r>
    </w:p>
    <w:p>
      <w:pPr>
        <w:pStyle w:val="BodyText"/>
        <w:spacing w:line="233" w:lineRule="exact"/>
        <w:ind w:left="1564"/>
      </w:pPr>
      <w:r>
        <w:rPr>
          <w:w w:val="125"/>
        </w:rPr>
        <w:t>Convenor: The Revd Alan McGougan [2020]</w:t>
      </w:r>
    </w:p>
    <w:p>
      <w:pPr>
        <w:pStyle w:val="BodyText"/>
        <w:tabs>
          <w:tab w:pos="5884" w:val="left" w:leader="none"/>
        </w:tabs>
        <w:spacing w:line="235" w:lineRule="auto" w:before="2"/>
        <w:ind w:left="1564" w:right="1906"/>
      </w:pPr>
      <w:r>
        <w:rPr>
          <w:w w:val="120"/>
        </w:rPr>
        <w:t>At least two</w:t>
      </w:r>
      <w:r>
        <w:rPr>
          <w:spacing w:val="7"/>
          <w:w w:val="120"/>
        </w:rPr>
        <w:t> </w:t>
      </w:r>
      <w:r>
        <w:rPr>
          <w:w w:val="120"/>
        </w:rPr>
        <w:t>CfL</w:t>
      </w:r>
      <w:r>
        <w:rPr>
          <w:spacing w:val="3"/>
          <w:w w:val="120"/>
        </w:rPr>
        <w:t> </w:t>
      </w:r>
      <w:r>
        <w:rPr>
          <w:w w:val="120"/>
        </w:rPr>
        <w:t>advocates</w:t>
        <w:tab/>
        <w:t>Representative of mission team Representative of</w:t>
      </w:r>
      <w:r>
        <w:rPr>
          <w:spacing w:val="-10"/>
          <w:w w:val="120"/>
        </w:rPr>
        <w:t> </w:t>
      </w:r>
      <w:r>
        <w:rPr>
          <w:w w:val="120"/>
        </w:rPr>
        <w:t>mission</w:t>
      </w:r>
      <w:r>
        <w:rPr>
          <w:spacing w:val="-4"/>
          <w:w w:val="120"/>
        </w:rPr>
        <w:t> </w:t>
      </w:r>
      <w:r>
        <w:rPr>
          <w:w w:val="120"/>
        </w:rPr>
        <w:t>committee</w:t>
        <w:tab/>
        <w:t>Representative from Christian Aid Representative of Global Justice</w:t>
      </w:r>
      <w:r>
        <w:rPr>
          <w:spacing w:val="7"/>
          <w:w w:val="120"/>
        </w:rPr>
        <w:t> </w:t>
      </w:r>
      <w:r>
        <w:rPr>
          <w:w w:val="120"/>
        </w:rPr>
        <w:t>Now</w:t>
      </w:r>
    </w:p>
    <w:p>
      <w:pPr>
        <w:pStyle w:val="BodyText"/>
        <w:spacing w:line="243" w:lineRule="exact"/>
        <w:ind w:left="1564"/>
      </w:pPr>
      <w:r>
        <w:rPr>
          <w:w w:val="120"/>
        </w:rPr>
        <w:t>Mrs Linda Mead (Programme Coordinator, Commitment for Life)</w:t>
      </w:r>
    </w:p>
    <w:p>
      <w:pPr>
        <w:spacing w:after="0" w:line="243" w:lineRule="exact"/>
        <w:sectPr>
          <w:type w:val="continuous"/>
          <w:pgSz w:w="11910" w:h="16840"/>
          <w:pgMar w:top="1580" w:bottom="280" w:left="420" w:right="380"/>
        </w:sectPr>
      </w:pPr>
    </w:p>
    <w:p>
      <w:pPr>
        <w:pStyle w:val="BodyText"/>
      </w:pPr>
      <w:r>
        <w:rPr/>
        <w:drawing>
          <wp:anchor distT="0" distB="0" distL="0" distR="0" allowOverlap="1" layoutInCell="1" locked="0" behindDoc="1" simplePos="0" relativeHeight="236131328">
            <wp:simplePos x="0" y="0"/>
            <wp:positionH relativeFrom="page">
              <wp:posOffset>0</wp:posOffset>
            </wp:positionH>
            <wp:positionV relativeFrom="page">
              <wp:posOffset>0</wp:posOffset>
            </wp:positionV>
            <wp:extent cx="594067" cy="10692003"/>
            <wp:effectExtent l="0" t="0" r="0" b="0"/>
            <wp:wrapNone/>
            <wp:docPr id="329" name="image75.png"/>
            <wp:cNvGraphicFramePr>
              <a:graphicFrameLocks noChangeAspect="1"/>
            </wp:cNvGraphicFramePr>
            <a:graphic>
              <a:graphicData uri="http://schemas.openxmlformats.org/drawingml/2006/picture">
                <pic:pic>
                  <pic:nvPicPr>
                    <pic:cNvPr id="330"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20.519100pt;margin-top:22.693945pt;width:26pt;height:133.75pt;mso-position-horizontal-relative:page;mso-position-vertical-relative:paragraph;z-index:252099584"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sz w:val="26"/>
        </w:rPr>
        <w:t>Nominations</w:t>
      </w:r>
    </w:p>
    <w:p>
      <w:pPr>
        <w:pStyle w:val="Heading8"/>
        <w:numPr>
          <w:ilvl w:val="2"/>
          <w:numId w:val="120"/>
        </w:numPr>
        <w:tabs>
          <w:tab w:pos="1508" w:val="left" w:leader="none"/>
        </w:tabs>
        <w:spacing w:line="261" w:lineRule="exact" w:before="205" w:after="0"/>
        <w:ind w:left="1507" w:right="0" w:hanging="681"/>
        <w:jc w:val="left"/>
      </w:pPr>
      <w:r>
        <w:rPr>
          <w:w w:val="110"/>
        </w:rPr>
        <w:t>Methodist/URC interfaith reference</w:t>
      </w:r>
      <w:r>
        <w:rPr>
          <w:spacing w:val="-1"/>
          <w:w w:val="110"/>
        </w:rPr>
        <w:t> </w:t>
      </w:r>
      <w:r>
        <w:rPr>
          <w:w w:val="110"/>
        </w:rPr>
        <w:t>group</w:t>
      </w:r>
    </w:p>
    <w:p>
      <w:pPr>
        <w:pStyle w:val="BodyText"/>
        <w:spacing w:line="235" w:lineRule="auto"/>
        <w:ind w:left="827" w:right="3368"/>
      </w:pPr>
      <w:r>
        <w:rPr>
          <w:w w:val="120"/>
        </w:rPr>
        <w:t>Members normally serve for six years in parallel with Methodist terms. Co-convenor: The Revd Clare Downing [2019]</w:t>
      </w:r>
    </w:p>
    <w:p>
      <w:pPr>
        <w:pStyle w:val="BodyText"/>
        <w:tabs>
          <w:tab w:pos="5867" w:val="left" w:leader="none"/>
        </w:tabs>
        <w:spacing w:line="235" w:lineRule="auto"/>
        <w:ind w:left="827" w:right="2307"/>
      </w:pPr>
      <w:r>
        <w:rPr>
          <w:w w:val="120"/>
        </w:rPr>
        <w:t>Co-convenor-elect: The Revd </w:t>
      </w:r>
      <w:r>
        <w:rPr>
          <w:spacing w:val="-3"/>
          <w:w w:val="120"/>
        </w:rPr>
        <w:t>Tracey </w:t>
      </w:r>
      <w:r>
        <w:rPr>
          <w:w w:val="120"/>
        </w:rPr>
        <w:t>Lewis </w:t>
      </w:r>
      <w:r>
        <w:rPr>
          <w:spacing w:val="-6"/>
          <w:w w:val="120"/>
        </w:rPr>
        <w:t>[to </w:t>
      </w:r>
      <w:r>
        <w:rPr>
          <w:w w:val="120"/>
        </w:rPr>
        <w:t>serve as co-convenor </w:t>
      </w:r>
      <w:r>
        <w:rPr>
          <w:spacing w:val="-3"/>
          <w:w w:val="120"/>
        </w:rPr>
        <w:t>2019-25]**  </w:t>
      </w:r>
      <w:r>
        <w:rPr>
          <w:w w:val="120"/>
        </w:rPr>
        <w:t>Mr John Mellor</w:t>
      </w:r>
      <w:r>
        <w:rPr>
          <w:spacing w:val="30"/>
          <w:w w:val="120"/>
        </w:rPr>
        <w:t> </w:t>
      </w:r>
      <w:r>
        <w:rPr>
          <w:spacing w:val="-10"/>
          <w:w w:val="120"/>
        </w:rPr>
        <w:t>(4)</w:t>
      </w:r>
      <w:r>
        <w:rPr>
          <w:spacing w:val="10"/>
          <w:w w:val="120"/>
        </w:rPr>
        <w:t> </w:t>
      </w:r>
      <w:r>
        <w:rPr>
          <w:spacing w:val="-5"/>
          <w:w w:val="120"/>
        </w:rPr>
        <w:t>[2020]</w:t>
        <w:tab/>
      </w:r>
      <w:r>
        <w:rPr>
          <w:w w:val="120"/>
        </w:rPr>
        <w:t>The Revd Ann Jack </w:t>
      </w:r>
      <w:r>
        <w:rPr>
          <w:spacing w:val="-9"/>
          <w:w w:val="120"/>
        </w:rPr>
        <w:t>(10)</w:t>
      </w:r>
      <w:r>
        <w:rPr>
          <w:spacing w:val="-2"/>
          <w:w w:val="120"/>
        </w:rPr>
        <w:t> </w:t>
      </w:r>
      <w:r>
        <w:rPr>
          <w:spacing w:val="-8"/>
          <w:w w:val="120"/>
        </w:rPr>
        <w:t>[2021]</w:t>
      </w:r>
    </w:p>
    <w:p>
      <w:pPr>
        <w:pStyle w:val="BodyText"/>
        <w:spacing w:line="242" w:lineRule="exact"/>
        <w:ind w:left="827"/>
      </w:pPr>
      <w:r>
        <w:rPr>
          <w:w w:val="125"/>
        </w:rPr>
        <w:t>The Revd Bob Day (2) [2021]</w:t>
      </w:r>
    </w:p>
    <w:p>
      <w:pPr>
        <w:pStyle w:val="BodyText"/>
        <w:rPr>
          <w:sz w:val="18"/>
        </w:rPr>
      </w:pPr>
    </w:p>
    <w:p>
      <w:pPr>
        <w:pStyle w:val="Heading8"/>
        <w:numPr>
          <w:ilvl w:val="2"/>
          <w:numId w:val="120"/>
        </w:numPr>
        <w:tabs>
          <w:tab w:pos="1508" w:val="left" w:leader="none"/>
        </w:tabs>
        <w:spacing w:line="261" w:lineRule="exact" w:before="0" w:after="0"/>
        <w:ind w:left="1507" w:right="0" w:hanging="681"/>
        <w:jc w:val="left"/>
      </w:pPr>
      <w:r>
        <w:rPr>
          <w:w w:val="110"/>
        </w:rPr>
        <w:t>Joint Public Issues </w:t>
      </w:r>
      <w:r>
        <w:rPr>
          <w:spacing w:val="-4"/>
          <w:w w:val="110"/>
        </w:rPr>
        <w:t>Team </w:t>
      </w:r>
      <w:r>
        <w:rPr>
          <w:w w:val="110"/>
        </w:rPr>
        <w:t>strategy and policy</w:t>
      </w:r>
      <w:r>
        <w:rPr>
          <w:spacing w:val="3"/>
          <w:w w:val="110"/>
        </w:rPr>
        <w:t> </w:t>
      </w:r>
      <w:r>
        <w:rPr>
          <w:w w:val="110"/>
        </w:rPr>
        <w:t>group</w:t>
      </w:r>
    </w:p>
    <w:p>
      <w:pPr>
        <w:pStyle w:val="BodyText"/>
        <w:tabs>
          <w:tab w:pos="5867" w:val="left" w:leader="none"/>
        </w:tabs>
        <w:spacing w:line="235" w:lineRule="exact"/>
        <w:ind w:left="827"/>
      </w:pPr>
      <w:r>
        <w:rPr>
          <w:w w:val="120"/>
        </w:rPr>
        <w:t>Deputy General</w:t>
      </w:r>
      <w:r>
        <w:rPr>
          <w:spacing w:val="32"/>
          <w:w w:val="120"/>
        </w:rPr>
        <w:t> </w:t>
      </w:r>
      <w:r>
        <w:rPr>
          <w:w w:val="120"/>
        </w:rPr>
        <w:t>Secretary</w:t>
      </w:r>
      <w:r>
        <w:rPr>
          <w:spacing w:val="16"/>
          <w:w w:val="120"/>
        </w:rPr>
        <w:t> </w:t>
      </w:r>
      <w:r>
        <w:rPr>
          <w:spacing w:val="-5"/>
          <w:w w:val="120"/>
        </w:rPr>
        <w:t>(mission)</w:t>
        <w:tab/>
      </w:r>
      <w:r>
        <w:rPr>
          <w:w w:val="120"/>
        </w:rPr>
        <w:t>The Revd Steve</w:t>
      </w:r>
      <w:r>
        <w:rPr>
          <w:spacing w:val="5"/>
          <w:w w:val="120"/>
        </w:rPr>
        <w:t> </w:t>
      </w:r>
      <w:r>
        <w:rPr>
          <w:w w:val="120"/>
        </w:rPr>
        <w:t>Faber</w:t>
      </w:r>
    </w:p>
    <w:p>
      <w:pPr>
        <w:pStyle w:val="BodyText"/>
        <w:spacing w:before="3"/>
        <w:rPr>
          <w:sz w:val="18"/>
        </w:rPr>
      </w:pPr>
    </w:p>
    <w:p>
      <w:pPr>
        <w:pStyle w:val="Heading8"/>
        <w:numPr>
          <w:ilvl w:val="2"/>
          <w:numId w:val="120"/>
        </w:numPr>
        <w:tabs>
          <w:tab w:pos="1508" w:val="left" w:leader="none"/>
        </w:tabs>
        <w:spacing w:line="261" w:lineRule="exact" w:before="1" w:after="0"/>
        <w:ind w:left="1507" w:right="0" w:hanging="681"/>
        <w:jc w:val="left"/>
      </w:pPr>
      <w:r>
        <w:rPr>
          <w:w w:val="110"/>
        </w:rPr>
        <w:t>Rural strategy group (United Reformed</w:t>
      </w:r>
      <w:r>
        <w:rPr>
          <w:spacing w:val="-2"/>
          <w:w w:val="110"/>
        </w:rPr>
        <w:t> </w:t>
      </w:r>
      <w:r>
        <w:rPr>
          <w:w w:val="110"/>
        </w:rPr>
        <w:t>Church/Methodist)</w:t>
      </w:r>
    </w:p>
    <w:p>
      <w:pPr>
        <w:pStyle w:val="BodyText"/>
        <w:spacing w:line="233" w:lineRule="exact"/>
        <w:ind w:left="827"/>
      </w:pPr>
      <w:r>
        <w:rPr>
          <w:w w:val="120"/>
        </w:rPr>
        <w:t>Co-chair: The Revd Steve Faber (Synod Moderator) [2022]</w:t>
      </w:r>
    </w:p>
    <w:p>
      <w:pPr>
        <w:pStyle w:val="BodyText"/>
        <w:tabs>
          <w:tab w:pos="5867" w:val="left" w:leader="none"/>
        </w:tabs>
        <w:spacing w:line="235" w:lineRule="auto" w:before="1"/>
        <w:ind w:left="827" w:right="3008"/>
      </w:pPr>
      <w:r>
        <w:rPr>
          <w:w w:val="120"/>
        </w:rPr>
        <w:t>The Revd Peter</w:t>
      </w:r>
      <w:r>
        <w:rPr>
          <w:spacing w:val="17"/>
          <w:w w:val="120"/>
        </w:rPr>
        <w:t> </w:t>
      </w:r>
      <w:r>
        <w:rPr>
          <w:w w:val="120"/>
        </w:rPr>
        <w:t>Ball</w:t>
      </w:r>
      <w:r>
        <w:rPr>
          <w:spacing w:val="5"/>
          <w:w w:val="120"/>
        </w:rPr>
        <w:t> </w:t>
      </w:r>
      <w:r>
        <w:rPr>
          <w:spacing w:val="-5"/>
          <w:w w:val="120"/>
        </w:rPr>
        <w:t>[2020]</w:t>
        <w:tab/>
      </w:r>
      <w:r>
        <w:rPr>
          <w:w w:val="120"/>
        </w:rPr>
        <w:t>Mr Charles Jolly </w:t>
      </w:r>
      <w:r>
        <w:rPr>
          <w:spacing w:val="-8"/>
          <w:w w:val="120"/>
        </w:rPr>
        <w:t>[2021] </w:t>
      </w:r>
      <w:r>
        <w:rPr>
          <w:w w:val="120"/>
        </w:rPr>
        <w:t>The Revd Elizabeth Kemp</w:t>
      </w:r>
      <w:r>
        <w:rPr>
          <w:spacing w:val="11"/>
          <w:w w:val="120"/>
        </w:rPr>
        <w:t> </w:t>
      </w:r>
      <w:r>
        <w:rPr>
          <w:spacing w:val="-8"/>
          <w:w w:val="120"/>
        </w:rPr>
        <w:t>[2021]</w:t>
      </w:r>
    </w:p>
    <w:p>
      <w:pPr>
        <w:pStyle w:val="BodyText"/>
        <w:spacing w:before="2"/>
        <w:rPr>
          <w:sz w:val="22"/>
        </w:rPr>
      </w:pPr>
    </w:p>
    <w:p>
      <w:pPr>
        <w:pStyle w:val="Heading4"/>
        <w:numPr>
          <w:ilvl w:val="0"/>
          <w:numId w:val="120"/>
        </w:numPr>
        <w:tabs>
          <w:tab w:pos="1507" w:val="left" w:leader="none"/>
          <w:tab w:pos="1508" w:val="left" w:leader="none"/>
        </w:tabs>
        <w:spacing w:line="240" w:lineRule="auto" w:before="0" w:after="0"/>
        <w:ind w:left="1507" w:right="0" w:hanging="681"/>
        <w:jc w:val="left"/>
      </w:pPr>
      <w:r>
        <w:rPr>
          <w:spacing w:val="3"/>
          <w:w w:val="110"/>
        </w:rPr>
        <w:t>Discipleship</w:t>
      </w:r>
      <w:r>
        <w:rPr>
          <w:spacing w:val="12"/>
          <w:w w:val="110"/>
        </w:rPr>
        <w:t> </w:t>
      </w:r>
      <w:r>
        <w:rPr>
          <w:spacing w:val="4"/>
          <w:w w:val="110"/>
        </w:rPr>
        <w:t>department</w:t>
      </w:r>
    </w:p>
    <w:p>
      <w:pPr>
        <w:pStyle w:val="ListParagraph"/>
        <w:numPr>
          <w:ilvl w:val="1"/>
          <w:numId w:val="120"/>
        </w:numPr>
        <w:tabs>
          <w:tab w:pos="1507" w:val="left" w:leader="none"/>
          <w:tab w:pos="1508" w:val="left" w:leader="none"/>
        </w:tabs>
        <w:spacing w:line="230" w:lineRule="auto" w:before="61" w:after="0"/>
        <w:ind w:left="827" w:right="6312" w:firstLine="0"/>
        <w:jc w:val="left"/>
        <w:rPr>
          <w:rFonts w:ascii="Stone Sans II ITC Std Bk"/>
          <w:sz w:val="20"/>
        </w:rPr>
      </w:pPr>
      <w:r>
        <w:rPr>
          <w:rFonts w:ascii="Stone Sans II ITC Std Bk"/>
          <w:b/>
          <w:w w:val="120"/>
          <w:sz w:val="20"/>
        </w:rPr>
        <w:t>Ministries committee </w:t>
      </w:r>
      <w:r>
        <w:rPr>
          <w:w w:val="120"/>
          <w:sz w:val="20"/>
        </w:rPr>
        <w:t>Convenor: The Revd Paul Whittle </w:t>
      </w:r>
      <w:r>
        <w:rPr>
          <w:spacing w:val="-5"/>
          <w:w w:val="120"/>
          <w:sz w:val="20"/>
        </w:rPr>
        <w:t>[2020] </w:t>
      </w:r>
      <w:r>
        <w:rPr>
          <w:w w:val="120"/>
          <w:sz w:val="20"/>
        </w:rPr>
        <w:t>Secretary: Secretary for</w:t>
      </w:r>
      <w:r>
        <w:rPr>
          <w:spacing w:val="-1"/>
          <w:w w:val="120"/>
          <w:sz w:val="20"/>
        </w:rPr>
        <w:t> </w:t>
      </w:r>
      <w:r>
        <w:rPr>
          <w:w w:val="120"/>
          <w:sz w:val="20"/>
        </w:rPr>
        <w:t>Ministries</w:t>
      </w:r>
    </w:p>
    <w:p>
      <w:pPr>
        <w:pStyle w:val="BodyText"/>
        <w:tabs>
          <w:tab w:pos="5867" w:val="left" w:leader="none"/>
        </w:tabs>
        <w:spacing w:line="238" w:lineRule="exact"/>
        <w:ind w:left="827"/>
      </w:pPr>
      <w:r>
        <w:rPr>
          <w:w w:val="125"/>
        </w:rPr>
        <w:t>The Revd Dr Martin Camroux</w:t>
      </w:r>
      <w:r>
        <w:rPr>
          <w:spacing w:val="-27"/>
          <w:w w:val="125"/>
        </w:rPr>
        <w:t> </w:t>
      </w:r>
      <w:r>
        <w:rPr>
          <w:w w:val="125"/>
        </w:rPr>
        <w:t>(7)</w:t>
      </w:r>
      <w:r>
        <w:rPr>
          <w:spacing w:val="-5"/>
          <w:w w:val="125"/>
        </w:rPr>
        <w:t> </w:t>
      </w:r>
      <w:r>
        <w:rPr>
          <w:spacing w:val="-8"/>
          <w:w w:val="125"/>
        </w:rPr>
        <w:t>[2021]</w:t>
        <w:tab/>
      </w:r>
      <w:r>
        <w:rPr>
          <w:w w:val="125"/>
        </w:rPr>
        <w:t>The Revd Sally Thomas </w:t>
      </w:r>
      <w:r>
        <w:rPr>
          <w:spacing w:val="-10"/>
          <w:w w:val="125"/>
        </w:rPr>
        <w:t>(12)</w:t>
      </w:r>
      <w:r>
        <w:rPr>
          <w:spacing w:val="-6"/>
          <w:w w:val="125"/>
        </w:rPr>
        <w:t> </w:t>
      </w:r>
      <w:r>
        <w:rPr>
          <w:spacing w:val="-8"/>
          <w:w w:val="125"/>
        </w:rPr>
        <w:t>[2019]</w:t>
      </w:r>
    </w:p>
    <w:p>
      <w:pPr>
        <w:pStyle w:val="BodyText"/>
        <w:tabs>
          <w:tab w:pos="5867" w:val="left" w:leader="none"/>
        </w:tabs>
        <w:spacing w:line="235" w:lineRule="auto" w:before="2"/>
        <w:ind w:left="827" w:right="2818"/>
      </w:pPr>
      <w:r>
        <w:rPr>
          <w:w w:val="125"/>
        </w:rPr>
        <w:t>The Revd Allison Claxton</w:t>
      </w:r>
      <w:r>
        <w:rPr>
          <w:spacing w:val="-10"/>
          <w:w w:val="125"/>
        </w:rPr>
        <w:t> </w:t>
      </w:r>
      <w:r>
        <w:rPr>
          <w:spacing w:val="-8"/>
          <w:w w:val="125"/>
        </w:rPr>
        <w:t>(3)</w:t>
      </w:r>
      <w:r>
        <w:rPr>
          <w:spacing w:val="-2"/>
          <w:w w:val="125"/>
        </w:rPr>
        <w:t> </w:t>
      </w:r>
      <w:r>
        <w:rPr>
          <w:spacing w:val="-5"/>
          <w:w w:val="125"/>
        </w:rPr>
        <w:t>[2020]</w:t>
        <w:tab/>
      </w:r>
      <w:r>
        <w:rPr>
          <w:w w:val="125"/>
        </w:rPr>
        <w:t>Mr Sam Elliot </w:t>
      </w:r>
      <w:r>
        <w:rPr>
          <w:spacing w:val="-14"/>
          <w:w w:val="125"/>
        </w:rPr>
        <w:t>(11) </w:t>
      </w:r>
      <w:r>
        <w:rPr>
          <w:spacing w:val="-8"/>
          <w:w w:val="125"/>
        </w:rPr>
        <w:t>[2021] </w:t>
      </w:r>
      <w:r>
        <w:rPr>
          <w:w w:val="125"/>
        </w:rPr>
        <w:t>Vacancy</w:t>
      </w:r>
    </w:p>
    <w:p>
      <w:pPr>
        <w:pStyle w:val="BodyText"/>
        <w:spacing w:line="240" w:lineRule="exact"/>
        <w:ind w:left="827"/>
      </w:pPr>
      <w:r>
        <w:rPr>
          <w:w w:val="120"/>
        </w:rPr>
        <w:t>Leadership in worship advocate: Mrs Jenny Sheehan</w:t>
      </w:r>
    </w:p>
    <w:p>
      <w:pPr>
        <w:pStyle w:val="BodyText"/>
        <w:spacing w:line="235" w:lineRule="auto" w:before="2"/>
        <w:ind w:left="827" w:right="3687"/>
      </w:pPr>
      <w:r>
        <w:rPr>
          <w:w w:val="120"/>
        </w:rPr>
        <w:t>The Revd Nicola Furley-Smith (Synod Moderator) [2022]** Convenor, assessment board</w:t>
      </w:r>
    </w:p>
    <w:p>
      <w:pPr>
        <w:pStyle w:val="BodyText"/>
        <w:spacing w:before="1"/>
        <w:rPr>
          <w:sz w:val="19"/>
        </w:rPr>
      </w:pPr>
    </w:p>
    <w:p>
      <w:pPr>
        <w:pStyle w:val="ListParagraph"/>
        <w:numPr>
          <w:ilvl w:val="2"/>
          <w:numId w:val="120"/>
        </w:numPr>
        <w:tabs>
          <w:tab w:pos="1565" w:val="left" w:leader="none"/>
          <w:tab w:pos="1566" w:val="left" w:leader="none"/>
        </w:tabs>
        <w:spacing w:line="230" w:lineRule="auto" w:before="0" w:after="0"/>
        <w:ind w:left="827" w:right="5211" w:firstLine="0"/>
        <w:jc w:val="left"/>
        <w:rPr>
          <w:sz w:val="20"/>
        </w:rPr>
      </w:pPr>
      <w:r>
        <w:rPr>
          <w:rFonts w:ascii="Stone Sans II ITC Std Bk" w:hAnsi="Stone Sans II ITC Std Bk"/>
          <w:b/>
          <w:w w:val="110"/>
          <w:sz w:val="20"/>
        </w:rPr>
        <w:t>Ministries – accreditation subcommittee </w:t>
      </w:r>
      <w:r>
        <w:rPr>
          <w:w w:val="115"/>
          <w:sz w:val="20"/>
        </w:rPr>
        <w:t>Convenor: The Revd Russell Furley-Smith </w:t>
      </w:r>
      <w:r>
        <w:rPr>
          <w:spacing w:val="-8"/>
          <w:w w:val="115"/>
          <w:sz w:val="20"/>
        </w:rPr>
        <w:t>[2021] </w:t>
      </w:r>
      <w:r>
        <w:rPr>
          <w:w w:val="115"/>
          <w:sz w:val="20"/>
        </w:rPr>
        <w:t>Secretary: Secretary for</w:t>
      </w:r>
      <w:r>
        <w:rPr>
          <w:spacing w:val="21"/>
          <w:w w:val="115"/>
          <w:sz w:val="20"/>
        </w:rPr>
        <w:t> </w:t>
      </w:r>
      <w:r>
        <w:rPr>
          <w:w w:val="115"/>
          <w:sz w:val="20"/>
        </w:rPr>
        <w:t>Ministries</w:t>
      </w:r>
    </w:p>
    <w:p>
      <w:pPr>
        <w:pStyle w:val="BodyText"/>
        <w:spacing w:line="238" w:lineRule="exact"/>
        <w:ind w:left="827"/>
      </w:pPr>
      <w:r>
        <w:rPr>
          <w:w w:val="120"/>
        </w:rPr>
        <w:t>The Revd Dr Andrew Prasad (Synod Moderator) [2020]</w:t>
      </w:r>
    </w:p>
    <w:p>
      <w:pPr>
        <w:pStyle w:val="BodyText"/>
        <w:tabs>
          <w:tab w:pos="5867" w:val="left" w:leader="none"/>
        </w:tabs>
        <w:spacing w:line="242" w:lineRule="exact"/>
        <w:ind w:left="827"/>
      </w:pPr>
      <w:r>
        <w:rPr>
          <w:w w:val="125"/>
        </w:rPr>
        <w:t>The Revd Dr Susan Durber</w:t>
      </w:r>
      <w:r>
        <w:rPr>
          <w:spacing w:val="-14"/>
          <w:w w:val="125"/>
        </w:rPr>
        <w:t> </w:t>
      </w:r>
      <w:r>
        <w:rPr>
          <w:spacing w:val="-8"/>
          <w:w w:val="125"/>
        </w:rPr>
        <w:t>(8)</w:t>
      </w:r>
      <w:r>
        <w:rPr>
          <w:spacing w:val="-2"/>
          <w:w w:val="125"/>
        </w:rPr>
        <w:t> </w:t>
      </w:r>
      <w:r>
        <w:rPr>
          <w:spacing w:val="-8"/>
          <w:w w:val="125"/>
        </w:rPr>
        <w:t>[2021]</w:t>
        <w:tab/>
      </w:r>
      <w:r>
        <w:rPr>
          <w:w w:val="125"/>
        </w:rPr>
        <w:t>Mr Rob Moverley </w:t>
      </w:r>
      <w:r>
        <w:rPr>
          <w:spacing w:val="-10"/>
          <w:w w:val="125"/>
        </w:rPr>
        <w:t>(12)</w:t>
      </w:r>
      <w:r>
        <w:rPr>
          <w:spacing w:val="-11"/>
          <w:w w:val="125"/>
        </w:rPr>
        <w:t> </w:t>
      </w:r>
      <w:r>
        <w:rPr>
          <w:spacing w:val="-3"/>
          <w:w w:val="125"/>
        </w:rPr>
        <w:t>[2022]**</w:t>
      </w:r>
    </w:p>
    <w:p>
      <w:pPr>
        <w:pStyle w:val="BodyText"/>
        <w:spacing w:before="3"/>
        <w:rPr>
          <w:sz w:val="18"/>
        </w:rPr>
      </w:pPr>
    </w:p>
    <w:p>
      <w:pPr>
        <w:pStyle w:val="Heading8"/>
        <w:numPr>
          <w:ilvl w:val="2"/>
          <w:numId w:val="120"/>
        </w:numPr>
        <w:tabs>
          <w:tab w:pos="1508" w:val="left" w:leader="none"/>
        </w:tabs>
        <w:spacing w:line="261" w:lineRule="exact" w:before="0" w:after="0"/>
        <w:ind w:left="1507" w:right="0" w:hanging="681"/>
        <w:jc w:val="left"/>
      </w:pPr>
      <w:r>
        <w:rPr>
          <w:w w:val="110"/>
        </w:rPr>
        <w:t>Ministries – </w:t>
      </w:r>
      <w:r>
        <w:rPr>
          <w:spacing w:val="2"/>
          <w:w w:val="110"/>
        </w:rPr>
        <w:t>CRCW </w:t>
      </w:r>
      <w:r>
        <w:rPr>
          <w:w w:val="110"/>
        </w:rPr>
        <w:t>programme</w:t>
      </w:r>
      <w:r>
        <w:rPr>
          <w:spacing w:val="-3"/>
          <w:w w:val="110"/>
        </w:rPr>
        <w:t> </w:t>
      </w:r>
      <w:r>
        <w:rPr>
          <w:w w:val="110"/>
        </w:rPr>
        <w:t>subcommittee</w:t>
      </w:r>
    </w:p>
    <w:p>
      <w:pPr>
        <w:pStyle w:val="BodyText"/>
        <w:spacing w:line="235" w:lineRule="auto"/>
        <w:ind w:left="827" w:right="6147"/>
      </w:pPr>
      <w:r>
        <w:rPr>
          <w:w w:val="120"/>
        </w:rPr>
        <w:t>Convenor: Mr Simon Loveitt [2020] Secretary: CRCW Development Worker</w:t>
      </w:r>
    </w:p>
    <w:p>
      <w:pPr>
        <w:pStyle w:val="BodyText"/>
        <w:tabs>
          <w:tab w:pos="5867" w:val="left" w:leader="none"/>
        </w:tabs>
        <w:spacing w:line="240" w:lineRule="exact"/>
        <w:ind w:left="827"/>
      </w:pPr>
      <w:r>
        <w:rPr>
          <w:w w:val="125"/>
        </w:rPr>
        <w:t>Mrs Rosie Buxton</w:t>
      </w:r>
      <w:r>
        <w:rPr>
          <w:spacing w:val="-23"/>
          <w:w w:val="125"/>
        </w:rPr>
        <w:t> </w:t>
      </w:r>
      <w:r>
        <w:rPr>
          <w:spacing w:val="-10"/>
          <w:w w:val="125"/>
        </w:rPr>
        <w:t>(4)</w:t>
      </w:r>
      <w:r>
        <w:rPr>
          <w:spacing w:val="-8"/>
          <w:w w:val="125"/>
        </w:rPr>
        <w:t> [2018]</w:t>
        <w:tab/>
      </w:r>
      <w:r>
        <w:rPr>
          <w:w w:val="125"/>
        </w:rPr>
        <w:t>Mr Derek Estill </w:t>
      </w:r>
      <w:r>
        <w:rPr>
          <w:spacing w:val="-8"/>
          <w:w w:val="125"/>
        </w:rPr>
        <w:t>(2)</w:t>
      </w:r>
      <w:r>
        <w:rPr>
          <w:spacing w:val="-3"/>
          <w:w w:val="125"/>
        </w:rPr>
        <w:t> </w:t>
      </w:r>
      <w:r>
        <w:rPr>
          <w:spacing w:val="-8"/>
          <w:w w:val="125"/>
        </w:rPr>
        <w:t>[2019]</w:t>
      </w:r>
    </w:p>
    <w:p>
      <w:pPr>
        <w:pStyle w:val="BodyText"/>
        <w:tabs>
          <w:tab w:pos="5867" w:val="left" w:leader="none"/>
        </w:tabs>
        <w:spacing w:line="235" w:lineRule="auto"/>
        <w:ind w:left="827" w:right="2896"/>
      </w:pPr>
      <w:r>
        <w:rPr>
          <w:w w:val="120"/>
        </w:rPr>
        <w:t>The Revd Ruth Maxey</w:t>
      </w:r>
      <w:r>
        <w:rPr>
          <w:spacing w:val="49"/>
          <w:w w:val="120"/>
        </w:rPr>
        <w:t> </w:t>
      </w:r>
      <w:r>
        <w:rPr>
          <w:spacing w:val="-8"/>
          <w:w w:val="120"/>
        </w:rPr>
        <w:t>(5)</w:t>
      </w:r>
      <w:r>
        <w:rPr>
          <w:spacing w:val="12"/>
          <w:w w:val="120"/>
        </w:rPr>
        <w:t> </w:t>
      </w:r>
      <w:r>
        <w:rPr>
          <w:spacing w:val="-5"/>
          <w:w w:val="120"/>
        </w:rPr>
        <w:t>[2020]</w:t>
        <w:tab/>
      </w:r>
      <w:r>
        <w:rPr>
          <w:w w:val="120"/>
        </w:rPr>
        <w:t>Ms Ann Honey </w:t>
      </w:r>
      <w:r>
        <w:rPr>
          <w:spacing w:val="-3"/>
          <w:w w:val="120"/>
        </w:rPr>
        <w:t>[2022]** </w:t>
      </w:r>
      <w:r>
        <w:rPr>
          <w:w w:val="120"/>
        </w:rPr>
        <w:t>The Revd Leonora Jagessar Visser </w:t>
      </w:r>
      <w:r>
        <w:rPr>
          <w:spacing w:val="2"/>
          <w:w w:val="120"/>
        </w:rPr>
        <w:t>t’Hooft </w:t>
      </w:r>
      <w:r>
        <w:rPr>
          <w:spacing w:val="-9"/>
          <w:w w:val="120"/>
        </w:rPr>
        <w:t>(10)</w:t>
      </w:r>
      <w:r>
        <w:rPr>
          <w:spacing w:val="22"/>
          <w:w w:val="120"/>
        </w:rPr>
        <w:t> </w:t>
      </w:r>
      <w:r>
        <w:rPr>
          <w:spacing w:val="-8"/>
          <w:w w:val="120"/>
        </w:rPr>
        <w:t>[2021]</w:t>
      </w:r>
    </w:p>
    <w:p>
      <w:pPr>
        <w:pStyle w:val="BodyText"/>
        <w:spacing w:line="242" w:lineRule="exact"/>
        <w:ind w:left="827"/>
      </w:pPr>
      <w:r>
        <w:rPr>
          <w:w w:val="120"/>
        </w:rPr>
        <w:t>The Revd Peter Meek (Synod Moderator) [2022]**</w:t>
      </w:r>
    </w:p>
    <w:p>
      <w:pPr>
        <w:pStyle w:val="BodyText"/>
        <w:rPr>
          <w:sz w:val="18"/>
        </w:rPr>
      </w:pPr>
    </w:p>
    <w:p>
      <w:pPr>
        <w:pStyle w:val="Heading8"/>
        <w:numPr>
          <w:ilvl w:val="2"/>
          <w:numId w:val="120"/>
        </w:numPr>
        <w:tabs>
          <w:tab w:pos="1508" w:val="left" w:leader="none"/>
        </w:tabs>
        <w:spacing w:line="261" w:lineRule="exact" w:before="0" w:after="0"/>
        <w:ind w:left="1507" w:right="0" w:hanging="681"/>
        <w:jc w:val="left"/>
      </w:pPr>
      <w:r>
        <w:rPr>
          <w:w w:val="110"/>
        </w:rPr>
        <w:t>Ministries – maintenance of ministry</w:t>
      </w:r>
      <w:r>
        <w:rPr>
          <w:spacing w:val="-1"/>
          <w:w w:val="110"/>
        </w:rPr>
        <w:t> </w:t>
      </w:r>
      <w:r>
        <w:rPr>
          <w:w w:val="110"/>
        </w:rPr>
        <w:t>subcommittee</w:t>
      </w:r>
    </w:p>
    <w:p>
      <w:pPr>
        <w:pStyle w:val="BodyText"/>
        <w:spacing w:line="233" w:lineRule="exact"/>
        <w:ind w:left="827"/>
      </w:pPr>
      <w:r>
        <w:rPr>
          <w:w w:val="120"/>
        </w:rPr>
        <w:t>Convenor: The Revd David Coote [2022]**</w:t>
      </w:r>
    </w:p>
    <w:p>
      <w:pPr>
        <w:pStyle w:val="BodyText"/>
        <w:tabs>
          <w:tab w:pos="5867" w:val="left" w:leader="none"/>
        </w:tabs>
        <w:spacing w:line="240" w:lineRule="exact"/>
        <w:ind w:left="827"/>
      </w:pPr>
      <w:r>
        <w:rPr>
          <w:w w:val="125"/>
        </w:rPr>
        <w:t>Mr David Black</w:t>
      </w:r>
      <w:r>
        <w:rPr>
          <w:spacing w:val="-7"/>
          <w:w w:val="125"/>
        </w:rPr>
        <w:t> (6)</w:t>
      </w:r>
      <w:r>
        <w:rPr>
          <w:spacing w:val="-2"/>
          <w:w w:val="125"/>
        </w:rPr>
        <w:t> </w:t>
      </w:r>
      <w:r>
        <w:rPr>
          <w:spacing w:val="-8"/>
          <w:w w:val="125"/>
        </w:rPr>
        <w:t>[2019]†</w:t>
        <w:tab/>
      </w:r>
      <w:r>
        <w:rPr>
          <w:w w:val="125"/>
        </w:rPr>
        <w:t>Mr Keith </w:t>
      </w:r>
      <w:r>
        <w:rPr>
          <w:spacing w:val="3"/>
          <w:w w:val="125"/>
        </w:rPr>
        <w:t>Berry </w:t>
      </w:r>
      <w:r>
        <w:rPr>
          <w:w w:val="125"/>
        </w:rPr>
        <w:t>(7)</w:t>
      </w:r>
      <w:r>
        <w:rPr>
          <w:spacing w:val="-8"/>
          <w:w w:val="125"/>
        </w:rPr>
        <w:t> </w:t>
      </w:r>
      <w:r>
        <w:rPr>
          <w:spacing w:val="-7"/>
          <w:w w:val="125"/>
        </w:rPr>
        <w:t>2019</w:t>
      </w:r>
    </w:p>
    <w:p>
      <w:pPr>
        <w:pStyle w:val="BodyText"/>
        <w:tabs>
          <w:tab w:pos="5867" w:val="left" w:leader="none"/>
        </w:tabs>
        <w:spacing w:line="235" w:lineRule="auto" w:before="2"/>
        <w:ind w:left="827" w:right="2534"/>
      </w:pPr>
      <w:r>
        <w:rPr>
          <w:w w:val="120"/>
        </w:rPr>
        <w:t>Mrs Margaret</w:t>
      </w:r>
      <w:r>
        <w:rPr>
          <w:spacing w:val="9"/>
          <w:w w:val="120"/>
        </w:rPr>
        <w:t> </w:t>
      </w:r>
      <w:r>
        <w:rPr>
          <w:w w:val="120"/>
        </w:rPr>
        <w:t>Brock</w:t>
      </w:r>
      <w:r>
        <w:rPr>
          <w:spacing w:val="5"/>
          <w:w w:val="120"/>
        </w:rPr>
        <w:t> </w:t>
      </w:r>
      <w:r>
        <w:rPr>
          <w:spacing w:val="-8"/>
          <w:w w:val="120"/>
        </w:rPr>
        <w:t>[2021]</w:t>
        <w:tab/>
      </w:r>
      <w:r>
        <w:rPr>
          <w:w w:val="120"/>
        </w:rPr>
        <w:t>Mr David Gartside </w:t>
      </w:r>
      <w:r>
        <w:rPr>
          <w:spacing w:val="-3"/>
          <w:w w:val="120"/>
        </w:rPr>
        <w:t>[2022]** </w:t>
      </w:r>
      <w:r>
        <w:rPr>
          <w:w w:val="120"/>
        </w:rPr>
        <w:t>Mrs Jean Wyber</w:t>
      </w:r>
      <w:r>
        <w:rPr>
          <w:spacing w:val="4"/>
          <w:w w:val="120"/>
        </w:rPr>
        <w:t> </w:t>
      </w:r>
      <w:r>
        <w:rPr>
          <w:spacing w:val="-3"/>
          <w:w w:val="120"/>
        </w:rPr>
        <w:t>[2022]**</w:t>
      </w:r>
    </w:p>
    <w:p>
      <w:pPr>
        <w:pStyle w:val="BodyText"/>
        <w:spacing w:before="5"/>
        <w:rPr>
          <w:sz w:val="18"/>
        </w:rPr>
      </w:pPr>
    </w:p>
    <w:p>
      <w:pPr>
        <w:pStyle w:val="Heading8"/>
        <w:numPr>
          <w:ilvl w:val="2"/>
          <w:numId w:val="120"/>
        </w:numPr>
        <w:tabs>
          <w:tab w:pos="1508" w:val="left" w:leader="none"/>
        </w:tabs>
        <w:spacing w:line="261" w:lineRule="exact" w:before="1" w:after="0"/>
        <w:ind w:left="1507" w:right="0" w:hanging="681"/>
        <w:jc w:val="left"/>
      </w:pPr>
      <w:r>
        <w:rPr>
          <w:w w:val="110"/>
        </w:rPr>
        <w:t>Ministries – retired ministers’ housing</w:t>
      </w:r>
      <w:r>
        <w:rPr>
          <w:spacing w:val="-1"/>
          <w:w w:val="110"/>
        </w:rPr>
        <w:t> </w:t>
      </w:r>
      <w:r>
        <w:rPr>
          <w:w w:val="110"/>
        </w:rPr>
        <w:t>subcommittee</w:t>
      </w:r>
    </w:p>
    <w:p>
      <w:pPr>
        <w:pStyle w:val="BodyText"/>
        <w:spacing w:line="235" w:lineRule="auto"/>
        <w:ind w:left="827" w:right="2307"/>
      </w:pPr>
      <w:r>
        <w:rPr>
          <w:w w:val="120"/>
        </w:rPr>
        <w:t>Members normally serve four years but appointments may be extended for two more years.</w:t>
      </w:r>
    </w:p>
    <w:p>
      <w:pPr>
        <w:pStyle w:val="BodyText"/>
        <w:spacing w:line="240" w:lineRule="exact"/>
        <w:ind w:left="827"/>
      </w:pPr>
      <w:r>
        <w:rPr>
          <w:w w:val="120"/>
        </w:rPr>
        <w:t>Convenor: The Revd Anne Bedford [2020]</w:t>
      </w:r>
    </w:p>
    <w:p>
      <w:pPr>
        <w:pStyle w:val="BodyText"/>
        <w:spacing w:line="235" w:lineRule="auto"/>
        <w:ind w:left="827" w:right="4229"/>
      </w:pPr>
      <w:r>
        <w:rPr>
          <w:w w:val="120"/>
        </w:rPr>
        <w:t>Secretary: Secretary of Retired Ministers’ Housing Society Ltd Mr Peter West (7) [2019]</w:t>
      </w:r>
    </w:p>
    <w:p>
      <w:pPr>
        <w:pStyle w:val="BodyText"/>
        <w:spacing w:line="240" w:lineRule="exact"/>
        <w:ind w:left="827"/>
      </w:pPr>
      <w:r>
        <w:rPr>
          <w:w w:val="125"/>
        </w:rPr>
        <w:t>Mr Malcolm Lindo (10) [2018]</w:t>
      </w:r>
    </w:p>
    <w:p>
      <w:pPr>
        <w:pStyle w:val="BodyText"/>
        <w:spacing w:line="240" w:lineRule="exact"/>
        <w:ind w:left="827"/>
      </w:pPr>
      <w:r>
        <w:rPr>
          <w:w w:val="125"/>
        </w:rPr>
        <w:t>The Revd Ken Summers (3) [2020]</w:t>
      </w:r>
    </w:p>
    <w:p>
      <w:pPr>
        <w:pStyle w:val="BodyText"/>
        <w:spacing w:line="235" w:lineRule="auto"/>
        <w:ind w:left="827" w:right="5179"/>
      </w:pPr>
      <w:r>
        <w:rPr>
          <w:w w:val="120"/>
        </w:rPr>
        <w:t>The Revd Andrew Mills (Synod Moderator) [2022]** ex-officio: URC Treasurer</w:t>
      </w:r>
    </w:p>
    <w:p>
      <w:pPr>
        <w:pStyle w:val="BodyText"/>
        <w:spacing w:line="240" w:lineRule="exact"/>
        <w:ind w:left="827"/>
      </w:pPr>
      <w:r>
        <w:rPr>
          <w:w w:val="120"/>
        </w:rPr>
        <w:t>Properties are managed by a company, Retired Ministers’ Housing Society Ltd.</w:t>
      </w:r>
    </w:p>
    <w:p>
      <w:pPr>
        <w:pStyle w:val="BodyText"/>
        <w:spacing w:line="235" w:lineRule="auto"/>
        <w:ind w:left="827" w:right="1868"/>
      </w:pPr>
      <w:r>
        <w:rPr>
          <w:w w:val="120"/>
        </w:rPr>
        <w:t>Details of the members of its board etc may be obtained from the Company Secretary at Church House.</w:t>
      </w:r>
    </w:p>
    <w:p>
      <w:pPr>
        <w:spacing w:after="0" w:line="235" w:lineRule="auto"/>
        <w:sectPr>
          <w:headerReference w:type="even" r:id="rId459"/>
          <w:footerReference w:type="even" r:id="rId460"/>
          <w:footerReference w:type="default" r:id="rId461"/>
          <w:pgSz w:w="11910" w:h="16840"/>
          <w:pgMar w:header="0" w:footer="647" w:top="0" w:bottom="840" w:left="420" w:right="380"/>
        </w:sectPr>
      </w:pPr>
    </w:p>
    <w:p>
      <w:pPr>
        <w:pStyle w:val="BodyText"/>
      </w:pPr>
      <w:r>
        <w:rPr/>
        <w:drawing>
          <wp:anchor distT="0" distB="0" distL="0" distR="0" allowOverlap="1" layoutInCell="1" locked="0" behindDoc="0" simplePos="0" relativeHeight="252100608">
            <wp:simplePos x="0" y="0"/>
            <wp:positionH relativeFrom="page">
              <wp:posOffset>6974928</wp:posOffset>
            </wp:positionH>
            <wp:positionV relativeFrom="page">
              <wp:posOffset>0</wp:posOffset>
            </wp:positionV>
            <wp:extent cx="585063" cy="10692003"/>
            <wp:effectExtent l="0" t="0" r="0" b="0"/>
            <wp:wrapNone/>
            <wp:docPr id="331" name="image74.png"/>
            <wp:cNvGraphicFramePr>
              <a:graphicFrameLocks noChangeAspect="1"/>
            </wp:cNvGraphicFramePr>
            <a:graphic>
              <a:graphicData uri="http://schemas.openxmlformats.org/drawingml/2006/picture">
                <pic:pic>
                  <pic:nvPicPr>
                    <pic:cNvPr id="332"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101632"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Heading8"/>
        <w:numPr>
          <w:ilvl w:val="2"/>
          <w:numId w:val="120"/>
        </w:numPr>
        <w:tabs>
          <w:tab w:pos="2245" w:val="left" w:leader="none"/>
        </w:tabs>
        <w:spacing w:line="261" w:lineRule="exact" w:before="205" w:after="0"/>
        <w:ind w:left="2244" w:right="0" w:hanging="681"/>
        <w:jc w:val="left"/>
      </w:pPr>
      <w:r>
        <w:rPr>
          <w:w w:val="110"/>
        </w:rPr>
        <w:t>Assessment</w:t>
      </w:r>
      <w:r>
        <w:rPr>
          <w:spacing w:val="-1"/>
          <w:w w:val="110"/>
        </w:rPr>
        <w:t> </w:t>
      </w:r>
      <w:r>
        <w:rPr>
          <w:w w:val="110"/>
        </w:rPr>
        <w:t>board</w:t>
      </w:r>
    </w:p>
    <w:p>
      <w:pPr>
        <w:pStyle w:val="BodyText"/>
        <w:spacing w:line="235" w:lineRule="auto"/>
        <w:ind w:left="1564" w:right="3721"/>
      </w:pPr>
      <w:r>
        <w:rPr>
          <w:w w:val="120"/>
        </w:rPr>
        <w:t>Members usually serve for five years as training is required. Convenor: Dr Ewen Harley [2019]</w:t>
      </w:r>
    </w:p>
    <w:p>
      <w:pPr>
        <w:pStyle w:val="BodyText"/>
        <w:spacing w:line="233" w:lineRule="exact"/>
        <w:ind w:left="1564"/>
      </w:pPr>
      <w:r>
        <w:rPr>
          <w:w w:val="120"/>
        </w:rPr>
        <w:t>Convenor-elect: Professor Bill Gould </w:t>
      </w:r>
      <w:r>
        <w:rPr>
          <w:spacing w:val="-8"/>
          <w:w w:val="120"/>
        </w:rPr>
        <w:t>(3) </w:t>
      </w:r>
      <w:r>
        <w:rPr>
          <w:spacing w:val="-6"/>
          <w:w w:val="120"/>
        </w:rPr>
        <w:t>[to </w:t>
      </w:r>
      <w:r>
        <w:rPr>
          <w:w w:val="120"/>
        </w:rPr>
        <w:t>serve as convenor </w:t>
      </w:r>
      <w:r>
        <w:rPr>
          <w:spacing w:val="-6"/>
          <w:w w:val="120"/>
        </w:rPr>
        <w:t>2019-24]</w:t>
      </w:r>
    </w:p>
    <w:p>
      <w:pPr>
        <w:pStyle w:val="Heading8"/>
        <w:spacing w:line="253" w:lineRule="exact"/>
        <w:ind w:left="1564" w:firstLine="0"/>
      </w:pPr>
      <w:r>
        <w:rPr>
          <w:w w:val="110"/>
        </w:rPr>
        <w:t>Retiring 2019</w:t>
      </w:r>
    </w:p>
    <w:p>
      <w:pPr>
        <w:pStyle w:val="BodyText"/>
        <w:tabs>
          <w:tab w:pos="5884" w:val="left" w:leader="none"/>
        </w:tabs>
        <w:spacing w:line="233" w:lineRule="exact"/>
        <w:ind w:left="1564"/>
      </w:pPr>
      <w:r>
        <w:rPr>
          <w:w w:val="120"/>
        </w:rPr>
        <w:t>The Revd Stuart</w:t>
      </w:r>
      <w:r>
        <w:rPr>
          <w:spacing w:val="16"/>
          <w:w w:val="120"/>
        </w:rPr>
        <w:t> </w:t>
      </w:r>
      <w:r>
        <w:rPr>
          <w:w w:val="120"/>
        </w:rPr>
        <w:t>Radcliffe</w:t>
      </w:r>
      <w:r>
        <w:rPr>
          <w:spacing w:val="6"/>
          <w:w w:val="120"/>
        </w:rPr>
        <w:t> </w:t>
      </w:r>
      <w:r>
        <w:rPr>
          <w:spacing w:val="-8"/>
          <w:w w:val="120"/>
        </w:rPr>
        <w:t>(2)</w:t>
        <w:tab/>
      </w:r>
      <w:r>
        <w:rPr>
          <w:w w:val="120"/>
        </w:rPr>
        <w:t>The Revd Sohail Ejaz</w:t>
      </w:r>
      <w:r>
        <w:rPr>
          <w:spacing w:val="11"/>
          <w:w w:val="120"/>
        </w:rPr>
        <w:t> </w:t>
      </w:r>
      <w:r>
        <w:rPr>
          <w:w w:val="120"/>
        </w:rPr>
        <w:t>(7)</w:t>
      </w:r>
    </w:p>
    <w:p>
      <w:pPr>
        <w:pStyle w:val="BodyText"/>
        <w:tabs>
          <w:tab w:pos="5884" w:val="left" w:leader="none"/>
        </w:tabs>
        <w:spacing w:line="234" w:lineRule="exact"/>
        <w:ind w:left="1564"/>
      </w:pPr>
      <w:r>
        <w:rPr>
          <w:w w:val="120"/>
        </w:rPr>
        <w:t>The Revd Peter</w:t>
      </w:r>
      <w:r>
        <w:rPr>
          <w:spacing w:val="18"/>
          <w:w w:val="120"/>
        </w:rPr>
        <w:t> </w:t>
      </w:r>
      <w:r>
        <w:rPr>
          <w:w w:val="120"/>
        </w:rPr>
        <w:t>Rand</w:t>
      </w:r>
      <w:r>
        <w:rPr>
          <w:spacing w:val="7"/>
          <w:w w:val="120"/>
        </w:rPr>
        <w:t> </w:t>
      </w:r>
      <w:r>
        <w:rPr>
          <w:spacing w:val="-11"/>
          <w:w w:val="120"/>
        </w:rPr>
        <w:t>(1)</w:t>
        <w:tab/>
      </w:r>
      <w:r>
        <w:rPr>
          <w:w w:val="120"/>
        </w:rPr>
        <w:t>Ms Pat Oliver</w:t>
      </w:r>
      <w:r>
        <w:rPr>
          <w:spacing w:val="6"/>
          <w:w w:val="120"/>
        </w:rPr>
        <w:t> </w:t>
      </w:r>
      <w:r>
        <w:rPr>
          <w:spacing w:val="-8"/>
          <w:w w:val="120"/>
        </w:rPr>
        <w:t>(9)</w:t>
      </w:r>
    </w:p>
    <w:p>
      <w:pPr>
        <w:pStyle w:val="Heading8"/>
        <w:spacing w:line="253" w:lineRule="exact"/>
        <w:ind w:left="1564" w:firstLine="0"/>
      </w:pPr>
      <w:r>
        <w:rPr>
          <w:w w:val="110"/>
        </w:rPr>
        <w:t>Retiring 2020</w:t>
      </w:r>
    </w:p>
    <w:p>
      <w:pPr>
        <w:pStyle w:val="BodyText"/>
        <w:tabs>
          <w:tab w:pos="5884" w:val="left" w:leader="none"/>
        </w:tabs>
        <w:spacing w:line="227" w:lineRule="exact"/>
        <w:ind w:left="1564"/>
      </w:pPr>
      <w:r>
        <w:rPr>
          <w:w w:val="120"/>
        </w:rPr>
        <w:t>The Revd Lesley</w:t>
      </w:r>
      <w:r>
        <w:rPr>
          <w:spacing w:val="38"/>
          <w:w w:val="120"/>
        </w:rPr>
        <w:t> </w:t>
      </w:r>
      <w:r>
        <w:rPr>
          <w:w w:val="120"/>
        </w:rPr>
        <w:t>Charlton</w:t>
      </w:r>
      <w:r>
        <w:rPr>
          <w:spacing w:val="13"/>
          <w:w w:val="120"/>
        </w:rPr>
        <w:t> </w:t>
      </w:r>
      <w:r>
        <w:rPr>
          <w:spacing w:val="-14"/>
          <w:w w:val="120"/>
        </w:rPr>
        <w:t>(11)</w:t>
        <w:tab/>
      </w:r>
      <w:r>
        <w:rPr>
          <w:w w:val="120"/>
        </w:rPr>
        <w:t>Mrs Jill Shelton</w:t>
      </w:r>
      <w:r>
        <w:rPr>
          <w:spacing w:val="7"/>
          <w:w w:val="120"/>
        </w:rPr>
        <w:t> </w:t>
      </w:r>
      <w:r>
        <w:rPr>
          <w:spacing w:val="-10"/>
          <w:w w:val="120"/>
        </w:rPr>
        <w:t>(12)</w:t>
      </w:r>
    </w:p>
    <w:p>
      <w:pPr>
        <w:pStyle w:val="Heading8"/>
        <w:spacing w:line="253" w:lineRule="exact"/>
        <w:ind w:left="1564" w:firstLine="0"/>
      </w:pPr>
      <w:r>
        <w:rPr>
          <w:w w:val="110"/>
        </w:rPr>
        <w:t>Retiring 2021</w:t>
      </w:r>
    </w:p>
    <w:p>
      <w:pPr>
        <w:pStyle w:val="BodyText"/>
        <w:tabs>
          <w:tab w:pos="5884" w:val="left" w:leader="none"/>
        </w:tabs>
        <w:spacing w:line="227" w:lineRule="exact"/>
        <w:ind w:left="1564"/>
      </w:pPr>
      <w:r>
        <w:rPr>
          <w:w w:val="125"/>
        </w:rPr>
        <w:t>Ms Karen</w:t>
      </w:r>
      <w:r>
        <w:rPr>
          <w:spacing w:val="-11"/>
          <w:w w:val="125"/>
        </w:rPr>
        <w:t> </w:t>
      </w:r>
      <w:r>
        <w:rPr>
          <w:w w:val="125"/>
        </w:rPr>
        <w:t>Campbell</w:t>
      </w:r>
      <w:r>
        <w:rPr>
          <w:spacing w:val="-5"/>
          <w:w w:val="125"/>
        </w:rPr>
        <w:t> </w:t>
      </w:r>
      <w:r>
        <w:rPr>
          <w:spacing w:val="-9"/>
          <w:w w:val="125"/>
        </w:rPr>
        <w:t>(10)</w:t>
        <w:tab/>
      </w:r>
      <w:r>
        <w:rPr>
          <w:w w:val="125"/>
        </w:rPr>
        <w:t>The Revd Sue McCoan</w:t>
      </w:r>
      <w:r>
        <w:rPr>
          <w:spacing w:val="-4"/>
          <w:w w:val="125"/>
        </w:rPr>
        <w:t> </w:t>
      </w:r>
      <w:r>
        <w:rPr>
          <w:spacing w:val="-9"/>
          <w:w w:val="125"/>
        </w:rPr>
        <w:t>(10)</w:t>
      </w:r>
    </w:p>
    <w:p>
      <w:pPr>
        <w:pStyle w:val="Heading8"/>
        <w:spacing w:line="253" w:lineRule="exact"/>
        <w:ind w:left="1564" w:firstLine="0"/>
      </w:pPr>
      <w:r>
        <w:rPr>
          <w:w w:val="110"/>
        </w:rPr>
        <w:t>Retiring 2022</w:t>
      </w:r>
    </w:p>
    <w:p>
      <w:pPr>
        <w:pStyle w:val="BodyText"/>
        <w:tabs>
          <w:tab w:pos="5884" w:val="left" w:leader="none"/>
        </w:tabs>
        <w:spacing w:line="233" w:lineRule="exact"/>
        <w:ind w:left="1564"/>
      </w:pPr>
      <w:r>
        <w:rPr>
          <w:w w:val="120"/>
        </w:rPr>
        <w:t>Mrs</w:t>
      </w:r>
      <w:r>
        <w:rPr>
          <w:spacing w:val="7"/>
          <w:w w:val="120"/>
        </w:rPr>
        <w:t> </w:t>
      </w:r>
      <w:r>
        <w:rPr>
          <w:w w:val="120"/>
        </w:rPr>
        <w:t>Bridget</w:t>
      </w:r>
      <w:r>
        <w:rPr>
          <w:spacing w:val="8"/>
          <w:w w:val="120"/>
        </w:rPr>
        <w:t> </w:t>
      </w:r>
      <w:r>
        <w:rPr>
          <w:w w:val="120"/>
        </w:rPr>
        <w:t>Akinyombo</w:t>
        <w:tab/>
        <w:t>The Revd Jamie Kissack</w:t>
      </w:r>
      <w:r>
        <w:rPr>
          <w:spacing w:val="9"/>
          <w:w w:val="120"/>
        </w:rPr>
        <w:t> </w:t>
      </w:r>
      <w:r>
        <w:rPr>
          <w:spacing w:val="-10"/>
          <w:w w:val="120"/>
        </w:rPr>
        <w:t>(4)</w:t>
      </w:r>
    </w:p>
    <w:p>
      <w:pPr>
        <w:pStyle w:val="BodyText"/>
        <w:tabs>
          <w:tab w:pos="5884" w:val="left" w:leader="none"/>
        </w:tabs>
        <w:spacing w:line="235" w:lineRule="auto"/>
        <w:ind w:left="1564" w:right="2916"/>
      </w:pPr>
      <w:r>
        <w:rPr>
          <w:w w:val="125"/>
        </w:rPr>
        <w:t>Mrs Faith</w:t>
      </w:r>
      <w:r>
        <w:rPr>
          <w:spacing w:val="-25"/>
          <w:w w:val="125"/>
        </w:rPr>
        <w:t> </w:t>
      </w:r>
      <w:r>
        <w:rPr>
          <w:w w:val="125"/>
        </w:rPr>
        <w:t>Paulding</w:t>
      </w:r>
      <w:r>
        <w:rPr>
          <w:spacing w:val="-12"/>
          <w:w w:val="125"/>
        </w:rPr>
        <w:t> </w:t>
      </w:r>
      <w:r>
        <w:rPr>
          <w:w w:val="125"/>
        </w:rPr>
        <w:t>(7)</w:t>
        <w:tab/>
        <w:t>The Revd Lis Mullen</w:t>
      </w:r>
      <w:r>
        <w:rPr>
          <w:spacing w:val="-41"/>
          <w:w w:val="125"/>
        </w:rPr>
        <w:t> </w:t>
      </w:r>
      <w:r>
        <w:rPr>
          <w:spacing w:val="-8"/>
          <w:w w:val="125"/>
        </w:rPr>
        <w:t>(2) </w:t>
      </w:r>
      <w:r>
        <w:rPr>
          <w:w w:val="125"/>
        </w:rPr>
        <w:t>Mr Keith</w:t>
      </w:r>
      <w:r>
        <w:rPr>
          <w:spacing w:val="-2"/>
          <w:w w:val="125"/>
        </w:rPr>
        <w:t> </w:t>
      </w:r>
      <w:r>
        <w:rPr>
          <w:w w:val="125"/>
        </w:rPr>
        <w:t>Reading</w:t>
      </w:r>
    </w:p>
    <w:p>
      <w:pPr>
        <w:pStyle w:val="Heading8"/>
        <w:spacing w:line="247" w:lineRule="exact"/>
        <w:ind w:left="1564" w:firstLine="0"/>
      </w:pPr>
      <w:r>
        <w:rPr>
          <w:w w:val="110"/>
        </w:rPr>
        <w:t>Retiring 2023</w:t>
      </w:r>
    </w:p>
    <w:p>
      <w:pPr>
        <w:pStyle w:val="BodyText"/>
        <w:tabs>
          <w:tab w:pos="5884" w:val="left" w:leader="none"/>
        </w:tabs>
        <w:spacing w:line="235" w:lineRule="exact"/>
        <w:ind w:left="1564"/>
      </w:pPr>
      <w:r>
        <w:rPr>
          <w:w w:val="115"/>
        </w:rPr>
        <w:t>The Revd</w:t>
      </w:r>
      <w:r>
        <w:rPr>
          <w:spacing w:val="25"/>
          <w:w w:val="115"/>
        </w:rPr>
        <w:t> </w:t>
      </w:r>
      <w:r>
        <w:rPr>
          <w:w w:val="115"/>
        </w:rPr>
        <w:t>John</w:t>
      </w:r>
      <w:r>
        <w:rPr>
          <w:spacing w:val="12"/>
          <w:w w:val="115"/>
        </w:rPr>
        <w:t> </w:t>
      </w:r>
      <w:r>
        <w:rPr>
          <w:w w:val="115"/>
        </w:rPr>
        <w:t>Danso**</w:t>
        <w:tab/>
        <w:t>Mr Dan</w:t>
      </w:r>
      <w:r>
        <w:rPr>
          <w:spacing w:val="9"/>
          <w:w w:val="115"/>
        </w:rPr>
        <w:t> </w:t>
      </w:r>
      <w:r>
        <w:rPr>
          <w:w w:val="115"/>
        </w:rPr>
        <w:t>Morrell**</w:t>
      </w:r>
    </w:p>
    <w:p>
      <w:pPr>
        <w:pStyle w:val="BodyText"/>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Education and learning</w:t>
      </w:r>
      <w:r>
        <w:rPr>
          <w:spacing w:val="-1"/>
          <w:w w:val="110"/>
        </w:rPr>
        <w:t> </w:t>
      </w:r>
      <w:r>
        <w:rPr>
          <w:w w:val="110"/>
        </w:rPr>
        <w:t>committee</w:t>
      </w:r>
    </w:p>
    <w:p>
      <w:pPr>
        <w:pStyle w:val="BodyText"/>
        <w:spacing w:line="233" w:lineRule="exact"/>
        <w:ind w:left="1564"/>
      </w:pPr>
      <w:r>
        <w:rPr>
          <w:w w:val="120"/>
        </w:rPr>
        <w:t>Convenor: The Revd Dr Neil Messer [2019]</w:t>
      </w:r>
    </w:p>
    <w:p>
      <w:pPr>
        <w:pStyle w:val="BodyText"/>
        <w:spacing w:line="235" w:lineRule="auto" w:before="2"/>
        <w:ind w:left="1564" w:right="3235"/>
      </w:pPr>
      <w:r>
        <w:rPr>
          <w:w w:val="120"/>
        </w:rPr>
        <w:t>Convenor-elect: Mr Alan Yates [to serve as convenor 2019-23]** Secretary: Secretary for Education and Learning</w:t>
      </w:r>
    </w:p>
    <w:p>
      <w:pPr>
        <w:pStyle w:val="BodyText"/>
        <w:tabs>
          <w:tab w:pos="5884" w:val="left" w:leader="none"/>
        </w:tabs>
        <w:spacing w:line="235" w:lineRule="auto" w:before="2"/>
        <w:ind w:left="1564" w:right="2148"/>
      </w:pPr>
      <w:r>
        <w:rPr>
          <w:w w:val="125"/>
        </w:rPr>
        <w:t>The Revd Dr Jill Thornton</w:t>
      </w:r>
      <w:r>
        <w:rPr>
          <w:spacing w:val="-22"/>
          <w:w w:val="125"/>
        </w:rPr>
        <w:t> </w:t>
      </w:r>
      <w:r>
        <w:rPr>
          <w:spacing w:val="-8"/>
          <w:w w:val="125"/>
        </w:rPr>
        <w:t>(9)</w:t>
      </w:r>
      <w:r>
        <w:rPr>
          <w:spacing w:val="-4"/>
          <w:w w:val="125"/>
        </w:rPr>
        <w:t> </w:t>
      </w:r>
      <w:r>
        <w:rPr>
          <w:spacing w:val="-5"/>
          <w:w w:val="125"/>
        </w:rPr>
        <w:t>[2020]</w:t>
        <w:tab/>
      </w:r>
      <w:r>
        <w:rPr>
          <w:w w:val="125"/>
        </w:rPr>
        <w:t>Mr </w:t>
      </w:r>
      <w:r>
        <w:rPr>
          <w:spacing w:val="2"/>
          <w:w w:val="125"/>
        </w:rPr>
        <w:t>Robert </w:t>
      </w:r>
      <w:r>
        <w:rPr>
          <w:w w:val="125"/>
        </w:rPr>
        <w:t>Pettigrew</w:t>
      </w:r>
      <w:r>
        <w:rPr>
          <w:spacing w:val="-36"/>
          <w:w w:val="125"/>
        </w:rPr>
        <w:t> </w:t>
      </w:r>
      <w:r>
        <w:rPr>
          <w:spacing w:val="-8"/>
          <w:w w:val="125"/>
        </w:rPr>
        <w:t>(3) </w:t>
      </w:r>
      <w:r>
        <w:rPr>
          <w:spacing w:val="-5"/>
          <w:w w:val="125"/>
        </w:rPr>
        <w:t>[2020] </w:t>
      </w:r>
      <w:r>
        <w:rPr>
          <w:w w:val="125"/>
        </w:rPr>
        <w:t>Mr Rudolph Wontumi</w:t>
      </w:r>
      <w:r>
        <w:rPr>
          <w:spacing w:val="-21"/>
          <w:w w:val="125"/>
        </w:rPr>
        <w:t> </w:t>
      </w:r>
      <w:r>
        <w:rPr>
          <w:spacing w:val="-9"/>
          <w:w w:val="125"/>
        </w:rPr>
        <w:t>(10)</w:t>
      </w:r>
      <w:r>
        <w:rPr>
          <w:spacing w:val="-7"/>
          <w:w w:val="125"/>
        </w:rPr>
        <w:t> </w:t>
      </w:r>
      <w:r>
        <w:rPr>
          <w:spacing w:val="-8"/>
          <w:w w:val="125"/>
        </w:rPr>
        <w:t>[2021]</w:t>
        <w:tab/>
      </w:r>
      <w:r>
        <w:rPr>
          <w:w w:val="125"/>
        </w:rPr>
        <w:t>Mrs</w:t>
      </w:r>
      <w:r>
        <w:rPr>
          <w:spacing w:val="-19"/>
          <w:w w:val="125"/>
        </w:rPr>
        <w:t> </w:t>
      </w:r>
      <w:r>
        <w:rPr>
          <w:w w:val="125"/>
        </w:rPr>
        <w:t>Sandra</w:t>
      </w:r>
      <w:r>
        <w:rPr>
          <w:spacing w:val="-19"/>
          <w:w w:val="125"/>
        </w:rPr>
        <w:t> </w:t>
      </w:r>
      <w:r>
        <w:rPr>
          <w:w w:val="125"/>
        </w:rPr>
        <w:t>Ackroyd</w:t>
      </w:r>
      <w:r>
        <w:rPr>
          <w:spacing w:val="-19"/>
          <w:w w:val="125"/>
        </w:rPr>
        <w:t> </w:t>
      </w:r>
      <w:r>
        <w:rPr>
          <w:spacing w:val="-3"/>
          <w:w w:val="125"/>
        </w:rPr>
        <w:t>[2022]**</w:t>
      </w:r>
    </w:p>
    <w:p>
      <w:pPr>
        <w:pStyle w:val="BodyText"/>
        <w:tabs>
          <w:tab w:pos="5884" w:val="left" w:leader="none"/>
        </w:tabs>
        <w:spacing w:line="235" w:lineRule="auto" w:before="1"/>
        <w:ind w:left="1564" w:right="1836"/>
      </w:pPr>
      <w:r>
        <w:rPr>
          <w:w w:val="120"/>
        </w:rPr>
        <w:t>Ms Adella</w:t>
      </w:r>
      <w:r>
        <w:rPr>
          <w:spacing w:val="-9"/>
          <w:w w:val="120"/>
        </w:rPr>
        <w:t> </w:t>
      </w:r>
      <w:r>
        <w:rPr>
          <w:w w:val="120"/>
        </w:rPr>
        <w:t>Pritchard</w:t>
      </w:r>
      <w:r>
        <w:rPr>
          <w:spacing w:val="-4"/>
          <w:w w:val="120"/>
        </w:rPr>
        <w:t> </w:t>
      </w:r>
      <w:r>
        <w:rPr>
          <w:spacing w:val="-3"/>
          <w:w w:val="120"/>
        </w:rPr>
        <w:t>[2022]**</w:t>
        <w:tab/>
      </w:r>
      <w:r>
        <w:rPr>
          <w:w w:val="120"/>
        </w:rPr>
        <w:t>The Revd Martin Truscott </w:t>
      </w:r>
      <w:r>
        <w:rPr>
          <w:spacing w:val="-3"/>
          <w:w w:val="120"/>
        </w:rPr>
        <w:t>[2022]** </w:t>
      </w:r>
      <w:r>
        <w:rPr>
          <w:w w:val="120"/>
        </w:rPr>
        <w:t>The Revd Dr Rosalind Selby </w:t>
      </w:r>
      <w:r>
        <w:rPr>
          <w:spacing w:val="-3"/>
          <w:w w:val="120"/>
        </w:rPr>
        <w:t>(resource centre)</w:t>
      </w:r>
      <w:r>
        <w:rPr>
          <w:spacing w:val="22"/>
          <w:w w:val="120"/>
        </w:rPr>
        <w:t> </w:t>
      </w:r>
      <w:r>
        <w:rPr>
          <w:spacing w:val="-3"/>
          <w:w w:val="120"/>
        </w:rPr>
        <w:t>[2022]**</w:t>
      </w:r>
    </w:p>
    <w:p>
      <w:pPr>
        <w:pStyle w:val="BodyText"/>
        <w:spacing w:line="242" w:lineRule="exact"/>
        <w:ind w:left="1564"/>
      </w:pPr>
      <w:r>
        <w:rPr>
          <w:w w:val="120"/>
        </w:rPr>
        <w:t>The Revd Mary Thomas (Synod Development Officer)</w:t>
      </w:r>
    </w:p>
    <w:p>
      <w:pPr>
        <w:pStyle w:val="BodyText"/>
        <w:spacing w:before="3"/>
        <w:rPr>
          <w:sz w:val="18"/>
        </w:rPr>
      </w:pPr>
    </w:p>
    <w:p>
      <w:pPr>
        <w:pStyle w:val="Heading8"/>
        <w:numPr>
          <w:ilvl w:val="2"/>
          <w:numId w:val="120"/>
        </w:numPr>
        <w:tabs>
          <w:tab w:pos="2303" w:val="left" w:leader="none"/>
        </w:tabs>
        <w:spacing w:line="261" w:lineRule="exact" w:before="1" w:after="0"/>
        <w:ind w:left="2302" w:right="0" w:hanging="739"/>
        <w:jc w:val="left"/>
      </w:pPr>
      <w:r>
        <w:rPr>
          <w:w w:val="110"/>
        </w:rPr>
        <w:t>Education and learning finance</w:t>
      </w:r>
      <w:r>
        <w:rPr>
          <w:spacing w:val="-1"/>
          <w:w w:val="110"/>
        </w:rPr>
        <w:t> </w:t>
      </w:r>
      <w:r>
        <w:rPr>
          <w:w w:val="110"/>
        </w:rPr>
        <w:t>subcommittee</w:t>
      </w:r>
    </w:p>
    <w:p>
      <w:pPr>
        <w:pStyle w:val="BodyText"/>
        <w:spacing w:line="233" w:lineRule="exact"/>
        <w:ind w:left="1564"/>
      </w:pPr>
      <w:r>
        <w:rPr>
          <w:w w:val="120"/>
        </w:rPr>
        <w:t>Chair: Vacancy</w:t>
      </w:r>
    </w:p>
    <w:p>
      <w:pPr>
        <w:pStyle w:val="BodyText"/>
        <w:spacing w:line="235" w:lineRule="auto" w:before="1"/>
        <w:ind w:left="1564" w:right="3687"/>
      </w:pPr>
      <w:r>
        <w:rPr>
          <w:w w:val="120"/>
        </w:rPr>
        <w:t>Minutes Secretary: Secretary for Education and Learning Member: The Revd Edward Sanniez</w:t>
      </w:r>
    </w:p>
    <w:p>
      <w:pPr>
        <w:pStyle w:val="BodyText"/>
        <w:spacing w:line="235" w:lineRule="auto" w:before="2"/>
        <w:ind w:left="1564" w:right="2960"/>
      </w:pPr>
      <w:r>
        <w:rPr>
          <w:w w:val="120"/>
        </w:rPr>
        <w:t>Ex-officio: URC Treasurer, Deputy General Secretary (Discipleship), convenor of the education and learning committee</w:t>
      </w:r>
    </w:p>
    <w:p>
      <w:pPr>
        <w:pStyle w:val="BodyText"/>
        <w:spacing w:line="240" w:lineRule="exact"/>
        <w:ind w:left="1564"/>
      </w:pPr>
      <w:r>
        <w:rPr>
          <w:w w:val="120"/>
        </w:rPr>
        <w:t>Staff in attendance: Chief Finance Officer</w:t>
      </w:r>
    </w:p>
    <w:p>
      <w:pPr>
        <w:pStyle w:val="BodyText"/>
        <w:spacing w:line="235" w:lineRule="auto" w:before="2"/>
        <w:ind w:left="1564" w:right="2851"/>
      </w:pPr>
      <w:r>
        <w:rPr>
          <w:w w:val="120"/>
        </w:rPr>
        <w:t>Members of the subcommittee are appointed by the education and learning committee.</w:t>
      </w:r>
    </w:p>
    <w:p>
      <w:pPr>
        <w:pStyle w:val="BodyText"/>
        <w:spacing w:before="11"/>
        <w:rPr>
          <w:sz w:val="18"/>
        </w:rPr>
      </w:pPr>
    </w:p>
    <w:p>
      <w:pPr>
        <w:pStyle w:val="ListParagraph"/>
        <w:numPr>
          <w:ilvl w:val="2"/>
          <w:numId w:val="120"/>
        </w:numPr>
        <w:tabs>
          <w:tab w:pos="2303" w:val="left" w:leader="none"/>
        </w:tabs>
        <w:spacing w:line="232" w:lineRule="auto" w:before="0" w:after="0"/>
        <w:ind w:left="1564" w:right="5461" w:firstLine="0"/>
        <w:jc w:val="left"/>
        <w:rPr>
          <w:sz w:val="20"/>
        </w:rPr>
      </w:pPr>
      <w:r>
        <w:rPr>
          <w:rFonts w:ascii="Stone Sans II ITC Std Bk"/>
          <w:b/>
          <w:w w:val="115"/>
          <w:sz w:val="20"/>
        </w:rPr>
        <w:t>Stepwise</w:t>
      </w:r>
      <w:r>
        <w:rPr>
          <w:rFonts w:ascii="Stone Sans II ITC Std Bk"/>
          <w:b/>
          <w:spacing w:val="-28"/>
          <w:w w:val="115"/>
          <w:sz w:val="20"/>
        </w:rPr>
        <w:t> </w:t>
      </w:r>
      <w:r>
        <w:rPr>
          <w:rFonts w:ascii="Stone Sans II ITC Std Bk"/>
          <w:b/>
          <w:w w:val="115"/>
          <w:sz w:val="20"/>
        </w:rPr>
        <w:t>task</w:t>
      </w:r>
      <w:r>
        <w:rPr>
          <w:rFonts w:ascii="Stone Sans II ITC Std Bk"/>
          <w:b/>
          <w:spacing w:val="-27"/>
          <w:w w:val="115"/>
          <w:sz w:val="20"/>
        </w:rPr>
        <w:t> </w:t>
      </w:r>
      <w:r>
        <w:rPr>
          <w:rFonts w:ascii="Stone Sans II ITC Std Bk"/>
          <w:b/>
          <w:w w:val="115"/>
          <w:sz w:val="20"/>
        </w:rPr>
        <w:t>and</w:t>
      </w:r>
      <w:r>
        <w:rPr>
          <w:rFonts w:ascii="Stone Sans II ITC Std Bk"/>
          <w:b/>
          <w:spacing w:val="-28"/>
          <w:w w:val="115"/>
          <w:sz w:val="20"/>
        </w:rPr>
        <w:t> </w:t>
      </w:r>
      <w:r>
        <w:rPr>
          <w:rFonts w:ascii="Stone Sans II ITC Std Bk"/>
          <w:b/>
          <w:w w:val="115"/>
          <w:sz w:val="20"/>
        </w:rPr>
        <w:t>finish</w:t>
      </w:r>
      <w:r>
        <w:rPr>
          <w:rFonts w:ascii="Stone Sans II ITC Std Bk"/>
          <w:b/>
          <w:spacing w:val="-27"/>
          <w:w w:val="115"/>
          <w:sz w:val="20"/>
        </w:rPr>
        <w:t> </w:t>
      </w:r>
      <w:r>
        <w:rPr>
          <w:rFonts w:ascii="Stone Sans II ITC Std Bk"/>
          <w:b/>
          <w:w w:val="115"/>
          <w:sz w:val="20"/>
        </w:rPr>
        <w:t>group </w:t>
      </w:r>
      <w:r>
        <w:rPr>
          <w:w w:val="120"/>
          <w:sz w:val="20"/>
        </w:rPr>
        <w:t>Convenor: Professor Graham Handscomb Administrator: Ms Philippa Linton Members:</w:t>
      </w:r>
    </w:p>
    <w:p>
      <w:pPr>
        <w:pStyle w:val="BodyText"/>
        <w:spacing w:line="236" w:lineRule="exact"/>
        <w:ind w:left="1564"/>
      </w:pPr>
      <w:r>
        <w:rPr>
          <w:w w:val="120"/>
        </w:rPr>
        <w:t>Mr Pete Atkins (Fresh Expressions)</w:t>
      </w:r>
    </w:p>
    <w:p>
      <w:pPr>
        <w:pStyle w:val="BodyText"/>
        <w:spacing w:line="240" w:lineRule="exact"/>
        <w:ind w:left="1564"/>
      </w:pPr>
      <w:r>
        <w:rPr>
          <w:w w:val="120"/>
        </w:rPr>
        <w:t>Mr Iain Johnston (Faith in Community Scotland),</w:t>
      </w:r>
    </w:p>
    <w:p>
      <w:pPr>
        <w:pStyle w:val="BodyText"/>
        <w:spacing w:line="235" w:lineRule="auto" w:before="2"/>
        <w:ind w:left="1564" w:right="3149"/>
      </w:pPr>
      <w:r>
        <w:rPr>
          <w:w w:val="120"/>
        </w:rPr>
        <w:t>The Revd David Downing (children’s and youth work committee), The Revd Stuart Nixon (mission committee),</w:t>
      </w:r>
    </w:p>
    <w:p>
      <w:pPr>
        <w:pStyle w:val="BodyText"/>
        <w:spacing w:line="240" w:lineRule="exact"/>
        <w:ind w:left="1564"/>
      </w:pPr>
      <w:r>
        <w:rPr>
          <w:w w:val="120"/>
        </w:rPr>
        <w:t>The Revd Zaidie Orr (global and intercultural ministries nominee),</w:t>
      </w:r>
    </w:p>
    <w:p>
      <w:pPr>
        <w:pStyle w:val="BodyText"/>
        <w:spacing w:line="235" w:lineRule="auto" w:before="1"/>
        <w:ind w:left="1564" w:right="1868"/>
      </w:pPr>
      <w:r>
        <w:rPr>
          <w:w w:val="120"/>
        </w:rPr>
        <w:t>The Revd Anne Sardeson (training and development officers’ nominee), Vacancy (resource centres for learning)</w:t>
      </w:r>
    </w:p>
    <w:p>
      <w:pPr>
        <w:pStyle w:val="BodyText"/>
        <w:spacing w:line="235" w:lineRule="auto" w:before="2"/>
        <w:ind w:left="1564" w:right="923"/>
      </w:pPr>
      <w:r>
        <w:rPr>
          <w:w w:val="120"/>
        </w:rPr>
        <w:t>Ex-officio: Secretary for Education and Learning, Walking the Way Programme Manager Members of the group are appointed by the education and learning</w:t>
      </w:r>
      <w:r>
        <w:rPr>
          <w:spacing w:val="53"/>
          <w:w w:val="120"/>
        </w:rPr>
        <w:t> </w:t>
      </w:r>
      <w:r>
        <w:rPr>
          <w:w w:val="120"/>
        </w:rPr>
        <w:t>committee.</w:t>
      </w:r>
    </w:p>
    <w:p>
      <w:pPr>
        <w:pStyle w:val="BodyText"/>
        <w:spacing w:before="1"/>
        <w:rPr>
          <w:sz w:val="19"/>
        </w:rPr>
      </w:pPr>
    </w:p>
    <w:p>
      <w:pPr>
        <w:pStyle w:val="ListParagraph"/>
        <w:numPr>
          <w:ilvl w:val="1"/>
          <w:numId w:val="120"/>
        </w:numPr>
        <w:tabs>
          <w:tab w:pos="2244" w:val="left" w:leader="none"/>
          <w:tab w:pos="2245" w:val="left" w:leader="none"/>
        </w:tabs>
        <w:spacing w:line="230" w:lineRule="auto" w:before="0" w:after="0"/>
        <w:ind w:left="1564" w:right="4813" w:firstLine="0"/>
        <w:jc w:val="left"/>
        <w:rPr>
          <w:rFonts w:ascii="Stone Sans II ITC Std Bk" w:hAnsi="Stone Sans II ITC Std Bk"/>
          <w:sz w:val="20"/>
        </w:rPr>
      </w:pPr>
      <w:r>
        <w:rPr>
          <w:rFonts w:ascii="Stone Sans II ITC Std Bk" w:hAnsi="Stone Sans II ITC Std Bk"/>
          <w:b/>
          <w:w w:val="110"/>
          <w:sz w:val="20"/>
        </w:rPr>
        <w:t>Children’s and youth work committee </w:t>
      </w:r>
      <w:r>
        <w:rPr>
          <w:w w:val="120"/>
          <w:sz w:val="20"/>
        </w:rPr>
        <w:t>Convenor: The Revd Jenny Mills </w:t>
      </w:r>
      <w:r>
        <w:rPr>
          <w:spacing w:val="-8"/>
          <w:w w:val="120"/>
          <w:sz w:val="20"/>
        </w:rPr>
        <w:t>[2021] </w:t>
      </w:r>
      <w:r>
        <w:rPr>
          <w:w w:val="120"/>
          <w:sz w:val="20"/>
        </w:rPr>
        <w:t>Secretary: Head of </w:t>
      </w:r>
      <w:r>
        <w:rPr>
          <w:spacing w:val="-3"/>
          <w:w w:val="120"/>
          <w:sz w:val="20"/>
        </w:rPr>
        <w:t>Children’s </w:t>
      </w:r>
      <w:r>
        <w:rPr>
          <w:w w:val="120"/>
          <w:sz w:val="20"/>
        </w:rPr>
        <w:t>and </w:t>
      </w:r>
      <w:r>
        <w:rPr>
          <w:spacing w:val="-3"/>
          <w:w w:val="120"/>
          <w:sz w:val="20"/>
        </w:rPr>
        <w:t>Youth</w:t>
      </w:r>
      <w:r>
        <w:rPr>
          <w:spacing w:val="41"/>
          <w:w w:val="120"/>
          <w:sz w:val="20"/>
        </w:rPr>
        <w:t> </w:t>
      </w:r>
      <w:r>
        <w:rPr>
          <w:w w:val="120"/>
          <w:sz w:val="20"/>
        </w:rPr>
        <w:t>Work</w:t>
      </w:r>
    </w:p>
    <w:p>
      <w:pPr>
        <w:pStyle w:val="BodyText"/>
        <w:tabs>
          <w:tab w:pos="5884" w:val="left" w:leader="none"/>
        </w:tabs>
        <w:spacing w:line="235" w:lineRule="auto"/>
        <w:ind w:left="1564" w:right="2109"/>
      </w:pPr>
      <w:r>
        <w:rPr>
          <w:w w:val="125"/>
        </w:rPr>
        <w:t>Mrs Ruth Roddison</w:t>
      </w:r>
      <w:r>
        <w:rPr>
          <w:spacing w:val="-19"/>
          <w:w w:val="125"/>
        </w:rPr>
        <w:t> </w:t>
      </w:r>
      <w:r>
        <w:rPr>
          <w:spacing w:val="-10"/>
          <w:w w:val="125"/>
        </w:rPr>
        <w:t>(4)</w:t>
      </w:r>
      <w:r>
        <w:rPr>
          <w:spacing w:val="-7"/>
          <w:w w:val="125"/>
        </w:rPr>
        <w:t> </w:t>
      </w:r>
      <w:r>
        <w:rPr>
          <w:spacing w:val="-5"/>
          <w:w w:val="125"/>
        </w:rPr>
        <w:t>[2020]†</w:t>
        <w:tab/>
      </w:r>
      <w:r>
        <w:rPr>
          <w:w w:val="125"/>
        </w:rPr>
        <w:t>Mrs Alison </w:t>
      </w:r>
      <w:r>
        <w:rPr>
          <w:spacing w:val="-3"/>
          <w:w w:val="125"/>
        </w:rPr>
        <w:t>Tansom </w:t>
      </w:r>
      <w:r>
        <w:rPr>
          <w:spacing w:val="-10"/>
          <w:w w:val="125"/>
        </w:rPr>
        <w:t>(12)</w:t>
      </w:r>
      <w:r>
        <w:rPr>
          <w:spacing w:val="-40"/>
          <w:w w:val="125"/>
        </w:rPr>
        <w:t> </w:t>
      </w:r>
      <w:r>
        <w:rPr>
          <w:spacing w:val="-5"/>
          <w:w w:val="125"/>
        </w:rPr>
        <w:t>[2020]† </w:t>
      </w:r>
      <w:r>
        <w:rPr>
          <w:w w:val="125"/>
        </w:rPr>
        <w:t>Mr Adam Woodhouse</w:t>
      </w:r>
      <w:r>
        <w:rPr>
          <w:spacing w:val="-26"/>
          <w:w w:val="125"/>
        </w:rPr>
        <w:t> </w:t>
      </w:r>
      <w:r>
        <w:rPr>
          <w:spacing w:val="-10"/>
          <w:w w:val="125"/>
        </w:rPr>
        <w:t>(4)</w:t>
      </w:r>
      <w:r>
        <w:rPr>
          <w:spacing w:val="-9"/>
          <w:w w:val="125"/>
        </w:rPr>
        <w:t> </w:t>
      </w:r>
      <w:r>
        <w:rPr>
          <w:spacing w:val="-8"/>
          <w:w w:val="125"/>
        </w:rPr>
        <w:t>[2019]</w:t>
        <w:tab/>
      </w:r>
      <w:r>
        <w:rPr>
          <w:w w:val="125"/>
        </w:rPr>
        <w:t>Mr Sam Brown </w:t>
      </w:r>
      <w:r>
        <w:rPr>
          <w:spacing w:val="-14"/>
          <w:w w:val="125"/>
        </w:rPr>
        <w:t>(11)</w:t>
      </w:r>
      <w:r>
        <w:rPr>
          <w:spacing w:val="-8"/>
          <w:w w:val="125"/>
        </w:rPr>
        <w:t> [2019]</w:t>
      </w:r>
    </w:p>
    <w:p>
      <w:pPr>
        <w:pStyle w:val="BodyText"/>
        <w:tabs>
          <w:tab w:pos="5884" w:val="left" w:leader="none"/>
        </w:tabs>
        <w:spacing w:line="235" w:lineRule="auto" w:before="2"/>
        <w:ind w:left="1564" w:right="1735"/>
      </w:pPr>
      <w:r>
        <w:rPr>
          <w:w w:val="120"/>
        </w:rPr>
        <w:t>The Revd Jake </w:t>
      </w:r>
      <w:r>
        <w:rPr>
          <w:spacing w:val="-3"/>
          <w:w w:val="120"/>
        </w:rPr>
        <w:t>Tatton</w:t>
      </w:r>
      <w:r>
        <w:rPr>
          <w:spacing w:val="44"/>
          <w:w w:val="120"/>
        </w:rPr>
        <w:t> </w:t>
      </w:r>
      <w:r>
        <w:rPr>
          <w:spacing w:val="-12"/>
          <w:w w:val="120"/>
        </w:rPr>
        <w:t>(13)</w:t>
      </w:r>
      <w:r>
        <w:rPr>
          <w:spacing w:val="11"/>
          <w:w w:val="120"/>
        </w:rPr>
        <w:t> </w:t>
      </w:r>
      <w:r>
        <w:rPr>
          <w:spacing w:val="-5"/>
          <w:w w:val="120"/>
        </w:rPr>
        <w:t>[2020]</w:t>
        <w:tab/>
      </w:r>
      <w:r>
        <w:rPr>
          <w:w w:val="120"/>
        </w:rPr>
        <w:t>The Revd Paul Robinson </w:t>
      </w:r>
      <w:r>
        <w:rPr>
          <w:spacing w:val="-10"/>
          <w:w w:val="120"/>
        </w:rPr>
        <w:t>(12) </w:t>
      </w:r>
      <w:r>
        <w:rPr>
          <w:spacing w:val="-8"/>
          <w:w w:val="120"/>
        </w:rPr>
        <w:t>[2021] </w:t>
      </w:r>
      <w:r>
        <w:rPr>
          <w:w w:val="120"/>
        </w:rPr>
        <w:t>Ms Camilla</w:t>
      </w:r>
      <w:r>
        <w:rPr>
          <w:spacing w:val="22"/>
          <w:w w:val="120"/>
        </w:rPr>
        <w:t> </w:t>
      </w:r>
      <w:r>
        <w:rPr>
          <w:w w:val="120"/>
        </w:rPr>
        <w:t>Quartey</w:t>
      </w:r>
      <w:r>
        <w:rPr>
          <w:spacing w:val="12"/>
          <w:w w:val="120"/>
        </w:rPr>
        <w:t> </w:t>
      </w:r>
      <w:r>
        <w:rPr>
          <w:spacing w:val="-8"/>
          <w:w w:val="120"/>
        </w:rPr>
        <w:t>[2021]</w:t>
        <w:tab/>
      </w:r>
      <w:r>
        <w:rPr>
          <w:w w:val="120"/>
        </w:rPr>
        <w:t>Ms Charmaine Mutare</w:t>
      </w:r>
      <w:r>
        <w:rPr>
          <w:spacing w:val="-4"/>
          <w:w w:val="120"/>
        </w:rPr>
        <w:t> </w:t>
      </w:r>
      <w:r>
        <w:rPr>
          <w:spacing w:val="-3"/>
          <w:w w:val="120"/>
        </w:rPr>
        <w:t>[2022]**</w:t>
      </w:r>
    </w:p>
    <w:p>
      <w:pPr>
        <w:pStyle w:val="BodyText"/>
        <w:tabs>
          <w:tab w:pos="5884" w:val="left" w:leader="none"/>
        </w:tabs>
        <w:spacing w:line="242" w:lineRule="exact"/>
        <w:ind w:left="1564"/>
      </w:pPr>
      <w:r>
        <w:rPr>
          <w:w w:val="120"/>
        </w:rPr>
        <w:t>URC</w:t>
      </w:r>
      <w:r>
        <w:rPr>
          <w:spacing w:val="5"/>
          <w:w w:val="120"/>
        </w:rPr>
        <w:t> </w:t>
      </w:r>
      <w:r>
        <w:rPr>
          <w:spacing w:val="-3"/>
          <w:w w:val="120"/>
        </w:rPr>
        <w:t>Youth</w:t>
      </w:r>
      <w:r>
        <w:rPr>
          <w:spacing w:val="6"/>
          <w:w w:val="120"/>
        </w:rPr>
        <w:t> </w:t>
      </w:r>
      <w:r>
        <w:rPr>
          <w:w w:val="120"/>
        </w:rPr>
        <w:t>Moderator</w:t>
        <w:tab/>
        <w:t>URC </w:t>
      </w:r>
      <w:r>
        <w:rPr>
          <w:spacing w:val="-3"/>
          <w:w w:val="120"/>
        </w:rPr>
        <w:t>Youth</w:t>
      </w:r>
      <w:r>
        <w:rPr>
          <w:spacing w:val="4"/>
          <w:w w:val="120"/>
        </w:rPr>
        <w:t> </w:t>
      </w:r>
      <w:r>
        <w:rPr>
          <w:w w:val="120"/>
        </w:rPr>
        <w:t>Moderator-elect</w:t>
      </w:r>
    </w:p>
    <w:p>
      <w:pPr>
        <w:spacing w:after="0" w:line="242" w:lineRule="exact"/>
        <w:sectPr>
          <w:headerReference w:type="default" r:id="rId462"/>
          <w:pgSz w:w="11910" w:h="16840"/>
          <w:pgMar w:header="0" w:footer="647" w:top="0" w:bottom="840" w:left="420" w:right="380"/>
        </w:sectPr>
      </w:pPr>
    </w:p>
    <w:p>
      <w:pPr>
        <w:pStyle w:val="BodyText"/>
      </w:pPr>
      <w:r>
        <w:rPr/>
        <w:drawing>
          <wp:anchor distT="0" distB="0" distL="0" distR="0" allowOverlap="1" layoutInCell="1" locked="0" behindDoc="1" simplePos="0" relativeHeight="236135424">
            <wp:simplePos x="0" y="0"/>
            <wp:positionH relativeFrom="page">
              <wp:posOffset>0</wp:posOffset>
            </wp:positionH>
            <wp:positionV relativeFrom="page">
              <wp:posOffset>0</wp:posOffset>
            </wp:positionV>
            <wp:extent cx="594067" cy="10692003"/>
            <wp:effectExtent l="0" t="0" r="0" b="0"/>
            <wp:wrapNone/>
            <wp:docPr id="333" name="image75.png"/>
            <wp:cNvGraphicFramePr>
              <a:graphicFrameLocks noChangeAspect="1"/>
            </wp:cNvGraphicFramePr>
            <a:graphic>
              <a:graphicData uri="http://schemas.openxmlformats.org/drawingml/2006/picture">
                <pic:pic>
                  <pic:nvPicPr>
                    <pic:cNvPr id="334"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33.75pt;mso-position-horizontal-relative:page;mso-position-vertical-relative:paragraph;z-index:252103680"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rPr>
        <w:t>Nominations</w:t>
      </w:r>
    </w:p>
    <w:p>
      <w:pPr>
        <w:spacing w:line="230" w:lineRule="auto" w:before="213"/>
        <w:ind w:left="827" w:right="5819" w:firstLine="0"/>
        <w:jc w:val="left"/>
        <w:rPr>
          <w:sz w:val="20"/>
        </w:rPr>
      </w:pPr>
      <w:r>
        <w:rPr>
          <w:rFonts w:ascii="Stone Sans II ITC Std Bk"/>
          <w:b/>
          <w:spacing w:val="-5"/>
          <w:w w:val="115"/>
          <w:sz w:val="20"/>
        </w:rPr>
        <w:t>4.3.1 </w:t>
      </w:r>
      <w:r>
        <w:rPr>
          <w:rFonts w:ascii="Stone Sans II ITC Std Bk"/>
          <w:b/>
          <w:w w:val="115"/>
          <w:sz w:val="20"/>
        </w:rPr>
        <w:t>Pilots management subcommittee </w:t>
      </w:r>
      <w:r>
        <w:rPr>
          <w:w w:val="115"/>
          <w:sz w:val="20"/>
        </w:rPr>
        <w:t>Convenor: Mrs Margaret Smith </w:t>
      </w:r>
      <w:r>
        <w:rPr>
          <w:spacing w:val="-3"/>
          <w:w w:val="115"/>
          <w:sz w:val="20"/>
        </w:rPr>
        <w:t>[2022]** </w:t>
      </w:r>
      <w:r>
        <w:rPr>
          <w:w w:val="115"/>
          <w:sz w:val="20"/>
        </w:rPr>
        <w:t>Member: Mr Derek Goodyear </w:t>
      </w:r>
      <w:r>
        <w:rPr>
          <w:spacing w:val="-8"/>
          <w:w w:val="115"/>
          <w:sz w:val="20"/>
        </w:rPr>
        <w:t>[2021]</w:t>
      </w:r>
    </w:p>
    <w:p>
      <w:pPr>
        <w:pStyle w:val="BodyText"/>
        <w:spacing w:line="235" w:lineRule="auto"/>
        <w:ind w:left="827" w:right="2307"/>
      </w:pPr>
      <w:r>
        <w:rPr>
          <w:w w:val="120"/>
        </w:rPr>
        <w:t>Other members of the subcommittee are appointed by the children’s and youth work committee.</w:t>
      </w:r>
    </w:p>
    <w:p>
      <w:pPr>
        <w:pStyle w:val="BodyText"/>
        <w:spacing w:before="2"/>
        <w:rPr>
          <w:sz w:val="22"/>
        </w:rPr>
      </w:pPr>
    </w:p>
    <w:p>
      <w:pPr>
        <w:pStyle w:val="Heading4"/>
        <w:numPr>
          <w:ilvl w:val="0"/>
          <w:numId w:val="120"/>
        </w:numPr>
        <w:tabs>
          <w:tab w:pos="1507" w:val="left" w:leader="none"/>
          <w:tab w:pos="1508" w:val="left" w:leader="none"/>
        </w:tabs>
        <w:spacing w:line="240" w:lineRule="auto" w:before="0" w:after="0"/>
        <w:ind w:left="1507" w:right="0" w:hanging="681"/>
        <w:jc w:val="left"/>
      </w:pPr>
      <w:r>
        <w:rPr>
          <w:spacing w:val="3"/>
          <w:w w:val="110"/>
        </w:rPr>
        <w:t>Administration and resources</w:t>
      </w:r>
      <w:r>
        <w:rPr>
          <w:spacing w:val="34"/>
          <w:w w:val="110"/>
        </w:rPr>
        <w:t> </w:t>
      </w:r>
      <w:r>
        <w:rPr>
          <w:spacing w:val="4"/>
          <w:w w:val="110"/>
        </w:rPr>
        <w:t>department</w:t>
      </w:r>
    </w:p>
    <w:p>
      <w:pPr>
        <w:pStyle w:val="Heading8"/>
        <w:numPr>
          <w:ilvl w:val="1"/>
          <w:numId w:val="120"/>
        </w:numPr>
        <w:tabs>
          <w:tab w:pos="1507" w:val="left" w:leader="none"/>
          <w:tab w:pos="1508" w:val="left" w:leader="none"/>
        </w:tabs>
        <w:spacing w:line="261" w:lineRule="exact" w:before="53" w:after="0"/>
        <w:ind w:left="1507" w:right="0" w:hanging="681"/>
        <w:jc w:val="left"/>
      </w:pPr>
      <w:r>
        <w:rPr>
          <w:w w:val="110"/>
        </w:rPr>
        <w:t>Assembly arrangements</w:t>
      </w:r>
      <w:r>
        <w:rPr>
          <w:spacing w:val="-1"/>
          <w:w w:val="110"/>
        </w:rPr>
        <w:t> </w:t>
      </w:r>
      <w:r>
        <w:rPr>
          <w:w w:val="110"/>
        </w:rPr>
        <w:t>committee</w:t>
      </w:r>
    </w:p>
    <w:p>
      <w:pPr>
        <w:pStyle w:val="BodyText"/>
        <w:spacing w:line="233" w:lineRule="exact"/>
        <w:ind w:left="827"/>
      </w:pPr>
      <w:r>
        <w:rPr>
          <w:w w:val="120"/>
        </w:rPr>
        <w:t>Convenor: The Revd James Breslin [2020]</w:t>
      </w:r>
    </w:p>
    <w:p>
      <w:pPr>
        <w:pStyle w:val="BodyText"/>
        <w:spacing w:line="235" w:lineRule="auto" w:before="2"/>
        <w:ind w:left="827" w:right="2960"/>
      </w:pPr>
      <w:r>
        <w:rPr>
          <w:w w:val="120"/>
        </w:rPr>
        <w:t>Convenor-elect: The Revd Adrian Bulley [to serve as convenor 2020-26]** Secretary: Facilities Manager</w:t>
      </w:r>
    </w:p>
    <w:p>
      <w:pPr>
        <w:pStyle w:val="BodyText"/>
        <w:tabs>
          <w:tab w:pos="5867" w:val="left" w:leader="none"/>
        </w:tabs>
        <w:spacing w:line="240" w:lineRule="exact"/>
        <w:ind w:left="827"/>
      </w:pPr>
      <w:r>
        <w:rPr>
          <w:w w:val="120"/>
        </w:rPr>
        <w:t>Assembly Moderators</w:t>
        <w:tab/>
        <w:t>Assembly</w:t>
      </w:r>
      <w:r>
        <w:rPr>
          <w:spacing w:val="2"/>
          <w:w w:val="120"/>
        </w:rPr>
        <w:t> </w:t>
      </w:r>
      <w:r>
        <w:rPr>
          <w:w w:val="120"/>
        </w:rPr>
        <w:t>Moderators-elect</w:t>
      </w:r>
    </w:p>
    <w:p>
      <w:pPr>
        <w:pStyle w:val="BodyText"/>
        <w:tabs>
          <w:tab w:pos="5867" w:val="left" w:leader="none"/>
        </w:tabs>
        <w:spacing w:line="235" w:lineRule="auto" w:before="1"/>
        <w:ind w:left="827" w:right="2641"/>
      </w:pPr>
      <w:r>
        <w:rPr>
          <w:w w:val="120"/>
        </w:rPr>
        <w:t>General</w:t>
      </w:r>
      <w:r>
        <w:rPr>
          <w:spacing w:val="4"/>
          <w:w w:val="120"/>
        </w:rPr>
        <w:t> </w:t>
      </w:r>
      <w:r>
        <w:rPr>
          <w:w w:val="120"/>
        </w:rPr>
        <w:t>Secretary</w:t>
        <w:tab/>
        <w:t>Clerk of General Assembly Local arrangements committee</w:t>
      </w:r>
      <w:r>
        <w:rPr>
          <w:spacing w:val="6"/>
          <w:w w:val="120"/>
        </w:rPr>
        <w:t> </w:t>
      </w:r>
      <w:r>
        <w:rPr>
          <w:w w:val="120"/>
        </w:rPr>
        <w:t>convenor</w:t>
      </w:r>
    </w:p>
    <w:p>
      <w:pPr>
        <w:pStyle w:val="BodyText"/>
        <w:spacing w:before="5"/>
        <w:rPr>
          <w:sz w:val="18"/>
        </w:rPr>
      </w:pPr>
    </w:p>
    <w:p>
      <w:pPr>
        <w:pStyle w:val="Heading8"/>
        <w:numPr>
          <w:ilvl w:val="1"/>
          <w:numId w:val="120"/>
        </w:numPr>
        <w:tabs>
          <w:tab w:pos="1507" w:val="left" w:leader="none"/>
          <w:tab w:pos="1508" w:val="left" w:leader="none"/>
        </w:tabs>
        <w:spacing w:line="261" w:lineRule="exact" w:before="1" w:after="0"/>
        <w:ind w:left="1507" w:right="0" w:hanging="681"/>
        <w:jc w:val="left"/>
      </w:pPr>
      <w:r>
        <w:rPr>
          <w:w w:val="110"/>
        </w:rPr>
        <w:t>Communications</w:t>
      </w:r>
    </w:p>
    <w:p>
      <w:pPr>
        <w:pStyle w:val="BodyText"/>
        <w:spacing w:line="233" w:lineRule="exact"/>
        <w:ind w:left="827"/>
      </w:pPr>
      <w:r>
        <w:rPr>
          <w:w w:val="120"/>
        </w:rPr>
        <w:t>Convenor: Mr Peter Knowles [2019]</w:t>
      </w:r>
    </w:p>
    <w:p>
      <w:pPr>
        <w:pStyle w:val="BodyText"/>
        <w:spacing w:line="235" w:lineRule="auto" w:before="1"/>
        <w:ind w:left="827" w:right="3687"/>
      </w:pPr>
      <w:r>
        <w:rPr>
          <w:w w:val="120"/>
        </w:rPr>
        <w:t>Convenor-elect: Vacancy [to serve as convenor 2019-23]** Secretary: Head of Communications</w:t>
      </w:r>
    </w:p>
    <w:p>
      <w:pPr>
        <w:pStyle w:val="BodyText"/>
        <w:tabs>
          <w:tab w:pos="5867" w:val="left" w:leader="none"/>
        </w:tabs>
        <w:spacing w:line="240" w:lineRule="exact"/>
        <w:ind w:left="827"/>
      </w:pPr>
      <w:r>
        <w:rPr>
          <w:w w:val="125"/>
        </w:rPr>
        <w:t>Mrs Heather Carr</w:t>
      </w:r>
      <w:r>
        <w:rPr>
          <w:spacing w:val="-17"/>
          <w:w w:val="125"/>
        </w:rPr>
        <w:t> </w:t>
      </w:r>
      <w:r>
        <w:rPr>
          <w:spacing w:val="-11"/>
          <w:w w:val="125"/>
        </w:rPr>
        <w:t>(1)</w:t>
      </w:r>
      <w:r>
        <w:rPr>
          <w:spacing w:val="-5"/>
          <w:w w:val="125"/>
        </w:rPr>
        <w:t> </w:t>
      </w:r>
      <w:r>
        <w:rPr>
          <w:spacing w:val="-8"/>
          <w:w w:val="125"/>
        </w:rPr>
        <w:t>[2019]</w:t>
        <w:tab/>
      </w:r>
      <w:r>
        <w:rPr>
          <w:w w:val="125"/>
        </w:rPr>
        <w:t>Ms Rebecca Gudgeon </w:t>
      </w:r>
      <w:r>
        <w:rPr>
          <w:spacing w:val="-8"/>
          <w:w w:val="125"/>
        </w:rPr>
        <w:t>(2)</w:t>
      </w:r>
      <w:r>
        <w:rPr>
          <w:spacing w:val="-1"/>
          <w:w w:val="125"/>
        </w:rPr>
        <w:t> </w:t>
      </w:r>
      <w:r>
        <w:rPr>
          <w:spacing w:val="-8"/>
          <w:w w:val="125"/>
        </w:rPr>
        <w:t>[2019]</w:t>
      </w:r>
    </w:p>
    <w:p>
      <w:pPr>
        <w:pStyle w:val="BodyText"/>
        <w:tabs>
          <w:tab w:pos="5867" w:val="left" w:leader="none"/>
        </w:tabs>
        <w:spacing w:line="240" w:lineRule="exact"/>
        <w:ind w:left="827"/>
      </w:pPr>
      <w:r>
        <w:rPr>
          <w:w w:val="125"/>
        </w:rPr>
        <w:t>Mr Tim Llewelyn</w:t>
      </w:r>
      <w:r>
        <w:rPr>
          <w:spacing w:val="-6"/>
          <w:w w:val="125"/>
        </w:rPr>
        <w:t> </w:t>
      </w:r>
      <w:r>
        <w:rPr>
          <w:spacing w:val="-8"/>
          <w:w w:val="125"/>
        </w:rPr>
        <w:t>(9)</w:t>
      </w:r>
      <w:r>
        <w:rPr>
          <w:spacing w:val="-2"/>
          <w:w w:val="125"/>
        </w:rPr>
        <w:t> </w:t>
      </w:r>
      <w:r>
        <w:rPr>
          <w:spacing w:val="-8"/>
          <w:w w:val="125"/>
        </w:rPr>
        <w:t>[2019]</w:t>
        <w:tab/>
      </w:r>
      <w:r>
        <w:rPr>
          <w:w w:val="125"/>
        </w:rPr>
        <w:t>Ms Eilidh Cameron </w:t>
      </w:r>
      <w:r>
        <w:rPr>
          <w:spacing w:val="-12"/>
          <w:w w:val="125"/>
        </w:rPr>
        <w:t>(13)</w:t>
      </w:r>
      <w:r>
        <w:rPr>
          <w:spacing w:val="-3"/>
          <w:w w:val="125"/>
        </w:rPr>
        <w:t> </w:t>
      </w:r>
      <w:r>
        <w:rPr>
          <w:spacing w:val="-5"/>
          <w:w w:val="125"/>
        </w:rPr>
        <w:t>[2020]</w:t>
      </w:r>
    </w:p>
    <w:p>
      <w:pPr>
        <w:pStyle w:val="BodyText"/>
        <w:tabs>
          <w:tab w:pos="5867" w:val="left" w:leader="none"/>
        </w:tabs>
        <w:spacing w:line="242" w:lineRule="exact"/>
        <w:ind w:left="827"/>
      </w:pPr>
      <w:r>
        <w:rPr>
          <w:w w:val="120"/>
        </w:rPr>
        <w:t>Ms Lesley</w:t>
      </w:r>
      <w:r>
        <w:rPr>
          <w:spacing w:val="29"/>
          <w:w w:val="120"/>
        </w:rPr>
        <w:t> </w:t>
      </w:r>
      <w:r>
        <w:rPr>
          <w:w w:val="120"/>
        </w:rPr>
        <w:t>Caddy</w:t>
      </w:r>
      <w:r>
        <w:rPr>
          <w:spacing w:val="15"/>
          <w:w w:val="120"/>
        </w:rPr>
        <w:t> </w:t>
      </w:r>
      <w:r>
        <w:rPr>
          <w:spacing w:val="-8"/>
          <w:w w:val="120"/>
        </w:rPr>
        <w:t>[2021]</w:t>
        <w:tab/>
      </w:r>
      <w:r>
        <w:rPr>
          <w:w w:val="120"/>
        </w:rPr>
        <w:t>Mr Stan Hazell </w:t>
      </w:r>
      <w:r>
        <w:rPr>
          <w:spacing w:val="-8"/>
          <w:w w:val="120"/>
        </w:rPr>
        <w:t>(8)</w:t>
      </w:r>
      <w:r>
        <w:rPr>
          <w:spacing w:val="9"/>
          <w:w w:val="120"/>
        </w:rPr>
        <w:t> </w:t>
      </w:r>
      <w:r>
        <w:rPr>
          <w:spacing w:val="-3"/>
          <w:w w:val="120"/>
        </w:rPr>
        <w:t>[2022]**</w:t>
      </w:r>
    </w:p>
    <w:p>
      <w:pPr>
        <w:pStyle w:val="BodyText"/>
        <w:spacing w:before="4"/>
        <w:rPr>
          <w:sz w:val="18"/>
        </w:rPr>
      </w:pPr>
    </w:p>
    <w:p>
      <w:pPr>
        <w:pStyle w:val="Heading8"/>
        <w:numPr>
          <w:ilvl w:val="1"/>
          <w:numId w:val="120"/>
        </w:numPr>
        <w:tabs>
          <w:tab w:pos="1565" w:val="left" w:leader="none"/>
          <w:tab w:pos="1566" w:val="left" w:leader="none"/>
        </w:tabs>
        <w:spacing w:line="261" w:lineRule="exact" w:before="0" w:after="0"/>
        <w:ind w:left="1565" w:right="0" w:hanging="739"/>
        <w:jc w:val="left"/>
      </w:pPr>
      <w:r>
        <w:rPr>
          <w:w w:val="110"/>
        </w:rPr>
        <w:t>Equalities</w:t>
      </w:r>
      <w:r>
        <w:rPr>
          <w:spacing w:val="-1"/>
          <w:w w:val="110"/>
        </w:rPr>
        <w:t> </w:t>
      </w:r>
      <w:r>
        <w:rPr>
          <w:w w:val="110"/>
        </w:rPr>
        <w:t>committee</w:t>
      </w:r>
    </w:p>
    <w:p>
      <w:pPr>
        <w:pStyle w:val="BodyText"/>
        <w:spacing w:line="235" w:lineRule="auto"/>
        <w:ind w:left="827" w:right="5063"/>
      </w:pPr>
      <w:r>
        <w:rPr>
          <w:w w:val="125"/>
        </w:rPr>
        <w:t>Convenor: The Revd Anne Lewitt </w:t>
      </w:r>
      <w:r>
        <w:rPr>
          <w:spacing w:val="-3"/>
          <w:w w:val="125"/>
        </w:rPr>
        <w:t>[2022]** </w:t>
      </w:r>
      <w:r>
        <w:rPr>
          <w:w w:val="125"/>
        </w:rPr>
        <w:t>Secretary: The Revd David Salsbury </w:t>
      </w:r>
      <w:r>
        <w:rPr>
          <w:spacing w:val="-10"/>
          <w:w w:val="125"/>
        </w:rPr>
        <w:t>(12) </w:t>
      </w:r>
      <w:r>
        <w:rPr>
          <w:spacing w:val="-8"/>
          <w:w w:val="125"/>
        </w:rPr>
        <w:t>[2021]</w:t>
      </w:r>
    </w:p>
    <w:p>
      <w:pPr>
        <w:pStyle w:val="BodyText"/>
        <w:tabs>
          <w:tab w:pos="5867" w:val="left" w:leader="none"/>
        </w:tabs>
        <w:spacing w:line="240" w:lineRule="exact"/>
        <w:ind w:left="827"/>
      </w:pPr>
      <w:r>
        <w:rPr>
          <w:w w:val="125"/>
        </w:rPr>
        <w:t>Mr Clive Curtis</w:t>
      </w:r>
      <w:r>
        <w:rPr>
          <w:spacing w:val="3"/>
          <w:w w:val="125"/>
        </w:rPr>
        <w:t> </w:t>
      </w:r>
      <w:r>
        <w:rPr>
          <w:spacing w:val="-10"/>
          <w:w w:val="125"/>
        </w:rPr>
        <w:t>(12)</w:t>
      </w:r>
      <w:r>
        <w:rPr>
          <w:spacing w:val="1"/>
          <w:w w:val="125"/>
        </w:rPr>
        <w:t> </w:t>
      </w:r>
      <w:r>
        <w:rPr>
          <w:spacing w:val="-8"/>
          <w:w w:val="125"/>
        </w:rPr>
        <w:t>[2019]†</w:t>
        <w:tab/>
      </w:r>
      <w:r>
        <w:rPr>
          <w:w w:val="125"/>
        </w:rPr>
        <w:t>Mrs Pat Poinen </w:t>
      </w:r>
      <w:r>
        <w:rPr>
          <w:spacing w:val="-11"/>
          <w:w w:val="125"/>
        </w:rPr>
        <w:t>(1)</w:t>
      </w:r>
      <w:r>
        <w:rPr>
          <w:spacing w:val="-4"/>
          <w:w w:val="125"/>
        </w:rPr>
        <w:t> </w:t>
      </w:r>
      <w:r>
        <w:rPr>
          <w:spacing w:val="-8"/>
          <w:w w:val="125"/>
        </w:rPr>
        <w:t>[2019]</w:t>
      </w:r>
    </w:p>
    <w:p>
      <w:pPr>
        <w:pStyle w:val="BodyText"/>
        <w:tabs>
          <w:tab w:pos="5867" w:val="left" w:leader="none"/>
        </w:tabs>
        <w:spacing w:line="235" w:lineRule="auto"/>
        <w:ind w:left="827" w:right="2728"/>
      </w:pPr>
      <w:r>
        <w:rPr>
          <w:w w:val="120"/>
        </w:rPr>
        <w:t>Ms Rosie Martin</w:t>
      </w:r>
      <w:r>
        <w:rPr>
          <w:spacing w:val="26"/>
          <w:w w:val="120"/>
        </w:rPr>
        <w:t> </w:t>
      </w:r>
      <w:r>
        <w:rPr>
          <w:spacing w:val="-8"/>
          <w:w w:val="120"/>
        </w:rPr>
        <w:t>(9)</w:t>
      </w:r>
      <w:r>
        <w:rPr>
          <w:spacing w:val="9"/>
          <w:w w:val="120"/>
        </w:rPr>
        <w:t> </w:t>
      </w:r>
      <w:r>
        <w:rPr>
          <w:spacing w:val="-5"/>
          <w:w w:val="120"/>
        </w:rPr>
        <w:t>[2020]</w:t>
        <w:tab/>
      </w:r>
      <w:r>
        <w:rPr>
          <w:w w:val="120"/>
        </w:rPr>
        <w:t>Mr Jake Convery</w:t>
      </w:r>
      <w:r>
        <w:rPr>
          <w:spacing w:val="-21"/>
          <w:w w:val="120"/>
        </w:rPr>
        <w:t> </w:t>
      </w:r>
      <w:r>
        <w:rPr>
          <w:spacing w:val="-3"/>
          <w:w w:val="120"/>
        </w:rPr>
        <w:t>[2022]** </w:t>
      </w:r>
      <w:r>
        <w:rPr>
          <w:w w:val="120"/>
        </w:rPr>
        <w:t>Ms Pam Gold</w:t>
      </w:r>
      <w:r>
        <w:rPr>
          <w:spacing w:val="5"/>
          <w:w w:val="120"/>
        </w:rPr>
        <w:t> </w:t>
      </w:r>
      <w:r>
        <w:rPr>
          <w:spacing w:val="-3"/>
          <w:w w:val="120"/>
        </w:rPr>
        <w:t>[2022]**</w:t>
      </w:r>
    </w:p>
    <w:p>
      <w:pPr>
        <w:pStyle w:val="BodyText"/>
        <w:spacing w:before="2"/>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Finance</w:t>
      </w:r>
      <w:r>
        <w:rPr>
          <w:spacing w:val="-1"/>
          <w:w w:val="110"/>
        </w:rPr>
        <w:t> </w:t>
      </w:r>
      <w:r>
        <w:rPr>
          <w:w w:val="110"/>
        </w:rPr>
        <w:t>committee</w:t>
      </w:r>
    </w:p>
    <w:p>
      <w:pPr>
        <w:pStyle w:val="BodyText"/>
        <w:spacing w:line="233" w:lineRule="exact"/>
        <w:ind w:left="827"/>
      </w:pPr>
      <w:r>
        <w:rPr>
          <w:w w:val="120"/>
        </w:rPr>
        <w:t>Convenor: URC Treasurer</w:t>
      </w:r>
    </w:p>
    <w:p>
      <w:pPr>
        <w:pStyle w:val="BodyText"/>
        <w:tabs>
          <w:tab w:pos="5867" w:val="left" w:leader="none"/>
        </w:tabs>
        <w:spacing w:line="240" w:lineRule="exact"/>
        <w:ind w:left="827"/>
      </w:pPr>
      <w:r>
        <w:rPr>
          <w:w w:val="120"/>
        </w:rPr>
        <w:t>Chief</w:t>
      </w:r>
      <w:r>
        <w:rPr>
          <w:spacing w:val="1"/>
          <w:w w:val="120"/>
        </w:rPr>
        <w:t> </w:t>
      </w:r>
      <w:r>
        <w:rPr>
          <w:w w:val="120"/>
        </w:rPr>
        <w:t>Finance</w:t>
      </w:r>
      <w:r>
        <w:rPr>
          <w:spacing w:val="2"/>
          <w:w w:val="120"/>
        </w:rPr>
        <w:t> </w:t>
      </w:r>
      <w:r>
        <w:rPr>
          <w:w w:val="120"/>
        </w:rPr>
        <w:t>Officer</w:t>
        <w:tab/>
        <w:t>Deputy</w:t>
      </w:r>
      <w:r>
        <w:rPr>
          <w:spacing w:val="2"/>
          <w:w w:val="120"/>
        </w:rPr>
        <w:t> </w:t>
      </w:r>
      <w:r>
        <w:rPr>
          <w:w w:val="120"/>
        </w:rPr>
        <w:t>treasurer</w:t>
      </w:r>
    </w:p>
    <w:p>
      <w:pPr>
        <w:pStyle w:val="BodyText"/>
        <w:tabs>
          <w:tab w:pos="5867" w:val="left" w:leader="none"/>
        </w:tabs>
        <w:spacing w:line="240" w:lineRule="exact"/>
        <w:ind w:left="827"/>
      </w:pPr>
      <w:r>
        <w:rPr>
          <w:w w:val="120"/>
        </w:rPr>
        <w:t>Chair of</w:t>
      </w:r>
      <w:r>
        <w:rPr>
          <w:spacing w:val="6"/>
          <w:w w:val="120"/>
        </w:rPr>
        <w:t> </w:t>
      </w:r>
      <w:r>
        <w:rPr>
          <w:w w:val="120"/>
        </w:rPr>
        <w:t>URC</w:t>
      </w:r>
      <w:r>
        <w:rPr>
          <w:spacing w:val="4"/>
          <w:w w:val="120"/>
        </w:rPr>
        <w:t> </w:t>
      </w:r>
      <w:r>
        <w:rPr>
          <w:w w:val="120"/>
        </w:rPr>
        <w:t>Trust</w:t>
        <w:tab/>
        <w:t>The Revd Iain McLaren </w:t>
      </w:r>
      <w:r>
        <w:rPr>
          <w:spacing w:val="-14"/>
          <w:w w:val="120"/>
        </w:rPr>
        <w:t>(11)</w:t>
      </w:r>
      <w:r>
        <w:rPr>
          <w:spacing w:val="21"/>
          <w:w w:val="120"/>
        </w:rPr>
        <w:t> </w:t>
      </w:r>
      <w:r>
        <w:rPr>
          <w:spacing w:val="-8"/>
          <w:w w:val="120"/>
        </w:rPr>
        <w:t>[2019]</w:t>
      </w:r>
    </w:p>
    <w:p>
      <w:pPr>
        <w:pStyle w:val="BodyText"/>
        <w:tabs>
          <w:tab w:pos="5867" w:val="left" w:leader="none"/>
        </w:tabs>
        <w:spacing w:line="240" w:lineRule="exact"/>
        <w:ind w:left="827"/>
      </w:pPr>
      <w:r>
        <w:rPr>
          <w:w w:val="125"/>
        </w:rPr>
        <w:t>Mr Brian Hosier</w:t>
      </w:r>
      <w:r>
        <w:rPr>
          <w:spacing w:val="-18"/>
          <w:w w:val="125"/>
        </w:rPr>
        <w:t> </w:t>
      </w:r>
      <w:r>
        <w:rPr>
          <w:spacing w:val="-9"/>
          <w:w w:val="125"/>
        </w:rPr>
        <w:t>(10)</w:t>
      </w:r>
      <w:r>
        <w:rPr>
          <w:spacing w:val="-6"/>
          <w:w w:val="125"/>
        </w:rPr>
        <w:t> </w:t>
      </w:r>
      <w:r>
        <w:rPr>
          <w:spacing w:val="-8"/>
          <w:w w:val="125"/>
        </w:rPr>
        <w:t>[2019]</w:t>
        <w:tab/>
      </w:r>
      <w:r>
        <w:rPr>
          <w:w w:val="125"/>
        </w:rPr>
        <w:t>Mr Ian Simpson </w:t>
      </w:r>
      <w:r>
        <w:rPr>
          <w:spacing w:val="-8"/>
          <w:w w:val="125"/>
        </w:rPr>
        <w:t>(9)</w:t>
      </w:r>
      <w:r>
        <w:rPr>
          <w:spacing w:val="-4"/>
          <w:w w:val="125"/>
        </w:rPr>
        <w:t> </w:t>
      </w:r>
      <w:r>
        <w:rPr>
          <w:spacing w:val="-8"/>
          <w:w w:val="125"/>
        </w:rPr>
        <w:t>[2019]</w:t>
      </w:r>
    </w:p>
    <w:p>
      <w:pPr>
        <w:pStyle w:val="BodyText"/>
        <w:tabs>
          <w:tab w:pos="5867" w:val="left" w:leader="none"/>
        </w:tabs>
        <w:spacing w:line="240" w:lineRule="exact"/>
        <w:ind w:left="827"/>
      </w:pPr>
      <w:r>
        <w:rPr>
          <w:w w:val="125"/>
        </w:rPr>
        <w:t>Mr Gordon Wanless</w:t>
      </w:r>
      <w:r>
        <w:rPr>
          <w:spacing w:val="-23"/>
          <w:w w:val="125"/>
        </w:rPr>
        <w:t> </w:t>
      </w:r>
      <w:r>
        <w:rPr>
          <w:spacing w:val="-11"/>
          <w:w w:val="125"/>
        </w:rPr>
        <w:t>(1)</w:t>
      </w:r>
      <w:r>
        <w:rPr>
          <w:spacing w:val="-8"/>
          <w:w w:val="125"/>
        </w:rPr>
        <w:t> </w:t>
      </w:r>
      <w:r>
        <w:rPr>
          <w:spacing w:val="-5"/>
          <w:w w:val="125"/>
        </w:rPr>
        <w:t>[2020]</w:t>
        <w:tab/>
      </w:r>
      <w:r>
        <w:rPr>
          <w:w w:val="125"/>
        </w:rPr>
        <w:t>Mr William Potter </w:t>
      </w:r>
      <w:r>
        <w:rPr>
          <w:spacing w:val="-7"/>
          <w:w w:val="125"/>
        </w:rPr>
        <w:t>(6) </w:t>
      </w:r>
      <w:r>
        <w:rPr>
          <w:spacing w:val="-8"/>
          <w:w w:val="125"/>
        </w:rPr>
        <w:t>[2021]</w:t>
      </w:r>
    </w:p>
    <w:p>
      <w:pPr>
        <w:pStyle w:val="BodyText"/>
        <w:tabs>
          <w:tab w:pos="5867" w:val="left" w:leader="none"/>
        </w:tabs>
        <w:spacing w:line="235" w:lineRule="auto" w:before="2"/>
        <w:ind w:left="827" w:right="2603"/>
      </w:pPr>
      <w:r>
        <w:rPr>
          <w:w w:val="120"/>
        </w:rPr>
        <w:t>Mr Bob</w:t>
      </w:r>
      <w:r>
        <w:rPr>
          <w:spacing w:val="26"/>
          <w:w w:val="120"/>
        </w:rPr>
        <w:t> </w:t>
      </w:r>
      <w:r>
        <w:rPr>
          <w:w w:val="120"/>
        </w:rPr>
        <w:t>Christie</w:t>
      </w:r>
      <w:r>
        <w:rPr>
          <w:spacing w:val="13"/>
          <w:w w:val="120"/>
        </w:rPr>
        <w:t> </w:t>
      </w:r>
      <w:r>
        <w:rPr>
          <w:spacing w:val="-8"/>
          <w:w w:val="120"/>
        </w:rPr>
        <w:t>[2021]</w:t>
        <w:tab/>
      </w:r>
      <w:r>
        <w:rPr>
          <w:w w:val="120"/>
        </w:rPr>
        <w:t>Mr David Greatorex </w:t>
      </w:r>
      <w:r>
        <w:rPr>
          <w:spacing w:val="-8"/>
          <w:w w:val="120"/>
        </w:rPr>
        <w:t>[2021] </w:t>
      </w:r>
      <w:r>
        <w:rPr>
          <w:w w:val="120"/>
        </w:rPr>
        <w:t>Mr Frank Liddell</w:t>
      </w:r>
      <w:r>
        <w:rPr>
          <w:spacing w:val="5"/>
          <w:w w:val="120"/>
        </w:rPr>
        <w:t> </w:t>
      </w:r>
      <w:r>
        <w:rPr>
          <w:spacing w:val="-3"/>
          <w:w w:val="120"/>
        </w:rPr>
        <w:t>[2022]**</w:t>
      </w:r>
    </w:p>
    <w:p>
      <w:pPr>
        <w:pStyle w:val="BodyText"/>
        <w:spacing w:before="5"/>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United Reformed Church</w:t>
      </w:r>
      <w:r>
        <w:rPr>
          <w:spacing w:val="-1"/>
          <w:w w:val="110"/>
        </w:rPr>
        <w:t> </w:t>
      </w:r>
      <w:r>
        <w:rPr>
          <w:w w:val="110"/>
        </w:rPr>
        <w:t>Trust</w:t>
      </w:r>
    </w:p>
    <w:p>
      <w:pPr>
        <w:pStyle w:val="BodyText"/>
        <w:spacing w:line="235" w:lineRule="auto"/>
        <w:ind w:left="827" w:right="1735"/>
      </w:pPr>
      <w:r>
        <w:rPr>
          <w:w w:val="120"/>
        </w:rPr>
        <w:t>Members normally serve for six years. The directors of the Trust appoint new directors from those appointed as members. The members of the Trust elect the chair from among their own number and appoint a secretary and deputy secretary.</w:t>
      </w:r>
    </w:p>
    <w:p>
      <w:pPr>
        <w:pStyle w:val="BodyText"/>
        <w:spacing w:line="235" w:lineRule="auto"/>
        <w:ind w:left="827" w:right="6510"/>
      </w:pPr>
      <w:r>
        <w:rPr>
          <w:w w:val="120"/>
        </w:rPr>
        <w:t>Chair: The Revd Richard Gray [2018] Secretary: Ms Sandi Hallam-Jones Deputy Secretary: Mr John Samson Members:</w:t>
      </w:r>
    </w:p>
    <w:p>
      <w:pPr>
        <w:pStyle w:val="BodyText"/>
        <w:spacing w:line="241" w:lineRule="exact"/>
        <w:ind w:left="827"/>
      </w:pPr>
      <w:r>
        <w:rPr>
          <w:w w:val="125"/>
        </w:rPr>
        <w:t>Group one (synods </w:t>
      </w:r>
      <w:r>
        <w:rPr>
          <w:spacing w:val="-7"/>
          <w:w w:val="125"/>
        </w:rPr>
        <w:t>1, </w:t>
      </w:r>
      <w:r>
        <w:rPr>
          <w:w w:val="125"/>
        </w:rPr>
        <w:t>2,</w:t>
      </w:r>
      <w:r>
        <w:rPr>
          <w:spacing w:val="-18"/>
          <w:w w:val="125"/>
        </w:rPr>
        <w:t> </w:t>
      </w:r>
      <w:r>
        <w:rPr>
          <w:spacing w:val="-12"/>
          <w:w w:val="125"/>
        </w:rPr>
        <w:t>3,13)</w:t>
      </w:r>
    </w:p>
    <w:p>
      <w:pPr>
        <w:pStyle w:val="BodyText"/>
        <w:spacing w:line="240" w:lineRule="exact"/>
        <w:ind w:left="827"/>
      </w:pPr>
      <w:r>
        <w:rPr>
          <w:w w:val="125"/>
        </w:rPr>
        <w:t>Mr Neil Mackenzie </w:t>
      </w:r>
      <w:r>
        <w:rPr>
          <w:spacing w:val="-8"/>
          <w:w w:val="125"/>
        </w:rPr>
        <w:t>(3)</w:t>
      </w:r>
      <w:r>
        <w:rPr>
          <w:spacing w:val="-42"/>
          <w:w w:val="125"/>
        </w:rPr>
        <w:t> </w:t>
      </w:r>
      <w:r>
        <w:rPr>
          <w:spacing w:val="-5"/>
          <w:w w:val="125"/>
        </w:rPr>
        <w:t>[2020]</w:t>
      </w:r>
    </w:p>
    <w:p>
      <w:pPr>
        <w:pStyle w:val="BodyText"/>
        <w:spacing w:line="242" w:lineRule="exact"/>
        <w:ind w:left="827"/>
      </w:pPr>
      <w:r>
        <w:rPr>
          <w:w w:val="120"/>
        </w:rPr>
        <w:t>The Revd Leslie Morrison (13) [2022]**</w:t>
      </w:r>
    </w:p>
    <w:p>
      <w:pPr>
        <w:pStyle w:val="BodyText"/>
        <w:spacing w:before="1"/>
        <w:rPr>
          <w:sz w:val="19"/>
        </w:rPr>
      </w:pPr>
    </w:p>
    <w:p>
      <w:pPr>
        <w:pStyle w:val="BodyText"/>
        <w:spacing w:line="242" w:lineRule="exact"/>
        <w:ind w:left="827"/>
      </w:pPr>
      <w:r>
        <w:rPr>
          <w:w w:val="125"/>
        </w:rPr>
        <w:t>Group two (synods 6, 8, 9, 12)</w:t>
      </w:r>
    </w:p>
    <w:p>
      <w:pPr>
        <w:pStyle w:val="BodyText"/>
        <w:tabs>
          <w:tab w:pos="5867" w:val="left" w:leader="none"/>
        </w:tabs>
        <w:spacing w:line="235" w:lineRule="auto" w:before="2"/>
        <w:ind w:left="827" w:right="2958"/>
      </w:pPr>
      <w:r>
        <w:rPr>
          <w:w w:val="125"/>
        </w:rPr>
        <w:t>Dr Ian Harrison</w:t>
      </w:r>
      <w:r>
        <w:rPr>
          <w:spacing w:val="-5"/>
          <w:w w:val="125"/>
        </w:rPr>
        <w:t> </w:t>
      </w:r>
      <w:r>
        <w:rPr>
          <w:spacing w:val="-8"/>
          <w:w w:val="125"/>
        </w:rPr>
        <w:t>(8)</w:t>
      </w:r>
      <w:r>
        <w:rPr>
          <w:spacing w:val="-2"/>
          <w:w w:val="125"/>
        </w:rPr>
        <w:t> </w:t>
      </w:r>
      <w:r>
        <w:rPr>
          <w:spacing w:val="-5"/>
          <w:w w:val="125"/>
        </w:rPr>
        <w:t>[2020]</w:t>
        <w:tab/>
      </w:r>
      <w:r>
        <w:rPr>
          <w:w w:val="125"/>
        </w:rPr>
        <w:t>Mr Peter Pay</w:t>
      </w:r>
      <w:r>
        <w:rPr>
          <w:spacing w:val="-42"/>
          <w:w w:val="125"/>
        </w:rPr>
        <w:t> </w:t>
      </w:r>
      <w:r>
        <w:rPr>
          <w:spacing w:val="-8"/>
          <w:w w:val="125"/>
        </w:rPr>
        <w:t>(9) </w:t>
      </w:r>
      <w:r>
        <w:rPr>
          <w:spacing w:val="-5"/>
          <w:w w:val="125"/>
        </w:rPr>
        <w:t>[2022] </w:t>
      </w:r>
      <w:r>
        <w:rPr>
          <w:w w:val="125"/>
        </w:rPr>
        <w:t>Mr David Lathbury </w:t>
      </w:r>
      <w:r>
        <w:rPr>
          <w:spacing w:val="-7"/>
          <w:w w:val="125"/>
        </w:rPr>
        <w:t>(6)</w:t>
      </w:r>
      <w:r>
        <w:rPr>
          <w:spacing w:val="-5"/>
          <w:w w:val="125"/>
        </w:rPr>
        <w:t> </w:t>
      </w:r>
      <w:r>
        <w:rPr>
          <w:spacing w:val="-3"/>
          <w:w w:val="125"/>
        </w:rPr>
        <w:t>[2022]**</w:t>
      </w:r>
    </w:p>
    <w:p>
      <w:pPr>
        <w:pStyle w:val="BodyText"/>
        <w:spacing w:before="5"/>
        <w:rPr>
          <w:sz w:val="19"/>
        </w:rPr>
      </w:pPr>
    </w:p>
    <w:p>
      <w:pPr>
        <w:pStyle w:val="BodyText"/>
        <w:spacing w:line="242" w:lineRule="exact"/>
        <w:ind w:left="827"/>
      </w:pPr>
      <w:r>
        <w:rPr>
          <w:w w:val="125"/>
        </w:rPr>
        <w:t>Group three (synods 4, 5, 7, 10, 11)</w:t>
      </w:r>
    </w:p>
    <w:p>
      <w:pPr>
        <w:pStyle w:val="BodyText"/>
        <w:tabs>
          <w:tab w:pos="5867" w:val="left" w:leader="none"/>
        </w:tabs>
        <w:spacing w:line="235" w:lineRule="auto" w:before="2"/>
        <w:ind w:left="827" w:right="2335"/>
      </w:pPr>
      <w:r>
        <w:rPr>
          <w:w w:val="125"/>
        </w:rPr>
        <w:t>Mrs Margaret Thompson</w:t>
      </w:r>
      <w:r>
        <w:rPr>
          <w:spacing w:val="-33"/>
          <w:w w:val="125"/>
        </w:rPr>
        <w:t> </w:t>
      </w:r>
      <w:r>
        <w:rPr>
          <w:w w:val="125"/>
        </w:rPr>
        <w:t>(7)</w:t>
      </w:r>
      <w:r>
        <w:rPr>
          <w:spacing w:val="-11"/>
          <w:w w:val="125"/>
        </w:rPr>
        <w:t> </w:t>
      </w:r>
      <w:r>
        <w:rPr>
          <w:spacing w:val="-5"/>
          <w:w w:val="125"/>
        </w:rPr>
        <w:t>[2020]</w:t>
        <w:tab/>
      </w:r>
      <w:r>
        <w:rPr>
          <w:w w:val="125"/>
        </w:rPr>
        <w:t>Mr</w:t>
      </w:r>
      <w:r>
        <w:rPr>
          <w:spacing w:val="-15"/>
          <w:w w:val="125"/>
        </w:rPr>
        <w:t> </w:t>
      </w:r>
      <w:r>
        <w:rPr>
          <w:w w:val="125"/>
        </w:rPr>
        <w:t>Alastair</w:t>
      </w:r>
      <w:r>
        <w:rPr>
          <w:spacing w:val="-16"/>
          <w:w w:val="125"/>
        </w:rPr>
        <w:t> </w:t>
      </w:r>
      <w:r>
        <w:rPr>
          <w:spacing w:val="2"/>
          <w:w w:val="125"/>
        </w:rPr>
        <w:t>Forsyth</w:t>
      </w:r>
      <w:r>
        <w:rPr>
          <w:spacing w:val="-16"/>
          <w:w w:val="125"/>
        </w:rPr>
        <w:t> </w:t>
      </w:r>
      <w:r>
        <w:rPr>
          <w:spacing w:val="-10"/>
          <w:w w:val="125"/>
        </w:rPr>
        <w:t>(4)</w:t>
      </w:r>
      <w:r>
        <w:rPr>
          <w:spacing w:val="-16"/>
          <w:w w:val="125"/>
        </w:rPr>
        <w:t> </w:t>
      </w:r>
      <w:r>
        <w:rPr>
          <w:spacing w:val="-5"/>
          <w:w w:val="125"/>
        </w:rPr>
        <w:t>[2020] </w:t>
      </w:r>
      <w:r>
        <w:rPr>
          <w:w w:val="125"/>
        </w:rPr>
        <w:t>Ms</w:t>
      </w:r>
      <w:r>
        <w:rPr>
          <w:spacing w:val="-20"/>
          <w:w w:val="125"/>
        </w:rPr>
        <w:t> </w:t>
      </w:r>
      <w:r>
        <w:rPr>
          <w:w w:val="125"/>
        </w:rPr>
        <w:t>Catriona</w:t>
      </w:r>
      <w:r>
        <w:rPr>
          <w:spacing w:val="-20"/>
          <w:w w:val="125"/>
        </w:rPr>
        <w:t> </w:t>
      </w:r>
      <w:r>
        <w:rPr>
          <w:w w:val="125"/>
        </w:rPr>
        <w:t>Wheeler</w:t>
      </w:r>
      <w:r>
        <w:rPr>
          <w:spacing w:val="-20"/>
          <w:w w:val="125"/>
        </w:rPr>
        <w:t> </w:t>
      </w:r>
      <w:r>
        <w:rPr>
          <w:spacing w:val="-8"/>
          <w:w w:val="125"/>
        </w:rPr>
        <w:t>(5)</w:t>
      </w:r>
      <w:r>
        <w:rPr>
          <w:spacing w:val="-20"/>
          <w:w w:val="125"/>
        </w:rPr>
        <w:t> </w:t>
      </w:r>
      <w:r>
        <w:rPr>
          <w:spacing w:val="-3"/>
          <w:w w:val="125"/>
        </w:rPr>
        <w:t>[2022]**</w:t>
        <w:tab/>
      </w:r>
      <w:r>
        <w:rPr>
          <w:w w:val="125"/>
        </w:rPr>
        <w:t>Mrs</w:t>
      </w:r>
      <w:r>
        <w:rPr>
          <w:spacing w:val="-29"/>
          <w:w w:val="125"/>
        </w:rPr>
        <w:t> </w:t>
      </w:r>
      <w:r>
        <w:rPr>
          <w:w w:val="125"/>
        </w:rPr>
        <w:t>Val</w:t>
      </w:r>
      <w:r>
        <w:rPr>
          <w:spacing w:val="-29"/>
          <w:w w:val="125"/>
        </w:rPr>
        <w:t> </w:t>
      </w:r>
      <w:r>
        <w:rPr>
          <w:w w:val="125"/>
        </w:rPr>
        <w:t>Morrison</w:t>
      </w:r>
      <w:r>
        <w:rPr>
          <w:spacing w:val="-29"/>
          <w:w w:val="125"/>
        </w:rPr>
        <w:t> </w:t>
      </w:r>
      <w:r>
        <w:rPr>
          <w:spacing w:val="-10"/>
          <w:w w:val="125"/>
        </w:rPr>
        <w:t>(4)</w:t>
      </w:r>
      <w:r>
        <w:rPr>
          <w:spacing w:val="-30"/>
          <w:w w:val="125"/>
        </w:rPr>
        <w:t> </w:t>
      </w:r>
      <w:r>
        <w:rPr>
          <w:spacing w:val="-3"/>
          <w:w w:val="125"/>
        </w:rPr>
        <w:t>[2020]**</w:t>
      </w:r>
    </w:p>
    <w:p>
      <w:pPr>
        <w:spacing w:after="0" w:line="235" w:lineRule="auto"/>
        <w:sectPr>
          <w:headerReference w:type="even" r:id="rId463"/>
          <w:footerReference w:type="even" r:id="rId464"/>
          <w:footerReference w:type="default" r:id="rId465"/>
          <w:pgSz w:w="11910" w:h="16840"/>
          <w:pgMar w:header="0" w:footer="647" w:top="0" w:bottom="840" w:left="420" w:right="380"/>
          <w:pgNumType w:start="172"/>
        </w:sectPr>
      </w:pPr>
    </w:p>
    <w:p>
      <w:pPr>
        <w:pStyle w:val="BodyText"/>
      </w:pPr>
      <w:r>
        <w:rPr/>
        <w:drawing>
          <wp:anchor distT="0" distB="0" distL="0" distR="0" allowOverlap="1" layoutInCell="1" locked="0" behindDoc="0" simplePos="0" relativeHeight="252104704">
            <wp:simplePos x="0" y="0"/>
            <wp:positionH relativeFrom="page">
              <wp:posOffset>6974928</wp:posOffset>
            </wp:positionH>
            <wp:positionV relativeFrom="page">
              <wp:posOffset>0</wp:posOffset>
            </wp:positionV>
            <wp:extent cx="585063" cy="10692003"/>
            <wp:effectExtent l="0" t="0" r="0" b="0"/>
            <wp:wrapNone/>
            <wp:docPr id="335" name="image74.png"/>
            <wp:cNvGraphicFramePr>
              <a:graphicFrameLocks noChangeAspect="1"/>
            </wp:cNvGraphicFramePr>
            <a:graphic>
              <a:graphicData uri="http://schemas.openxmlformats.org/drawingml/2006/picture">
                <pic:pic>
                  <pic:nvPicPr>
                    <pic:cNvPr id="336"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105728"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BodyText"/>
        <w:spacing w:line="242" w:lineRule="exact" w:before="218"/>
        <w:ind w:left="1564"/>
      </w:pPr>
      <w:r>
        <w:rPr>
          <w:w w:val="120"/>
        </w:rPr>
        <w:t>URC Youth appointee: Mr Andrew Weston [2021]</w:t>
      </w:r>
    </w:p>
    <w:p>
      <w:pPr>
        <w:pStyle w:val="BodyText"/>
        <w:spacing w:line="235" w:lineRule="auto" w:before="1"/>
        <w:ind w:left="1564" w:right="3230"/>
      </w:pPr>
      <w:r>
        <w:rPr>
          <w:w w:val="120"/>
        </w:rPr>
        <w:t>General Assembly appointment: Mr Emmanuel Osae [Dec 2019] Co-opted member-elect: Mr Clifford Patten (7) [2020]</w:t>
      </w:r>
    </w:p>
    <w:p>
      <w:pPr>
        <w:pStyle w:val="BodyText"/>
        <w:spacing w:line="235" w:lineRule="auto" w:before="2"/>
        <w:ind w:left="1564" w:right="2307"/>
      </w:pPr>
      <w:r>
        <w:rPr>
          <w:w w:val="120"/>
        </w:rPr>
        <w:t>ex officio: Moderators of General Assembly, Clerk of General Assembly, URC Treasurer</w:t>
      </w:r>
    </w:p>
    <w:p>
      <w:pPr>
        <w:pStyle w:val="BodyText"/>
        <w:spacing w:line="240" w:lineRule="exact"/>
        <w:ind w:left="1564"/>
      </w:pPr>
      <w:r>
        <w:rPr>
          <w:w w:val="120"/>
        </w:rPr>
        <w:t>General Secretary</w:t>
      </w:r>
    </w:p>
    <w:p>
      <w:pPr>
        <w:pStyle w:val="BodyText"/>
        <w:spacing w:line="235" w:lineRule="auto" w:before="2"/>
        <w:ind w:left="1564" w:right="2851"/>
      </w:pPr>
      <w:r>
        <w:rPr>
          <w:w w:val="120"/>
        </w:rPr>
        <w:t>In attendance: Convenor, investment committee; minute secretary; Chief Finance Officer</w:t>
      </w:r>
    </w:p>
    <w:p>
      <w:pPr>
        <w:pStyle w:val="BodyText"/>
        <w:spacing w:before="5"/>
        <w:rPr>
          <w:sz w:val="18"/>
        </w:rPr>
      </w:pPr>
    </w:p>
    <w:p>
      <w:pPr>
        <w:pStyle w:val="Heading8"/>
        <w:numPr>
          <w:ilvl w:val="2"/>
          <w:numId w:val="120"/>
        </w:numPr>
        <w:tabs>
          <w:tab w:pos="2245" w:val="left" w:leader="none"/>
        </w:tabs>
        <w:spacing w:line="261" w:lineRule="exact" w:before="0" w:after="0"/>
        <w:ind w:left="2244" w:right="0" w:hanging="681"/>
        <w:jc w:val="left"/>
      </w:pPr>
      <w:r>
        <w:rPr>
          <w:w w:val="110"/>
        </w:rPr>
        <w:t>Church House management</w:t>
      </w:r>
      <w:r>
        <w:rPr>
          <w:spacing w:val="-1"/>
          <w:w w:val="110"/>
        </w:rPr>
        <w:t> </w:t>
      </w:r>
      <w:r>
        <w:rPr>
          <w:w w:val="110"/>
        </w:rPr>
        <w:t>group</w:t>
      </w:r>
    </w:p>
    <w:p>
      <w:pPr>
        <w:pStyle w:val="BodyText"/>
        <w:tabs>
          <w:tab w:pos="5884" w:val="left" w:leader="none"/>
        </w:tabs>
        <w:spacing w:line="235" w:lineRule="auto"/>
        <w:ind w:left="1564" w:right="2818"/>
      </w:pPr>
      <w:r>
        <w:rPr>
          <w:w w:val="120"/>
        </w:rPr>
        <w:t>Convenor: Deputy General Secretary (Administration and </w:t>
      </w:r>
      <w:r>
        <w:rPr>
          <w:spacing w:val="-3"/>
          <w:w w:val="120"/>
        </w:rPr>
        <w:t>Resources) </w:t>
      </w:r>
      <w:r>
        <w:rPr>
          <w:w w:val="120"/>
        </w:rPr>
        <w:t>Mr</w:t>
      </w:r>
      <w:r>
        <w:rPr>
          <w:spacing w:val="1"/>
          <w:w w:val="120"/>
        </w:rPr>
        <w:t> </w:t>
      </w:r>
      <w:r>
        <w:rPr>
          <w:w w:val="120"/>
        </w:rPr>
        <w:t>Mike</w:t>
      </w:r>
      <w:r>
        <w:rPr>
          <w:spacing w:val="2"/>
          <w:w w:val="120"/>
        </w:rPr>
        <w:t> </w:t>
      </w:r>
      <w:r>
        <w:rPr>
          <w:w w:val="120"/>
        </w:rPr>
        <w:t>Gould</w:t>
        <w:tab/>
        <w:t>Mr Derek</w:t>
      </w:r>
      <w:r>
        <w:rPr>
          <w:spacing w:val="2"/>
          <w:w w:val="120"/>
        </w:rPr>
        <w:t> </w:t>
      </w:r>
      <w:r>
        <w:rPr>
          <w:w w:val="120"/>
        </w:rPr>
        <w:t>Jones</w:t>
      </w:r>
    </w:p>
    <w:p>
      <w:pPr>
        <w:pStyle w:val="BodyText"/>
        <w:tabs>
          <w:tab w:pos="5884" w:val="left" w:leader="none"/>
        </w:tabs>
        <w:spacing w:line="235" w:lineRule="auto"/>
        <w:ind w:left="1564" w:right="3719"/>
      </w:pPr>
      <w:r>
        <w:rPr>
          <w:w w:val="120"/>
        </w:rPr>
        <w:t>Mr</w:t>
      </w:r>
      <w:r>
        <w:rPr>
          <w:spacing w:val="8"/>
          <w:w w:val="120"/>
        </w:rPr>
        <w:t> </w:t>
      </w:r>
      <w:r>
        <w:rPr>
          <w:w w:val="120"/>
        </w:rPr>
        <w:t>Doug</w:t>
      </w:r>
      <w:r>
        <w:rPr>
          <w:spacing w:val="8"/>
          <w:w w:val="120"/>
        </w:rPr>
        <w:t> </w:t>
      </w:r>
      <w:r>
        <w:rPr>
          <w:w w:val="120"/>
        </w:rPr>
        <w:t>Maxwell</w:t>
        <w:tab/>
        <w:t>Mr </w:t>
      </w:r>
      <w:r>
        <w:rPr>
          <w:spacing w:val="2"/>
          <w:w w:val="120"/>
        </w:rPr>
        <w:t>Robert</w:t>
      </w:r>
      <w:r>
        <w:rPr>
          <w:spacing w:val="-17"/>
          <w:w w:val="120"/>
        </w:rPr>
        <w:t> </w:t>
      </w:r>
      <w:r>
        <w:rPr>
          <w:spacing w:val="-4"/>
          <w:w w:val="120"/>
        </w:rPr>
        <w:t>Buss [ex </w:t>
      </w:r>
      <w:r>
        <w:rPr>
          <w:w w:val="120"/>
        </w:rPr>
        <w:t>officio: General Secretary; Chief Finance</w:t>
      </w:r>
      <w:r>
        <w:rPr>
          <w:spacing w:val="17"/>
          <w:w w:val="120"/>
        </w:rPr>
        <w:t> </w:t>
      </w:r>
      <w:r>
        <w:rPr>
          <w:w w:val="120"/>
        </w:rPr>
        <w:t>Officer]</w:t>
      </w:r>
    </w:p>
    <w:p>
      <w:pPr>
        <w:pStyle w:val="BodyText"/>
        <w:spacing w:line="242" w:lineRule="exact"/>
        <w:ind w:left="1564"/>
      </w:pPr>
      <w:r>
        <w:rPr>
          <w:w w:val="120"/>
        </w:rPr>
        <w:t>Note: The terms of service on this group are under review.</w:t>
      </w:r>
    </w:p>
    <w:p>
      <w:pPr>
        <w:pStyle w:val="BodyText"/>
        <w:rPr>
          <w:sz w:val="18"/>
        </w:rPr>
      </w:pPr>
    </w:p>
    <w:p>
      <w:pPr>
        <w:pStyle w:val="Heading8"/>
        <w:numPr>
          <w:ilvl w:val="2"/>
          <w:numId w:val="120"/>
        </w:numPr>
        <w:tabs>
          <w:tab w:pos="2245" w:val="left" w:leader="none"/>
        </w:tabs>
        <w:spacing w:line="261" w:lineRule="exact" w:before="0" w:after="0"/>
        <w:ind w:left="2244" w:right="0" w:hanging="681"/>
        <w:jc w:val="left"/>
      </w:pPr>
      <w:r>
        <w:rPr>
          <w:w w:val="110"/>
        </w:rPr>
        <w:t>Remuneration</w:t>
      </w:r>
      <w:r>
        <w:rPr>
          <w:spacing w:val="-1"/>
          <w:w w:val="110"/>
        </w:rPr>
        <w:t> </w:t>
      </w:r>
      <w:r>
        <w:rPr>
          <w:w w:val="110"/>
        </w:rPr>
        <w:t>committee</w:t>
      </w:r>
    </w:p>
    <w:p>
      <w:pPr>
        <w:pStyle w:val="BodyText"/>
        <w:spacing w:line="233" w:lineRule="exact"/>
        <w:ind w:left="1564"/>
      </w:pPr>
      <w:r>
        <w:rPr>
          <w:w w:val="120"/>
        </w:rPr>
        <w:t>Convenor: Mr William McVey</w:t>
      </w:r>
    </w:p>
    <w:p>
      <w:pPr>
        <w:pStyle w:val="BodyText"/>
        <w:spacing w:line="238" w:lineRule="exact"/>
        <w:ind w:left="1564"/>
      </w:pPr>
      <w:r>
        <w:rPr>
          <w:w w:val="120"/>
        </w:rPr>
        <w:t>Secretary: Deputy General Secretary (Administration and Resources)</w:t>
      </w:r>
    </w:p>
    <w:p>
      <w:pPr>
        <w:pStyle w:val="BodyText"/>
        <w:tabs>
          <w:tab w:pos="5884" w:val="left" w:leader="none"/>
        </w:tabs>
        <w:spacing w:line="235" w:lineRule="auto" w:before="4"/>
        <w:ind w:left="1564" w:right="1877"/>
      </w:pPr>
      <w:r>
        <w:rPr>
          <w:w w:val="120"/>
        </w:rPr>
        <w:t>Ms Sushila Jetha</w:t>
      </w:r>
      <w:r>
        <w:rPr>
          <w:spacing w:val="-6"/>
          <w:w w:val="120"/>
        </w:rPr>
        <w:t> </w:t>
      </w:r>
      <w:r>
        <w:rPr>
          <w:w w:val="120"/>
        </w:rPr>
        <w:t>(Methodist</w:t>
      </w:r>
      <w:r>
        <w:rPr>
          <w:spacing w:val="-2"/>
          <w:w w:val="120"/>
        </w:rPr>
        <w:t> </w:t>
      </w:r>
      <w:r>
        <w:rPr>
          <w:spacing w:val="-3"/>
          <w:w w:val="120"/>
        </w:rPr>
        <w:t>HR)</w:t>
        <w:tab/>
      </w:r>
      <w:r>
        <w:rPr>
          <w:w w:val="120"/>
        </w:rPr>
        <w:t>Church House staff representative URC</w:t>
      </w:r>
      <w:r>
        <w:rPr>
          <w:spacing w:val="-5"/>
          <w:w w:val="120"/>
        </w:rPr>
        <w:t> </w:t>
      </w:r>
      <w:r>
        <w:rPr>
          <w:w w:val="120"/>
        </w:rPr>
        <w:t>Treasurer</w:t>
        <w:tab/>
        <w:t>Chief Finance</w:t>
      </w:r>
      <w:r>
        <w:rPr>
          <w:spacing w:val="4"/>
          <w:w w:val="120"/>
        </w:rPr>
        <w:t> </w:t>
      </w:r>
      <w:r>
        <w:rPr>
          <w:w w:val="120"/>
        </w:rPr>
        <w:t>Officer</w:t>
      </w:r>
    </w:p>
    <w:p>
      <w:pPr>
        <w:pStyle w:val="BodyText"/>
        <w:spacing w:before="5"/>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The United Reformed Church Ministers’ Pension Trust</w:t>
      </w:r>
      <w:r>
        <w:rPr>
          <w:spacing w:val="-3"/>
          <w:w w:val="110"/>
        </w:rPr>
        <w:t> </w:t>
      </w:r>
      <w:r>
        <w:rPr>
          <w:w w:val="110"/>
        </w:rPr>
        <w:t>Ltd</w:t>
      </w:r>
    </w:p>
    <w:p>
      <w:pPr>
        <w:pStyle w:val="BodyText"/>
        <w:spacing w:line="233" w:lineRule="exact"/>
        <w:ind w:left="1564"/>
        <w:jc w:val="both"/>
      </w:pPr>
      <w:r>
        <w:rPr>
          <w:w w:val="120"/>
        </w:rPr>
        <w:t>Members normally serve for six years. Terms run until the AGM in September.</w:t>
      </w:r>
    </w:p>
    <w:p>
      <w:pPr>
        <w:pStyle w:val="BodyText"/>
        <w:spacing w:line="235" w:lineRule="auto" w:before="2"/>
        <w:ind w:left="1564" w:right="1294"/>
        <w:jc w:val="both"/>
      </w:pPr>
      <w:r>
        <w:rPr>
          <w:w w:val="120"/>
        </w:rPr>
        <w:t>The directors of the Trust appoint new directors from those appointed as members. The board members elect the chair from among their own number and appoint the company secretary.</w:t>
      </w:r>
    </w:p>
    <w:p>
      <w:pPr>
        <w:pStyle w:val="BodyText"/>
        <w:spacing w:line="235" w:lineRule="auto" w:before="2"/>
        <w:ind w:left="1564" w:right="6257"/>
        <w:jc w:val="both"/>
      </w:pPr>
      <w:r>
        <w:rPr>
          <w:w w:val="120"/>
        </w:rPr>
        <w:t>Chair: Mr Richard Nunn [2022]** Secretary: Ms Sandi Hallam-Jones Members of the URC:</w:t>
      </w:r>
    </w:p>
    <w:p>
      <w:pPr>
        <w:pStyle w:val="BodyText"/>
        <w:tabs>
          <w:tab w:pos="5884" w:val="left" w:leader="none"/>
        </w:tabs>
        <w:spacing w:line="235" w:lineRule="auto" w:before="2"/>
        <w:ind w:left="1564" w:right="2478"/>
      </w:pPr>
      <w:r>
        <w:rPr>
          <w:w w:val="120"/>
        </w:rPr>
        <w:t>Miss Margaret</w:t>
      </w:r>
      <w:r>
        <w:rPr>
          <w:spacing w:val="6"/>
          <w:w w:val="120"/>
        </w:rPr>
        <w:t> </w:t>
      </w:r>
      <w:r>
        <w:rPr>
          <w:w w:val="120"/>
        </w:rPr>
        <w:t>Atkinson</w:t>
      </w:r>
      <w:r>
        <w:rPr>
          <w:spacing w:val="4"/>
          <w:w w:val="120"/>
        </w:rPr>
        <w:t> </w:t>
      </w:r>
      <w:r>
        <w:rPr>
          <w:spacing w:val="-5"/>
          <w:w w:val="120"/>
        </w:rPr>
        <w:t>[2020]†</w:t>
        <w:tab/>
      </w:r>
      <w:r>
        <w:rPr>
          <w:w w:val="120"/>
        </w:rPr>
        <w:t>Mrs Bridget Micklem </w:t>
      </w:r>
      <w:r>
        <w:rPr>
          <w:spacing w:val="-8"/>
          <w:w w:val="120"/>
        </w:rPr>
        <w:t>[2019] </w:t>
      </w:r>
      <w:r>
        <w:rPr>
          <w:w w:val="120"/>
        </w:rPr>
        <w:t>Mr Lyndon Thomas</w:t>
      </w:r>
      <w:r>
        <w:rPr>
          <w:spacing w:val="5"/>
          <w:w w:val="120"/>
        </w:rPr>
        <w:t> </w:t>
      </w:r>
      <w:r>
        <w:rPr>
          <w:spacing w:val="-3"/>
          <w:w w:val="120"/>
        </w:rPr>
        <w:t>[2022]**</w:t>
      </w:r>
    </w:p>
    <w:p>
      <w:pPr>
        <w:pStyle w:val="BodyText"/>
        <w:spacing w:line="240" w:lineRule="exact"/>
        <w:ind w:left="1564"/>
      </w:pPr>
      <w:r>
        <w:rPr>
          <w:w w:val="120"/>
        </w:rPr>
        <w:t>Members of fund (appointed by members of fund):</w:t>
      </w:r>
    </w:p>
    <w:p>
      <w:pPr>
        <w:pStyle w:val="BodyText"/>
        <w:tabs>
          <w:tab w:pos="5884" w:val="left" w:leader="none"/>
        </w:tabs>
        <w:spacing w:line="235" w:lineRule="auto" w:before="2"/>
        <w:ind w:left="1564" w:right="1707"/>
      </w:pPr>
      <w:r>
        <w:rPr>
          <w:w w:val="125"/>
        </w:rPr>
        <w:t>The</w:t>
      </w:r>
      <w:r>
        <w:rPr>
          <w:spacing w:val="-17"/>
          <w:w w:val="125"/>
        </w:rPr>
        <w:t> </w:t>
      </w:r>
      <w:r>
        <w:rPr>
          <w:w w:val="125"/>
        </w:rPr>
        <w:t>Revd</w:t>
      </w:r>
      <w:r>
        <w:rPr>
          <w:spacing w:val="-16"/>
          <w:w w:val="125"/>
        </w:rPr>
        <w:t> </w:t>
      </w:r>
      <w:r>
        <w:rPr>
          <w:w w:val="125"/>
        </w:rPr>
        <w:t>James</w:t>
      </w:r>
      <w:r>
        <w:rPr>
          <w:spacing w:val="-16"/>
          <w:w w:val="125"/>
        </w:rPr>
        <w:t> </w:t>
      </w:r>
      <w:r>
        <w:rPr>
          <w:w w:val="125"/>
        </w:rPr>
        <w:t>Breslin</w:t>
      </w:r>
      <w:r>
        <w:rPr>
          <w:spacing w:val="-16"/>
          <w:w w:val="125"/>
        </w:rPr>
        <w:t> </w:t>
      </w:r>
      <w:r>
        <w:rPr>
          <w:spacing w:val="-8"/>
          <w:w w:val="125"/>
        </w:rPr>
        <w:t>[2021]</w:t>
        <w:tab/>
      </w:r>
      <w:r>
        <w:rPr>
          <w:w w:val="125"/>
        </w:rPr>
        <w:t>The</w:t>
      </w:r>
      <w:r>
        <w:rPr>
          <w:spacing w:val="-15"/>
          <w:w w:val="125"/>
        </w:rPr>
        <w:t> </w:t>
      </w:r>
      <w:r>
        <w:rPr>
          <w:w w:val="125"/>
        </w:rPr>
        <w:t>Revd</w:t>
      </w:r>
      <w:r>
        <w:rPr>
          <w:spacing w:val="-14"/>
          <w:w w:val="125"/>
        </w:rPr>
        <w:t> </w:t>
      </w:r>
      <w:r>
        <w:rPr>
          <w:w w:val="125"/>
        </w:rPr>
        <w:t>Dr</w:t>
      </w:r>
      <w:r>
        <w:rPr>
          <w:spacing w:val="-15"/>
          <w:w w:val="125"/>
        </w:rPr>
        <w:t> </w:t>
      </w:r>
      <w:r>
        <w:rPr>
          <w:w w:val="125"/>
        </w:rPr>
        <w:t>Janet</w:t>
      </w:r>
      <w:r>
        <w:rPr>
          <w:spacing w:val="-14"/>
          <w:w w:val="125"/>
        </w:rPr>
        <w:t> </w:t>
      </w:r>
      <w:r>
        <w:rPr>
          <w:w w:val="125"/>
        </w:rPr>
        <w:t>Tollington</w:t>
      </w:r>
      <w:r>
        <w:rPr>
          <w:spacing w:val="-15"/>
          <w:w w:val="125"/>
        </w:rPr>
        <w:t> </w:t>
      </w:r>
      <w:r>
        <w:rPr>
          <w:spacing w:val="-8"/>
          <w:w w:val="125"/>
        </w:rPr>
        <w:t>[2019] </w:t>
      </w:r>
      <w:r>
        <w:rPr>
          <w:w w:val="125"/>
        </w:rPr>
        <w:t>The Revd Paul</w:t>
      </w:r>
      <w:r>
        <w:rPr>
          <w:spacing w:val="-31"/>
          <w:w w:val="125"/>
        </w:rPr>
        <w:t> </w:t>
      </w:r>
      <w:r>
        <w:rPr>
          <w:w w:val="125"/>
        </w:rPr>
        <w:t>Bedford</w:t>
      </w:r>
      <w:r>
        <w:rPr>
          <w:spacing w:val="-10"/>
          <w:w w:val="125"/>
        </w:rPr>
        <w:t> </w:t>
      </w:r>
      <w:r>
        <w:rPr>
          <w:spacing w:val="-5"/>
          <w:w w:val="125"/>
        </w:rPr>
        <w:t>[2022]</w:t>
        <w:tab/>
      </w:r>
      <w:r>
        <w:rPr>
          <w:w w:val="125"/>
        </w:rPr>
        <w:t>The Revd Derek Wales</w:t>
      </w:r>
      <w:r>
        <w:rPr>
          <w:spacing w:val="-21"/>
          <w:w w:val="125"/>
        </w:rPr>
        <w:t> </w:t>
      </w:r>
      <w:r>
        <w:rPr>
          <w:spacing w:val="-5"/>
          <w:w w:val="125"/>
        </w:rPr>
        <w:t>[2022]</w:t>
      </w:r>
    </w:p>
    <w:p>
      <w:pPr>
        <w:pStyle w:val="BodyText"/>
        <w:spacing w:line="235" w:lineRule="auto" w:before="1"/>
        <w:ind w:left="1564" w:right="923"/>
      </w:pPr>
      <w:r>
        <w:rPr>
          <w:w w:val="120"/>
        </w:rPr>
        <w:t>[ex officio: URC Treasurer; convenor, pensions executive; convenor, maintenance of ministry subcommittee; convenor, investment committee]</w:t>
      </w:r>
    </w:p>
    <w:p>
      <w:pPr>
        <w:pStyle w:val="BodyText"/>
        <w:spacing w:before="1"/>
        <w:rPr>
          <w:sz w:val="19"/>
        </w:rPr>
      </w:pPr>
    </w:p>
    <w:p>
      <w:pPr>
        <w:pStyle w:val="ListParagraph"/>
        <w:numPr>
          <w:ilvl w:val="1"/>
          <w:numId w:val="120"/>
        </w:numPr>
        <w:tabs>
          <w:tab w:pos="2244" w:val="left" w:leader="none"/>
          <w:tab w:pos="2245" w:val="left" w:leader="none"/>
        </w:tabs>
        <w:spacing w:line="230" w:lineRule="auto" w:before="1" w:after="0"/>
        <w:ind w:left="1564" w:right="6010" w:firstLine="0"/>
        <w:jc w:val="left"/>
        <w:rPr>
          <w:rFonts w:ascii="Stone Sans II ITC Std Bk"/>
          <w:sz w:val="20"/>
        </w:rPr>
      </w:pPr>
      <w:r>
        <w:rPr>
          <w:rFonts w:ascii="Stone Sans II ITC Std Bk"/>
          <w:b/>
          <w:w w:val="120"/>
          <w:sz w:val="20"/>
        </w:rPr>
        <w:t>Pensions executive </w:t>
      </w:r>
      <w:r>
        <w:rPr>
          <w:w w:val="120"/>
          <w:sz w:val="20"/>
        </w:rPr>
        <w:t>Convenor: Dr Chris Evans </w:t>
      </w:r>
      <w:r>
        <w:rPr>
          <w:spacing w:val="-8"/>
          <w:w w:val="120"/>
          <w:sz w:val="20"/>
        </w:rPr>
        <w:t>(9) [2021] </w:t>
      </w:r>
      <w:r>
        <w:rPr>
          <w:w w:val="120"/>
          <w:sz w:val="20"/>
        </w:rPr>
        <w:t>Secretary: Mr Rob</w:t>
      </w:r>
      <w:r>
        <w:rPr>
          <w:spacing w:val="3"/>
          <w:w w:val="120"/>
          <w:sz w:val="20"/>
        </w:rPr>
        <w:t> </w:t>
      </w:r>
      <w:r>
        <w:rPr>
          <w:w w:val="120"/>
          <w:sz w:val="20"/>
        </w:rPr>
        <w:t>Seaman</w:t>
      </w:r>
    </w:p>
    <w:p>
      <w:pPr>
        <w:pStyle w:val="BodyText"/>
        <w:spacing w:line="235" w:lineRule="auto"/>
        <w:ind w:left="1564" w:right="1339"/>
      </w:pPr>
      <w:r>
        <w:rPr>
          <w:w w:val="120"/>
        </w:rPr>
        <w:t>Members: Mrs Madeleine Brand </w:t>
      </w:r>
      <w:r>
        <w:rPr>
          <w:spacing w:val="-8"/>
          <w:w w:val="120"/>
        </w:rPr>
        <w:t>(9)  </w:t>
      </w:r>
      <w:r>
        <w:rPr>
          <w:spacing w:val="-5"/>
          <w:w w:val="120"/>
        </w:rPr>
        <w:t>[2020]   </w:t>
      </w:r>
      <w:r>
        <w:rPr>
          <w:w w:val="120"/>
        </w:rPr>
        <w:t>The Revd Steven Manders </w:t>
      </w:r>
      <w:r>
        <w:rPr>
          <w:spacing w:val="-12"/>
          <w:w w:val="120"/>
        </w:rPr>
        <w:t>(13)  </w:t>
      </w:r>
      <w:r>
        <w:rPr>
          <w:spacing w:val="-5"/>
          <w:w w:val="120"/>
        </w:rPr>
        <w:t>[2020] </w:t>
      </w:r>
      <w:r>
        <w:rPr>
          <w:spacing w:val="-4"/>
          <w:w w:val="120"/>
        </w:rPr>
        <w:t>[ex </w:t>
      </w:r>
      <w:r>
        <w:rPr>
          <w:w w:val="120"/>
        </w:rPr>
        <w:t>officio: </w:t>
      </w:r>
      <w:r>
        <w:rPr>
          <w:spacing w:val="-3"/>
          <w:w w:val="120"/>
        </w:rPr>
        <w:t>Convenor, </w:t>
      </w:r>
      <w:r>
        <w:rPr>
          <w:w w:val="120"/>
        </w:rPr>
        <w:t>maintenance of ministry subcommittee; </w:t>
      </w:r>
      <w:r>
        <w:rPr>
          <w:spacing w:val="-3"/>
          <w:w w:val="120"/>
        </w:rPr>
        <w:t>convenor, </w:t>
      </w:r>
      <w:r>
        <w:rPr>
          <w:w w:val="120"/>
        </w:rPr>
        <w:t>investment committee; URC</w:t>
      </w:r>
      <w:r>
        <w:rPr>
          <w:spacing w:val="4"/>
          <w:w w:val="120"/>
        </w:rPr>
        <w:t> </w:t>
      </w:r>
      <w:r>
        <w:rPr>
          <w:spacing w:val="-3"/>
          <w:w w:val="120"/>
        </w:rPr>
        <w:t>Treasurer]</w:t>
      </w:r>
    </w:p>
    <w:p>
      <w:pPr>
        <w:pStyle w:val="BodyText"/>
        <w:spacing w:line="235" w:lineRule="auto" w:before="2"/>
        <w:ind w:left="1564" w:right="1169"/>
      </w:pPr>
      <w:r>
        <w:rPr>
          <w:w w:val="120"/>
        </w:rPr>
        <w:t>The pensions executive reports to the United Reformed Church Ministers’ Pensions Trust board, the maintenance of ministry subcommittee and the finance committee.</w:t>
      </w:r>
    </w:p>
    <w:p>
      <w:pPr>
        <w:pStyle w:val="BodyText"/>
        <w:spacing w:before="1"/>
        <w:rPr>
          <w:sz w:val="19"/>
        </w:rPr>
      </w:pPr>
    </w:p>
    <w:p>
      <w:pPr>
        <w:pStyle w:val="ListParagraph"/>
        <w:numPr>
          <w:ilvl w:val="1"/>
          <w:numId w:val="120"/>
        </w:numPr>
        <w:tabs>
          <w:tab w:pos="2244" w:val="left" w:leader="none"/>
          <w:tab w:pos="2245" w:val="left" w:leader="none"/>
        </w:tabs>
        <w:spacing w:line="230" w:lineRule="auto" w:before="0" w:after="0"/>
        <w:ind w:left="1564" w:right="5624" w:firstLine="0"/>
        <w:jc w:val="left"/>
        <w:rPr>
          <w:rFonts w:ascii="Stone Sans II ITC Std Bk"/>
          <w:sz w:val="20"/>
        </w:rPr>
      </w:pPr>
      <w:r>
        <w:rPr>
          <w:rFonts w:ascii="Stone Sans II ITC Std Bk"/>
          <w:b/>
          <w:w w:val="115"/>
          <w:sz w:val="20"/>
        </w:rPr>
        <w:t>Investment committee </w:t>
      </w:r>
      <w:r>
        <w:rPr>
          <w:w w:val="115"/>
          <w:sz w:val="20"/>
        </w:rPr>
        <w:t>Convenor: The Revd Dick Gray </w:t>
      </w:r>
      <w:r>
        <w:rPr>
          <w:spacing w:val="-3"/>
          <w:w w:val="115"/>
          <w:sz w:val="20"/>
        </w:rPr>
        <w:t>[2022]** </w:t>
      </w:r>
      <w:r>
        <w:rPr>
          <w:w w:val="115"/>
          <w:sz w:val="20"/>
        </w:rPr>
        <w:t>Secretary: Ms Sandi</w:t>
      </w:r>
      <w:r>
        <w:rPr>
          <w:spacing w:val="36"/>
          <w:w w:val="115"/>
          <w:sz w:val="20"/>
        </w:rPr>
        <w:t> </w:t>
      </w:r>
      <w:r>
        <w:rPr>
          <w:w w:val="115"/>
          <w:sz w:val="20"/>
        </w:rPr>
        <w:t>Hallam-Jones</w:t>
      </w:r>
    </w:p>
    <w:p>
      <w:pPr>
        <w:pStyle w:val="BodyText"/>
        <w:tabs>
          <w:tab w:pos="5884" w:val="left" w:leader="none"/>
        </w:tabs>
        <w:spacing w:line="235" w:lineRule="auto"/>
        <w:ind w:left="1564" w:right="2701"/>
      </w:pPr>
      <w:r>
        <w:rPr>
          <w:w w:val="120"/>
        </w:rPr>
        <w:t>Members: Mr Brian</w:t>
      </w:r>
      <w:r>
        <w:rPr>
          <w:spacing w:val="13"/>
          <w:w w:val="120"/>
        </w:rPr>
        <w:t> </w:t>
      </w:r>
      <w:r>
        <w:rPr>
          <w:w w:val="120"/>
        </w:rPr>
        <w:t>Hosier</w:t>
      </w:r>
      <w:r>
        <w:rPr>
          <w:spacing w:val="4"/>
          <w:w w:val="120"/>
        </w:rPr>
        <w:t> </w:t>
      </w:r>
      <w:r>
        <w:rPr>
          <w:spacing w:val="-8"/>
          <w:w w:val="120"/>
        </w:rPr>
        <w:t>[2019]</w:t>
        <w:tab/>
      </w:r>
      <w:r>
        <w:rPr>
          <w:w w:val="120"/>
        </w:rPr>
        <w:t>Mrs Jean Hudson </w:t>
      </w:r>
      <w:r>
        <w:rPr>
          <w:spacing w:val="-8"/>
          <w:w w:val="120"/>
        </w:rPr>
        <w:t>[2019] </w:t>
      </w:r>
      <w:r>
        <w:rPr>
          <w:w w:val="120"/>
        </w:rPr>
        <w:t>The Revd Julian</w:t>
      </w:r>
      <w:r>
        <w:rPr>
          <w:spacing w:val="17"/>
          <w:w w:val="120"/>
        </w:rPr>
        <w:t> </w:t>
      </w:r>
      <w:r>
        <w:rPr>
          <w:w w:val="120"/>
        </w:rPr>
        <w:t>Macro</w:t>
      </w:r>
      <w:r>
        <w:rPr>
          <w:spacing w:val="6"/>
          <w:w w:val="120"/>
        </w:rPr>
        <w:t> </w:t>
      </w:r>
      <w:r>
        <w:rPr>
          <w:spacing w:val="-5"/>
          <w:w w:val="120"/>
        </w:rPr>
        <w:t>[2020]</w:t>
        <w:tab/>
      </w:r>
      <w:r>
        <w:rPr>
          <w:w w:val="120"/>
        </w:rPr>
        <w:t>Mr David Martin </w:t>
      </w:r>
      <w:r>
        <w:rPr>
          <w:spacing w:val="-3"/>
          <w:w w:val="120"/>
        </w:rPr>
        <w:t>[2022]** </w:t>
      </w:r>
      <w:r>
        <w:rPr>
          <w:spacing w:val="-4"/>
          <w:w w:val="120"/>
        </w:rPr>
        <w:t>[ex </w:t>
      </w:r>
      <w:r>
        <w:rPr>
          <w:w w:val="120"/>
        </w:rPr>
        <w:t>officio: URC Treasurer; </w:t>
      </w:r>
      <w:r>
        <w:rPr>
          <w:spacing w:val="-3"/>
          <w:w w:val="120"/>
        </w:rPr>
        <w:t>convenor, </w:t>
      </w:r>
      <w:r>
        <w:rPr>
          <w:w w:val="120"/>
        </w:rPr>
        <w:t>pensions</w:t>
      </w:r>
      <w:r>
        <w:rPr>
          <w:spacing w:val="19"/>
          <w:w w:val="120"/>
        </w:rPr>
        <w:t> </w:t>
      </w:r>
      <w:r>
        <w:rPr>
          <w:w w:val="120"/>
        </w:rPr>
        <w:t>executive;</w:t>
      </w:r>
    </w:p>
    <w:p>
      <w:pPr>
        <w:pStyle w:val="BodyText"/>
        <w:spacing w:line="240" w:lineRule="exact"/>
        <w:ind w:left="1564"/>
      </w:pPr>
      <w:r>
        <w:rPr>
          <w:w w:val="120"/>
        </w:rPr>
        <w:t>chair of United Reformed Church Trust or another director;</w:t>
      </w:r>
    </w:p>
    <w:p>
      <w:pPr>
        <w:pStyle w:val="BodyText"/>
        <w:spacing w:line="235" w:lineRule="auto" w:before="2"/>
        <w:ind w:left="1564" w:right="1528"/>
      </w:pPr>
      <w:r>
        <w:rPr>
          <w:w w:val="120"/>
        </w:rPr>
        <w:t>chair of United Reformed Church Ministers’ Pension Trust or another director; Treasurer, Westminster College]</w:t>
      </w:r>
    </w:p>
    <w:p>
      <w:pPr>
        <w:pStyle w:val="BodyText"/>
        <w:spacing w:line="242" w:lineRule="exact"/>
        <w:ind w:left="1564"/>
      </w:pPr>
      <w:r>
        <w:rPr>
          <w:w w:val="120"/>
        </w:rPr>
        <w:t>In attendance: Chief Finance Officer</w:t>
      </w:r>
    </w:p>
    <w:p>
      <w:pPr>
        <w:spacing w:after="0" w:line="242" w:lineRule="exact"/>
        <w:sectPr>
          <w:headerReference w:type="default" r:id="rId466"/>
          <w:pgSz w:w="11910" w:h="16840"/>
          <w:pgMar w:header="0" w:footer="647" w:top="0" w:bottom="840" w:left="420" w:right="380"/>
        </w:sectPr>
      </w:pPr>
    </w:p>
    <w:p>
      <w:pPr>
        <w:pStyle w:val="BodyText"/>
      </w:pPr>
      <w:r>
        <w:rPr/>
        <w:drawing>
          <wp:anchor distT="0" distB="0" distL="0" distR="0" allowOverlap="1" layoutInCell="1" locked="0" behindDoc="1" simplePos="0" relativeHeight="236139520">
            <wp:simplePos x="0" y="0"/>
            <wp:positionH relativeFrom="page">
              <wp:posOffset>0</wp:posOffset>
            </wp:positionH>
            <wp:positionV relativeFrom="page">
              <wp:posOffset>0</wp:posOffset>
            </wp:positionV>
            <wp:extent cx="594067" cy="10692003"/>
            <wp:effectExtent l="0" t="0" r="0" b="0"/>
            <wp:wrapNone/>
            <wp:docPr id="337" name="image75.png"/>
            <wp:cNvGraphicFramePr>
              <a:graphicFrameLocks noChangeAspect="1"/>
            </wp:cNvGraphicFramePr>
            <a:graphic>
              <a:graphicData uri="http://schemas.openxmlformats.org/drawingml/2006/picture">
                <pic:pic>
                  <pic:nvPicPr>
                    <pic:cNvPr id="338"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33.75pt;mso-position-horizontal-relative:page;mso-position-vertical-relative:paragraph;z-index:252107776"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rPr>
        <w:t>Nominations</w:t>
      </w:r>
    </w:p>
    <w:p>
      <w:pPr>
        <w:pStyle w:val="ListParagraph"/>
        <w:numPr>
          <w:ilvl w:val="0"/>
          <w:numId w:val="120"/>
        </w:numPr>
        <w:tabs>
          <w:tab w:pos="1507" w:val="left" w:leader="none"/>
          <w:tab w:pos="1508" w:val="left" w:leader="none"/>
        </w:tabs>
        <w:spacing w:line="240" w:lineRule="auto" w:before="215" w:after="0"/>
        <w:ind w:left="1507" w:right="0" w:hanging="681"/>
        <w:jc w:val="left"/>
        <w:rPr>
          <w:rFonts w:ascii="Stone Sans II ITC Std Bk"/>
          <w:b/>
          <w:sz w:val="29"/>
        </w:rPr>
      </w:pPr>
      <w:r>
        <w:rPr>
          <w:rFonts w:ascii="Stone Sans II ITC Std Bk"/>
          <w:b/>
          <w:spacing w:val="3"/>
          <w:w w:val="110"/>
          <w:sz w:val="29"/>
        </w:rPr>
        <w:t>Representatives </w:t>
      </w:r>
      <w:r>
        <w:rPr>
          <w:rFonts w:ascii="Stone Sans II ITC Std Bk"/>
          <w:b/>
          <w:w w:val="110"/>
          <w:sz w:val="29"/>
        </w:rPr>
        <w:t>to </w:t>
      </w:r>
      <w:r>
        <w:rPr>
          <w:rFonts w:ascii="Stone Sans II ITC Std Bk"/>
          <w:b/>
          <w:spacing w:val="3"/>
          <w:w w:val="110"/>
          <w:sz w:val="29"/>
        </w:rPr>
        <w:t>meetings </w:t>
      </w:r>
      <w:r>
        <w:rPr>
          <w:rFonts w:ascii="Stone Sans II ITC Std Bk"/>
          <w:b/>
          <w:w w:val="110"/>
          <w:sz w:val="29"/>
        </w:rPr>
        <w:t>of </w:t>
      </w:r>
      <w:r>
        <w:rPr>
          <w:rFonts w:ascii="Stone Sans II ITC Std Bk"/>
          <w:b/>
          <w:spacing w:val="2"/>
          <w:w w:val="110"/>
          <w:sz w:val="29"/>
        </w:rPr>
        <w:t>sister</w:t>
      </w:r>
      <w:r>
        <w:rPr>
          <w:rFonts w:ascii="Stone Sans II ITC Std Bk"/>
          <w:b/>
          <w:spacing w:val="63"/>
          <w:w w:val="110"/>
          <w:sz w:val="29"/>
        </w:rPr>
        <w:t> </w:t>
      </w:r>
      <w:r>
        <w:rPr>
          <w:rFonts w:ascii="Stone Sans II ITC Std Bk"/>
          <w:b/>
          <w:spacing w:val="3"/>
          <w:w w:val="110"/>
          <w:sz w:val="29"/>
        </w:rPr>
        <w:t>Churches</w:t>
      </w:r>
    </w:p>
    <w:p>
      <w:pPr>
        <w:pStyle w:val="ListParagraph"/>
        <w:numPr>
          <w:ilvl w:val="1"/>
          <w:numId w:val="120"/>
        </w:numPr>
        <w:tabs>
          <w:tab w:pos="1507" w:val="left" w:leader="none"/>
          <w:tab w:pos="1508" w:val="left" w:leader="none"/>
          <w:tab w:pos="5867" w:val="left" w:leader="none"/>
        </w:tabs>
        <w:spacing w:line="242" w:lineRule="exact" w:before="66" w:after="0"/>
        <w:ind w:left="1507" w:right="0" w:hanging="681"/>
        <w:jc w:val="left"/>
        <w:rPr>
          <w:sz w:val="20"/>
        </w:rPr>
      </w:pPr>
      <w:r>
        <w:rPr>
          <w:w w:val="120"/>
          <w:sz w:val="20"/>
        </w:rPr>
        <w:t>Presbyterian Church</w:t>
      </w:r>
      <w:r>
        <w:rPr>
          <w:spacing w:val="9"/>
          <w:w w:val="120"/>
          <w:sz w:val="20"/>
        </w:rPr>
        <w:t> </w:t>
      </w:r>
      <w:r>
        <w:rPr>
          <w:w w:val="120"/>
          <w:sz w:val="20"/>
        </w:rPr>
        <w:t>in</w:t>
      </w:r>
      <w:r>
        <w:rPr>
          <w:spacing w:val="5"/>
          <w:w w:val="120"/>
          <w:sz w:val="20"/>
        </w:rPr>
        <w:t> </w:t>
      </w:r>
      <w:r>
        <w:rPr>
          <w:w w:val="120"/>
          <w:sz w:val="20"/>
        </w:rPr>
        <w:t>Ireland</w:t>
        <w:tab/>
        <w:t>Assembly</w:t>
      </w:r>
      <w:r>
        <w:rPr>
          <w:spacing w:val="2"/>
          <w:w w:val="120"/>
          <w:sz w:val="20"/>
        </w:rPr>
        <w:t> </w:t>
      </w:r>
      <w:r>
        <w:rPr>
          <w:w w:val="120"/>
          <w:sz w:val="20"/>
        </w:rPr>
        <w:t>Moderator</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General Synod of Church</w:t>
      </w:r>
      <w:r>
        <w:rPr>
          <w:spacing w:val="52"/>
          <w:w w:val="120"/>
          <w:sz w:val="20"/>
        </w:rPr>
        <w:t> </w:t>
      </w:r>
      <w:r>
        <w:rPr>
          <w:w w:val="120"/>
          <w:sz w:val="20"/>
        </w:rPr>
        <w:t>of</w:t>
      </w:r>
      <w:r>
        <w:rPr>
          <w:spacing w:val="14"/>
          <w:w w:val="120"/>
          <w:sz w:val="20"/>
        </w:rPr>
        <w:t> </w:t>
      </w:r>
      <w:r>
        <w:rPr>
          <w:w w:val="120"/>
          <w:sz w:val="20"/>
        </w:rPr>
        <w:t>England</w:t>
        <w:tab/>
        <w:t>The Revd Dr Andrew</w:t>
      </w:r>
      <w:r>
        <w:rPr>
          <w:spacing w:val="9"/>
          <w:w w:val="120"/>
          <w:sz w:val="20"/>
        </w:rPr>
        <w:t> </w:t>
      </w:r>
      <w:r>
        <w:rPr>
          <w:w w:val="120"/>
          <w:sz w:val="20"/>
        </w:rPr>
        <w:t>Prasad</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Methodist</w:t>
      </w:r>
      <w:r>
        <w:rPr>
          <w:spacing w:val="2"/>
          <w:w w:val="120"/>
          <w:sz w:val="20"/>
        </w:rPr>
        <w:t> </w:t>
      </w:r>
      <w:r>
        <w:rPr>
          <w:w w:val="120"/>
          <w:sz w:val="20"/>
        </w:rPr>
        <w:t>Conference</w:t>
        <w:tab/>
        <w:t>The Revd Roy</w:t>
      </w:r>
      <w:r>
        <w:rPr>
          <w:spacing w:val="6"/>
          <w:w w:val="120"/>
          <w:sz w:val="20"/>
        </w:rPr>
        <w:t> </w:t>
      </w:r>
      <w:r>
        <w:rPr>
          <w:w w:val="120"/>
          <w:sz w:val="20"/>
        </w:rPr>
        <w:t>Fowler</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Congregational</w:t>
      </w:r>
      <w:r>
        <w:rPr>
          <w:spacing w:val="30"/>
          <w:w w:val="120"/>
          <w:sz w:val="20"/>
        </w:rPr>
        <w:t> </w:t>
      </w:r>
      <w:r>
        <w:rPr>
          <w:w w:val="120"/>
          <w:sz w:val="20"/>
        </w:rPr>
        <w:t>Federation</w:t>
        <w:tab/>
        <w:t>Assembly</w:t>
      </w:r>
      <w:r>
        <w:rPr>
          <w:spacing w:val="2"/>
          <w:w w:val="120"/>
          <w:sz w:val="20"/>
        </w:rPr>
        <w:t> </w:t>
      </w:r>
      <w:r>
        <w:rPr>
          <w:w w:val="120"/>
          <w:sz w:val="20"/>
        </w:rPr>
        <w:t>Moderator</w:t>
      </w:r>
    </w:p>
    <w:p>
      <w:pPr>
        <w:pStyle w:val="ListParagraph"/>
        <w:numPr>
          <w:ilvl w:val="1"/>
          <w:numId w:val="120"/>
        </w:numPr>
        <w:tabs>
          <w:tab w:pos="1507" w:val="left" w:leader="none"/>
          <w:tab w:pos="1508" w:val="left" w:leader="none"/>
          <w:tab w:pos="5867" w:val="left" w:leader="none"/>
        </w:tabs>
        <w:spacing w:line="235" w:lineRule="auto" w:before="1" w:after="0"/>
        <w:ind w:left="6587" w:right="2008" w:hanging="5761"/>
        <w:jc w:val="left"/>
        <w:rPr>
          <w:sz w:val="20"/>
        </w:rPr>
      </w:pPr>
      <w:r>
        <w:rPr>
          <w:w w:val="120"/>
          <w:sz w:val="20"/>
        </w:rPr>
        <w:t>Church</w:t>
      </w:r>
      <w:r>
        <w:rPr>
          <w:spacing w:val="13"/>
          <w:w w:val="120"/>
          <w:sz w:val="20"/>
        </w:rPr>
        <w:t> </w:t>
      </w:r>
      <w:r>
        <w:rPr>
          <w:w w:val="120"/>
          <w:sz w:val="20"/>
        </w:rPr>
        <w:t>of</w:t>
      </w:r>
      <w:r>
        <w:rPr>
          <w:spacing w:val="13"/>
          <w:w w:val="120"/>
          <w:sz w:val="20"/>
        </w:rPr>
        <w:t> </w:t>
      </w:r>
      <w:r>
        <w:rPr>
          <w:w w:val="120"/>
          <w:sz w:val="20"/>
        </w:rPr>
        <w:t>Scotland</w:t>
        <w:tab/>
        <w:t>Assembly Moderator, chaplain and synod</w:t>
      </w:r>
      <w:r>
        <w:rPr>
          <w:spacing w:val="9"/>
          <w:w w:val="120"/>
          <w:sz w:val="20"/>
        </w:rPr>
        <w:t> </w:t>
      </w:r>
      <w:r>
        <w:rPr>
          <w:w w:val="120"/>
          <w:sz w:val="20"/>
        </w:rPr>
        <w:t>representative</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United Free Church</w:t>
      </w:r>
      <w:r>
        <w:rPr>
          <w:spacing w:val="15"/>
          <w:w w:val="120"/>
          <w:sz w:val="20"/>
        </w:rPr>
        <w:t> </w:t>
      </w:r>
      <w:r>
        <w:rPr>
          <w:w w:val="120"/>
          <w:sz w:val="20"/>
        </w:rPr>
        <w:t>of</w:t>
      </w:r>
      <w:r>
        <w:rPr>
          <w:spacing w:val="5"/>
          <w:w w:val="120"/>
          <w:sz w:val="20"/>
        </w:rPr>
        <w:t> </w:t>
      </w:r>
      <w:r>
        <w:rPr>
          <w:w w:val="120"/>
          <w:sz w:val="20"/>
        </w:rPr>
        <w:t>Scotland</w:t>
        <w:tab/>
        <w:t>Synod</w:t>
      </w:r>
      <w:r>
        <w:rPr>
          <w:spacing w:val="2"/>
          <w:w w:val="120"/>
          <w:sz w:val="20"/>
        </w:rPr>
        <w:t> </w:t>
      </w:r>
      <w:r>
        <w:rPr>
          <w:w w:val="120"/>
          <w:sz w:val="20"/>
        </w:rPr>
        <w:t>nomination</w:t>
      </w:r>
    </w:p>
    <w:p>
      <w:pPr>
        <w:pStyle w:val="ListParagraph"/>
        <w:numPr>
          <w:ilvl w:val="1"/>
          <w:numId w:val="120"/>
        </w:numPr>
        <w:tabs>
          <w:tab w:pos="1507" w:val="left" w:leader="none"/>
          <w:tab w:pos="1508" w:val="left" w:leader="none"/>
          <w:tab w:pos="6853" w:val="left" w:leader="none"/>
        </w:tabs>
        <w:spacing w:line="240" w:lineRule="exact" w:before="0" w:after="0"/>
        <w:ind w:left="1507" w:right="0" w:hanging="681"/>
        <w:jc w:val="left"/>
        <w:rPr>
          <w:sz w:val="20"/>
        </w:rPr>
      </w:pPr>
      <w:r>
        <w:rPr>
          <w:w w:val="120"/>
          <w:sz w:val="20"/>
        </w:rPr>
        <w:t>Scottish Assembly of the</w:t>
      </w:r>
      <w:r>
        <w:rPr>
          <w:spacing w:val="33"/>
          <w:w w:val="120"/>
          <w:sz w:val="20"/>
        </w:rPr>
        <w:t> </w:t>
      </w:r>
      <w:r>
        <w:rPr>
          <w:w w:val="120"/>
          <w:sz w:val="20"/>
        </w:rPr>
        <w:t>Congregational</w:t>
      </w:r>
      <w:r>
        <w:rPr>
          <w:spacing w:val="8"/>
          <w:w w:val="120"/>
          <w:sz w:val="20"/>
        </w:rPr>
        <w:t> </w:t>
      </w:r>
      <w:r>
        <w:rPr>
          <w:w w:val="120"/>
          <w:sz w:val="20"/>
        </w:rPr>
        <w:t>Federation</w:t>
        <w:tab/>
        <w:t>Synod</w:t>
      </w:r>
      <w:r>
        <w:rPr>
          <w:spacing w:val="3"/>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Scottish</w:t>
      </w:r>
      <w:r>
        <w:rPr>
          <w:spacing w:val="14"/>
          <w:w w:val="120"/>
          <w:sz w:val="20"/>
        </w:rPr>
        <w:t> </w:t>
      </w:r>
      <w:r>
        <w:rPr>
          <w:w w:val="120"/>
          <w:sz w:val="20"/>
        </w:rPr>
        <w:t>Episcopal</w:t>
      </w:r>
      <w:r>
        <w:rPr>
          <w:spacing w:val="15"/>
          <w:w w:val="120"/>
          <w:sz w:val="20"/>
        </w:rPr>
        <w:t> </w:t>
      </w:r>
      <w:r>
        <w:rPr>
          <w:w w:val="120"/>
          <w:sz w:val="20"/>
        </w:rPr>
        <w:t>Church</w:t>
        <w:tab/>
        <w:t>Synod</w:t>
      </w:r>
      <w:r>
        <w:rPr>
          <w:spacing w:val="2"/>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Methodist Church</w:t>
      </w:r>
      <w:r>
        <w:rPr>
          <w:spacing w:val="22"/>
          <w:w w:val="120"/>
          <w:sz w:val="20"/>
        </w:rPr>
        <w:t> </w:t>
      </w:r>
      <w:r>
        <w:rPr>
          <w:w w:val="120"/>
          <w:sz w:val="20"/>
        </w:rPr>
        <w:t>in</w:t>
      </w:r>
      <w:r>
        <w:rPr>
          <w:spacing w:val="11"/>
          <w:w w:val="120"/>
          <w:sz w:val="20"/>
        </w:rPr>
        <w:t> </w:t>
      </w:r>
      <w:r>
        <w:rPr>
          <w:w w:val="120"/>
          <w:sz w:val="20"/>
        </w:rPr>
        <w:t>Scotland</w:t>
        <w:tab/>
        <w:t>Synod</w:t>
      </w:r>
      <w:r>
        <w:rPr>
          <w:spacing w:val="3"/>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Baptist Union</w:t>
      </w:r>
      <w:r>
        <w:rPr>
          <w:spacing w:val="4"/>
          <w:w w:val="120"/>
          <w:sz w:val="20"/>
        </w:rPr>
        <w:t> </w:t>
      </w:r>
      <w:r>
        <w:rPr>
          <w:w w:val="120"/>
          <w:sz w:val="20"/>
        </w:rPr>
        <w:t>of</w:t>
      </w:r>
      <w:r>
        <w:rPr>
          <w:spacing w:val="2"/>
          <w:w w:val="120"/>
          <w:sz w:val="20"/>
        </w:rPr>
        <w:t> </w:t>
      </w:r>
      <w:r>
        <w:rPr>
          <w:w w:val="120"/>
          <w:sz w:val="20"/>
        </w:rPr>
        <w:t>Scotland</w:t>
        <w:tab/>
        <w:t>Synod</w:t>
      </w:r>
      <w:r>
        <w:rPr>
          <w:spacing w:val="3"/>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Presbyterian Church</w:t>
      </w:r>
      <w:r>
        <w:rPr>
          <w:spacing w:val="-4"/>
          <w:w w:val="120"/>
          <w:sz w:val="20"/>
        </w:rPr>
        <w:t> </w:t>
      </w:r>
      <w:r>
        <w:rPr>
          <w:w w:val="120"/>
          <w:sz w:val="20"/>
        </w:rPr>
        <w:t>of</w:t>
      </w:r>
      <w:r>
        <w:rPr>
          <w:spacing w:val="-2"/>
          <w:w w:val="120"/>
          <w:sz w:val="20"/>
        </w:rPr>
        <w:t> </w:t>
      </w:r>
      <w:r>
        <w:rPr>
          <w:w w:val="120"/>
          <w:sz w:val="20"/>
        </w:rPr>
        <w:t>Wales</w:t>
        <w:tab/>
        <w:t>Synod</w:t>
      </w:r>
      <w:r>
        <w:rPr>
          <w:spacing w:val="3"/>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Union of</w:t>
      </w:r>
      <w:r>
        <w:rPr>
          <w:spacing w:val="6"/>
          <w:w w:val="120"/>
          <w:sz w:val="20"/>
        </w:rPr>
        <w:t> </w:t>
      </w:r>
      <w:r>
        <w:rPr>
          <w:w w:val="120"/>
          <w:sz w:val="20"/>
        </w:rPr>
        <w:t>Welsh</w:t>
      </w:r>
      <w:r>
        <w:rPr>
          <w:spacing w:val="4"/>
          <w:w w:val="120"/>
          <w:sz w:val="20"/>
        </w:rPr>
        <w:t> </w:t>
      </w:r>
      <w:r>
        <w:rPr>
          <w:w w:val="120"/>
          <w:sz w:val="20"/>
        </w:rPr>
        <w:t>Independents</w:t>
        <w:tab/>
        <w:t>Synod</w:t>
      </w:r>
      <w:r>
        <w:rPr>
          <w:spacing w:val="2"/>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Covenanted</w:t>
      </w:r>
      <w:r>
        <w:rPr>
          <w:spacing w:val="3"/>
          <w:w w:val="120"/>
          <w:sz w:val="20"/>
        </w:rPr>
        <w:t> </w:t>
      </w:r>
      <w:r>
        <w:rPr>
          <w:w w:val="120"/>
          <w:sz w:val="20"/>
        </w:rPr>
        <w:t>Baptists</w:t>
        <w:tab/>
        <w:t>Synod</w:t>
      </w:r>
      <w:r>
        <w:rPr>
          <w:spacing w:val="2"/>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0" w:lineRule="exact" w:before="0" w:after="0"/>
        <w:ind w:left="1507" w:right="0" w:hanging="681"/>
        <w:jc w:val="left"/>
        <w:rPr>
          <w:sz w:val="20"/>
        </w:rPr>
      </w:pPr>
      <w:r>
        <w:rPr>
          <w:w w:val="120"/>
          <w:sz w:val="20"/>
        </w:rPr>
        <w:t>Church in Wales</w:t>
      </w:r>
      <w:r>
        <w:rPr>
          <w:spacing w:val="31"/>
          <w:w w:val="120"/>
          <w:sz w:val="20"/>
        </w:rPr>
        <w:t> </w:t>
      </w:r>
      <w:r>
        <w:rPr>
          <w:w w:val="120"/>
          <w:sz w:val="20"/>
        </w:rPr>
        <w:t>Governing</w:t>
      </w:r>
      <w:r>
        <w:rPr>
          <w:spacing w:val="11"/>
          <w:w w:val="120"/>
          <w:sz w:val="20"/>
        </w:rPr>
        <w:t> </w:t>
      </w:r>
      <w:r>
        <w:rPr>
          <w:w w:val="120"/>
          <w:sz w:val="20"/>
        </w:rPr>
        <w:t>Board</w:t>
        <w:tab/>
        <w:t>Synod</w:t>
      </w:r>
      <w:r>
        <w:rPr>
          <w:spacing w:val="2"/>
          <w:w w:val="120"/>
          <w:sz w:val="20"/>
        </w:rPr>
        <w:t> </w:t>
      </w:r>
      <w:r>
        <w:rPr>
          <w:w w:val="120"/>
          <w:sz w:val="20"/>
        </w:rPr>
        <w:t>nomination</w:t>
      </w:r>
    </w:p>
    <w:p>
      <w:pPr>
        <w:pStyle w:val="ListParagraph"/>
        <w:numPr>
          <w:ilvl w:val="1"/>
          <w:numId w:val="120"/>
        </w:numPr>
        <w:tabs>
          <w:tab w:pos="1507" w:val="left" w:leader="none"/>
          <w:tab w:pos="1508" w:val="left" w:leader="none"/>
          <w:tab w:pos="5867" w:val="left" w:leader="none"/>
        </w:tabs>
        <w:spacing w:line="242" w:lineRule="exact" w:before="0" w:after="0"/>
        <w:ind w:left="1507" w:right="0" w:hanging="681"/>
        <w:jc w:val="left"/>
        <w:rPr>
          <w:sz w:val="20"/>
        </w:rPr>
      </w:pPr>
      <w:r>
        <w:rPr>
          <w:w w:val="120"/>
          <w:sz w:val="20"/>
        </w:rPr>
        <w:t>Provincial Synod of the</w:t>
      </w:r>
      <w:r>
        <w:rPr>
          <w:spacing w:val="17"/>
          <w:w w:val="120"/>
          <w:sz w:val="20"/>
        </w:rPr>
        <w:t> </w:t>
      </w:r>
      <w:r>
        <w:rPr>
          <w:w w:val="120"/>
          <w:sz w:val="20"/>
        </w:rPr>
        <w:t>Moravian</w:t>
      </w:r>
      <w:r>
        <w:rPr>
          <w:spacing w:val="4"/>
          <w:w w:val="120"/>
          <w:sz w:val="20"/>
        </w:rPr>
        <w:t> </w:t>
      </w:r>
      <w:r>
        <w:rPr>
          <w:w w:val="120"/>
          <w:sz w:val="20"/>
        </w:rPr>
        <w:t>Church</w:t>
        <w:tab/>
        <w:t>The Revd Edward</w:t>
      </w:r>
      <w:r>
        <w:rPr>
          <w:spacing w:val="8"/>
          <w:w w:val="120"/>
          <w:sz w:val="20"/>
        </w:rPr>
        <w:t> </w:t>
      </w:r>
      <w:r>
        <w:rPr>
          <w:w w:val="120"/>
          <w:sz w:val="20"/>
        </w:rPr>
        <w:t>Sanniez</w:t>
      </w:r>
    </w:p>
    <w:p>
      <w:pPr>
        <w:pStyle w:val="BodyText"/>
        <w:spacing w:before="1"/>
        <w:rPr>
          <w:sz w:val="22"/>
        </w:rPr>
      </w:pPr>
    </w:p>
    <w:p>
      <w:pPr>
        <w:pStyle w:val="Heading4"/>
        <w:numPr>
          <w:ilvl w:val="0"/>
          <w:numId w:val="120"/>
        </w:numPr>
        <w:tabs>
          <w:tab w:pos="1507" w:val="left" w:leader="none"/>
          <w:tab w:pos="1508" w:val="left" w:leader="none"/>
        </w:tabs>
        <w:spacing w:line="240" w:lineRule="auto" w:before="0" w:after="0"/>
        <w:ind w:left="1507" w:right="0" w:hanging="681"/>
        <w:jc w:val="left"/>
      </w:pPr>
      <w:r>
        <w:rPr>
          <w:spacing w:val="3"/>
          <w:w w:val="110"/>
        </w:rPr>
        <w:t>Representatives </w:t>
      </w:r>
      <w:r>
        <w:rPr>
          <w:spacing w:val="2"/>
          <w:w w:val="110"/>
        </w:rPr>
        <w:t>on </w:t>
      </w:r>
      <w:r>
        <w:rPr>
          <w:spacing w:val="3"/>
          <w:w w:val="110"/>
        </w:rPr>
        <w:t>ecumenical Church</w:t>
      </w:r>
      <w:r>
        <w:rPr>
          <w:spacing w:val="47"/>
          <w:w w:val="110"/>
        </w:rPr>
        <w:t> </w:t>
      </w:r>
      <w:r>
        <w:rPr>
          <w:spacing w:val="4"/>
          <w:w w:val="110"/>
        </w:rPr>
        <w:t>bodies</w:t>
      </w:r>
    </w:p>
    <w:p>
      <w:pPr>
        <w:pStyle w:val="BodyText"/>
        <w:spacing w:line="235" w:lineRule="auto" w:before="69"/>
        <w:ind w:left="827" w:right="1528"/>
      </w:pPr>
      <w:r>
        <w:rPr>
          <w:w w:val="120"/>
        </w:rPr>
        <w:t>The following have been nominated as United Reformed Church representatives at the major gatherings of the ecumenical bodies listed.</w:t>
      </w:r>
    </w:p>
    <w:p>
      <w:pPr>
        <w:pStyle w:val="BodyText"/>
        <w:spacing w:before="5"/>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Council for World Mission (CWM)</w:t>
      </w:r>
      <w:r>
        <w:rPr>
          <w:spacing w:val="-2"/>
          <w:w w:val="110"/>
        </w:rPr>
        <w:t> </w:t>
      </w:r>
      <w:r>
        <w:rPr>
          <w:w w:val="110"/>
        </w:rPr>
        <w:t>Assembly</w:t>
      </w:r>
    </w:p>
    <w:p>
      <w:pPr>
        <w:pStyle w:val="BodyText"/>
        <w:spacing w:line="235" w:lineRule="exact"/>
        <w:ind w:left="827"/>
      </w:pPr>
      <w:r>
        <w:rPr>
          <w:w w:val="120"/>
        </w:rPr>
        <w:t>Four representatives will be appointed in 2019 for the 2020 CWM Assembly.</w:t>
      </w:r>
    </w:p>
    <w:p>
      <w:pPr>
        <w:pStyle w:val="BodyText"/>
        <w:spacing w:before="3"/>
        <w:rPr>
          <w:sz w:val="18"/>
        </w:rPr>
      </w:pPr>
    </w:p>
    <w:p>
      <w:pPr>
        <w:pStyle w:val="Heading8"/>
        <w:numPr>
          <w:ilvl w:val="2"/>
          <w:numId w:val="120"/>
        </w:numPr>
        <w:tabs>
          <w:tab w:pos="1508" w:val="left" w:leader="none"/>
        </w:tabs>
        <w:spacing w:line="261" w:lineRule="exact" w:before="1" w:after="0"/>
        <w:ind w:left="1507" w:right="0" w:hanging="681"/>
        <w:jc w:val="left"/>
      </w:pPr>
      <w:r>
        <w:rPr>
          <w:spacing w:val="4"/>
          <w:w w:val="110"/>
        </w:rPr>
        <w:t>CWM </w:t>
      </w:r>
      <w:r>
        <w:rPr>
          <w:w w:val="110"/>
        </w:rPr>
        <w:t>European region</w:t>
      </w:r>
      <w:r>
        <w:rPr>
          <w:spacing w:val="-5"/>
          <w:w w:val="110"/>
        </w:rPr>
        <w:t> </w:t>
      </w:r>
      <w:r>
        <w:rPr>
          <w:w w:val="110"/>
        </w:rPr>
        <w:t>meeting</w:t>
      </w:r>
    </w:p>
    <w:p>
      <w:pPr>
        <w:pStyle w:val="BodyText"/>
        <w:spacing w:line="233" w:lineRule="exact"/>
        <w:ind w:left="827"/>
      </w:pPr>
      <w:r>
        <w:rPr>
          <w:w w:val="120"/>
        </w:rPr>
        <w:t>The Revd Peter Ball</w:t>
      </w:r>
    </w:p>
    <w:p>
      <w:pPr>
        <w:pStyle w:val="BodyText"/>
        <w:spacing w:line="242" w:lineRule="exact"/>
        <w:ind w:left="827"/>
      </w:pPr>
      <w:r>
        <w:rPr>
          <w:w w:val="120"/>
        </w:rPr>
        <w:t>Secretary for Global and Intercultural Ministries</w:t>
      </w:r>
    </w:p>
    <w:p>
      <w:pPr>
        <w:pStyle w:val="BodyText"/>
        <w:spacing w:before="3"/>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World Communion of Reformed Churches (WCRC) General Council</w:t>
      </w:r>
    </w:p>
    <w:p>
      <w:pPr>
        <w:pStyle w:val="BodyText"/>
        <w:spacing w:line="235" w:lineRule="auto"/>
        <w:ind w:left="827" w:right="8023"/>
      </w:pPr>
      <w:r>
        <w:rPr>
          <w:w w:val="120"/>
        </w:rPr>
        <w:t>Ms Camilla Quartey The Revd Dr Phil Wall</w:t>
      </w:r>
    </w:p>
    <w:p>
      <w:pPr>
        <w:pStyle w:val="BodyText"/>
        <w:spacing w:line="242" w:lineRule="exact"/>
        <w:ind w:left="827"/>
      </w:pPr>
      <w:r>
        <w:rPr>
          <w:w w:val="120"/>
        </w:rPr>
        <w:t>Programme Officer for Global and Intercultural Ministries</w:t>
      </w:r>
    </w:p>
    <w:p>
      <w:pPr>
        <w:pStyle w:val="BodyText"/>
        <w:spacing w:before="11"/>
        <w:rPr>
          <w:sz w:val="17"/>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Conference of European Churches</w:t>
      </w:r>
      <w:r>
        <w:rPr>
          <w:spacing w:val="-1"/>
          <w:w w:val="110"/>
        </w:rPr>
        <w:t> </w:t>
      </w:r>
      <w:r>
        <w:rPr>
          <w:w w:val="110"/>
        </w:rPr>
        <w:t>Assembly</w:t>
      </w:r>
    </w:p>
    <w:p>
      <w:pPr>
        <w:pStyle w:val="BodyText"/>
        <w:spacing w:line="235" w:lineRule="exact"/>
        <w:ind w:left="827"/>
      </w:pPr>
      <w:r>
        <w:rPr>
          <w:w w:val="120"/>
        </w:rPr>
        <w:t>Secretary for Ecumenical and Interfaith Relations and one other</w:t>
      </w:r>
    </w:p>
    <w:p>
      <w:pPr>
        <w:pStyle w:val="BodyText"/>
        <w:spacing w:before="3"/>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The Disciples Ecumenical Consultative</w:t>
      </w:r>
      <w:r>
        <w:rPr>
          <w:spacing w:val="-1"/>
          <w:w w:val="110"/>
        </w:rPr>
        <w:t> </w:t>
      </w:r>
      <w:r>
        <w:rPr>
          <w:w w:val="110"/>
        </w:rPr>
        <w:t>Council</w:t>
      </w:r>
    </w:p>
    <w:p>
      <w:pPr>
        <w:pStyle w:val="BodyText"/>
        <w:spacing w:line="233" w:lineRule="exact"/>
        <w:ind w:left="827"/>
      </w:pPr>
      <w:r>
        <w:rPr>
          <w:w w:val="120"/>
        </w:rPr>
        <w:t>The Revd Rowena Francis</w:t>
      </w:r>
    </w:p>
    <w:p>
      <w:pPr>
        <w:pStyle w:val="BodyText"/>
        <w:spacing w:line="240" w:lineRule="exact"/>
        <w:ind w:left="827"/>
      </w:pPr>
      <w:r>
        <w:rPr>
          <w:w w:val="120"/>
        </w:rPr>
        <w:t>The Revd Professor David Thompson</w:t>
      </w:r>
    </w:p>
    <w:p>
      <w:pPr>
        <w:pStyle w:val="BodyText"/>
        <w:spacing w:line="242" w:lineRule="exact"/>
        <w:ind w:left="827"/>
      </w:pPr>
      <w:r>
        <w:rPr>
          <w:w w:val="120"/>
        </w:rPr>
        <w:t>Secretary for Global and Intercultural Ministries</w:t>
      </w:r>
    </w:p>
    <w:p>
      <w:pPr>
        <w:pStyle w:val="BodyText"/>
        <w:spacing w:before="4"/>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Churches Together in Britain and Ireland (CTBI) Church leaders’</w:t>
      </w:r>
      <w:r>
        <w:rPr>
          <w:spacing w:val="-2"/>
          <w:w w:val="110"/>
        </w:rPr>
        <w:t> </w:t>
      </w:r>
      <w:r>
        <w:rPr>
          <w:w w:val="110"/>
        </w:rPr>
        <w:t>meeting</w:t>
      </w:r>
    </w:p>
    <w:p>
      <w:pPr>
        <w:pStyle w:val="BodyText"/>
        <w:spacing w:line="235" w:lineRule="exact"/>
        <w:ind w:left="827"/>
      </w:pPr>
      <w:r>
        <w:rPr>
          <w:w w:val="120"/>
        </w:rPr>
        <w:t>General Secretary</w:t>
      </w:r>
    </w:p>
    <w:p>
      <w:pPr>
        <w:pStyle w:val="BodyText"/>
        <w:spacing w:before="3"/>
        <w:rPr>
          <w:sz w:val="18"/>
        </w:rPr>
      </w:pPr>
    </w:p>
    <w:p>
      <w:pPr>
        <w:pStyle w:val="Heading8"/>
        <w:numPr>
          <w:ilvl w:val="2"/>
          <w:numId w:val="120"/>
        </w:numPr>
        <w:tabs>
          <w:tab w:pos="1508" w:val="left" w:leader="none"/>
        </w:tabs>
        <w:spacing w:line="261" w:lineRule="exact" w:before="0" w:after="0"/>
        <w:ind w:left="1507" w:right="0" w:hanging="681"/>
        <w:jc w:val="left"/>
      </w:pPr>
      <w:r>
        <w:rPr>
          <w:spacing w:val="3"/>
          <w:w w:val="110"/>
        </w:rPr>
        <w:t>CTBI </w:t>
      </w:r>
      <w:r>
        <w:rPr>
          <w:w w:val="110"/>
        </w:rPr>
        <w:t>senior representatives’</w:t>
      </w:r>
      <w:r>
        <w:rPr>
          <w:spacing w:val="-4"/>
          <w:w w:val="110"/>
        </w:rPr>
        <w:t> </w:t>
      </w:r>
      <w:r>
        <w:rPr>
          <w:w w:val="110"/>
        </w:rPr>
        <w:t>forum</w:t>
      </w:r>
    </w:p>
    <w:p>
      <w:pPr>
        <w:pStyle w:val="BodyText"/>
        <w:spacing w:line="233" w:lineRule="exact"/>
        <w:ind w:left="827"/>
      </w:pPr>
      <w:r>
        <w:rPr>
          <w:w w:val="120"/>
        </w:rPr>
        <w:t>General Secretary</w:t>
      </w:r>
    </w:p>
    <w:p>
      <w:pPr>
        <w:pStyle w:val="BodyText"/>
        <w:spacing w:line="242" w:lineRule="exact"/>
        <w:ind w:left="827"/>
      </w:pPr>
      <w:r>
        <w:rPr>
          <w:w w:val="120"/>
        </w:rPr>
        <w:t>Secretary for Ecumenical and Interfaith Relations</w:t>
      </w:r>
    </w:p>
    <w:p>
      <w:pPr>
        <w:pStyle w:val="BodyText"/>
        <w:spacing w:before="4"/>
        <w:rPr>
          <w:sz w:val="18"/>
        </w:rPr>
      </w:pPr>
    </w:p>
    <w:p>
      <w:pPr>
        <w:pStyle w:val="Heading8"/>
        <w:numPr>
          <w:ilvl w:val="2"/>
          <w:numId w:val="120"/>
        </w:numPr>
        <w:tabs>
          <w:tab w:pos="1508" w:val="left" w:leader="none"/>
        </w:tabs>
        <w:spacing w:line="261" w:lineRule="exact" w:before="0" w:after="0"/>
        <w:ind w:left="1507" w:right="0" w:hanging="681"/>
        <w:jc w:val="left"/>
      </w:pPr>
      <w:r>
        <w:rPr>
          <w:spacing w:val="3"/>
          <w:w w:val="110"/>
        </w:rPr>
        <w:t>CTBI </w:t>
      </w:r>
      <w:r>
        <w:rPr>
          <w:w w:val="110"/>
        </w:rPr>
        <w:t>environmental issues</w:t>
      </w:r>
      <w:r>
        <w:rPr>
          <w:spacing w:val="-4"/>
          <w:w w:val="110"/>
        </w:rPr>
        <w:t> </w:t>
      </w:r>
      <w:r>
        <w:rPr>
          <w:w w:val="110"/>
        </w:rPr>
        <w:t>network</w:t>
      </w:r>
    </w:p>
    <w:p>
      <w:pPr>
        <w:pStyle w:val="BodyText"/>
        <w:spacing w:line="235" w:lineRule="exact"/>
        <w:ind w:left="827"/>
      </w:pPr>
      <w:r>
        <w:rPr>
          <w:w w:val="120"/>
        </w:rPr>
        <w:t>The Revd Mike Shrubsole</w:t>
      </w:r>
    </w:p>
    <w:p>
      <w:pPr>
        <w:pStyle w:val="BodyText"/>
        <w:spacing w:before="3"/>
        <w:rPr>
          <w:sz w:val="18"/>
        </w:rPr>
      </w:pPr>
    </w:p>
    <w:p>
      <w:pPr>
        <w:pStyle w:val="Heading8"/>
        <w:numPr>
          <w:ilvl w:val="2"/>
          <w:numId w:val="120"/>
        </w:numPr>
        <w:tabs>
          <w:tab w:pos="1508" w:val="left" w:leader="none"/>
        </w:tabs>
        <w:spacing w:line="261" w:lineRule="exact" w:before="0" w:after="0"/>
        <w:ind w:left="1507" w:right="0" w:hanging="681"/>
        <w:jc w:val="left"/>
      </w:pPr>
      <w:r>
        <w:rPr>
          <w:spacing w:val="3"/>
          <w:w w:val="110"/>
        </w:rPr>
        <w:t>CTBI </w:t>
      </w:r>
      <w:r>
        <w:rPr>
          <w:w w:val="110"/>
        </w:rPr>
        <w:t>stewardship</w:t>
      </w:r>
      <w:r>
        <w:rPr>
          <w:spacing w:val="-4"/>
          <w:w w:val="110"/>
        </w:rPr>
        <w:t> </w:t>
      </w:r>
      <w:r>
        <w:rPr>
          <w:w w:val="110"/>
        </w:rPr>
        <w:t>network</w:t>
      </w:r>
    </w:p>
    <w:p>
      <w:pPr>
        <w:pStyle w:val="BodyText"/>
        <w:spacing w:line="235" w:lineRule="exact"/>
        <w:ind w:left="827"/>
      </w:pPr>
      <w:r>
        <w:rPr>
          <w:w w:val="120"/>
        </w:rPr>
        <w:t>Mrs Faith Paulding</w:t>
      </w:r>
    </w:p>
    <w:p>
      <w:pPr>
        <w:pStyle w:val="BodyText"/>
        <w:spacing w:before="4"/>
        <w:rPr>
          <w:sz w:val="18"/>
        </w:rPr>
      </w:pPr>
    </w:p>
    <w:p>
      <w:pPr>
        <w:pStyle w:val="Heading8"/>
        <w:numPr>
          <w:ilvl w:val="2"/>
          <w:numId w:val="120"/>
        </w:numPr>
        <w:tabs>
          <w:tab w:pos="1508" w:val="left" w:leader="none"/>
        </w:tabs>
        <w:spacing w:line="261" w:lineRule="exact" w:before="0" w:after="0"/>
        <w:ind w:left="1507" w:right="0" w:hanging="681"/>
        <w:jc w:val="left"/>
      </w:pPr>
      <w:r>
        <w:rPr>
          <w:spacing w:val="3"/>
          <w:w w:val="110"/>
        </w:rPr>
        <w:t>CTBI </w:t>
      </w:r>
      <w:r>
        <w:rPr>
          <w:w w:val="110"/>
        </w:rPr>
        <w:t>consultative group on ministry amongst children</w:t>
      </w:r>
      <w:r>
        <w:rPr>
          <w:spacing w:val="-4"/>
          <w:w w:val="110"/>
        </w:rPr>
        <w:t> </w:t>
      </w:r>
      <w:r>
        <w:rPr>
          <w:w w:val="110"/>
        </w:rPr>
        <w:t>(CGMC)</w:t>
      </w:r>
    </w:p>
    <w:p>
      <w:pPr>
        <w:pStyle w:val="BodyText"/>
        <w:spacing w:line="235" w:lineRule="exact"/>
        <w:ind w:left="827"/>
      </w:pPr>
      <w:r>
        <w:rPr>
          <w:w w:val="120"/>
        </w:rPr>
        <w:t>Head of Children’s and Youth Work and one other</w:t>
      </w:r>
    </w:p>
    <w:p>
      <w:pPr>
        <w:spacing w:after="0" w:line="235" w:lineRule="exact"/>
        <w:sectPr>
          <w:headerReference w:type="even" r:id="rId467"/>
          <w:footerReference w:type="even" r:id="rId468"/>
          <w:footerReference w:type="default" r:id="rId469"/>
          <w:pgSz w:w="11910" w:h="16840"/>
          <w:pgMar w:header="0" w:footer="647" w:top="0" w:bottom="840" w:left="420" w:right="380"/>
          <w:pgNumType w:start="174"/>
        </w:sectPr>
      </w:pPr>
    </w:p>
    <w:p>
      <w:pPr>
        <w:pStyle w:val="BodyText"/>
      </w:pPr>
      <w:r>
        <w:rPr/>
        <w:drawing>
          <wp:anchor distT="0" distB="0" distL="0" distR="0" allowOverlap="1" layoutInCell="1" locked="0" behindDoc="0" simplePos="0" relativeHeight="252108800">
            <wp:simplePos x="0" y="0"/>
            <wp:positionH relativeFrom="page">
              <wp:posOffset>6974928</wp:posOffset>
            </wp:positionH>
            <wp:positionV relativeFrom="page">
              <wp:posOffset>0</wp:posOffset>
            </wp:positionV>
            <wp:extent cx="585063" cy="10692003"/>
            <wp:effectExtent l="0" t="0" r="0" b="0"/>
            <wp:wrapNone/>
            <wp:docPr id="339" name="image74.png"/>
            <wp:cNvGraphicFramePr>
              <a:graphicFrameLocks noChangeAspect="1"/>
            </wp:cNvGraphicFramePr>
            <a:graphic>
              <a:graphicData uri="http://schemas.openxmlformats.org/drawingml/2006/picture">
                <pic:pic>
                  <pic:nvPicPr>
                    <pic:cNvPr id="340" name="image74.png"/>
                    <pic:cNvPicPr/>
                  </pic:nvPicPr>
                  <pic:blipFill>
                    <a:blip r:embed="rId439"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109824"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Heading8"/>
        <w:numPr>
          <w:ilvl w:val="2"/>
          <w:numId w:val="120"/>
        </w:numPr>
        <w:tabs>
          <w:tab w:pos="2245" w:val="left" w:leader="none"/>
        </w:tabs>
        <w:spacing w:line="261" w:lineRule="exact" w:before="205" w:after="0"/>
        <w:ind w:left="2244" w:right="0" w:hanging="681"/>
        <w:jc w:val="left"/>
      </w:pPr>
      <w:r>
        <w:rPr>
          <w:spacing w:val="3"/>
          <w:w w:val="110"/>
        </w:rPr>
        <w:t>CTBI </w:t>
      </w:r>
      <w:r>
        <w:rPr>
          <w:w w:val="110"/>
        </w:rPr>
        <w:t>interreligious</w:t>
      </w:r>
      <w:r>
        <w:rPr>
          <w:spacing w:val="-4"/>
          <w:w w:val="110"/>
        </w:rPr>
        <w:t> </w:t>
      </w:r>
      <w:r>
        <w:rPr>
          <w:w w:val="110"/>
        </w:rPr>
        <w:t>network</w:t>
      </w:r>
    </w:p>
    <w:p>
      <w:pPr>
        <w:pStyle w:val="BodyText"/>
        <w:spacing w:line="235" w:lineRule="exact"/>
        <w:ind w:left="1564"/>
      </w:pPr>
      <w:r>
        <w:rPr>
          <w:w w:val="120"/>
        </w:rPr>
        <w:t>Secretary for Ecumenical and Interfaith Relations</w:t>
      </w:r>
    </w:p>
    <w:p>
      <w:pPr>
        <w:pStyle w:val="BodyText"/>
        <w:spacing w:before="4"/>
        <w:rPr>
          <w:sz w:val="18"/>
        </w:rPr>
      </w:pPr>
    </w:p>
    <w:p>
      <w:pPr>
        <w:pStyle w:val="Heading8"/>
        <w:numPr>
          <w:ilvl w:val="2"/>
          <w:numId w:val="120"/>
        </w:numPr>
        <w:tabs>
          <w:tab w:pos="2245" w:val="left" w:leader="none"/>
        </w:tabs>
        <w:spacing w:line="261" w:lineRule="exact" w:before="0" w:after="0"/>
        <w:ind w:left="2244" w:right="0" w:hanging="681"/>
        <w:jc w:val="left"/>
      </w:pPr>
      <w:r>
        <w:rPr>
          <w:spacing w:val="3"/>
          <w:w w:val="110"/>
        </w:rPr>
        <w:t>CTBI </w:t>
      </w:r>
      <w:r>
        <w:rPr>
          <w:w w:val="110"/>
        </w:rPr>
        <w:t>China</w:t>
      </w:r>
      <w:r>
        <w:rPr>
          <w:spacing w:val="-4"/>
          <w:w w:val="110"/>
        </w:rPr>
        <w:t> </w:t>
      </w:r>
      <w:r>
        <w:rPr>
          <w:w w:val="110"/>
        </w:rPr>
        <w:t>forum</w:t>
      </w:r>
    </w:p>
    <w:p>
      <w:pPr>
        <w:pStyle w:val="BodyText"/>
        <w:spacing w:line="235" w:lineRule="exact"/>
        <w:ind w:left="1564"/>
      </w:pPr>
      <w:r>
        <w:rPr>
          <w:w w:val="120"/>
        </w:rPr>
        <w:t>The Revd John Scott</w:t>
      </w:r>
    </w:p>
    <w:p>
      <w:pPr>
        <w:pStyle w:val="BodyText"/>
        <w:spacing w:before="3"/>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enabling</w:t>
      </w:r>
      <w:r>
        <w:rPr>
          <w:spacing w:val="-5"/>
          <w:w w:val="110"/>
        </w:rPr>
        <w:t> </w:t>
      </w:r>
      <w:r>
        <w:rPr>
          <w:w w:val="110"/>
        </w:rPr>
        <w:t>group</w:t>
      </w:r>
    </w:p>
    <w:p>
      <w:pPr>
        <w:pStyle w:val="BodyText"/>
        <w:spacing w:line="235" w:lineRule="exact"/>
        <w:ind w:left="1564"/>
      </w:pPr>
      <w:r>
        <w:rPr>
          <w:w w:val="120"/>
        </w:rPr>
        <w:t>Secretary for Ecumenical and Interfaith Relations</w:t>
      </w:r>
    </w:p>
    <w:p>
      <w:pPr>
        <w:pStyle w:val="BodyText"/>
        <w:spacing w:before="4"/>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coordinating group for local</w:t>
      </w:r>
      <w:r>
        <w:rPr>
          <w:spacing w:val="-5"/>
          <w:w w:val="110"/>
        </w:rPr>
        <w:t> </w:t>
      </w:r>
      <w:r>
        <w:rPr>
          <w:w w:val="110"/>
        </w:rPr>
        <w:t>unity</w:t>
      </w:r>
    </w:p>
    <w:p>
      <w:pPr>
        <w:pStyle w:val="BodyText"/>
        <w:spacing w:line="233" w:lineRule="exact"/>
        <w:ind w:left="1564"/>
      </w:pPr>
      <w:r>
        <w:rPr>
          <w:w w:val="120"/>
        </w:rPr>
        <w:t>The Revd Kevin Watson</w:t>
      </w:r>
    </w:p>
    <w:p>
      <w:pPr>
        <w:pStyle w:val="BodyText"/>
        <w:spacing w:line="242" w:lineRule="exact"/>
        <w:ind w:left="1564"/>
      </w:pPr>
      <w:r>
        <w:rPr>
          <w:w w:val="120"/>
        </w:rPr>
        <w:t>Secretary for Ecumenical and Interfaith Relations</w:t>
      </w:r>
    </w:p>
    <w:p>
      <w:pPr>
        <w:pStyle w:val="BodyText"/>
        <w:spacing w:before="3"/>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Churches Together for</w:t>
      </w:r>
      <w:r>
        <w:rPr>
          <w:spacing w:val="-6"/>
          <w:w w:val="110"/>
        </w:rPr>
        <w:t> </w:t>
      </w:r>
      <w:r>
        <w:rPr>
          <w:w w:val="110"/>
        </w:rPr>
        <w:t>Healing</w:t>
      </w:r>
    </w:p>
    <w:p>
      <w:pPr>
        <w:pStyle w:val="BodyText"/>
        <w:spacing w:line="235" w:lineRule="exact"/>
        <w:ind w:left="1564"/>
      </w:pPr>
      <w:r>
        <w:rPr>
          <w:w w:val="120"/>
        </w:rPr>
        <w:t>The Revd Deborah McVey</w:t>
      </w:r>
    </w:p>
    <w:p>
      <w:pPr>
        <w:pStyle w:val="BodyText"/>
        <w:spacing w:before="4"/>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Churches’ theology and unity</w:t>
      </w:r>
      <w:r>
        <w:rPr>
          <w:spacing w:val="-5"/>
          <w:w w:val="110"/>
        </w:rPr>
        <w:t> </w:t>
      </w:r>
      <w:r>
        <w:rPr>
          <w:w w:val="110"/>
        </w:rPr>
        <w:t>group</w:t>
      </w:r>
    </w:p>
    <w:p>
      <w:pPr>
        <w:pStyle w:val="BodyText"/>
        <w:spacing w:line="235" w:lineRule="exact"/>
        <w:ind w:left="1564"/>
      </w:pPr>
      <w:r>
        <w:rPr>
          <w:w w:val="120"/>
        </w:rPr>
        <w:t>Secretary for Ecumenical and Interfaith Relations</w:t>
      </w:r>
    </w:p>
    <w:p>
      <w:pPr>
        <w:pStyle w:val="BodyText"/>
        <w:spacing w:before="3"/>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group for</w:t>
      </w:r>
      <w:r>
        <w:rPr>
          <w:spacing w:val="-5"/>
          <w:w w:val="110"/>
        </w:rPr>
        <w:t> </w:t>
      </w:r>
      <w:r>
        <w:rPr>
          <w:w w:val="110"/>
        </w:rPr>
        <w:t>evangelisation</w:t>
      </w:r>
    </w:p>
    <w:p>
      <w:pPr>
        <w:pStyle w:val="BodyText"/>
        <w:spacing w:line="235" w:lineRule="exact"/>
        <w:ind w:left="1564"/>
      </w:pPr>
      <w:r>
        <w:rPr>
          <w:w w:val="120"/>
        </w:rPr>
        <w:t>Deputy General Secretary (Mission)</w:t>
      </w:r>
    </w:p>
    <w:p>
      <w:pPr>
        <w:pStyle w:val="BodyText"/>
        <w:spacing w:before="4"/>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spirituality coordinating</w:t>
      </w:r>
      <w:r>
        <w:rPr>
          <w:spacing w:val="-5"/>
          <w:w w:val="110"/>
        </w:rPr>
        <w:t> </w:t>
      </w:r>
      <w:r>
        <w:rPr>
          <w:w w:val="110"/>
        </w:rPr>
        <w:t>group</w:t>
      </w:r>
    </w:p>
    <w:p>
      <w:pPr>
        <w:pStyle w:val="BodyText"/>
        <w:spacing w:line="235" w:lineRule="exact"/>
        <w:ind w:left="1564"/>
      </w:pPr>
      <w:r>
        <w:rPr>
          <w:w w:val="120"/>
        </w:rPr>
        <w:t>The Revd Sue Henderson</w:t>
      </w:r>
    </w:p>
    <w:p>
      <w:pPr>
        <w:pStyle w:val="BodyText"/>
        <w:spacing w:before="3"/>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minority ethnic affairs</w:t>
      </w:r>
      <w:r>
        <w:rPr>
          <w:spacing w:val="-5"/>
          <w:w w:val="110"/>
        </w:rPr>
        <w:t> </w:t>
      </w:r>
      <w:r>
        <w:rPr>
          <w:w w:val="110"/>
        </w:rPr>
        <w:t>group</w:t>
      </w:r>
    </w:p>
    <w:p>
      <w:pPr>
        <w:pStyle w:val="BodyText"/>
        <w:spacing w:line="235" w:lineRule="exact"/>
        <w:ind w:left="1564"/>
      </w:pPr>
      <w:r>
        <w:rPr>
          <w:w w:val="120"/>
        </w:rPr>
        <w:t>Secretary for Global and Intercultural Ministries</w:t>
      </w:r>
    </w:p>
    <w:p>
      <w:pPr>
        <w:pStyle w:val="BodyText"/>
        <w:spacing w:before="4"/>
        <w:rPr>
          <w:sz w:val="18"/>
        </w:rPr>
      </w:pPr>
    </w:p>
    <w:p>
      <w:pPr>
        <w:pStyle w:val="Heading8"/>
        <w:numPr>
          <w:ilvl w:val="2"/>
          <w:numId w:val="121"/>
        </w:numPr>
        <w:tabs>
          <w:tab w:pos="2245" w:val="left" w:leader="none"/>
        </w:tabs>
        <w:spacing w:line="261" w:lineRule="exact" w:before="0" w:after="0"/>
        <w:ind w:left="2244" w:right="0" w:hanging="681"/>
        <w:jc w:val="left"/>
      </w:pPr>
      <w:r>
        <w:rPr>
          <w:spacing w:val="4"/>
          <w:w w:val="110"/>
        </w:rPr>
        <w:t>CTE </w:t>
      </w:r>
      <w:r>
        <w:rPr>
          <w:w w:val="110"/>
        </w:rPr>
        <w:t>joint liturgical</w:t>
      </w:r>
      <w:r>
        <w:rPr>
          <w:spacing w:val="-5"/>
          <w:w w:val="110"/>
        </w:rPr>
        <w:t> </w:t>
      </w:r>
      <w:r>
        <w:rPr>
          <w:w w:val="110"/>
        </w:rPr>
        <w:t>group</w:t>
      </w:r>
    </w:p>
    <w:p>
      <w:pPr>
        <w:pStyle w:val="BodyText"/>
        <w:spacing w:line="235" w:lineRule="exact"/>
        <w:ind w:left="1564"/>
      </w:pPr>
      <w:r>
        <w:rPr>
          <w:w w:val="120"/>
        </w:rPr>
        <w:t>The Revd Dr Ana Gobledale</w:t>
      </w:r>
    </w:p>
    <w:p>
      <w:pPr>
        <w:pStyle w:val="BodyText"/>
        <w:spacing w:before="8"/>
        <w:rPr>
          <w:sz w:val="10"/>
        </w:rPr>
      </w:pPr>
    </w:p>
    <w:p>
      <w:pPr>
        <w:pStyle w:val="Heading8"/>
        <w:numPr>
          <w:ilvl w:val="1"/>
          <w:numId w:val="122"/>
        </w:numPr>
        <w:tabs>
          <w:tab w:pos="2244" w:val="left" w:leader="none"/>
          <w:tab w:pos="2245" w:val="left" w:leader="none"/>
        </w:tabs>
        <w:spacing w:line="261" w:lineRule="exact" w:before="93" w:after="0"/>
        <w:ind w:left="2244" w:right="0" w:hanging="681"/>
        <w:jc w:val="left"/>
      </w:pPr>
      <w:r>
        <w:rPr>
          <w:w w:val="110"/>
        </w:rPr>
        <w:t>Action of Churches Together in Scotland </w:t>
      </w:r>
      <w:r>
        <w:rPr>
          <w:spacing w:val="-3"/>
          <w:w w:val="110"/>
        </w:rPr>
        <w:t>(Acts) </w:t>
      </w:r>
      <w:r>
        <w:rPr>
          <w:w w:val="110"/>
        </w:rPr>
        <w:t>members</w:t>
      </w:r>
      <w:r>
        <w:rPr>
          <w:spacing w:val="3"/>
          <w:w w:val="110"/>
        </w:rPr>
        <w:t> </w:t>
      </w:r>
      <w:r>
        <w:rPr>
          <w:w w:val="110"/>
        </w:rPr>
        <w:t>meeting</w:t>
      </w:r>
    </w:p>
    <w:p>
      <w:pPr>
        <w:pStyle w:val="BodyText"/>
        <w:spacing w:line="235" w:lineRule="exact"/>
        <w:ind w:left="1564"/>
      </w:pPr>
      <w:r>
        <w:rPr>
          <w:w w:val="120"/>
        </w:rPr>
        <w:t>Appointed by the URC Synod of Scotland</w:t>
      </w:r>
    </w:p>
    <w:p>
      <w:pPr>
        <w:pStyle w:val="BodyText"/>
        <w:spacing w:before="3"/>
        <w:rPr>
          <w:sz w:val="18"/>
        </w:rPr>
      </w:pPr>
    </w:p>
    <w:p>
      <w:pPr>
        <w:pStyle w:val="Heading8"/>
        <w:numPr>
          <w:ilvl w:val="1"/>
          <w:numId w:val="122"/>
        </w:numPr>
        <w:tabs>
          <w:tab w:pos="2244" w:val="left" w:leader="none"/>
          <w:tab w:pos="2245" w:val="left" w:leader="none"/>
        </w:tabs>
        <w:spacing w:line="261" w:lineRule="exact" w:before="1" w:after="0"/>
        <w:ind w:left="2244" w:right="0" w:hanging="681"/>
        <w:jc w:val="left"/>
      </w:pPr>
      <w:r>
        <w:rPr>
          <w:w w:val="110"/>
        </w:rPr>
        <w:t>National Sponsoring Body for</w:t>
      </w:r>
      <w:r>
        <w:rPr>
          <w:spacing w:val="-1"/>
          <w:w w:val="110"/>
        </w:rPr>
        <w:t> </w:t>
      </w:r>
      <w:r>
        <w:rPr>
          <w:w w:val="110"/>
        </w:rPr>
        <w:t>Scotland</w:t>
      </w:r>
    </w:p>
    <w:p>
      <w:pPr>
        <w:pStyle w:val="BodyText"/>
        <w:spacing w:line="235" w:lineRule="exact"/>
        <w:ind w:left="1564"/>
      </w:pPr>
      <w:r>
        <w:rPr>
          <w:w w:val="120"/>
        </w:rPr>
        <w:t>Appointed by the URC Synod of Scotland</w:t>
      </w:r>
    </w:p>
    <w:p>
      <w:pPr>
        <w:pStyle w:val="BodyText"/>
        <w:spacing w:before="3"/>
        <w:rPr>
          <w:sz w:val="18"/>
        </w:rPr>
      </w:pPr>
    </w:p>
    <w:p>
      <w:pPr>
        <w:pStyle w:val="Heading8"/>
        <w:numPr>
          <w:ilvl w:val="1"/>
          <w:numId w:val="122"/>
        </w:numPr>
        <w:tabs>
          <w:tab w:pos="2244" w:val="left" w:leader="none"/>
          <w:tab w:pos="2245" w:val="left" w:leader="none"/>
        </w:tabs>
        <w:spacing w:line="261" w:lineRule="exact" w:before="0" w:after="0"/>
        <w:ind w:left="2244" w:right="0" w:hanging="681"/>
        <w:jc w:val="left"/>
      </w:pPr>
      <w:r>
        <w:rPr>
          <w:w w:val="110"/>
        </w:rPr>
        <w:t>Churches Together in Wales</w:t>
      </w:r>
      <w:r>
        <w:rPr>
          <w:spacing w:val="-2"/>
          <w:w w:val="110"/>
        </w:rPr>
        <w:t> </w:t>
      </w:r>
      <w:r>
        <w:rPr>
          <w:w w:val="110"/>
        </w:rPr>
        <w:t>(CYTUN)</w:t>
      </w:r>
    </w:p>
    <w:p>
      <w:pPr>
        <w:pStyle w:val="BodyText"/>
        <w:spacing w:line="235" w:lineRule="exact"/>
        <w:ind w:left="1564"/>
      </w:pPr>
      <w:r>
        <w:rPr>
          <w:w w:val="120"/>
        </w:rPr>
        <w:t>Appointed by the URC Synod of Wales</w:t>
      </w:r>
    </w:p>
    <w:p>
      <w:pPr>
        <w:pStyle w:val="BodyText"/>
        <w:spacing w:before="3"/>
        <w:rPr>
          <w:sz w:val="18"/>
        </w:rPr>
      </w:pPr>
    </w:p>
    <w:p>
      <w:pPr>
        <w:pStyle w:val="Heading8"/>
        <w:numPr>
          <w:ilvl w:val="1"/>
          <w:numId w:val="122"/>
        </w:numPr>
        <w:tabs>
          <w:tab w:pos="2244" w:val="left" w:leader="none"/>
          <w:tab w:pos="2245" w:val="left" w:leader="none"/>
        </w:tabs>
        <w:spacing w:line="261" w:lineRule="exact" w:before="1" w:after="0"/>
        <w:ind w:left="2244" w:right="0" w:hanging="681"/>
        <w:jc w:val="left"/>
      </w:pPr>
      <w:r>
        <w:rPr>
          <w:w w:val="110"/>
        </w:rPr>
        <w:t>Commission of Covenanted Churches in</w:t>
      </w:r>
      <w:r>
        <w:rPr>
          <w:spacing w:val="-3"/>
          <w:w w:val="110"/>
        </w:rPr>
        <w:t> </w:t>
      </w:r>
      <w:r>
        <w:rPr>
          <w:w w:val="110"/>
        </w:rPr>
        <w:t>Wales</w:t>
      </w:r>
    </w:p>
    <w:p>
      <w:pPr>
        <w:pStyle w:val="BodyText"/>
        <w:spacing w:line="235" w:lineRule="exact"/>
        <w:ind w:left="1564"/>
      </w:pPr>
      <w:r>
        <w:rPr>
          <w:w w:val="120"/>
        </w:rPr>
        <w:t>Appointed by the URC Synod of Wales</w:t>
      </w:r>
    </w:p>
    <w:p>
      <w:pPr>
        <w:pStyle w:val="BodyText"/>
        <w:spacing w:before="3"/>
        <w:rPr>
          <w:sz w:val="18"/>
        </w:rPr>
      </w:pPr>
    </w:p>
    <w:p>
      <w:pPr>
        <w:pStyle w:val="Heading8"/>
        <w:numPr>
          <w:ilvl w:val="1"/>
          <w:numId w:val="122"/>
        </w:numPr>
        <w:tabs>
          <w:tab w:pos="2244" w:val="left" w:leader="none"/>
          <w:tab w:pos="2245" w:val="left" w:leader="none"/>
        </w:tabs>
        <w:spacing w:line="261" w:lineRule="exact" w:before="0" w:after="0"/>
        <w:ind w:left="2244" w:right="0" w:hanging="681"/>
        <w:jc w:val="left"/>
      </w:pPr>
      <w:r>
        <w:rPr>
          <w:w w:val="110"/>
        </w:rPr>
        <w:t>Free Church education</w:t>
      </w:r>
      <w:r>
        <w:rPr>
          <w:spacing w:val="-1"/>
          <w:w w:val="110"/>
        </w:rPr>
        <w:t> </w:t>
      </w:r>
      <w:r>
        <w:rPr>
          <w:w w:val="110"/>
        </w:rPr>
        <w:t>committee</w:t>
      </w:r>
    </w:p>
    <w:p>
      <w:pPr>
        <w:pStyle w:val="BodyText"/>
        <w:tabs>
          <w:tab w:pos="5884" w:val="left" w:leader="none"/>
        </w:tabs>
        <w:spacing w:line="235" w:lineRule="exact"/>
        <w:ind w:left="1564"/>
      </w:pPr>
      <w:r>
        <w:rPr>
          <w:w w:val="120"/>
        </w:rPr>
        <w:t>Professor</w:t>
      </w:r>
      <w:r>
        <w:rPr>
          <w:spacing w:val="1"/>
          <w:w w:val="120"/>
        </w:rPr>
        <w:t> </w:t>
      </w:r>
      <w:r>
        <w:rPr>
          <w:w w:val="120"/>
        </w:rPr>
        <w:t>Graham</w:t>
      </w:r>
      <w:r>
        <w:rPr>
          <w:spacing w:val="2"/>
          <w:w w:val="120"/>
        </w:rPr>
        <w:t> </w:t>
      </w:r>
      <w:r>
        <w:rPr>
          <w:w w:val="120"/>
        </w:rPr>
        <w:t>Handscomb</w:t>
        <w:tab/>
        <w:t>Mrs Gillian</w:t>
      </w:r>
      <w:r>
        <w:rPr>
          <w:spacing w:val="4"/>
          <w:w w:val="120"/>
        </w:rPr>
        <w:t> </w:t>
      </w:r>
      <w:r>
        <w:rPr>
          <w:w w:val="120"/>
        </w:rPr>
        <w:t>Kingston</w:t>
      </w:r>
    </w:p>
    <w:p>
      <w:pPr>
        <w:pStyle w:val="BodyText"/>
        <w:spacing w:before="3"/>
        <w:rPr>
          <w:sz w:val="18"/>
        </w:rPr>
      </w:pPr>
    </w:p>
    <w:p>
      <w:pPr>
        <w:pStyle w:val="Heading8"/>
        <w:numPr>
          <w:ilvl w:val="1"/>
          <w:numId w:val="122"/>
        </w:numPr>
        <w:tabs>
          <w:tab w:pos="2244" w:val="left" w:leader="none"/>
          <w:tab w:pos="2245" w:val="left" w:leader="none"/>
        </w:tabs>
        <w:spacing w:line="261" w:lineRule="exact" w:before="1" w:after="0"/>
        <w:ind w:left="2244" w:right="0" w:hanging="681"/>
        <w:jc w:val="left"/>
      </w:pPr>
      <w:r>
        <w:rPr>
          <w:w w:val="110"/>
        </w:rPr>
        <w:t>European Churches’ environmental</w:t>
      </w:r>
      <w:r>
        <w:rPr>
          <w:spacing w:val="-1"/>
          <w:w w:val="110"/>
        </w:rPr>
        <w:t> </w:t>
      </w:r>
      <w:r>
        <w:rPr>
          <w:w w:val="110"/>
        </w:rPr>
        <w:t>network</w:t>
      </w:r>
    </w:p>
    <w:p>
      <w:pPr>
        <w:pStyle w:val="BodyText"/>
        <w:spacing w:line="235" w:lineRule="exact"/>
        <w:ind w:left="1564"/>
      </w:pPr>
      <w:r>
        <w:rPr>
          <w:w w:val="115"/>
        </w:rPr>
        <w:t>Mr Charles Jolly</w:t>
      </w:r>
    </w:p>
    <w:p>
      <w:pPr>
        <w:pStyle w:val="BodyText"/>
        <w:spacing w:before="3"/>
        <w:rPr>
          <w:sz w:val="18"/>
        </w:rPr>
      </w:pPr>
    </w:p>
    <w:p>
      <w:pPr>
        <w:pStyle w:val="Heading8"/>
        <w:numPr>
          <w:ilvl w:val="1"/>
          <w:numId w:val="122"/>
        </w:numPr>
        <w:tabs>
          <w:tab w:pos="2244" w:val="left" w:leader="none"/>
          <w:tab w:pos="2245" w:val="left" w:leader="none"/>
        </w:tabs>
        <w:spacing w:line="261" w:lineRule="exact" w:before="0" w:after="0"/>
        <w:ind w:left="2244" w:right="0" w:hanging="681"/>
        <w:jc w:val="left"/>
      </w:pPr>
      <w:r>
        <w:rPr>
          <w:w w:val="110"/>
        </w:rPr>
        <w:t>Churches’ refugee</w:t>
      </w:r>
      <w:r>
        <w:rPr>
          <w:spacing w:val="-1"/>
          <w:w w:val="110"/>
        </w:rPr>
        <w:t> </w:t>
      </w:r>
      <w:r>
        <w:rPr>
          <w:w w:val="110"/>
        </w:rPr>
        <w:t>network</w:t>
      </w:r>
    </w:p>
    <w:p>
      <w:pPr>
        <w:pStyle w:val="BodyText"/>
        <w:spacing w:line="235" w:lineRule="exact"/>
        <w:ind w:left="1564"/>
      </w:pPr>
      <w:r>
        <w:rPr>
          <w:w w:val="120"/>
        </w:rPr>
        <w:t>The Revd Fleur Houston</w:t>
      </w:r>
    </w:p>
    <w:p>
      <w:pPr>
        <w:pStyle w:val="BodyText"/>
        <w:spacing w:before="3"/>
        <w:rPr>
          <w:sz w:val="18"/>
        </w:rPr>
      </w:pPr>
    </w:p>
    <w:p>
      <w:pPr>
        <w:pStyle w:val="Heading8"/>
        <w:numPr>
          <w:ilvl w:val="1"/>
          <w:numId w:val="122"/>
        </w:numPr>
        <w:tabs>
          <w:tab w:pos="2244" w:val="left" w:leader="none"/>
          <w:tab w:pos="2245" w:val="left" w:leader="none"/>
        </w:tabs>
        <w:spacing w:line="261" w:lineRule="exact" w:before="1" w:after="0"/>
        <w:ind w:left="2244" w:right="0" w:hanging="681"/>
        <w:jc w:val="left"/>
      </w:pPr>
      <w:r>
        <w:rPr>
          <w:w w:val="110"/>
        </w:rPr>
        <w:t>Churches’ committee on funerals and</w:t>
      </w:r>
      <w:r>
        <w:rPr>
          <w:spacing w:val="-1"/>
          <w:w w:val="110"/>
        </w:rPr>
        <w:t> </w:t>
      </w:r>
      <w:r>
        <w:rPr>
          <w:w w:val="110"/>
        </w:rPr>
        <w:t>crematoria</w:t>
      </w:r>
    </w:p>
    <w:p>
      <w:pPr>
        <w:pStyle w:val="BodyText"/>
        <w:spacing w:line="235" w:lineRule="exact"/>
        <w:ind w:left="1564"/>
      </w:pPr>
      <w:r>
        <w:rPr>
          <w:w w:val="120"/>
        </w:rPr>
        <w:t>The Revd Sally Thomas</w:t>
      </w:r>
    </w:p>
    <w:p>
      <w:pPr>
        <w:pStyle w:val="BodyText"/>
        <w:spacing w:before="3"/>
        <w:rPr>
          <w:sz w:val="18"/>
        </w:rPr>
      </w:pPr>
    </w:p>
    <w:p>
      <w:pPr>
        <w:pStyle w:val="Heading8"/>
        <w:numPr>
          <w:ilvl w:val="1"/>
          <w:numId w:val="122"/>
        </w:numPr>
        <w:tabs>
          <w:tab w:pos="2244" w:val="left" w:leader="none"/>
          <w:tab w:pos="2245" w:val="left" w:leader="none"/>
        </w:tabs>
        <w:spacing w:line="240" w:lineRule="auto" w:before="0" w:after="0"/>
        <w:ind w:left="2244" w:right="0" w:hanging="681"/>
        <w:jc w:val="left"/>
      </w:pPr>
      <w:r>
        <w:rPr>
          <w:w w:val="110"/>
        </w:rPr>
        <w:t>Churches’ forum for</w:t>
      </w:r>
      <w:r>
        <w:rPr>
          <w:spacing w:val="-1"/>
          <w:w w:val="110"/>
        </w:rPr>
        <w:t> </w:t>
      </w:r>
      <w:r>
        <w:rPr>
          <w:w w:val="110"/>
        </w:rPr>
        <w:t>safeguarding</w:t>
      </w:r>
    </w:p>
    <w:p>
      <w:pPr>
        <w:pStyle w:val="ListParagraph"/>
        <w:numPr>
          <w:ilvl w:val="1"/>
          <w:numId w:val="122"/>
        </w:numPr>
        <w:tabs>
          <w:tab w:pos="2244" w:val="left" w:leader="none"/>
          <w:tab w:pos="2245" w:val="left" w:leader="none"/>
        </w:tabs>
        <w:spacing w:line="261" w:lineRule="exact" w:before="210" w:after="0"/>
        <w:ind w:left="2244" w:right="0" w:hanging="681"/>
        <w:jc w:val="left"/>
        <w:rPr>
          <w:rFonts w:ascii="Stone Sans II ITC Std Bk" w:hAnsi="Stone Sans II ITC Std Bk"/>
          <w:b/>
          <w:sz w:val="20"/>
        </w:rPr>
      </w:pPr>
      <w:r>
        <w:rPr>
          <w:rFonts w:ascii="Stone Sans II ITC Std Bk" w:hAnsi="Stone Sans II ITC Std Bk"/>
          <w:b/>
          <w:w w:val="110"/>
          <w:sz w:val="20"/>
        </w:rPr>
        <w:t>Churches’ network for</w:t>
      </w:r>
      <w:r>
        <w:rPr>
          <w:rFonts w:ascii="Stone Sans II ITC Std Bk" w:hAnsi="Stone Sans II ITC Std Bk"/>
          <w:b/>
          <w:spacing w:val="-1"/>
          <w:w w:val="110"/>
          <w:sz w:val="20"/>
        </w:rPr>
        <w:t> </w:t>
      </w:r>
      <w:r>
        <w:rPr>
          <w:rFonts w:ascii="Stone Sans II ITC Std Bk" w:hAnsi="Stone Sans II ITC Std Bk"/>
          <w:b/>
          <w:w w:val="110"/>
          <w:sz w:val="20"/>
        </w:rPr>
        <w:t>nonviolence</w:t>
      </w:r>
    </w:p>
    <w:p>
      <w:pPr>
        <w:pStyle w:val="BodyText"/>
        <w:spacing w:line="235" w:lineRule="exact"/>
        <w:ind w:left="1564"/>
      </w:pPr>
      <w:r>
        <w:rPr>
          <w:w w:val="120"/>
        </w:rPr>
        <w:t>Head of Children’s and Youth Work</w:t>
      </w:r>
    </w:p>
    <w:p>
      <w:pPr>
        <w:spacing w:after="0" w:line="235" w:lineRule="exact"/>
        <w:sectPr>
          <w:headerReference w:type="default" r:id="rId470"/>
          <w:pgSz w:w="11910" w:h="16840"/>
          <w:pgMar w:header="0" w:footer="647" w:top="0" w:bottom="840" w:left="420" w:right="380"/>
        </w:sectPr>
      </w:pPr>
    </w:p>
    <w:p>
      <w:pPr>
        <w:pStyle w:val="BodyText"/>
      </w:pPr>
      <w:r>
        <w:rPr/>
        <w:drawing>
          <wp:anchor distT="0" distB="0" distL="0" distR="0" allowOverlap="1" layoutInCell="1" locked="0" behindDoc="1" simplePos="0" relativeHeight="236143616">
            <wp:simplePos x="0" y="0"/>
            <wp:positionH relativeFrom="page">
              <wp:posOffset>0</wp:posOffset>
            </wp:positionH>
            <wp:positionV relativeFrom="page">
              <wp:posOffset>0</wp:posOffset>
            </wp:positionV>
            <wp:extent cx="594067" cy="10692003"/>
            <wp:effectExtent l="0" t="0" r="0" b="0"/>
            <wp:wrapNone/>
            <wp:docPr id="341" name="image75.png"/>
            <wp:cNvGraphicFramePr>
              <a:graphicFrameLocks noChangeAspect="1"/>
            </wp:cNvGraphicFramePr>
            <a:graphic>
              <a:graphicData uri="http://schemas.openxmlformats.org/drawingml/2006/picture">
                <pic:pic>
                  <pic:nvPicPr>
                    <pic:cNvPr id="342" name="image75.png"/>
                    <pic:cNvPicPr/>
                  </pic:nvPicPr>
                  <pic:blipFill>
                    <a:blip r:embed="rId445"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33.75pt;mso-position-horizontal-relative:page;mso-position-vertical-relative:paragraph;z-index:252111872"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rPr>
        <w:t>Nominations</w:t>
      </w:r>
    </w:p>
    <w:p>
      <w:pPr>
        <w:pStyle w:val="Heading8"/>
        <w:numPr>
          <w:ilvl w:val="1"/>
          <w:numId w:val="122"/>
        </w:numPr>
        <w:tabs>
          <w:tab w:pos="1507" w:val="left" w:leader="none"/>
          <w:tab w:pos="1508" w:val="left" w:leader="none"/>
        </w:tabs>
        <w:spacing w:line="261" w:lineRule="exact" w:before="205" w:after="0"/>
        <w:ind w:left="1507" w:right="0" w:hanging="681"/>
        <w:jc w:val="left"/>
      </w:pPr>
      <w:r>
        <w:rPr>
          <w:w w:val="110"/>
        </w:rPr>
        <w:t>Fresh</w:t>
      </w:r>
      <w:r>
        <w:rPr>
          <w:spacing w:val="-1"/>
          <w:w w:val="110"/>
        </w:rPr>
        <w:t> </w:t>
      </w:r>
      <w:r>
        <w:rPr>
          <w:w w:val="110"/>
        </w:rPr>
        <w:t>Expressions</w:t>
      </w:r>
    </w:p>
    <w:p>
      <w:pPr>
        <w:pStyle w:val="BodyText"/>
        <w:spacing w:line="235" w:lineRule="exact"/>
        <w:ind w:left="1507"/>
      </w:pPr>
      <w:r>
        <w:rPr>
          <w:w w:val="120"/>
        </w:rPr>
        <w:t>Deputy General Secretary (Mission)</w:t>
      </w:r>
    </w:p>
    <w:p>
      <w:pPr>
        <w:pStyle w:val="BodyText"/>
        <w:spacing w:before="4"/>
        <w:rPr>
          <w:sz w:val="18"/>
        </w:rPr>
      </w:pPr>
    </w:p>
    <w:p>
      <w:pPr>
        <w:pStyle w:val="Heading8"/>
        <w:numPr>
          <w:ilvl w:val="1"/>
          <w:numId w:val="122"/>
        </w:numPr>
        <w:tabs>
          <w:tab w:pos="1507" w:val="left" w:leader="none"/>
          <w:tab w:pos="1508" w:val="left" w:leader="none"/>
        </w:tabs>
        <w:spacing w:line="261" w:lineRule="exact" w:before="0" w:after="0"/>
        <w:ind w:left="1507" w:right="0" w:hanging="681"/>
        <w:jc w:val="left"/>
      </w:pPr>
      <w:r>
        <w:rPr>
          <w:w w:val="110"/>
        </w:rPr>
        <w:t>Churches Visitor and Tourism</w:t>
      </w:r>
      <w:r>
        <w:rPr>
          <w:spacing w:val="-2"/>
          <w:w w:val="110"/>
        </w:rPr>
        <w:t> </w:t>
      </w:r>
      <w:r>
        <w:rPr>
          <w:w w:val="110"/>
        </w:rPr>
        <w:t>Association</w:t>
      </w:r>
    </w:p>
    <w:p>
      <w:pPr>
        <w:pStyle w:val="BodyText"/>
        <w:spacing w:line="235" w:lineRule="exact"/>
        <w:ind w:left="1507"/>
      </w:pPr>
      <w:r>
        <w:rPr>
          <w:w w:val="115"/>
        </w:rPr>
        <w:t>Mrs Valerie Jenkins</w:t>
      </w:r>
    </w:p>
    <w:p>
      <w:pPr>
        <w:pStyle w:val="BodyText"/>
        <w:spacing w:before="4"/>
        <w:rPr>
          <w:sz w:val="26"/>
        </w:rPr>
      </w:pPr>
    </w:p>
    <w:p>
      <w:pPr>
        <w:pStyle w:val="Heading4"/>
        <w:numPr>
          <w:ilvl w:val="0"/>
          <w:numId w:val="120"/>
        </w:numPr>
        <w:tabs>
          <w:tab w:pos="1507" w:val="left" w:leader="none"/>
          <w:tab w:pos="1508" w:val="left" w:leader="none"/>
        </w:tabs>
        <w:spacing w:line="196" w:lineRule="auto" w:before="0" w:after="0"/>
        <w:ind w:left="1507" w:right="3287" w:hanging="681"/>
        <w:jc w:val="left"/>
      </w:pPr>
      <w:r>
        <w:rPr>
          <w:spacing w:val="3"/>
          <w:w w:val="110"/>
        </w:rPr>
        <w:t>Representatives </w:t>
      </w:r>
      <w:r>
        <w:rPr>
          <w:spacing w:val="2"/>
          <w:w w:val="110"/>
        </w:rPr>
        <w:t>on </w:t>
      </w:r>
      <w:r>
        <w:rPr>
          <w:spacing w:val="4"/>
          <w:w w:val="110"/>
        </w:rPr>
        <w:t>formal </w:t>
      </w:r>
      <w:r>
        <w:rPr>
          <w:spacing w:val="3"/>
          <w:w w:val="110"/>
        </w:rPr>
        <w:t>bilateral and multilateral</w:t>
      </w:r>
      <w:r>
        <w:rPr>
          <w:spacing w:val="13"/>
          <w:w w:val="110"/>
        </w:rPr>
        <w:t> </w:t>
      </w:r>
      <w:r>
        <w:rPr>
          <w:spacing w:val="3"/>
          <w:w w:val="110"/>
        </w:rPr>
        <w:t>committees</w:t>
      </w:r>
    </w:p>
    <w:p>
      <w:pPr>
        <w:pStyle w:val="Heading8"/>
        <w:numPr>
          <w:ilvl w:val="1"/>
          <w:numId w:val="120"/>
        </w:numPr>
        <w:tabs>
          <w:tab w:pos="1507" w:val="left" w:leader="none"/>
          <w:tab w:pos="1508" w:val="left" w:leader="none"/>
        </w:tabs>
        <w:spacing w:line="261" w:lineRule="exact" w:before="69" w:after="0"/>
        <w:ind w:left="1507" w:right="0" w:hanging="681"/>
        <w:jc w:val="left"/>
      </w:pPr>
      <w:r>
        <w:rPr>
          <w:w w:val="110"/>
        </w:rPr>
        <w:t>Methodist/United Reformed Church liaison</w:t>
      </w:r>
      <w:r>
        <w:rPr>
          <w:spacing w:val="-1"/>
          <w:w w:val="110"/>
        </w:rPr>
        <w:t> </w:t>
      </w:r>
      <w:r>
        <w:rPr>
          <w:w w:val="110"/>
        </w:rPr>
        <w:t>group</w:t>
      </w:r>
    </w:p>
    <w:p>
      <w:pPr>
        <w:pStyle w:val="BodyText"/>
        <w:tabs>
          <w:tab w:pos="5867" w:val="left" w:leader="none"/>
        </w:tabs>
        <w:spacing w:line="235" w:lineRule="auto"/>
        <w:ind w:left="827" w:right="3181"/>
      </w:pPr>
      <w:r>
        <w:rPr>
          <w:w w:val="120"/>
        </w:rPr>
        <w:t>Co-convenor: The Revd Nicola Furley-Smith </w:t>
      </w:r>
      <w:r>
        <w:rPr>
          <w:spacing w:val="-3"/>
          <w:w w:val="120"/>
        </w:rPr>
        <w:t>(Synod </w:t>
      </w:r>
      <w:r>
        <w:rPr>
          <w:w w:val="120"/>
        </w:rPr>
        <w:t>Moderator) </w:t>
      </w:r>
      <w:r>
        <w:rPr>
          <w:spacing w:val="-5"/>
          <w:w w:val="120"/>
        </w:rPr>
        <w:t>[2020] </w:t>
      </w:r>
      <w:r>
        <w:rPr>
          <w:w w:val="120"/>
        </w:rPr>
        <w:t>The Revd</w:t>
      </w:r>
      <w:r>
        <w:rPr>
          <w:spacing w:val="18"/>
          <w:w w:val="120"/>
        </w:rPr>
        <w:t> </w:t>
      </w:r>
      <w:r>
        <w:rPr>
          <w:w w:val="120"/>
        </w:rPr>
        <w:t>Kay</w:t>
      </w:r>
      <w:r>
        <w:rPr>
          <w:spacing w:val="9"/>
          <w:w w:val="120"/>
        </w:rPr>
        <w:t> </w:t>
      </w:r>
      <w:r>
        <w:rPr>
          <w:w w:val="120"/>
        </w:rPr>
        <w:t>Alberg</w:t>
        <w:tab/>
        <w:t>The Revd Roy </w:t>
      </w:r>
      <w:r>
        <w:rPr>
          <w:spacing w:val="-3"/>
          <w:w w:val="120"/>
        </w:rPr>
        <w:t>Fowler </w:t>
      </w:r>
      <w:r>
        <w:rPr>
          <w:w w:val="120"/>
        </w:rPr>
        <w:t>The Revd Sally</w:t>
      </w:r>
      <w:r>
        <w:rPr>
          <w:spacing w:val="6"/>
          <w:w w:val="120"/>
        </w:rPr>
        <w:t> </w:t>
      </w:r>
      <w:r>
        <w:rPr>
          <w:w w:val="120"/>
        </w:rPr>
        <w:t>Thomas</w:t>
      </w:r>
    </w:p>
    <w:p>
      <w:pPr>
        <w:pStyle w:val="BodyText"/>
        <w:spacing w:line="243" w:lineRule="exact"/>
        <w:ind w:left="827"/>
      </w:pPr>
      <w:r>
        <w:rPr>
          <w:w w:val="120"/>
        </w:rPr>
        <w:t>Secretary for Ecumenical and Interfaith</w:t>
      </w:r>
      <w:r>
        <w:rPr>
          <w:spacing w:val="-21"/>
          <w:w w:val="120"/>
        </w:rPr>
        <w:t> </w:t>
      </w:r>
      <w:r>
        <w:rPr>
          <w:w w:val="120"/>
        </w:rPr>
        <w:t>Relations</w:t>
      </w:r>
    </w:p>
    <w:p>
      <w:pPr>
        <w:pStyle w:val="BodyText"/>
        <w:spacing w:before="6"/>
        <w:rPr>
          <w:sz w:val="18"/>
        </w:rPr>
      </w:pPr>
    </w:p>
    <w:p>
      <w:pPr>
        <w:pStyle w:val="ListParagraph"/>
        <w:numPr>
          <w:ilvl w:val="2"/>
          <w:numId w:val="120"/>
        </w:numPr>
        <w:tabs>
          <w:tab w:pos="1508" w:val="left" w:leader="none"/>
          <w:tab w:pos="5867" w:val="left" w:leader="none"/>
        </w:tabs>
        <w:spacing w:line="230" w:lineRule="auto" w:before="0" w:after="0"/>
        <w:ind w:left="827" w:right="2151" w:firstLine="0"/>
        <w:jc w:val="left"/>
        <w:rPr>
          <w:sz w:val="20"/>
        </w:rPr>
      </w:pPr>
      <w:r>
        <w:rPr>
          <w:rFonts w:ascii="Stone Sans II ITC Std Bk"/>
          <w:b/>
          <w:w w:val="115"/>
          <w:sz w:val="20"/>
        </w:rPr>
        <w:t>Methodist/ United Reformed Church strategic oversight group </w:t>
      </w:r>
      <w:r>
        <w:rPr>
          <w:w w:val="115"/>
          <w:sz w:val="20"/>
        </w:rPr>
        <w:t>General </w:t>
      </w:r>
      <w:r>
        <w:rPr>
          <w:spacing w:val="25"/>
          <w:w w:val="115"/>
          <w:sz w:val="20"/>
        </w:rPr>
        <w:t> </w:t>
      </w:r>
      <w:r>
        <w:rPr>
          <w:w w:val="115"/>
          <w:sz w:val="20"/>
        </w:rPr>
        <w:t>Secretary</w:t>
        <w:tab/>
        <w:t>A General Assembly Moderator Secretary for Ecumenical and Interfaith</w:t>
      </w:r>
      <w:r>
        <w:rPr>
          <w:spacing w:val="33"/>
          <w:w w:val="115"/>
          <w:sz w:val="20"/>
        </w:rPr>
        <w:t> </w:t>
      </w:r>
      <w:r>
        <w:rPr>
          <w:w w:val="115"/>
          <w:sz w:val="20"/>
        </w:rPr>
        <w:t>Relations</w:t>
      </w:r>
    </w:p>
    <w:p>
      <w:pPr>
        <w:pStyle w:val="BodyText"/>
        <w:spacing w:before="4"/>
        <w:rPr>
          <w:sz w:val="18"/>
        </w:rPr>
      </w:pPr>
    </w:p>
    <w:p>
      <w:pPr>
        <w:pStyle w:val="Heading8"/>
        <w:numPr>
          <w:ilvl w:val="1"/>
          <w:numId w:val="120"/>
        </w:numPr>
        <w:tabs>
          <w:tab w:pos="1507" w:val="left" w:leader="none"/>
          <w:tab w:pos="1508" w:val="left" w:leader="none"/>
        </w:tabs>
        <w:spacing w:line="261" w:lineRule="exact" w:before="0" w:after="0"/>
        <w:ind w:left="1507" w:right="0" w:hanging="681"/>
        <w:jc w:val="left"/>
      </w:pPr>
      <w:r>
        <w:rPr>
          <w:w w:val="110"/>
        </w:rPr>
        <w:t>Church of England/United Reformed Church bilateral</w:t>
      </w:r>
      <w:r>
        <w:rPr>
          <w:spacing w:val="-1"/>
          <w:w w:val="110"/>
        </w:rPr>
        <w:t> </w:t>
      </w:r>
      <w:r>
        <w:rPr>
          <w:w w:val="110"/>
        </w:rPr>
        <w:t>dialogue</w:t>
      </w:r>
    </w:p>
    <w:p>
      <w:pPr>
        <w:pStyle w:val="BodyText"/>
        <w:spacing w:line="235" w:lineRule="exact"/>
        <w:ind w:left="827"/>
      </w:pPr>
      <w:r>
        <w:rPr>
          <w:w w:val="120"/>
        </w:rPr>
        <w:t>This dialogue will be restarted shortly.</w:t>
      </w:r>
    </w:p>
    <w:p>
      <w:pPr>
        <w:pStyle w:val="BodyText"/>
        <w:spacing w:before="9"/>
        <w:rPr>
          <w:sz w:val="19"/>
        </w:rPr>
      </w:pPr>
    </w:p>
    <w:p>
      <w:pPr>
        <w:pStyle w:val="ListParagraph"/>
        <w:numPr>
          <w:ilvl w:val="1"/>
          <w:numId w:val="120"/>
        </w:numPr>
        <w:tabs>
          <w:tab w:pos="1507" w:val="left" w:leader="none"/>
          <w:tab w:pos="1508" w:val="left" w:leader="none"/>
        </w:tabs>
        <w:spacing w:line="218" w:lineRule="auto" w:before="1" w:after="0"/>
        <w:ind w:left="827" w:right="2157" w:firstLine="0"/>
        <w:jc w:val="left"/>
        <w:rPr>
          <w:rFonts w:ascii="Stone Sans II ITC Std Bk"/>
          <w:sz w:val="20"/>
        </w:rPr>
      </w:pPr>
      <w:r>
        <w:rPr>
          <w:rFonts w:ascii="Stone Sans II ITC Std Bk"/>
          <w:b/>
          <w:spacing w:val="2"/>
          <w:w w:val="115"/>
          <w:sz w:val="20"/>
        </w:rPr>
        <w:t>EMU</w:t>
      </w:r>
      <w:r>
        <w:rPr>
          <w:rFonts w:ascii="Stone Sans II ITC Std Bk"/>
          <w:b/>
          <w:spacing w:val="-39"/>
          <w:w w:val="115"/>
          <w:sz w:val="20"/>
        </w:rPr>
        <w:t> </w:t>
      </w:r>
      <w:r>
        <w:rPr>
          <w:rFonts w:ascii="Stone Sans II ITC Std Bk"/>
          <w:b/>
          <w:w w:val="115"/>
          <w:sz w:val="20"/>
        </w:rPr>
        <w:t>Partnership</w:t>
      </w:r>
      <w:r>
        <w:rPr>
          <w:rFonts w:ascii="Stone Sans II ITC Std Bk"/>
          <w:b/>
          <w:spacing w:val="-39"/>
          <w:w w:val="115"/>
          <w:sz w:val="20"/>
        </w:rPr>
        <w:t> </w:t>
      </w:r>
      <w:r>
        <w:rPr>
          <w:rFonts w:ascii="Stone Sans II ITC Std Bk"/>
          <w:b/>
          <w:w w:val="115"/>
          <w:sz w:val="20"/>
        </w:rPr>
        <w:t>(Scottish</w:t>
      </w:r>
      <w:r>
        <w:rPr>
          <w:rFonts w:ascii="Stone Sans II ITC Std Bk"/>
          <w:b/>
          <w:spacing w:val="-38"/>
          <w:w w:val="115"/>
          <w:sz w:val="20"/>
        </w:rPr>
        <w:t> </w:t>
      </w:r>
      <w:r>
        <w:rPr>
          <w:rFonts w:ascii="Stone Sans II ITC Std Bk"/>
          <w:b/>
          <w:w w:val="115"/>
          <w:sz w:val="20"/>
        </w:rPr>
        <w:t>Episcopal</w:t>
      </w:r>
      <w:r>
        <w:rPr>
          <w:rFonts w:ascii="Stone Sans II ITC Std Bk"/>
          <w:b/>
          <w:spacing w:val="-39"/>
          <w:w w:val="115"/>
          <w:sz w:val="20"/>
        </w:rPr>
        <w:t> </w:t>
      </w:r>
      <w:r>
        <w:rPr>
          <w:rFonts w:ascii="Stone Sans II ITC Std Bk"/>
          <w:b/>
          <w:w w:val="115"/>
          <w:sz w:val="20"/>
        </w:rPr>
        <w:t>Church,</w:t>
      </w:r>
      <w:r>
        <w:rPr>
          <w:rFonts w:ascii="Stone Sans II ITC Std Bk"/>
          <w:b/>
          <w:spacing w:val="-39"/>
          <w:w w:val="115"/>
          <w:sz w:val="20"/>
        </w:rPr>
        <w:t> </w:t>
      </w:r>
      <w:r>
        <w:rPr>
          <w:rFonts w:ascii="Stone Sans II ITC Std Bk"/>
          <w:b/>
          <w:w w:val="115"/>
          <w:sz w:val="20"/>
        </w:rPr>
        <w:t>the</w:t>
      </w:r>
      <w:r>
        <w:rPr>
          <w:rFonts w:ascii="Stone Sans II ITC Std Bk"/>
          <w:b/>
          <w:spacing w:val="-38"/>
          <w:w w:val="115"/>
          <w:sz w:val="20"/>
        </w:rPr>
        <w:t> </w:t>
      </w:r>
      <w:r>
        <w:rPr>
          <w:rFonts w:ascii="Stone Sans II ITC Std Bk"/>
          <w:b/>
          <w:w w:val="115"/>
          <w:sz w:val="20"/>
        </w:rPr>
        <w:t>Methodist</w:t>
      </w:r>
      <w:r>
        <w:rPr>
          <w:rFonts w:ascii="Stone Sans II ITC Std Bk"/>
          <w:b/>
          <w:spacing w:val="-39"/>
          <w:w w:val="115"/>
          <w:sz w:val="20"/>
        </w:rPr>
        <w:t> </w:t>
      </w:r>
      <w:r>
        <w:rPr>
          <w:rFonts w:ascii="Stone Sans II ITC Std Bk"/>
          <w:b/>
          <w:w w:val="115"/>
          <w:sz w:val="20"/>
        </w:rPr>
        <w:t>Church</w:t>
      </w:r>
      <w:r>
        <w:rPr>
          <w:rFonts w:ascii="Stone Sans II ITC Std Bk"/>
          <w:b/>
          <w:spacing w:val="-39"/>
          <w:w w:val="115"/>
          <w:sz w:val="20"/>
        </w:rPr>
        <w:t> </w:t>
      </w:r>
      <w:r>
        <w:rPr>
          <w:rFonts w:ascii="Stone Sans II ITC Std Bk"/>
          <w:b/>
          <w:w w:val="115"/>
          <w:sz w:val="20"/>
        </w:rPr>
        <w:t>in Scotland and the United Reformed Church Synod of Scotland) </w:t>
      </w:r>
      <w:r>
        <w:rPr>
          <w:spacing w:val="-4"/>
          <w:w w:val="115"/>
          <w:sz w:val="20"/>
        </w:rPr>
        <w:t>[see </w:t>
      </w:r>
      <w:r>
        <w:rPr>
          <w:w w:val="115"/>
          <w:sz w:val="20"/>
        </w:rPr>
        <w:t>note 7] Appointed by the URC Synod of</w:t>
      </w:r>
      <w:r>
        <w:rPr>
          <w:spacing w:val="42"/>
          <w:w w:val="115"/>
          <w:sz w:val="20"/>
        </w:rPr>
        <w:t> </w:t>
      </w:r>
      <w:r>
        <w:rPr>
          <w:w w:val="115"/>
          <w:sz w:val="20"/>
        </w:rPr>
        <w:t>Scotland</w:t>
      </w:r>
    </w:p>
    <w:p>
      <w:pPr>
        <w:pStyle w:val="BodyText"/>
        <w:spacing w:before="5"/>
      </w:pPr>
    </w:p>
    <w:p>
      <w:pPr>
        <w:pStyle w:val="Heading8"/>
        <w:numPr>
          <w:ilvl w:val="1"/>
          <w:numId w:val="120"/>
        </w:numPr>
        <w:tabs>
          <w:tab w:pos="1507" w:val="left" w:leader="none"/>
          <w:tab w:pos="1508" w:val="left" w:leader="none"/>
        </w:tabs>
        <w:spacing w:line="213" w:lineRule="auto" w:before="0" w:after="0"/>
        <w:ind w:left="827" w:right="1777" w:firstLine="0"/>
        <w:jc w:val="left"/>
      </w:pPr>
      <w:r>
        <w:rPr>
          <w:w w:val="110"/>
        </w:rPr>
        <w:t>Conversations between the Community of Protestant Churches in Europe and the Anglican</w:t>
      </w:r>
      <w:r>
        <w:rPr>
          <w:spacing w:val="-1"/>
          <w:w w:val="110"/>
        </w:rPr>
        <w:t> </w:t>
      </w:r>
      <w:r>
        <w:rPr>
          <w:w w:val="110"/>
        </w:rPr>
        <w:t>Communion</w:t>
      </w:r>
    </w:p>
    <w:p>
      <w:pPr>
        <w:pStyle w:val="BodyText"/>
        <w:spacing w:line="233" w:lineRule="exact"/>
        <w:ind w:left="827"/>
      </w:pPr>
      <w:r>
        <w:rPr>
          <w:w w:val="120"/>
        </w:rPr>
        <w:t>The Revd Dr Julian Templeton</w:t>
      </w:r>
    </w:p>
    <w:p>
      <w:pPr>
        <w:pStyle w:val="BodyText"/>
        <w:spacing w:before="5"/>
        <w:rPr>
          <w:sz w:val="26"/>
        </w:rPr>
      </w:pPr>
    </w:p>
    <w:p>
      <w:pPr>
        <w:pStyle w:val="Heading4"/>
        <w:numPr>
          <w:ilvl w:val="0"/>
          <w:numId w:val="120"/>
        </w:numPr>
        <w:tabs>
          <w:tab w:pos="1507" w:val="left" w:leader="none"/>
          <w:tab w:pos="1508" w:val="left" w:leader="none"/>
        </w:tabs>
        <w:spacing w:line="196" w:lineRule="auto" w:before="0" w:after="0"/>
        <w:ind w:left="1507" w:right="3284" w:hanging="681"/>
        <w:jc w:val="left"/>
      </w:pPr>
      <w:r>
        <w:rPr>
          <w:spacing w:val="3"/>
          <w:w w:val="110"/>
        </w:rPr>
        <w:t>Representatives </w:t>
      </w:r>
      <w:r>
        <w:rPr>
          <w:spacing w:val="2"/>
          <w:w w:val="110"/>
        </w:rPr>
        <w:t>on </w:t>
      </w:r>
      <w:r>
        <w:rPr>
          <w:spacing w:val="3"/>
          <w:w w:val="110"/>
        </w:rPr>
        <w:t>governing </w:t>
      </w:r>
      <w:r>
        <w:rPr>
          <w:spacing w:val="4"/>
          <w:w w:val="110"/>
        </w:rPr>
        <w:t>bodies </w:t>
      </w:r>
      <w:r>
        <w:rPr>
          <w:w w:val="110"/>
        </w:rPr>
        <w:t>of </w:t>
      </w:r>
      <w:r>
        <w:rPr>
          <w:spacing w:val="4"/>
          <w:w w:val="110"/>
        </w:rPr>
        <w:t>theological colleges,</w:t>
      </w:r>
      <w:r>
        <w:rPr>
          <w:spacing w:val="22"/>
          <w:w w:val="110"/>
        </w:rPr>
        <w:t> </w:t>
      </w:r>
      <w:r>
        <w:rPr>
          <w:w w:val="110"/>
        </w:rPr>
        <w:t>etc</w:t>
      </w:r>
    </w:p>
    <w:p>
      <w:pPr>
        <w:pStyle w:val="Heading8"/>
        <w:numPr>
          <w:ilvl w:val="1"/>
          <w:numId w:val="120"/>
        </w:numPr>
        <w:tabs>
          <w:tab w:pos="1507" w:val="left" w:leader="none"/>
          <w:tab w:pos="1508" w:val="left" w:leader="none"/>
        </w:tabs>
        <w:spacing w:line="261" w:lineRule="exact" w:before="68" w:after="0"/>
        <w:ind w:left="1507" w:right="0" w:hanging="681"/>
        <w:jc w:val="left"/>
      </w:pPr>
      <w:r>
        <w:rPr>
          <w:w w:val="110"/>
        </w:rPr>
        <w:t>Northern</w:t>
      </w:r>
      <w:r>
        <w:rPr>
          <w:spacing w:val="-1"/>
          <w:w w:val="110"/>
        </w:rPr>
        <w:t> </w:t>
      </w:r>
      <w:r>
        <w:rPr>
          <w:w w:val="110"/>
        </w:rPr>
        <w:t>College</w:t>
      </w:r>
    </w:p>
    <w:p>
      <w:pPr>
        <w:pStyle w:val="BodyText"/>
        <w:tabs>
          <w:tab w:pos="5867" w:val="left" w:leader="none"/>
        </w:tabs>
        <w:spacing w:line="233" w:lineRule="exact"/>
        <w:ind w:left="827"/>
      </w:pPr>
      <w:r>
        <w:rPr>
          <w:w w:val="120"/>
        </w:rPr>
        <w:t>The Revd Raymond</w:t>
      </w:r>
      <w:r>
        <w:rPr>
          <w:spacing w:val="48"/>
          <w:w w:val="120"/>
        </w:rPr>
        <w:t> </w:t>
      </w:r>
      <w:r>
        <w:rPr>
          <w:w w:val="120"/>
        </w:rPr>
        <w:t>Singh</w:t>
      </w:r>
      <w:r>
        <w:rPr>
          <w:spacing w:val="16"/>
          <w:w w:val="120"/>
        </w:rPr>
        <w:t> </w:t>
      </w:r>
      <w:r>
        <w:rPr>
          <w:spacing w:val="-8"/>
          <w:w w:val="120"/>
        </w:rPr>
        <w:t>[2019]</w:t>
        <w:tab/>
      </w:r>
      <w:r>
        <w:rPr>
          <w:w w:val="120"/>
        </w:rPr>
        <w:t>Mrs Sheila Davies</w:t>
      </w:r>
      <w:r>
        <w:rPr>
          <w:spacing w:val="8"/>
          <w:w w:val="120"/>
        </w:rPr>
        <w:t> </w:t>
      </w:r>
      <w:r>
        <w:rPr>
          <w:spacing w:val="-8"/>
          <w:w w:val="120"/>
        </w:rPr>
        <w:t>[2021]</w:t>
      </w:r>
    </w:p>
    <w:p>
      <w:pPr>
        <w:pStyle w:val="BodyText"/>
        <w:tabs>
          <w:tab w:pos="5867" w:val="left" w:leader="none"/>
        </w:tabs>
        <w:spacing w:line="240" w:lineRule="exact"/>
        <w:ind w:left="827"/>
      </w:pPr>
      <w:r>
        <w:rPr>
          <w:w w:val="120"/>
        </w:rPr>
        <w:t>Mr Willie</w:t>
      </w:r>
      <w:r>
        <w:rPr>
          <w:spacing w:val="22"/>
          <w:w w:val="120"/>
        </w:rPr>
        <w:t> </w:t>
      </w:r>
      <w:r>
        <w:rPr>
          <w:w w:val="120"/>
        </w:rPr>
        <w:t>Duncan</w:t>
      </w:r>
      <w:r>
        <w:rPr>
          <w:spacing w:val="11"/>
          <w:w w:val="120"/>
        </w:rPr>
        <w:t> </w:t>
      </w:r>
      <w:r>
        <w:rPr>
          <w:spacing w:val="-8"/>
          <w:w w:val="120"/>
        </w:rPr>
        <w:t>[2021]</w:t>
        <w:tab/>
      </w:r>
      <w:r>
        <w:rPr>
          <w:w w:val="120"/>
        </w:rPr>
        <w:t>The Revd Mark Bates</w:t>
      </w:r>
      <w:r>
        <w:rPr>
          <w:spacing w:val="9"/>
          <w:w w:val="120"/>
        </w:rPr>
        <w:t> </w:t>
      </w:r>
      <w:r>
        <w:rPr>
          <w:spacing w:val="-5"/>
          <w:w w:val="120"/>
        </w:rPr>
        <w:t>[2022]</w:t>
      </w:r>
    </w:p>
    <w:p>
      <w:pPr>
        <w:pStyle w:val="BodyText"/>
        <w:tabs>
          <w:tab w:pos="5867" w:val="left" w:leader="none"/>
        </w:tabs>
        <w:spacing w:line="235" w:lineRule="auto" w:before="2"/>
        <w:ind w:left="827" w:right="3244"/>
      </w:pPr>
      <w:r>
        <w:rPr>
          <w:w w:val="120"/>
        </w:rPr>
        <w:t>Mrs Rosie</w:t>
      </w:r>
      <w:r>
        <w:rPr>
          <w:spacing w:val="12"/>
          <w:w w:val="120"/>
        </w:rPr>
        <w:t> </w:t>
      </w:r>
      <w:r>
        <w:rPr>
          <w:w w:val="120"/>
        </w:rPr>
        <w:t>Buxton</w:t>
      </w:r>
      <w:r>
        <w:rPr>
          <w:spacing w:val="6"/>
          <w:w w:val="120"/>
        </w:rPr>
        <w:t> </w:t>
      </w:r>
      <w:r>
        <w:rPr>
          <w:spacing w:val="-5"/>
          <w:w w:val="120"/>
        </w:rPr>
        <w:t>[2022]</w:t>
        <w:tab/>
      </w:r>
      <w:r>
        <w:rPr>
          <w:w w:val="120"/>
        </w:rPr>
        <w:t>Mr Bill Potter </w:t>
      </w:r>
      <w:r>
        <w:rPr>
          <w:spacing w:val="-5"/>
          <w:w w:val="120"/>
        </w:rPr>
        <w:t>[2022] </w:t>
      </w:r>
      <w:r>
        <w:rPr>
          <w:w w:val="120"/>
        </w:rPr>
        <w:t>In attendance: Secretary for Education and</w:t>
      </w:r>
      <w:r>
        <w:rPr>
          <w:spacing w:val="14"/>
          <w:w w:val="120"/>
        </w:rPr>
        <w:t> </w:t>
      </w:r>
      <w:r>
        <w:rPr>
          <w:w w:val="120"/>
        </w:rPr>
        <w:t>Learning</w:t>
      </w:r>
    </w:p>
    <w:p>
      <w:pPr>
        <w:pStyle w:val="BodyText"/>
        <w:spacing w:before="1"/>
        <w:rPr>
          <w:sz w:val="19"/>
        </w:rPr>
      </w:pPr>
    </w:p>
    <w:p>
      <w:pPr>
        <w:pStyle w:val="ListParagraph"/>
        <w:numPr>
          <w:ilvl w:val="1"/>
          <w:numId w:val="120"/>
        </w:numPr>
        <w:tabs>
          <w:tab w:pos="1507" w:val="left" w:leader="none"/>
          <w:tab w:pos="1508" w:val="left" w:leader="none"/>
        </w:tabs>
        <w:spacing w:line="230" w:lineRule="auto" w:before="0" w:after="0"/>
        <w:ind w:left="827" w:right="4770" w:firstLine="0"/>
        <w:jc w:val="left"/>
        <w:rPr>
          <w:rFonts w:ascii="Stone Sans II ITC Std Bk"/>
          <w:sz w:val="20"/>
        </w:rPr>
      </w:pPr>
      <w:r>
        <w:rPr>
          <w:rFonts w:ascii="Stone Sans II ITC Std Bk"/>
          <w:b/>
          <w:w w:val="120"/>
          <w:sz w:val="20"/>
        </w:rPr>
        <w:t>Westminster College: board of governors </w:t>
      </w:r>
      <w:r>
        <w:rPr>
          <w:w w:val="120"/>
          <w:sz w:val="20"/>
        </w:rPr>
        <w:t>Governors serve six-year terms, which may be renewed. Convenor: The Revd Nigel Uden</w:t>
      </w:r>
      <w:r>
        <w:rPr>
          <w:spacing w:val="26"/>
          <w:w w:val="120"/>
          <w:sz w:val="20"/>
        </w:rPr>
        <w:t> </w:t>
      </w:r>
      <w:r>
        <w:rPr>
          <w:spacing w:val="-5"/>
          <w:w w:val="120"/>
          <w:sz w:val="20"/>
        </w:rPr>
        <w:t>[2020]</w:t>
      </w:r>
    </w:p>
    <w:p>
      <w:pPr>
        <w:pStyle w:val="BodyText"/>
        <w:spacing w:line="238" w:lineRule="exact"/>
        <w:ind w:left="827"/>
      </w:pPr>
      <w:r>
        <w:rPr>
          <w:w w:val="120"/>
        </w:rPr>
        <w:t>Clerk to the governors: Mr Chris Wright [2020]</w:t>
      </w:r>
    </w:p>
    <w:p>
      <w:pPr>
        <w:pStyle w:val="BodyText"/>
        <w:spacing w:line="235" w:lineRule="auto" w:before="2"/>
        <w:ind w:left="827" w:right="3149"/>
      </w:pPr>
      <w:r>
        <w:rPr>
          <w:w w:val="120"/>
        </w:rPr>
        <w:t>Honorary treasurer (Westminster College): Mr Andrew Grimwade [2022] Principal: The Revd Neil Thorogood</w:t>
      </w:r>
    </w:p>
    <w:p>
      <w:pPr>
        <w:pStyle w:val="BodyText"/>
        <w:tabs>
          <w:tab w:pos="5867" w:val="left" w:leader="none"/>
        </w:tabs>
        <w:spacing w:line="240" w:lineRule="exact"/>
        <w:ind w:left="827"/>
      </w:pPr>
      <w:r>
        <w:rPr>
          <w:w w:val="120"/>
        </w:rPr>
        <w:t>Dr Jean</w:t>
      </w:r>
      <w:r>
        <w:rPr>
          <w:spacing w:val="12"/>
          <w:w w:val="120"/>
        </w:rPr>
        <w:t> </w:t>
      </w:r>
      <w:r>
        <w:rPr>
          <w:w w:val="120"/>
        </w:rPr>
        <w:t>Stevenson</w:t>
      </w:r>
      <w:r>
        <w:rPr>
          <w:spacing w:val="6"/>
          <w:w w:val="120"/>
        </w:rPr>
        <w:t> </w:t>
      </w:r>
      <w:r>
        <w:rPr>
          <w:spacing w:val="-8"/>
          <w:w w:val="120"/>
        </w:rPr>
        <w:t>[2019]</w:t>
        <w:tab/>
      </w:r>
      <w:r>
        <w:rPr>
          <w:w w:val="120"/>
        </w:rPr>
        <w:t>Mr Mark Hayes</w:t>
      </w:r>
      <w:r>
        <w:rPr>
          <w:spacing w:val="6"/>
          <w:w w:val="120"/>
        </w:rPr>
        <w:t> </w:t>
      </w:r>
      <w:r>
        <w:rPr>
          <w:spacing w:val="-5"/>
          <w:w w:val="120"/>
        </w:rPr>
        <w:t>[2022]</w:t>
      </w:r>
    </w:p>
    <w:p>
      <w:pPr>
        <w:pStyle w:val="BodyText"/>
        <w:tabs>
          <w:tab w:pos="5867" w:val="left" w:leader="none"/>
        </w:tabs>
        <w:spacing w:line="235" w:lineRule="auto" w:before="2"/>
        <w:ind w:left="827" w:right="3330"/>
      </w:pPr>
      <w:r>
        <w:rPr>
          <w:w w:val="120"/>
        </w:rPr>
        <w:t>The Revd Dr Rick</w:t>
      </w:r>
      <w:r>
        <w:rPr>
          <w:spacing w:val="32"/>
          <w:w w:val="120"/>
        </w:rPr>
        <w:t> </w:t>
      </w:r>
      <w:r>
        <w:rPr>
          <w:w w:val="120"/>
        </w:rPr>
        <w:t>Mearkle</w:t>
      </w:r>
      <w:r>
        <w:rPr>
          <w:spacing w:val="8"/>
          <w:w w:val="120"/>
        </w:rPr>
        <w:t> </w:t>
      </w:r>
      <w:r>
        <w:rPr>
          <w:spacing w:val="-5"/>
          <w:w w:val="120"/>
        </w:rPr>
        <w:t>[2022]</w:t>
        <w:tab/>
      </w:r>
      <w:r>
        <w:rPr>
          <w:w w:val="120"/>
        </w:rPr>
        <w:t>Mr John Ellis </w:t>
      </w:r>
      <w:r>
        <w:rPr>
          <w:spacing w:val="-8"/>
          <w:w w:val="120"/>
        </w:rPr>
        <w:t>[2023] </w:t>
      </w:r>
      <w:r>
        <w:rPr>
          <w:w w:val="120"/>
        </w:rPr>
        <w:t>The Revd Jan Adamson</w:t>
      </w:r>
      <w:r>
        <w:rPr>
          <w:spacing w:val="9"/>
          <w:w w:val="120"/>
        </w:rPr>
        <w:t> </w:t>
      </w:r>
      <w:r>
        <w:rPr>
          <w:spacing w:val="-7"/>
          <w:w w:val="120"/>
        </w:rPr>
        <w:t>[2024]</w:t>
      </w:r>
    </w:p>
    <w:p>
      <w:pPr>
        <w:pStyle w:val="BodyText"/>
        <w:spacing w:line="235" w:lineRule="auto" w:before="1"/>
        <w:ind w:left="827" w:right="1868"/>
      </w:pPr>
      <w:r>
        <w:rPr>
          <w:w w:val="120"/>
        </w:rPr>
        <w:t>Note 1: A further six governors are appointed by the Cambridge Theological Federation, the University of Cambridge, Anglia Ruskin University, the college’s teaching staff, its students and the Cheshunt Foundation.</w:t>
      </w:r>
    </w:p>
    <w:p>
      <w:pPr>
        <w:pStyle w:val="BodyText"/>
        <w:spacing w:line="235" w:lineRule="auto" w:before="3"/>
        <w:ind w:left="827" w:right="1868"/>
      </w:pPr>
      <w:r>
        <w:rPr>
          <w:w w:val="120"/>
        </w:rPr>
        <w:t>Note 2: The Secretary for Education and Learning and the URC Treasurer are normally in attendance.</w:t>
      </w:r>
    </w:p>
    <w:p>
      <w:pPr>
        <w:pStyle w:val="BodyText"/>
        <w:spacing w:before="5"/>
        <w:rPr>
          <w:sz w:val="18"/>
        </w:rPr>
      </w:pPr>
    </w:p>
    <w:p>
      <w:pPr>
        <w:pStyle w:val="Heading8"/>
        <w:numPr>
          <w:ilvl w:val="2"/>
          <w:numId w:val="120"/>
        </w:numPr>
        <w:tabs>
          <w:tab w:pos="1508" w:val="left" w:leader="none"/>
        </w:tabs>
        <w:spacing w:line="261" w:lineRule="exact" w:before="0" w:after="0"/>
        <w:ind w:left="1507" w:right="0" w:hanging="681"/>
        <w:jc w:val="left"/>
      </w:pPr>
      <w:r>
        <w:rPr>
          <w:w w:val="110"/>
        </w:rPr>
        <w:t>The Cheshunt</w:t>
      </w:r>
      <w:r>
        <w:rPr>
          <w:spacing w:val="-1"/>
          <w:w w:val="110"/>
        </w:rPr>
        <w:t> </w:t>
      </w:r>
      <w:r>
        <w:rPr>
          <w:w w:val="110"/>
        </w:rPr>
        <w:t>Foundation</w:t>
      </w:r>
    </w:p>
    <w:p>
      <w:pPr>
        <w:pStyle w:val="BodyText"/>
        <w:spacing w:line="235" w:lineRule="exact"/>
        <w:ind w:left="827"/>
      </w:pPr>
      <w:r>
        <w:rPr>
          <w:w w:val="115"/>
        </w:rPr>
        <w:t>Mr Guy Morfett</w:t>
      </w:r>
    </w:p>
    <w:p>
      <w:pPr>
        <w:pStyle w:val="BodyText"/>
        <w:spacing w:before="3"/>
        <w:rPr>
          <w:sz w:val="18"/>
        </w:rPr>
      </w:pPr>
    </w:p>
    <w:p>
      <w:pPr>
        <w:pStyle w:val="Heading8"/>
        <w:numPr>
          <w:ilvl w:val="2"/>
          <w:numId w:val="120"/>
        </w:numPr>
        <w:tabs>
          <w:tab w:pos="1508" w:val="left" w:leader="none"/>
        </w:tabs>
        <w:spacing w:line="261" w:lineRule="exact" w:before="0" w:after="0"/>
        <w:ind w:left="1507" w:right="0" w:hanging="681"/>
        <w:jc w:val="left"/>
      </w:pPr>
      <w:r>
        <w:rPr>
          <w:w w:val="110"/>
        </w:rPr>
        <w:t>Cambridge Theological</w:t>
      </w:r>
      <w:r>
        <w:rPr>
          <w:spacing w:val="-1"/>
          <w:w w:val="110"/>
        </w:rPr>
        <w:t> </w:t>
      </w:r>
      <w:r>
        <w:rPr>
          <w:w w:val="110"/>
        </w:rPr>
        <w:t>Federation</w:t>
      </w:r>
    </w:p>
    <w:p>
      <w:pPr>
        <w:pStyle w:val="BodyText"/>
        <w:spacing w:line="235" w:lineRule="exact"/>
        <w:ind w:left="827"/>
      </w:pPr>
      <w:r>
        <w:rPr>
          <w:w w:val="120"/>
        </w:rPr>
        <w:t>Convenor, Westminster College governors</w:t>
      </w:r>
    </w:p>
    <w:p>
      <w:pPr>
        <w:spacing w:after="0" w:line="235" w:lineRule="exact"/>
        <w:sectPr>
          <w:headerReference w:type="even" r:id="rId471"/>
          <w:footerReference w:type="even" r:id="rId472"/>
          <w:footerReference w:type="default" r:id="rId473"/>
          <w:pgSz w:w="11910" w:h="16840"/>
          <w:pgMar w:header="0" w:footer="647" w:top="0" w:bottom="840" w:left="420" w:right="380"/>
          <w:pgNumType w:start="176"/>
        </w:sectPr>
      </w:pPr>
    </w:p>
    <w:p>
      <w:pPr>
        <w:pStyle w:val="BodyText"/>
      </w:pPr>
      <w:r>
        <w:rPr/>
        <w:drawing>
          <wp:anchor distT="0" distB="0" distL="0" distR="0" allowOverlap="1" layoutInCell="1" locked="0" behindDoc="0" simplePos="0" relativeHeight="252112896">
            <wp:simplePos x="0" y="0"/>
            <wp:positionH relativeFrom="page">
              <wp:posOffset>6974928</wp:posOffset>
            </wp:positionH>
            <wp:positionV relativeFrom="page">
              <wp:posOffset>0</wp:posOffset>
            </wp:positionV>
            <wp:extent cx="585076" cy="10692003"/>
            <wp:effectExtent l="0" t="0" r="0" b="0"/>
            <wp:wrapNone/>
            <wp:docPr id="343" name="image76.png"/>
            <wp:cNvGraphicFramePr>
              <a:graphicFrameLocks noChangeAspect="1"/>
            </wp:cNvGraphicFramePr>
            <a:graphic>
              <a:graphicData uri="http://schemas.openxmlformats.org/drawingml/2006/picture">
                <pic:pic>
                  <pic:nvPicPr>
                    <pic:cNvPr id="344" name="image76.png"/>
                    <pic:cNvPicPr/>
                  </pic:nvPicPr>
                  <pic:blipFill>
                    <a:blip r:embed="rId475"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spacing w:before="108"/>
        <w:ind w:left="0" w:right="865" w:firstLine="0"/>
        <w:jc w:val="right"/>
        <w:rPr>
          <w:sz w:val="26"/>
        </w:rPr>
      </w:pPr>
      <w:r>
        <w:rPr/>
        <w:pict>
          <v:shape style="position:absolute;margin-left:554.141174pt;margin-top:22.693945pt;width:26pt;height:133.75pt;mso-position-horizontal-relative:page;mso-position-vertical-relative:paragraph;z-index:252113920"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15"/>
          <w:sz w:val="26"/>
        </w:rPr>
        <w:t>Nominations</w:t>
      </w:r>
    </w:p>
    <w:p>
      <w:pPr>
        <w:pStyle w:val="ListParagraph"/>
        <w:numPr>
          <w:ilvl w:val="0"/>
          <w:numId w:val="120"/>
        </w:numPr>
        <w:tabs>
          <w:tab w:pos="2245" w:val="left" w:leader="none"/>
        </w:tabs>
        <w:spacing w:line="196" w:lineRule="auto" w:before="268" w:after="0"/>
        <w:ind w:left="2244" w:right="991" w:hanging="681"/>
        <w:jc w:val="left"/>
        <w:rPr>
          <w:rFonts w:ascii="Stone Sans II ITC Std Bk"/>
          <w:b/>
          <w:sz w:val="29"/>
        </w:rPr>
      </w:pPr>
      <w:r>
        <w:rPr>
          <w:rFonts w:ascii="Stone Sans II ITC Std Bk"/>
          <w:b/>
          <w:spacing w:val="4"/>
          <w:w w:val="110"/>
          <w:sz w:val="29"/>
        </w:rPr>
        <w:t>Governors </w:t>
      </w:r>
      <w:r>
        <w:rPr>
          <w:rFonts w:ascii="Stone Sans II ITC Std Bk"/>
          <w:b/>
          <w:w w:val="110"/>
          <w:sz w:val="29"/>
        </w:rPr>
        <w:t>of </w:t>
      </w:r>
      <w:r>
        <w:rPr>
          <w:rFonts w:ascii="Stone Sans II ITC Std Bk"/>
          <w:b/>
          <w:spacing w:val="4"/>
          <w:w w:val="110"/>
          <w:sz w:val="29"/>
        </w:rPr>
        <w:t>colleges </w:t>
      </w:r>
      <w:r>
        <w:rPr>
          <w:rFonts w:ascii="Stone Sans II ITC Std Bk"/>
          <w:b/>
          <w:spacing w:val="3"/>
          <w:w w:val="110"/>
          <w:sz w:val="29"/>
        </w:rPr>
        <w:t>and </w:t>
      </w:r>
      <w:r>
        <w:rPr>
          <w:rFonts w:ascii="Stone Sans II ITC Std Bk"/>
          <w:b/>
          <w:spacing w:val="4"/>
          <w:w w:val="110"/>
          <w:sz w:val="29"/>
        </w:rPr>
        <w:t>schools </w:t>
      </w:r>
      <w:r>
        <w:rPr>
          <w:rFonts w:ascii="Stone Sans II ITC Std Bk"/>
          <w:b/>
          <w:spacing w:val="2"/>
          <w:w w:val="110"/>
          <w:sz w:val="29"/>
        </w:rPr>
        <w:t>with </w:t>
      </w:r>
      <w:r>
        <w:rPr>
          <w:rFonts w:ascii="Stone Sans II ITC Std Bk"/>
          <w:b/>
          <w:spacing w:val="3"/>
          <w:w w:val="110"/>
          <w:sz w:val="29"/>
        </w:rPr>
        <w:t>which </w:t>
      </w:r>
      <w:r>
        <w:rPr>
          <w:rFonts w:ascii="Stone Sans II ITC Std Bk"/>
          <w:b/>
          <w:spacing w:val="2"/>
          <w:w w:val="110"/>
          <w:sz w:val="29"/>
        </w:rPr>
        <w:t>the </w:t>
      </w:r>
      <w:r>
        <w:rPr>
          <w:rFonts w:ascii="Stone Sans II ITC Std Bk"/>
          <w:b/>
          <w:spacing w:val="3"/>
          <w:w w:val="110"/>
          <w:sz w:val="29"/>
        </w:rPr>
        <w:t>United </w:t>
      </w:r>
      <w:r>
        <w:rPr>
          <w:rFonts w:ascii="Stone Sans II ITC Std Bk"/>
          <w:b/>
          <w:spacing w:val="4"/>
          <w:w w:val="110"/>
          <w:sz w:val="29"/>
        </w:rPr>
        <w:t>Reformed </w:t>
      </w:r>
      <w:r>
        <w:rPr>
          <w:rFonts w:ascii="Stone Sans II ITC Std Bk"/>
          <w:b/>
          <w:spacing w:val="3"/>
          <w:w w:val="110"/>
          <w:sz w:val="29"/>
        </w:rPr>
        <w:t>Church </w:t>
      </w:r>
      <w:r>
        <w:rPr>
          <w:rFonts w:ascii="Stone Sans II ITC Std Bk"/>
          <w:b/>
          <w:w w:val="110"/>
          <w:sz w:val="29"/>
        </w:rPr>
        <w:t>is</w:t>
      </w:r>
      <w:r>
        <w:rPr>
          <w:rFonts w:ascii="Stone Sans II ITC Std Bk"/>
          <w:b/>
          <w:spacing w:val="44"/>
          <w:w w:val="110"/>
          <w:sz w:val="29"/>
        </w:rPr>
        <w:t> </w:t>
      </w:r>
      <w:r>
        <w:rPr>
          <w:rFonts w:ascii="Stone Sans II ITC Std Bk"/>
          <w:b/>
          <w:spacing w:val="3"/>
          <w:w w:val="110"/>
          <w:sz w:val="29"/>
        </w:rPr>
        <w:t>associated</w:t>
      </w:r>
    </w:p>
    <w:p>
      <w:pPr>
        <w:pStyle w:val="ListParagraph"/>
        <w:numPr>
          <w:ilvl w:val="1"/>
          <w:numId w:val="120"/>
        </w:numPr>
        <w:tabs>
          <w:tab w:pos="2244" w:val="left" w:leader="none"/>
          <w:tab w:pos="2245" w:val="left" w:leader="none"/>
          <w:tab w:pos="5884" w:val="left" w:leader="none"/>
        </w:tabs>
        <w:spacing w:line="240" w:lineRule="auto" w:before="69" w:after="0"/>
        <w:ind w:left="2244" w:right="0" w:hanging="681"/>
        <w:jc w:val="left"/>
        <w:rPr>
          <w:rFonts w:ascii="Stone Sans II ITC Std Bk"/>
          <w:sz w:val="20"/>
        </w:rPr>
      </w:pPr>
      <w:r>
        <w:rPr>
          <w:rFonts w:ascii="Stone Sans II ITC Std Bk"/>
          <w:b/>
          <w:w w:val="115"/>
          <w:sz w:val="20"/>
        </w:rPr>
        <w:t>Caterham</w:t>
      </w:r>
      <w:r>
        <w:rPr>
          <w:rFonts w:ascii="Stone Sans II ITC Std Bk"/>
          <w:b/>
          <w:spacing w:val="-26"/>
          <w:w w:val="115"/>
          <w:sz w:val="20"/>
        </w:rPr>
        <w:t> </w:t>
      </w:r>
      <w:r>
        <w:rPr>
          <w:rFonts w:ascii="Stone Sans II ITC Std Bk"/>
          <w:b/>
          <w:w w:val="115"/>
          <w:sz w:val="20"/>
        </w:rPr>
        <w:t>School</w:t>
        <w:tab/>
      </w:r>
      <w:r>
        <w:rPr>
          <w:w w:val="120"/>
          <w:sz w:val="20"/>
        </w:rPr>
        <w:t>The Revd Nicola</w:t>
      </w:r>
      <w:r>
        <w:rPr>
          <w:spacing w:val="6"/>
          <w:w w:val="120"/>
          <w:sz w:val="20"/>
        </w:rPr>
        <w:t> </w:t>
      </w:r>
      <w:r>
        <w:rPr>
          <w:w w:val="120"/>
          <w:sz w:val="20"/>
        </w:rPr>
        <w:t>Furley-Smith</w:t>
      </w:r>
    </w:p>
    <w:p>
      <w:pPr>
        <w:pStyle w:val="ListParagraph"/>
        <w:numPr>
          <w:ilvl w:val="1"/>
          <w:numId w:val="120"/>
        </w:numPr>
        <w:tabs>
          <w:tab w:pos="2245" w:val="left" w:leader="none"/>
          <w:tab w:pos="5884" w:val="left" w:leader="none"/>
        </w:tabs>
        <w:spacing w:line="240" w:lineRule="auto" w:before="210" w:after="0"/>
        <w:ind w:left="2244" w:right="0" w:hanging="681"/>
        <w:jc w:val="left"/>
        <w:rPr>
          <w:rFonts w:ascii="Stone Sans II ITC Std Bk"/>
          <w:sz w:val="20"/>
        </w:rPr>
      </w:pPr>
      <w:r>
        <w:rPr>
          <w:rFonts w:ascii="Stone Sans II ITC Std Bk"/>
          <w:b/>
          <w:w w:val="115"/>
          <w:sz w:val="20"/>
        </w:rPr>
        <w:t>Eltham</w:t>
      </w:r>
      <w:r>
        <w:rPr>
          <w:rFonts w:ascii="Stone Sans II ITC Std Bk"/>
          <w:b/>
          <w:spacing w:val="-23"/>
          <w:w w:val="115"/>
          <w:sz w:val="20"/>
        </w:rPr>
        <w:t> </w:t>
      </w:r>
      <w:r>
        <w:rPr>
          <w:rFonts w:ascii="Stone Sans II ITC Std Bk"/>
          <w:b/>
          <w:w w:val="115"/>
          <w:sz w:val="20"/>
        </w:rPr>
        <w:t>College</w:t>
        <w:tab/>
      </w:r>
      <w:r>
        <w:rPr>
          <w:w w:val="115"/>
          <w:sz w:val="20"/>
        </w:rPr>
        <w:t>Mr Martin</w:t>
      </w:r>
      <w:r>
        <w:rPr>
          <w:spacing w:val="9"/>
          <w:w w:val="115"/>
          <w:sz w:val="20"/>
        </w:rPr>
        <w:t> </w:t>
      </w:r>
      <w:r>
        <w:rPr>
          <w:w w:val="115"/>
          <w:sz w:val="20"/>
        </w:rPr>
        <w:t>Fosten</w:t>
      </w:r>
    </w:p>
    <w:p>
      <w:pPr>
        <w:pStyle w:val="ListParagraph"/>
        <w:numPr>
          <w:ilvl w:val="1"/>
          <w:numId w:val="120"/>
        </w:numPr>
        <w:tabs>
          <w:tab w:pos="2244" w:val="left" w:leader="none"/>
          <w:tab w:pos="2245" w:val="left" w:leader="none"/>
          <w:tab w:pos="5884" w:val="left" w:leader="none"/>
        </w:tabs>
        <w:spacing w:line="240" w:lineRule="auto" w:before="209" w:after="0"/>
        <w:ind w:left="2244" w:right="0" w:hanging="681"/>
        <w:jc w:val="left"/>
        <w:rPr>
          <w:rFonts w:ascii="Stone Sans II ITC Std Bk"/>
          <w:sz w:val="20"/>
        </w:rPr>
      </w:pPr>
      <w:r>
        <w:rPr>
          <w:rFonts w:ascii="Stone Sans II ITC Std Bk"/>
          <w:b/>
          <w:w w:val="110"/>
          <w:sz w:val="20"/>
        </w:rPr>
        <w:t>Walthamstow</w:t>
      </w:r>
      <w:r>
        <w:rPr>
          <w:rFonts w:ascii="Stone Sans II ITC Std Bk"/>
          <w:b/>
          <w:spacing w:val="-2"/>
          <w:w w:val="110"/>
          <w:sz w:val="20"/>
        </w:rPr>
        <w:t> </w:t>
      </w:r>
      <w:r>
        <w:rPr>
          <w:rFonts w:ascii="Stone Sans II ITC Std Bk"/>
          <w:b/>
          <w:w w:val="110"/>
          <w:sz w:val="20"/>
        </w:rPr>
        <w:t>Hall</w:t>
        <w:tab/>
      </w:r>
      <w:r>
        <w:rPr>
          <w:w w:val="110"/>
          <w:sz w:val="20"/>
        </w:rPr>
        <w:t>Mrs Isabel</w:t>
      </w:r>
      <w:r>
        <w:rPr>
          <w:spacing w:val="16"/>
          <w:w w:val="110"/>
          <w:sz w:val="20"/>
        </w:rPr>
        <w:t> </w:t>
      </w:r>
      <w:r>
        <w:rPr>
          <w:w w:val="110"/>
          <w:sz w:val="20"/>
        </w:rPr>
        <w:t>Heald</w:t>
      </w:r>
    </w:p>
    <w:p>
      <w:pPr>
        <w:pStyle w:val="Heading8"/>
        <w:numPr>
          <w:ilvl w:val="1"/>
          <w:numId w:val="120"/>
        </w:numPr>
        <w:tabs>
          <w:tab w:pos="2244" w:val="left" w:leader="none"/>
          <w:tab w:pos="2245" w:val="left" w:leader="none"/>
        </w:tabs>
        <w:spacing w:line="261" w:lineRule="exact" w:before="210" w:after="0"/>
        <w:ind w:left="2244" w:right="0" w:hanging="681"/>
        <w:jc w:val="left"/>
      </w:pPr>
      <w:r>
        <w:rPr>
          <w:w w:val="110"/>
        </w:rPr>
        <w:t>Milton Mount</w:t>
      </w:r>
      <w:r>
        <w:rPr>
          <w:spacing w:val="-1"/>
          <w:w w:val="110"/>
        </w:rPr>
        <w:t> </w:t>
      </w:r>
      <w:r>
        <w:rPr>
          <w:w w:val="110"/>
        </w:rPr>
        <w:t>Foundation</w:t>
      </w:r>
    </w:p>
    <w:p>
      <w:pPr>
        <w:pStyle w:val="BodyText"/>
        <w:tabs>
          <w:tab w:pos="5884" w:val="left" w:leader="none"/>
        </w:tabs>
        <w:spacing w:line="235" w:lineRule="auto"/>
        <w:ind w:left="1564" w:right="1946"/>
      </w:pPr>
      <w:r>
        <w:rPr>
          <w:w w:val="120"/>
        </w:rPr>
        <w:t>Mr Ray</w:t>
      </w:r>
      <w:r>
        <w:rPr>
          <w:spacing w:val="18"/>
          <w:w w:val="120"/>
        </w:rPr>
        <w:t> </w:t>
      </w:r>
      <w:r>
        <w:rPr>
          <w:w w:val="120"/>
        </w:rPr>
        <w:t>Dunnett</w:t>
      </w:r>
      <w:r>
        <w:rPr>
          <w:spacing w:val="9"/>
          <w:w w:val="120"/>
        </w:rPr>
        <w:t> </w:t>
      </w:r>
      <w:r>
        <w:rPr>
          <w:spacing w:val="-8"/>
          <w:w w:val="120"/>
        </w:rPr>
        <w:t>[2019]</w:t>
        <w:tab/>
      </w:r>
      <w:r>
        <w:rPr>
          <w:w w:val="120"/>
        </w:rPr>
        <w:t>The Revd Kevin Swaine </w:t>
      </w:r>
      <w:r>
        <w:rPr>
          <w:spacing w:val="-8"/>
          <w:w w:val="120"/>
        </w:rPr>
        <w:t>[2019] </w:t>
      </w:r>
      <w:r>
        <w:rPr>
          <w:w w:val="120"/>
        </w:rPr>
        <w:t>The Revd June</w:t>
      </w:r>
      <w:r>
        <w:rPr>
          <w:spacing w:val="7"/>
          <w:w w:val="120"/>
        </w:rPr>
        <w:t> </w:t>
      </w:r>
      <w:r>
        <w:rPr>
          <w:w w:val="120"/>
        </w:rPr>
        <w:t>Colley</w:t>
      </w:r>
      <w:r>
        <w:rPr>
          <w:spacing w:val="3"/>
          <w:w w:val="120"/>
        </w:rPr>
        <w:t> </w:t>
      </w:r>
      <w:r>
        <w:rPr>
          <w:spacing w:val="-3"/>
          <w:w w:val="120"/>
        </w:rPr>
        <w:t>[2022]**</w:t>
        <w:tab/>
      </w:r>
      <w:r>
        <w:rPr>
          <w:w w:val="120"/>
        </w:rPr>
        <w:t>The Revd Carole Elphick </w:t>
      </w:r>
      <w:r>
        <w:rPr>
          <w:spacing w:val="-3"/>
          <w:w w:val="120"/>
        </w:rPr>
        <w:t>[2022]** </w:t>
      </w:r>
      <w:r>
        <w:rPr>
          <w:w w:val="120"/>
        </w:rPr>
        <w:t>The Revd Derek Lindfield</w:t>
      </w:r>
      <w:r>
        <w:rPr>
          <w:spacing w:val="12"/>
          <w:w w:val="120"/>
        </w:rPr>
        <w:t> </w:t>
      </w:r>
      <w:r>
        <w:rPr>
          <w:spacing w:val="-5"/>
          <w:w w:val="120"/>
        </w:rPr>
        <w:t>[2022]†</w:t>
      </w:r>
    </w:p>
    <w:p>
      <w:pPr>
        <w:pStyle w:val="BodyText"/>
        <w:spacing w:before="1"/>
        <w:rPr>
          <w:sz w:val="18"/>
        </w:rPr>
      </w:pPr>
    </w:p>
    <w:p>
      <w:pPr>
        <w:pStyle w:val="Heading8"/>
        <w:numPr>
          <w:ilvl w:val="1"/>
          <w:numId w:val="120"/>
        </w:numPr>
        <w:tabs>
          <w:tab w:pos="2245" w:val="left" w:leader="none"/>
        </w:tabs>
        <w:spacing w:line="261" w:lineRule="exact" w:before="0" w:after="0"/>
        <w:ind w:left="2244" w:right="0" w:hanging="681"/>
        <w:jc w:val="left"/>
      </w:pPr>
      <w:r>
        <w:rPr>
          <w:w w:val="110"/>
        </w:rPr>
        <w:t>Silcoates</w:t>
      </w:r>
      <w:r>
        <w:rPr>
          <w:spacing w:val="-1"/>
          <w:w w:val="110"/>
        </w:rPr>
        <w:t> </w:t>
      </w:r>
      <w:r>
        <w:rPr>
          <w:w w:val="110"/>
        </w:rPr>
        <w:t>School</w:t>
      </w:r>
    </w:p>
    <w:p>
      <w:pPr>
        <w:pStyle w:val="BodyText"/>
        <w:tabs>
          <w:tab w:pos="5884" w:val="left" w:leader="none"/>
        </w:tabs>
        <w:spacing w:line="233" w:lineRule="exact"/>
        <w:ind w:left="1564"/>
      </w:pPr>
      <w:r>
        <w:rPr>
          <w:w w:val="120"/>
        </w:rPr>
        <w:t>Dr</w:t>
      </w:r>
      <w:r>
        <w:rPr>
          <w:spacing w:val="6"/>
          <w:w w:val="120"/>
        </w:rPr>
        <w:t> </w:t>
      </w:r>
      <w:r>
        <w:rPr>
          <w:w w:val="120"/>
        </w:rPr>
        <w:t>Moira</w:t>
      </w:r>
      <w:r>
        <w:rPr>
          <w:spacing w:val="7"/>
          <w:w w:val="120"/>
        </w:rPr>
        <w:t> </w:t>
      </w:r>
      <w:r>
        <w:rPr>
          <w:w w:val="120"/>
        </w:rPr>
        <w:t>Gallagher</w:t>
        <w:tab/>
        <w:t>The Revd Dr Janet</w:t>
      </w:r>
      <w:r>
        <w:rPr>
          <w:spacing w:val="7"/>
          <w:w w:val="120"/>
        </w:rPr>
        <w:t> </w:t>
      </w:r>
      <w:r>
        <w:rPr>
          <w:w w:val="120"/>
        </w:rPr>
        <w:t>Lees</w:t>
      </w:r>
    </w:p>
    <w:p>
      <w:pPr>
        <w:pStyle w:val="BodyText"/>
        <w:tabs>
          <w:tab w:pos="5884" w:val="left" w:leader="none"/>
        </w:tabs>
        <w:spacing w:line="235" w:lineRule="auto" w:before="2"/>
        <w:ind w:left="1564" w:right="4034"/>
      </w:pPr>
      <w:r>
        <w:rPr>
          <w:w w:val="120"/>
        </w:rPr>
        <w:t>The Revd</w:t>
      </w:r>
      <w:r>
        <w:rPr>
          <w:spacing w:val="8"/>
          <w:w w:val="120"/>
        </w:rPr>
        <w:t> </w:t>
      </w:r>
      <w:r>
        <w:rPr>
          <w:w w:val="120"/>
        </w:rPr>
        <w:t>Steven</w:t>
      </w:r>
      <w:r>
        <w:rPr>
          <w:spacing w:val="4"/>
          <w:w w:val="120"/>
        </w:rPr>
        <w:t> </w:t>
      </w:r>
      <w:r>
        <w:rPr>
          <w:w w:val="120"/>
        </w:rPr>
        <w:t>Knapton</w:t>
        <w:tab/>
        <w:t>Mrs Sue </w:t>
      </w:r>
      <w:r>
        <w:rPr>
          <w:spacing w:val="-5"/>
          <w:w w:val="120"/>
        </w:rPr>
        <w:t>Lee </w:t>
      </w:r>
      <w:r>
        <w:rPr>
          <w:w w:val="120"/>
        </w:rPr>
        <w:t>Mrs </w:t>
      </w:r>
      <w:r>
        <w:rPr>
          <w:spacing w:val="-3"/>
          <w:w w:val="120"/>
        </w:rPr>
        <w:t>Tessa</w:t>
      </w:r>
      <w:r>
        <w:rPr>
          <w:spacing w:val="4"/>
          <w:w w:val="120"/>
        </w:rPr>
        <w:t> </w:t>
      </w:r>
      <w:r>
        <w:rPr>
          <w:w w:val="120"/>
        </w:rPr>
        <w:t>Henry-Robinson</w:t>
      </w:r>
    </w:p>
    <w:p>
      <w:pPr>
        <w:pStyle w:val="BodyText"/>
        <w:spacing w:before="5"/>
        <w:rPr>
          <w:sz w:val="18"/>
        </w:rPr>
      </w:pPr>
    </w:p>
    <w:p>
      <w:pPr>
        <w:pStyle w:val="ListParagraph"/>
        <w:numPr>
          <w:ilvl w:val="1"/>
          <w:numId w:val="120"/>
        </w:numPr>
        <w:tabs>
          <w:tab w:pos="2244" w:val="left" w:leader="none"/>
          <w:tab w:pos="2245" w:val="left" w:leader="none"/>
          <w:tab w:pos="5884" w:val="left" w:leader="none"/>
        </w:tabs>
        <w:spacing w:line="240" w:lineRule="auto" w:before="0" w:after="0"/>
        <w:ind w:left="2244" w:right="0" w:hanging="681"/>
        <w:jc w:val="left"/>
        <w:rPr>
          <w:rFonts w:ascii="Stone Sans II ITC Std Bk"/>
          <w:sz w:val="20"/>
        </w:rPr>
      </w:pPr>
      <w:r>
        <w:rPr>
          <w:rFonts w:ascii="Stone Sans II ITC Std Bk"/>
          <w:b/>
          <w:spacing w:val="-3"/>
          <w:w w:val="115"/>
          <w:sz w:val="20"/>
        </w:rPr>
        <w:t>Taunton</w:t>
      </w:r>
      <w:r>
        <w:rPr>
          <w:rFonts w:ascii="Stone Sans II ITC Std Bk"/>
          <w:b/>
          <w:spacing w:val="-22"/>
          <w:w w:val="115"/>
          <w:sz w:val="20"/>
        </w:rPr>
        <w:t> </w:t>
      </w:r>
      <w:r>
        <w:rPr>
          <w:rFonts w:ascii="Stone Sans II ITC Std Bk"/>
          <w:b/>
          <w:w w:val="115"/>
          <w:sz w:val="20"/>
        </w:rPr>
        <w:t>School</w:t>
        <w:tab/>
      </w:r>
      <w:r>
        <w:rPr>
          <w:w w:val="120"/>
          <w:sz w:val="20"/>
        </w:rPr>
        <w:t>Baptist governor at</w:t>
      </w:r>
      <w:r>
        <w:rPr>
          <w:spacing w:val="6"/>
          <w:w w:val="120"/>
          <w:sz w:val="20"/>
        </w:rPr>
        <w:t> </w:t>
      </w:r>
      <w:r>
        <w:rPr>
          <w:w w:val="120"/>
          <w:sz w:val="20"/>
        </w:rPr>
        <w:t>present</w:t>
      </w:r>
    </w:p>
    <w:p>
      <w:pPr>
        <w:pStyle w:val="ListParagraph"/>
        <w:numPr>
          <w:ilvl w:val="1"/>
          <w:numId w:val="120"/>
        </w:numPr>
        <w:tabs>
          <w:tab w:pos="2244" w:val="left" w:leader="none"/>
          <w:tab w:pos="2245" w:val="left" w:leader="none"/>
          <w:tab w:pos="5884" w:val="left" w:leader="none"/>
        </w:tabs>
        <w:spacing w:line="240" w:lineRule="auto" w:before="210" w:after="0"/>
        <w:ind w:left="2244" w:right="0" w:hanging="681"/>
        <w:jc w:val="left"/>
        <w:rPr>
          <w:rFonts w:ascii="Stone Sans II ITC Std Bk"/>
          <w:sz w:val="20"/>
        </w:rPr>
      </w:pPr>
      <w:r>
        <w:rPr>
          <w:rFonts w:ascii="Stone Sans II ITC Std Bk"/>
          <w:b/>
          <w:w w:val="115"/>
          <w:sz w:val="20"/>
        </w:rPr>
        <w:t>Bishops</w:t>
      </w:r>
      <w:r>
        <w:rPr>
          <w:rFonts w:ascii="Stone Sans II ITC Std Bk"/>
          <w:b/>
          <w:spacing w:val="-27"/>
          <w:w w:val="115"/>
          <w:sz w:val="20"/>
        </w:rPr>
        <w:t> </w:t>
      </w:r>
      <w:r>
        <w:rPr>
          <w:rFonts w:ascii="Stone Sans II ITC Std Bk"/>
          <w:b/>
          <w:w w:val="115"/>
          <w:sz w:val="20"/>
        </w:rPr>
        <w:t>Stortford</w:t>
      </w:r>
      <w:r>
        <w:rPr>
          <w:rFonts w:ascii="Stone Sans II ITC Std Bk"/>
          <w:b/>
          <w:spacing w:val="-26"/>
          <w:w w:val="115"/>
          <w:sz w:val="20"/>
        </w:rPr>
        <w:t> </w:t>
      </w:r>
      <w:r>
        <w:rPr>
          <w:rFonts w:ascii="Stone Sans II ITC Std Bk"/>
          <w:b/>
          <w:w w:val="115"/>
          <w:sz w:val="20"/>
        </w:rPr>
        <w:t>College</w:t>
        <w:tab/>
      </w:r>
      <w:r>
        <w:rPr>
          <w:w w:val="115"/>
          <w:sz w:val="20"/>
        </w:rPr>
        <w:t>Mr Anthony</w:t>
      </w:r>
      <w:r>
        <w:rPr>
          <w:spacing w:val="12"/>
          <w:w w:val="115"/>
          <w:sz w:val="20"/>
        </w:rPr>
        <w:t> </w:t>
      </w:r>
      <w:r>
        <w:rPr>
          <w:w w:val="115"/>
          <w:sz w:val="20"/>
        </w:rPr>
        <w:t>Trigg</w:t>
      </w:r>
    </w:p>
    <w:p>
      <w:pPr>
        <w:pStyle w:val="BodyText"/>
        <w:spacing w:before="10"/>
      </w:pPr>
    </w:p>
    <w:p>
      <w:pPr>
        <w:pStyle w:val="Heading4"/>
        <w:numPr>
          <w:ilvl w:val="0"/>
          <w:numId w:val="120"/>
        </w:numPr>
        <w:tabs>
          <w:tab w:pos="2244" w:val="left" w:leader="none"/>
          <w:tab w:pos="2245" w:val="left" w:leader="none"/>
        </w:tabs>
        <w:spacing w:line="240" w:lineRule="auto" w:before="0" w:after="0"/>
        <w:ind w:left="2244" w:right="0" w:hanging="681"/>
        <w:jc w:val="left"/>
      </w:pPr>
      <w:r>
        <w:rPr>
          <w:spacing w:val="3"/>
          <w:w w:val="110"/>
        </w:rPr>
        <w:t>Miscellaneous</w:t>
      </w:r>
    </w:p>
    <w:p>
      <w:pPr>
        <w:pStyle w:val="BodyText"/>
        <w:spacing w:line="235" w:lineRule="auto" w:before="69"/>
        <w:ind w:left="1564" w:right="1528"/>
      </w:pPr>
      <w:r>
        <w:rPr>
          <w:w w:val="120"/>
        </w:rPr>
        <w:t>The United Reformed Church is represented on a variety of other national organisations and committees as follows:</w:t>
      </w:r>
    </w:p>
    <w:p>
      <w:pPr>
        <w:pStyle w:val="BodyText"/>
        <w:spacing w:before="6"/>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Arthur Rank</w:t>
      </w:r>
      <w:r>
        <w:rPr>
          <w:spacing w:val="-1"/>
          <w:w w:val="110"/>
        </w:rPr>
        <w:t> </w:t>
      </w:r>
      <w:r>
        <w:rPr>
          <w:w w:val="110"/>
        </w:rPr>
        <w:t>Centre</w:t>
      </w:r>
    </w:p>
    <w:p>
      <w:pPr>
        <w:pStyle w:val="BodyText"/>
        <w:spacing w:line="235" w:lineRule="exact"/>
        <w:ind w:left="1564"/>
      </w:pPr>
      <w:r>
        <w:rPr>
          <w:w w:val="120"/>
        </w:rPr>
        <w:t>The Revd Elizabeth Caswell</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Churches Legislation Advisory Service</w:t>
      </w:r>
    </w:p>
    <w:p>
      <w:pPr>
        <w:pStyle w:val="BodyText"/>
        <w:tabs>
          <w:tab w:pos="5884" w:val="left" w:leader="none"/>
        </w:tabs>
        <w:spacing w:line="235" w:lineRule="exact"/>
        <w:ind w:left="1564"/>
      </w:pPr>
      <w:r>
        <w:rPr>
          <w:w w:val="120"/>
        </w:rPr>
        <w:t>Mrs</w:t>
      </w:r>
      <w:r>
        <w:rPr>
          <w:spacing w:val="3"/>
          <w:w w:val="120"/>
        </w:rPr>
        <w:t> </w:t>
      </w:r>
      <w:r>
        <w:rPr>
          <w:w w:val="120"/>
        </w:rPr>
        <w:t>Sheila</w:t>
      </w:r>
      <w:r>
        <w:rPr>
          <w:spacing w:val="3"/>
          <w:w w:val="120"/>
        </w:rPr>
        <w:t> </w:t>
      </w:r>
      <w:r>
        <w:rPr>
          <w:w w:val="120"/>
        </w:rPr>
        <w:t>Duncan</w:t>
        <w:tab/>
        <w:t>General</w:t>
      </w:r>
      <w:r>
        <w:rPr>
          <w:spacing w:val="2"/>
          <w:w w:val="120"/>
        </w:rPr>
        <w:t> </w:t>
      </w:r>
      <w:r>
        <w:rPr>
          <w:w w:val="120"/>
        </w:rPr>
        <w:t>Secretary</w:t>
      </w:r>
    </w:p>
    <w:p>
      <w:pPr>
        <w:pStyle w:val="BodyText"/>
        <w:spacing w:before="4"/>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Congregational Fund</w:t>
      </w:r>
      <w:r>
        <w:rPr>
          <w:spacing w:val="-1"/>
          <w:w w:val="110"/>
        </w:rPr>
        <w:t> </w:t>
      </w:r>
      <w:r>
        <w:rPr>
          <w:w w:val="110"/>
        </w:rPr>
        <w:t>Board</w:t>
      </w:r>
    </w:p>
    <w:p>
      <w:pPr>
        <w:pStyle w:val="BodyText"/>
        <w:tabs>
          <w:tab w:pos="5884" w:val="left" w:leader="none"/>
        </w:tabs>
        <w:spacing w:line="233" w:lineRule="exact"/>
        <w:ind w:left="1564"/>
      </w:pPr>
      <w:r>
        <w:rPr>
          <w:w w:val="120"/>
        </w:rPr>
        <w:t>Mr</w:t>
      </w:r>
      <w:r>
        <w:rPr>
          <w:spacing w:val="-2"/>
          <w:w w:val="120"/>
        </w:rPr>
        <w:t> </w:t>
      </w:r>
      <w:r>
        <w:rPr>
          <w:w w:val="120"/>
        </w:rPr>
        <w:t>Anthony</w:t>
      </w:r>
      <w:r>
        <w:rPr>
          <w:spacing w:val="-2"/>
          <w:w w:val="120"/>
        </w:rPr>
        <w:t> </w:t>
      </w:r>
      <w:r>
        <w:rPr>
          <w:w w:val="120"/>
        </w:rPr>
        <w:t>Bayley</w:t>
        <w:tab/>
        <w:t>The Revd Geoffrey</w:t>
      </w:r>
      <w:r>
        <w:rPr>
          <w:spacing w:val="6"/>
          <w:w w:val="120"/>
        </w:rPr>
        <w:t> </w:t>
      </w:r>
      <w:r>
        <w:rPr>
          <w:w w:val="120"/>
        </w:rPr>
        <w:t>Roper</w:t>
      </w:r>
    </w:p>
    <w:p>
      <w:pPr>
        <w:pStyle w:val="BodyText"/>
        <w:tabs>
          <w:tab w:pos="5884" w:val="left" w:leader="none"/>
        </w:tabs>
        <w:spacing w:line="235" w:lineRule="auto" w:before="2"/>
        <w:ind w:left="1564" w:right="3645"/>
      </w:pPr>
      <w:r>
        <w:rPr>
          <w:w w:val="120"/>
        </w:rPr>
        <w:t>The Revd</w:t>
      </w:r>
      <w:r>
        <w:rPr>
          <w:spacing w:val="9"/>
          <w:w w:val="120"/>
        </w:rPr>
        <w:t> </w:t>
      </w:r>
      <w:r>
        <w:rPr>
          <w:w w:val="120"/>
        </w:rPr>
        <w:t>Eric</w:t>
      </w:r>
      <w:r>
        <w:rPr>
          <w:spacing w:val="4"/>
          <w:w w:val="120"/>
        </w:rPr>
        <w:t> </w:t>
      </w:r>
      <w:r>
        <w:rPr>
          <w:w w:val="120"/>
        </w:rPr>
        <w:t>Allen</w:t>
        <w:tab/>
        <w:t>Mrs Jackie</w:t>
      </w:r>
      <w:r>
        <w:rPr>
          <w:spacing w:val="-20"/>
          <w:w w:val="120"/>
        </w:rPr>
        <w:t> </w:t>
      </w:r>
      <w:r>
        <w:rPr>
          <w:spacing w:val="-4"/>
          <w:w w:val="120"/>
        </w:rPr>
        <w:t>Haws </w:t>
      </w:r>
      <w:r>
        <w:rPr>
          <w:w w:val="120"/>
        </w:rPr>
        <w:t>The Revd Kate</w:t>
      </w:r>
      <w:r>
        <w:rPr>
          <w:spacing w:val="5"/>
          <w:w w:val="120"/>
        </w:rPr>
        <w:t> </w:t>
      </w:r>
      <w:r>
        <w:rPr>
          <w:w w:val="120"/>
        </w:rPr>
        <w:t>Hackett</w:t>
      </w:r>
    </w:p>
    <w:p>
      <w:pPr>
        <w:pStyle w:val="BodyText"/>
        <w:spacing w:before="5"/>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Congregational Memorial Hall Trust</w:t>
      </w:r>
    </w:p>
    <w:p>
      <w:pPr>
        <w:pStyle w:val="BodyText"/>
        <w:tabs>
          <w:tab w:pos="5884" w:val="left" w:leader="none"/>
        </w:tabs>
        <w:spacing w:line="233" w:lineRule="exact"/>
        <w:ind w:left="1564"/>
      </w:pPr>
      <w:r>
        <w:rPr>
          <w:w w:val="120"/>
        </w:rPr>
        <w:t>The Revd</w:t>
      </w:r>
      <w:r>
        <w:rPr>
          <w:spacing w:val="-1"/>
          <w:w w:val="120"/>
        </w:rPr>
        <w:t> </w:t>
      </w:r>
      <w:r>
        <w:rPr>
          <w:w w:val="120"/>
        </w:rPr>
        <w:t>Derek Wales</w:t>
        <w:tab/>
        <w:t>Mrs Margaret</w:t>
      </w:r>
      <w:r>
        <w:rPr>
          <w:spacing w:val="-1"/>
          <w:w w:val="120"/>
        </w:rPr>
        <w:t> </w:t>
      </w:r>
      <w:r>
        <w:rPr>
          <w:w w:val="120"/>
        </w:rPr>
        <w:t>Thompson</w:t>
      </w:r>
    </w:p>
    <w:p>
      <w:pPr>
        <w:pStyle w:val="BodyText"/>
        <w:tabs>
          <w:tab w:pos="5884" w:val="left" w:leader="none"/>
        </w:tabs>
        <w:spacing w:line="240" w:lineRule="exact"/>
        <w:ind w:left="1564"/>
      </w:pPr>
      <w:r>
        <w:rPr>
          <w:w w:val="120"/>
        </w:rPr>
        <w:t>Mr</w:t>
      </w:r>
      <w:r>
        <w:rPr>
          <w:spacing w:val="2"/>
          <w:w w:val="120"/>
        </w:rPr>
        <w:t> </w:t>
      </w:r>
      <w:r>
        <w:rPr>
          <w:w w:val="120"/>
        </w:rPr>
        <w:t>Simon</w:t>
      </w:r>
      <w:r>
        <w:rPr>
          <w:spacing w:val="3"/>
          <w:w w:val="120"/>
        </w:rPr>
        <w:t> </w:t>
      </w:r>
      <w:r>
        <w:rPr>
          <w:w w:val="120"/>
        </w:rPr>
        <w:t>Fairnington</w:t>
        <w:tab/>
        <w:t>Dr Brian</w:t>
      </w:r>
      <w:r>
        <w:rPr>
          <w:spacing w:val="4"/>
          <w:w w:val="120"/>
        </w:rPr>
        <w:t> </w:t>
      </w:r>
      <w:r>
        <w:rPr>
          <w:w w:val="120"/>
        </w:rPr>
        <w:t>Woodhall</w:t>
      </w:r>
    </w:p>
    <w:p>
      <w:pPr>
        <w:pStyle w:val="BodyText"/>
        <w:tabs>
          <w:tab w:pos="5884" w:val="left" w:leader="none"/>
        </w:tabs>
        <w:spacing w:line="242" w:lineRule="exact"/>
        <w:ind w:left="1564"/>
      </w:pPr>
      <w:r>
        <w:rPr>
          <w:w w:val="120"/>
        </w:rPr>
        <w:t>Mr</w:t>
      </w:r>
      <w:r>
        <w:rPr>
          <w:spacing w:val="-6"/>
          <w:w w:val="120"/>
        </w:rPr>
        <w:t> </w:t>
      </w:r>
      <w:r>
        <w:rPr>
          <w:w w:val="120"/>
        </w:rPr>
        <w:t>John</w:t>
      </w:r>
      <w:r>
        <w:rPr>
          <w:spacing w:val="-5"/>
          <w:w w:val="120"/>
        </w:rPr>
        <w:t> </w:t>
      </w:r>
      <w:r>
        <w:rPr>
          <w:w w:val="120"/>
        </w:rPr>
        <w:t>Ellis</w:t>
        <w:tab/>
        <w:t>Mr Philip Bonnier</w:t>
      </w:r>
      <w:r>
        <w:rPr>
          <w:spacing w:val="8"/>
          <w:w w:val="120"/>
        </w:rPr>
        <w:t> </w:t>
      </w:r>
      <w:r>
        <w:rPr>
          <w:spacing w:val="-8"/>
          <w:w w:val="120"/>
        </w:rPr>
        <w:t>[2021]</w:t>
      </w:r>
    </w:p>
    <w:p>
      <w:pPr>
        <w:pStyle w:val="BodyText"/>
        <w:spacing w:before="3"/>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English Heritage’s places of worship</w:t>
      </w:r>
      <w:r>
        <w:rPr>
          <w:spacing w:val="-2"/>
          <w:w w:val="110"/>
        </w:rPr>
        <w:t> </w:t>
      </w:r>
      <w:r>
        <w:rPr>
          <w:w w:val="110"/>
        </w:rPr>
        <w:t>forum</w:t>
      </w:r>
    </w:p>
    <w:p>
      <w:pPr>
        <w:pStyle w:val="BodyText"/>
        <w:spacing w:line="235" w:lineRule="exact"/>
        <w:ind w:left="1564"/>
      </w:pPr>
      <w:r>
        <w:rPr>
          <w:w w:val="120"/>
        </w:rPr>
        <w:t>Mr Peter West (convenor of the listed buildings advisory group)</w:t>
      </w:r>
    </w:p>
    <w:p>
      <w:pPr>
        <w:pStyle w:val="BodyText"/>
        <w:spacing w:before="4"/>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Lord Wharton’s</w:t>
      </w:r>
      <w:r>
        <w:rPr>
          <w:spacing w:val="-1"/>
          <w:w w:val="110"/>
        </w:rPr>
        <w:t> </w:t>
      </w:r>
      <w:r>
        <w:rPr>
          <w:w w:val="110"/>
        </w:rPr>
        <w:t>Charity</w:t>
      </w:r>
    </w:p>
    <w:p>
      <w:pPr>
        <w:pStyle w:val="BodyText"/>
        <w:spacing w:line="235" w:lineRule="exact"/>
        <w:ind w:left="1564"/>
      </w:pPr>
      <w:r>
        <w:rPr>
          <w:w w:val="120"/>
        </w:rPr>
        <w:t>The Revd Derek Lindfield</w:t>
      </w:r>
    </w:p>
    <w:p>
      <w:pPr>
        <w:pStyle w:val="BodyText"/>
        <w:spacing w:before="3"/>
        <w:rPr>
          <w:sz w:val="18"/>
        </w:rPr>
      </w:pPr>
    </w:p>
    <w:p>
      <w:pPr>
        <w:pStyle w:val="Heading8"/>
        <w:numPr>
          <w:ilvl w:val="1"/>
          <w:numId w:val="120"/>
        </w:numPr>
        <w:tabs>
          <w:tab w:pos="2244" w:val="left" w:leader="none"/>
          <w:tab w:pos="2245" w:val="left" w:leader="none"/>
        </w:tabs>
        <w:spacing w:line="240" w:lineRule="auto" w:before="0" w:after="0"/>
        <w:ind w:left="2244" w:right="0" w:hanging="681"/>
        <w:jc w:val="left"/>
      </w:pPr>
      <w:r>
        <w:rPr>
          <w:w w:val="110"/>
        </w:rPr>
        <w:t>Methodist faith and order</w:t>
      </w:r>
      <w:r>
        <w:rPr>
          <w:spacing w:val="-1"/>
          <w:w w:val="110"/>
        </w:rPr>
        <w:t> </w:t>
      </w:r>
      <w:r>
        <w:rPr>
          <w:w w:val="110"/>
        </w:rPr>
        <w:t>committee</w:t>
      </w:r>
    </w:p>
    <w:p>
      <w:pPr>
        <w:pStyle w:val="ListParagraph"/>
        <w:numPr>
          <w:ilvl w:val="1"/>
          <w:numId w:val="120"/>
        </w:numPr>
        <w:tabs>
          <w:tab w:pos="2244" w:val="left" w:leader="none"/>
          <w:tab w:pos="2245" w:val="left" w:leader="none"/>
        </w:tabs>
        <w:spacing w:line="261" w:lineRule="exact" w:before="210" w:after="0"/>
        <w:ind w:left="2244" w:right="0" w:hanging="681"/>
        <w:jc w:val="left"/>
        <w:rPr>
          <w:rFonts w:ascii="Stone Sans II ITC Std Bk" w:hAnsi="Stone Sans II ITC Std Bk"/>
          <w:b/>
          <w:sz w:val="20"/>
        </w:rPr>
      </w:pPr>
      <w:r>
        <w:rPr>
          <w:rFonts w:ascii="Stone Sans II ITC Std Bk" w:hAnsi="Stone Sans II ITC Std Bk"/>
          <w:b/>
          <w:w w:val="110"/>
          <w:sz w:val="20"/>
        </w:rPr>
        <w:t>Retired ministers’ and widows’</w:t>
      </w:r>
      <w:r>
        <w:rPr>
          <w:rFonts w:ascii="Stone Sans II ITC Std Bk" w:hAnsi="Stone Sans II ITC Std Bk"/>
          <w:b/>
          <w:spacing w:val="-2"/>
          <w:w w:val="110"/>
          <w:sz w:val="20"/>
        </w:rPr>
        <w:t> </w:t>
      </w:r>
      <w:r>
        <w:rPr>
          <w:rFonts w:ascii="Stone Sans II ITC Std Bk" w:hAnsi="Stone Sans II ITC Std Bk"/>
          <w:b/>
          <w:w w:val="110"/>
          <w:sz w:val="20"/>
        </w:rPr>
        <w:t>fund</w:t>
      </w:r>
    </w:p>
    <w:p>
      <w:pPr>
        <w:pStyle w:val="BodyText"/>
        <w:tabs>
          <w:tab w:pos="5884" w:val="left" w:leader="none"/>
        </w:tabs>
        <w:spacing w:line="235" w:lineRule="auto"/>
        <w:ind w:left="1564" w:right="3356"/>
      </w:pPr>
      <w:r>
        <w:rPr>
          <w:w w:val="120"/>
        </w:rPr>
        <w:t>The Revd</w:t>
      </w:r>
      <w:r>
        <w:rPr>
          <w:spacing w:val="-4"/>
          <w:w w:val="120"/>
        </w:rPr>
        <w:t> </w:t>
      </w:r>
      <w:r>
        <w:rPr>
          <w:w w:val="120"/>
        </w:rPr>
        <w:t>Julian</w:t>
      </w:r>
      <w:r>
        <w:rPr>
          <w:spacing w:val="-2"/>
          <w:w w:val="120"/>
        </w:rPr>
        <w:t> </w:t>
      </w:r>
      <w:r>
        <w:rPr>
          <w:w w:val="120"/>
        </w:rPr>
        <w:t>Macro</w:t>
        <w:tab/>
        <w:t>Mr Anthony Bayley Mrs Liz</w:t>
      </w:r>
      <w:r>
        <w:rPr>
          <w:spacing w:val="3"/>
          <w:w w:val="120"/>
        </w:rPr>
        <w:t> </w:t>
      </w:r>
      <w:r>
        <w:rPr>
          <w:w w:val="120"/>
        </w:rPr>
        <w:t>Sharples</w:t>
      </w:r>
    </w:p>
    <w:p>
      <w:pPr>
        <w:pStyle w:val="BodyText"/>
        <w:rPr>
          <w:sz w:val="18"/>
        </w:rPr>
      </w:pPr>
    </w:p>
    <w:p>
      <w:pPr>
        <w:pStyle w:val="Heading8"/>
        <w:numPr>
          <w:ilvl w:val="1"/>
          <w:numId w:val="120"/>
        </w:numPr>
        <w:tabs>
          <w:tab w:pos="2244" w:val="left" w:leader="none"/>
          <w:tab w:pos="2245" w:val="left" w:leader="none"/>
        </w:tabs>
        <w:spacing w:line="261" w:lineRule="exact" w:before="0" w:after="0"/>
        <w:ind w:left="2244" w:right="0" w:hanging="681"/>
        <w:jc w:val="left"/>
      </w:pPr>
      <w:r>
        <w:rPr>
          <w:w w:val="110"/>
        </w:rPr>
        <w:t>Roots for Churches</w:t>
      </w:r>
      <w:r>
        <w:rPr>
          <w:spacing w:val="-1"/>
          <w:w w:val="110"/>
        </w:rPr>
        <w:t> </w:t>
      </w:r>
      <w:r>
        <w:rPr>
          <w:w w:val="110"/>
        </w:rPr>
        <w:t>Ltd</w:t>
      </w:r>
    </w:p>
    <w:p>
      <w:pPr>
        <w:pStyle w:val="BodyText"/>
        <w:spacing w:line="235" w:lineRule="exact"/>
        <w:ind w:left="1564"/>
      </w:pPr>
      <w:r>
        <w:rPr>
          <w:w w:val="120"/>
        </w:rPr>
        <w:t>The Revd John Proctor [2022]</w:t>
      </w:r>
    </w:p>
    <w:p>
      <w:pPr>
        <w:spacing w:after="0" w:line="235" w:lineRule="exact"/>
        <w:sectPr>
          <w:headerReference w:type="default" r:id="rId474"/>
          <w:pgSz w:w="11910" w:h="16840"/>
          <w:pgMar w:header="0" w:footer="647" w:top="0" w:bottom="840" w:left="420" w:right="380"/>
        </w:sectPr>
      </w:pPr>
    </w:p>
    <w:p>
      <w:pPr>
        <w:pStyle w:val="BodyText"/>
      </w:pPr>
      <w:r>
        <w:rPr/>
        <w:drawing>
          <wp:anchor distT="0" distB="0" distL="0" distR="0" allowOverlap="1" layoutInCell="1" locked="0" behindDoc="1" simplePos="0" relativeHeight="236147712">
            <wp:simplePos x="0" y="0"/>
            <wp:positionH relativeFrom="page">
              <wp:posOffset>0</wp:posOffset>
            </wp:positionH>
            <wp:positionV relativeFrom="page">
              <wp:posOffset>0</wp:posOffset>
            </wp:positionV>
            <wp:extent cx="594067" cy="10692003"/>
            <wp:effectExtent l="0" t="0" r="0" b="0"/>
            <wp:wrapNone/>
            <wp:docPr id="345" name="image77.png"/>
            <wp:cNvGraphicFramePr>
              <a:graphicFrameLocks noChangeAspect="1"/>
            </wp:cNvGraphicFramePr>
            <a:graphic>
              <a:graphicData uri="http://schemas.openxmlformats.org/drawingml/2006/picture">
                <pic:pic>
                  <pic:nvPicPr>
                    <pic:cNvPr id="346" name="image77.png"/>
                    <pic:cNvPicPr/>
                  </pic:nvPicPr>
                  <pic:blipFill>
                    <a:blip r:embed="rId479"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20.519100pt;margin-top:22.693945pt;width:26pt;height:133.75pt;mso-position-horizontal-relative:page;mso-position-vertical-relative:paragraph;z-index:252115968" type="#_x0000_t202" filled="false" stroked="false">
            <v:textbox inset="0,0,0,0" style="layout-flow:vertical">
              <w:txbxContent>
                <w:p>
                  <w:pPr>
                    <w:spacing w:before="29"/>
                    <w:ind w:left="20" w:right="0" w:firstLine="0"/>
                    <w:jc w:val="left"/>
                    <w:rPr>
                      <w:sz w:val="39"/>
                    </w:rPr>
                  </w:pPr>
                  <w:r>
                    <w:rPr>
                      <w:color w:val="FFFFFF"/>
                      <w:w w:val="120"/>
                      <w:sz w:val="39"/>
                    </w:rPr>
                    <w:t>Nominations</w:t>
                  </w:r>
                </w:p>
              </w:txbxContent>
            </v:textbox>
            <w10:wrap type="none"/>
          </v:shape>
        </w:pict>
      </w:r>
      <w:r>
        <w:rPr>
          <w:color w:val="7EAABF"/>
          <w:w w:val="120"/>
          <w:sz w:val="26"/>
        </w:rPr>
        <w:t>Nominations</w:t>
      </w:r>
    </w:p>
    <w:p>
      <w:pPr>
        <w:pStyle w:val="Heading8"/>
        <w:numPr>
          <w:ilvl w:val="1"/>
          <w:numId w:val="120"/>
        </w:numPr>
        <w:tabs>
          <w:tab w:pos="1508" w:val="left" w:leader="none"/>
        </w:tabs>
        <w:spacing w:line="261" w:lineRule="exact" w:before="205" w:after="0"/>
        <w:ind w:left="1507" w:right="0" w:hanging="681"/>
        <w:jc w:val="left"/>
      </w:pPr>
      <w:r>
        <w:rPr>
          <w:w w:val="110"/>
        </w:rPr>
        <w:t>Samuel Robinson’s</w:t>
      </w:r>
      <w:r>
        <w:rPr>
          <w:spacing w:val="-1"/>
          <w:w w:val="110"/>
        </w:rPr>
        <w:t> </w:t>
      </w:r>
      <w:r>
        <w:rPr>
          <w:w w:val="110"/>
        </w:rPr>
        <w:t>Charities</w:t>
      </w:r>
    </w:p>
    <w:p>
      <w:pPr>
        <w:pStyle w:val="BodyText"/>
        <w:spacing w:line="235" w:lineRule="exact"/>
        <w:ind w:left="827"/>
      </w:pPr>
      <w:r>
        <w:rPr>
          <w:w w:val="120"/>
        </w:rPr>
        <w:t>Mr Tony Alderman</w:t>
      </w:r>
    </w:p>
    <w:p>
      <w:pPr>
        <w:pStyle w:val="BodyText"/>
        <w:spacing w:before="4"/>
        <w:rPr>
          <w:sz w:val="18"/>
        </w:rPr>
      </w:pPr>
    </w:p>
    <w:p>
      <w:pPr>
        <w:pStyle w:val="Heading8"/>
        <w:numPr>
          <w:ilvl w:val="1"/>
          <w:numId w:val="120"/>
        </w:numPr>
        <w:tabs>
          <w:tab w:pos="1508" w:val="left" w:leader="none"/>
        </w:tabs>
        <w:spacing w:line="261" w:lineRule="exact" w:before="0" w:after="0"/>
        <w:ind w:left="1507" w:right="0" w:hanging="681"/>
        <w:jc w:val="left"/>
      </w:pPr>
      <w:r>
        <w:rPr>
          <w:w w:val="110"/>
        </w:rPr>
        <w:t>Scout Association – URC faith</w:t>
      </w:r>
      <w:r>
        <w:rPr>
          <w:spacing w:val="-1"/>
          <w:w w:val="110"/>
        </w:rPr>
        <w:t> </w:t>
      </w:r>
      <w:r>
        <w:rPr>
          <w:w w:val="110"/>
        </w:rPr>
        <w:t>adviser</w:t>
      </w:r>
    </w:p>
    <w:p>
      <w:pPr>
        <w:pStyle w:val="BodyText"/>
        <w:spacing w:line="235" w:lineRule="exact"/>
        <w:ind w:left="827"/>
      </w:pPr>
      <w:r>
        <w:rPr>
          <w:w w:val="120"/>
        </w:rPr>
        <w:t>The Revd David Marshall-Jones</w:t>
      </w:r>
    </w:p>
    <w:p>
      <w:pPr>
        <w:pStyle w:val="BodyText"/>
        <w:spacing w:before="11"/>
        <w:rPr>
          <w:sz w:val="18"/>
        </w:rPr>
      </w:pPr>
    </w:p>
    <w:p>
      <w:pPr>
        <w:pStyle w:val="ListParagraph"/>
        <w:numPr>
          <w:ilvl w:val="1"/>
          <w:numId w:val="120"/>
        </w:numPr>
        <w:tabs>
          <w:tab w:pos="1508" w:val="left" w:leader="none"/>
        </w:tabs>
        <w:spacing w:line="230" w:lineRule="auto" w:before="0" w:after="0"/>
        <w:ind w:left="827" w:right="4396" w:firstLine="0"/>
        <w:jc w:val="left"/>
        <w:rPr>
          <w:rFonts w:ascii="Stone Sans II ITC Std Bk" w:hAnsi="Stone Sans II ITC Std Bk"/>
          <w:sz w:val="20"/>
        </w:rPr>
      </w:pPr>
      <w:r>
        <w:rPr>
          <w:rFonts w:ascii="Stone Sans II ITC Std Bk" w:hAnsi="Stone Sans II ITC Std Bk"/>
          <w:b/>
          <w:w w:val="115"/>
          <w:sz w:val="20"/>
        </w:rPr>
        <w:t>United</w:t>
      </w:r>
      <w:r>
        <w:rPr>
          <w:rFonts w:ascii="Stone Sans II ITC Std Bk" w:hAnsi="Stone Sans II ITC Std Bk"/>
          <w:b/>
          <w:spacing w:val="-40"/>
          <w:w w:val="115"/>
          <w:sz w:val="20"/>
        </w:rPr>
        <w:t> </w:t>
      </w:r>
      <w:r>
        <w:rPr>
          <w:rFonts w:ascii="Stone Sans II ITC Std Bk" w:hAnsi="Stone Sans II ITC Std Bk"/>
          <w:b/>
          <w:w w:val="115"/>
          <w:sz w:val="20"/>
        </w:rPr>
        <w:t>Reformed</w:t>
      </w:r>
      <w:r>
        <w:rPr>
          <w:rFonts w:ascii="Stone Sans II ITC Std Bk" w:hAnsi="Stone Sans II ITC Std Bk"/>
          <w:b/>
          <w:spacing w:val="-40"/>
          <w:w w:val="115"/>
          <w:sz w:val="20"/>
        </w:rPr>
        <w:t> </w:t>
      </w:r>
      <w:r>
        <w:rPr>
          <w:rFonts w:ascii="Stone Sans II ITC Std Bk" w:hAnsi="Stone Sans II ITC Std Bk"/>
          <w:b/>
          <w:w w:val="115"/>
          <w:sz w:val="20"/>
        </w:rPr>
        <w:t>Church</w:t>
      </w:r>
      <w:r>
        <w:rPr>
          <w:rFonts w:ascii="Stone Sans II ITC Std Bk" w:hAnsi="Stone Sans II ITC Std Bk"/>
          <w:b/>
          <w:spacing w:val="-40"/>
          <w:w w:val="115"/>
          <w:sz w:val="20"/>
        </w:rPr>
        <w:t> </w:t>
      </w:r>
      <w:r>
        <w:rPr>
          <w:rFonts w:ascii="Stone Sans II ITC Std Bk" w:hAnsi="Stone Sans II ITC Std Bk"/>
          <w:b/>
          <w:w w:val="115"/>
          <w:sz w:val="20"/>
        </w:rPr>
        <w:t>History</w:t>
      </w:r>
      <w:r>
        <w:rPr>
          <w:rFonts w:ascii="Stone Sans II ITC Std Bk" w:hAnsi="Stone Sans II ITC Std Bk"/>
          <w:b/>
          <w:spacing w:val="-40"/>
          <w:w w:val="115"/>
          <w:sz w:val="20"/>
        </w:rPr>
        <w:t> </w:t>
      </w:r>
      <w:r>
        <w:rPr>
          <w:rFonts w:ascii="Stone Sans II ITC Std Bk" w:hAnsi="Stone Sans II ITC Std Bk"/>
          <w:b/>
          <w:w w:val="115"/>
          <w:sz w:val="20"/>
        </w:rPr>
        <w:t>Society</w:t>
      </w:r>
      <w:r>
        <w:rPr>
          <w:rFonts w:ascii="Stone Sans II ITC Std Bk" w:hAnsi="Stone Sans II ITC Std Bk"/>
          <w:b/>
          <w:spacing w:val="-39"/>
          <w:w w:val="115"/>
          <w:sz w:val="20"/>
        </w:rPr>
        <w:t> </w:t>
      </w:r>
      <w:r>
        <w:rPr>
          <w:rFonts w:ascii="Stone Sans II ITC Std Bk" w:hAnsi="Stone Sans II ITC Std Bk"/>
          <w:b/>
          <w:w w:val="115"/>
          <w:sz w:val="20"/>
        </w:rPr>
        <w:t>Council </w:t>
      </w:r>
      <w:r>
        <w:rPr>
          <w:w w:val="115"/>
          <w:sz w:val="20"/>
        </w:rPr>
        <w:t>Members serve  five-year  terms  which  may  be  renewed. The Revd Dr Michael Jagessar</w:t>
      </w:r>
      <w:r>
        <w:rPr>
          <w:spacing w:val="41"/>
          <w:w w:val="115"/>
          <w:sz w:val="20"/>
        </w:rPr>
        <w:t> </w:t>
      </w:r>
      <w:r>
        <w:rPr>
          <w:spacing w:val="-8"/>
          <w:w w:val="115"/>
          <w:sz w:val="20"/>
        </w:rPr>
        <w:t>[2019]†</w:t>
      </w:r>
    </w:p>
    <w:p>
      <w:pPr>
        <w:pStyle w:val="BodyText"/>
        <w:spacing w:line="238" w:lineRule="exact"/>
        <w:ind w:left="827"/>
      </w:pPr>
      <w:r>
        <w:rPr>
          <w:w w:val="120"/>
        </w:rPr>
        <w:t>Mrs Jean Wyber [2022]</w:t>
      </w:r>
    </w:p>
    <w:p>
      <w:pPr>
        <w:pStyle w:val="BodyText"/>
        <w:spacing w:line="242" w:lineRule="exact"/>
        <w:ind w:left="827"/>
      </w:pPr>
      <w:r>
        <w:rPr>
          <w:w w:val="120"/>
        </w:rPr>
        <w:t>The Revd Dr Kirsty Thorpe [2023]†</w:t>
      </w:r>
    </w:p>
    <w:p>
      <w:pPr>
        <w:pStyle w:val="BodyText"/>
        <w:spacing w:before="4"/>
        <w:rPr>
          <w:sz w:val="18"/>
        </w:rPr>
      </w:pPr>
    </w:p>
    <w:p>
      <w:pPr>
        <w:pStyle w:val="Heading8"/>
        <w:numPr>
          <w:ilvl w:val="1"/>
          <w:numId w:val="120"/>
        </w:numPr>
        <w:tabs>
          <w:tab w:pos="1508" w:val="left" w:leader="none"/>
        </w:tabs>
        <w:spacing w:line="261" w:lineRule="exact" w:before="0" w:after="0"/>
        <w:ind w:left="1507" w:right="0" w:hanging="681"/>
        <w:jc w:val="left"/>
      </w:pPr>
      <w:r>
        <w:rPr>
          <w:spacing w:val="-3"/>
          <w:w w:val="110"/>
        </w:rPr>
        <w:t>Women’s </w:t>
      </w:r>
      <w:r>
        <w:rPr>
          <w:w w:val="110"/>
        </w:rPr>
        <w:t>World Day of</w:t>
      </w:r>
      <w:r>
        <w:rPr>
          <w:spacing w:val="1"/>
          <w:w w:val="110"/>
        </w:rPr>
        <w:t> </w:t>
      </w:r>
      <w:r>
        <w:rPr>
          <w:w w:val="110"/>
        </w:rPr>
        <w:t>Prayer</w:t>
      </w:r>
    </w:p>
    <w:p>
      <w:pPr>
        <w:pStyle w:val="BodyText"/>
        <w:spacing w:line="235" w:lineRule="exact"/>
        <w:ind w:left="827"/>
      </w:pPr>
      <w:r>
        <w:rPr>
          <w:w w:val="120"/>
        </w:rPr>
        <w:t>The Revd Heather Pencavel</w:t>
      </w:r>
    </w:p>
    <w:p>
      <w:pPr>
        <w:pStyle w:val="BodyText"/>
        <w:spacing w:before="3"/>
        <w:rPr>
          <w:sz w:val="18"/>
        </w:rPr>
      </w:pPr>
    </w:p>
    <w:p>
      <w:pPr>
        <w:pStyle w:val="Heading8"/>
        <w:numPr>
          <w:ilvl w:val="1"/>
          <w:numId w:val="120"/>
        </w:numPr>
        <w:tabs>
          <w:tab w:pos="1508" w:val="left" w:leader="none"/>
        </w:tabs>
        <w:spacing w:line="261" w:lineRule="exact" w:before="0" w:after="0"/>
        <w:ind w:left="1507" w:right="0" w:hanging="681"/>
        <w:jc w:val="left"/>
      </w:pPr>
      <w:r>
        <w:rPr>
          <w:w w:val="110"/>
        </w:rPr>
        <w:t>Westhill Endowment</w:t>
      </w:r>
      <w:r>
        <w:rPr>
          <w:spacing w:val="-1"/>
          <w:w w:val="110"/>
        </w:rPr>
        <w:t> </w:t>
      </w:r>
      <w:r>
        <w:rPr>
          <w:w w:val="110"/>
        </w:rPr>
        <w:t>Trust</w:t>
      </w:r>
    </w:p>
    <w:p>
      <w:pPr>
        <w:pStyle w:val="BodyText"/>
        <w:spacing w:line="235" w:lineRule="auto"/>
        <w:ind w:left="827" w:right="7435"/>
      </w:pPr>
      <w:r>
        <w:rPr>
          <w:w w:val="120"/>
        </w:rPr>
        <w:t>Mr Simon Rowntree [2019] Mrs Julie Grove MBE [2022]†</w:t>
      </w:r>
    </w:p>
    <w:p>
      <w:pPr>
        <w:spacing w:after="0" w:line="235" w:lineRule="auto"/>
        <w:sectPr>
          <w:headerReference w:type="even" r:id="rId476"/>
          <w:footerReference w:type="even" r:id="rId477"/>
          <w:footerReference w:type="default" r:id="rId478"/>
          <w:pgSz w:w="11910" w:h="16840"/>
          <w:pgMar w:header="0" w:footer="647" w:top="0" w:bottom="840" w:left="420" w:right="380"/>
          <w:pgNumType w:start="178"/>
        </w:sectPr>
      </w:pPr>
    </w:p>
    <w:p>
      <w:pPr>
        <w:pStyle w:val="BodyText"/>
      </w:pPr>
      <w:r>
        <w:rPr/>
        <w:drawing>
          <wp:anchor distT="0" distB="0" distL="0" distR="0" allowOverlap="1" layoutInCell="1" locked="0" behindDoc="0" simplePos="0" relativeHeight="252116992">
            <wp:simplePos x="0" y="0"/>
            <wp:positionH relativeFrom="page">
              <wp:posOffset>6974928</wp:posOffset>
            </wp:positionH>
            <wp:positionV relativeFrom="page">
              <wp:posOffset>0</wp:posOffset>
            </wp:positionV>
            <wp:extent cx="585063" cy="10692003"/>
            <wp:effectExtent l="0" t="0" r="0" b="0"/>
            <wp:wrapNone/>
            <wp:docPr id="347" name="image57.png"/>
            <wp:cNvGraphicFramePr>
              <a:graphicFrameLocks noChangeAspect="1"/>
            </wp:cNvGraphicFramePr>
            <a:graphic>
              <a:graphicData uri="http://schemas.openxmlformats.org/drawingml/2006/picture">
                <pic:pic>
                  <pic:nvPicPr>
                    <pic:cNvPr id="348" name="image57.png"/>
                    <pic:cNvPicPr/>
                  </pic:nvPicPr>
                  <pic:blipFill>
                    <a:blip r:embed="rId230"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pStyle w:val="Heading2"/>
        <w:spacing w:line="213" w:lineRule="auto"/>
        <w:ind w:left="1365"/>
        <w:rPr>
          <w:b/>
        </w:rPr>
      </w:pPr>
      <w:r>
        <w:rPr/>
        <w:pict>
          <v:shape style="position:absolute;margin-left:554.141174pt;margin-top:-5.989334pt;width:26pt;height:312pt;mso-position-horizontal-relative:page;mso-position-vertical-relative:paragraph;z-index:252121088" type="#_x0000_t202" filled="false" stroked="false">
            <v:textbox inset="0,0,0,0" style="layout-flow:vertical">
              <w:txbxContent>
                <w:p>
                  <w:pPr>
                    <w:spacing w:before="29"/>
                    <w:ind w:left="20" w:right="0" w:firstLine="0"/>
                    <w:jc w:val="left"/>
                    <w:rPr>
                      <w:sz w:val="39"/>
                    </w:rPr>
                  </w:pPr>
                  <w:r>
                    <w:rPr>
                      <w:color w:val="FFFFFF"/>
                      <w:w w:val="120"/>
                      <w:sz w:val="39"/>
                    </w:rPr>
                    <w:t>Pastoral reference and welfare</w:t>
                  </w:r>
                </w:p>
              </w:txbxContent>
            </v:textbox>
            <w10:wrap type="none"/>
          </v:shape>
        </w:pict>
      </w:r>
      <w:bookmarkStart w:name="_bookmark29" w:id="40"/>
      <w:bookmarkEnd w:id="40"/>
      <w:r>
        <w:rPr>
          <w:b w:val="0"/>
        </w:rPr>
      </w:r>
      <w:r>
        <w:rPr>
          <w:b/>
          <w:color w:val="0090D4"/>
          <w:spacing w:val="-12"/>
          <w:w w:val="110"/>
        </w:rPr>
        <w:t>Pastoral </w:t>
      </w:r>
      <w:r>
        <w:rPr>
          <w:b/>
          <w:color w:val="0090D4"/>
          <w:spacing w:val="-10"/>
          <w:w w:val="110"/>
        </w:rPr>
        <w:t>reference </w:t>
      </w:r>
      <w:r>
        <w:rPr>
          <w:b/>
          <w:color w:val="0090D4"/>
          <w:spacing w:val="-7"/>
          <w:w w:val="110"/>
        </w:rPr>
        <w:t>and </w:t>
      </w:r>
      <w:r>
        <w:rPr>
          <w:b/>
          <w:color w:val="0090D4"/>
          <w:spacing w:val="-12"/>
          <w:w w:val="110"/>
        </w:rPr>
        <w:t>welfare </w:t>
      </w:r>
      <w:r>
        <w:rPr>
          <w:b/>
          <w:color w:val="0090D4"/>
          <w:spacing w:val="-10"/>
          <w:w w:val="110"/>
        </w:rPr>
        <w:t>committee</w:t>
      </w:r>
    </w:p>
    <w:p>
      <w:pPr>
        <w:spacing w:line="617" w:lineRule="exact" w:before="0"/>
        <w:ind w:left="1365" w:right="0" w:firstLine="0"/>
        <w:jc w:val="left"/>
        <w:rPr>
          <w:rFonts w:ascii="Stone Sans II ITC Std X Bd"/>
          <w:b/>
          <w:sz w:val="50"/>
        </w:rPr>
      </w:pPr>
      <w:r>
        <w:rPr>
          <w:rFonts w:ascii="Stone Sans II ITC Std X Bd"/>
          <w:b/>
          <w:w w:val="110"/>
          <w:sz w:val="50"/>
        </w:rPr>
        <w:t>General report</w:t>
      </w:r>
    </w:p>
    <w:p>
      <w:pPr>
        <w:spacing w:before="339" w:after="9"/>
        <w:ind w:left="1365" w:right="0" w:firstLine="0"/>
        <w:jc w:val="left"/>
        <w:rPr>
          <w:rFonts w:ascii="Stone Sans II ITC Std Bk"/>
          <w:b/>
          <w:sz w:val="21"/>
        </w:rPr>
      </w:pPr>
      <w:r>
        <w:rPr/>
        <w:pict>
          <v:shape style="position:absolute;margin-left:89.541008pt;margin-top:31.857386pt;width:459.2pt;height:74.55pt;mso-position-horizontal-relative:page;mso-position-vertical-relative:paragraph;z-index:-267165696" coordorigin="1791,637" coordsize="9184,1491" path="m10975,637l4441,637,1791,637,1791,2127,4441,2127,10975,2127,10975,637e" filled="true" fillcolor="#ffffff" stroked="false">
            <v:path arrowok="t"/>
            <v:fill type="solid"/>
            <w10:wrap type="none"/>
          </v:shape>
        </w:pict>
      </w:r>
      <w:r>
        <w:rPr>
          <w:rFonts w:ascii="Stone Sans II ITC Std Bk"/>
          <w:b/>
          <w:color w:val="707172"/>
          <w:w w:val="115"/>
          <w:sz w:val="21"/>
        </w:rPr>
        <w:t>Basic Information</w:t>
      </w:r>
    </w:p>
    <w:tbl>
      <w:tblPr>
        <w:tblW w:w="0" w:type="auto"/>
        <w:jc w:val="left"/>
        <w:tblInd w:w="1375"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46" w:hRule="atLeast"/>
        </w:trPr>
        <w:tc>
          <w:tcPr>
            <w:tcW w:w="2650" w:type="dxa"/>
          </w:tcPr>
          <w:p>
            <w:pPr>
              <w:pStyle w:val="TableParagraph"/>
              <w:spacing w:line="213" w:lineRule="auto" w:before="117"/>
              <w:ind w:left="79" w:right="586"/>
              <w:rPr>
                <w:rFonts w:ascii="Stone Sans II ITC Std Bk"/>
                <w:b/>
                <w:sz w:val="20"/>
              </w:rPr>
            </w:pPr>
            <w:r>
              <w:rPr>
                <w:rFonts w:ascii="Stone Sans II ITC Std Bk"/>
                <w:b/>
                <w:w w:val="110"/>
                <w:sz w:val="20"/>
              </w:rPr>
              <w:t>Contact name and email address</w:t>
            </w:r>
          </w:p>
        </w:tc>
        <w:tc>
          <w:tcPr>
            <w:tcW w:w="6534" w:type="dxa"/>
          </w:tcPr>
          <w:p>
            <w:pPr>
              <w:pStyle w:val="TableParagraph"/>
              <w:spacing w:before="108"/>
              <w:ind w:left="79"/>
              <w:rPr>
                <w:sz w:val="20"/>
              </w:rPr>
            </w:pPr>
            <w:r>
              <w:rPr>
                <w:w w:val="120"/>
                <w:sz w:val="20"/>
              </w:rPr>
              <w:t>The Revd Richard Church: </w:t>
            </w:r>
            <w:hyperlink r:id="rId125">
              <w:r>
                <w:rPr>
                  <w:color w:val="006AB3"/>
                  <w:w w:val="120"/>
                  <w:sz w:val="20"/>
                </w:rPr>
                <w:t>richard.church@urc.org.uk</w:t>
              </w:r>
            </w:hyperlink>
          </w:p>
        </w:tc>
      </w:tr>
      <w:tr>
        <w:trPr>
          <w:trHeight w:val="406" w:hRule="atLeast"/>
        </w:trPr>
        <w:tc>
          <w:tcPr>
            <w:tcW w:w="2650" w:type="dxa"/>
          </w:tcPr>
          <w:p>
            <w:pPr>
              <w:pStyle w:val="TableParagraph"/>
              <w:spacing w:before="95"/>
              <w:ind w:left="79"/>
              <w:rPr>
                <w:rFonts w:ascii="Stone Sans II ITC Std Bk"/>
                <w:b/>
                <w:sz w:val="20"/>
              </w:rPr>
            </w:pPr>
            <w:r>
              <w:rPr>
                <w:rFonts w:ascii="Stone Sans II ITC Std Bk"/>
                <w:b/>
                <w:w w:val="110"/>
                <w:sz w:val="20"/>
              </w:rPr>
              <w:t>Action required</w:t>
            </w:r>
          </w:p>
        </w:tc>
        <w:tc>
          <w:tcPr>
            <w:tcW w:w="6534" w:type="dxa"/>
          </w:tcPr>
          <w:p>
            <w:pPr>
              <w:pStyle w:val="TableParagraph"/>
              <w:spacing w:before="108"/>
              <w:ind w:left="79"/>
              <w:rPr>
                <w:sz w:val="20"/>
              </w:rPr>
            </w:pPr>
            <w:r>
              <w:rPr>
                <w:w w:val="120"/>
                <w:sz w:val="20"/>
              </w:rPr>
              <w:t>For information only.</w:t>
            </w:r>
          </w:p>
        </w:tc>
      </w:tr>
      <w:tr>
        <w:trPr>
          <w:trHeight w:val="406" w:hRule="atLeast"/>
        </w:trPr>
        <w:tc>
          <w:tcPr>
            <w:tcW w:w="2650" w:type="dxa"/>
          </w:tcPr>
          <w:p>
            <w:pPr>
              <w:pStyle w:val="TableParagraph"/>
              <w:spacing w:before="95"/>
              <w:ind w:left="79"/>
              <w:rPr>
                <w:rFonts w:ascii="Stone Sans II ITC Std Bk"/>
                <w:b/>
                <w:sz w:val="20"/>
              </w:rPr>
            </w:pPr>
            <w:r>
              <w:rPr>
                <w:rFonts w:ascii="Stone Sans II ITC Std Bk"/>
                <w:b/>
                <w:w w:val="110"/>
                <w:sz w:val="20"/>
              </w:rPr>
              <w:t>Draft resolution(s)</w:t>
            </w:r>
          </w:p>
        </w:tc>
        <w:tc>
          <w:tcPr>
            <w:tcW w:w="6534" w:type="dxa"/>
          </w:tcPr>
          <w:p>
            <w:pPr>
              <w:pStyle w:val="TableParagraph"/>
              <w:spacing w:before="95"/>
              <w:ind w:left="79"/>
              <w:rPr>
                <w:sz w:val="20"/>
              </w:rPr>
            </w:pPr>
            <w:r>
              <w:rPr>
                <w:rFonts w:ascii="Stone Sans II ITC Std Bk"/>
                <w:b/>
                <w:w w:val="115"/>
                <w:sz w:val="20"/>
              </w:rPr>
              <w:t>None</w:t>
            </w:r>
            <w:r>
              <w:rPr>
                <w:w w:val="115"/>
                <w:sz w:val="20"/>
              </w:rPr>
              <w:t>.</w:t>
            </w:r>
          </w:p>
        </w:tc>
      </w:tr>
    </w:tbl>
    <w:p>
      <w:pPr>
        <w:spacing w:before="187" w:after="9"/>
        <w:ind w:left="1365" w:right="0" w:firstLine="0"/>
        <w:jc w:val="left"/>
        <w:rPr>
          <w:rFonts w:ascii="Stone Sans II ITC Std Bk"/>
          <w:b/>
          <w:sz w:val="21"/>
        </w:rPr>
      </w:pPr>
      <w:r>
        <w:rPr/>
        <w:pict>
          <v:shape style="position:absolute;margin-left:89.541008pt;margin-top:24.257498pt;width:459.2pt;height:131.35pt;mso-position-horizontal-relative:page;mso-position-vertical-relative:paragraph;z-index:-267164672" coordorigin="1791,485" coordsize="9184,2627" path="m10975,485l4442,485,1791,485,1791,3112,4442,3112,10975,3112,10975,485e" filled="true" fillcolor="#ffffff" stroked="false">
            <v:path arrowok="t"/>
            <v:fill type="solid"/>
            <w10:wrap type="none"/>
          </v:shape>
        </w:pict>
      </w:r>
      <w:r>
        <w:rPr>
          <w:rFonts w:ascii="Stone Sans II ITC Std Bk"/>
          <w:b/>
          <w:color w:val="707172"/>
          <w:w w:val="115"/>
          <w:sz w:val="21"/>
        </w:rPr>
        <w:t>Summary of Content</w:t>
      </w:r>
    </w:p>
    <w:tbl>
      <w:tblPr>
        <w:tblW w:w="0" w:type="auto"/>
        <w:jc w:val="left"/>
        <w:tblInd w:w="1375"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1"/>
        <w:gridCol w:w="6533"/>
      </w:tblGrid>
      <w:tr>
        <w:trPr>
          <w:trHeight w:val="646" w:hRule="atLeast"/>
        </w:trPr>
        <w:tc>
          <w:tcPr>
            <w:tcW w:w="2651" w:type="dxa"/>
          </w:tcPr>
          <w:p>
            <w:pPr>
              <w:pStyle w:val="TableParagraph"/>
              <w:spacing w:before="95"/>
              <w:ind w:left="79"/>
              <w:rPr>
                <w:rFonts w:ascii="Stone Sans II ITC Std Bk"/>
                <w:b/>
                <w:sz w:val="20"/>
              </w:rPr>
            </w:pPr>
            <w:r>
              <w:rPr>
                <w:rFonts w:ascii="Stone Sans II ITC Std Bk"/>
                <w:b/>
                <w:w w:val="110"/>
                <w:sz w:val="20"/>
              </w:rPr>
              <w:t>Subject and aim(s)</w:t>
            </w:r>
          </w:p>
        </w:tc>
        <w:tc>
          <w:tcPr>
            <w:tcW w:w="6533" w:type="dxa"/>
          </w:tcPr>
          <w:p>
            <w:pPr>
              <w:pStyle w:val="TableParagraph"/>
              <w:spacing w:line="235" w:lineRule="auto" w:before="111"/>
              <w:ind w:left="79" w:right="778"/>
              <w:rPr>
                <w:sz w:val="20"/>
              </w:rPr>
            </w:pPr>
            <w:r>
              <w:rPr>
                <w:w w:val="120"/>
                <w:sz w:val="20"/>
              </w:rPr>
              <w:t>Report on the work of the committee and on its use of welfare funds.</w:t>
            </w:r>
          </w:p>
        </w:tc>
      </w:tr>
      <w:tr>
        <w:trPr>
          <w:trHeight w:val="646" w:hRule="atLeast"/>
        </w:trPr>
        <w:tc>
          <w:tcPr>
            <w:tcW w:w="2651" w:type="dxa"/>
          </w:tcPr>
          <w:p>
            <w:pPr>
              <w:pStyle w:val="TableParagraph"/>
              <w:spacing w:before="95"/>
              <w:ind w:left="79"/>
              <w:rPr>
                <w:rFonts w:ascii="Stone Sans II ITC Std Bk"/>
                <w:b/>
                <w:sz w:val="20"/>
              </w:rPr>
            </w:pPr>
            <w:r>
              <w:rPr>
                <w:rFonts w:ascii="Stone Sans II ITC Std Bk"/>
                <w:b/>
                <w:w w:val="110"/>
                <w:sz w:val="20"/>
              </w:rPr>
              <w:t>Main points</w:t>
            </w:r>
          </w:p>
        </w:tc>
        <w:tc>
          <w:tcPr>
            <w:tcW w:w="6533" w:type="dxa"/>
          </w:tcPr>
          <w:p>
            <w:pPr>
              <w:pStyle w:val="TableParagraph"/>
              <w:spacing w:line="235" w:lineRule="auto" w:before="111"/>
              <w:ind w:left="79" w:right="1052"/>
              <w:rPr>
                <w:sz w:val="20"/>
              </w:rPr>
            </w:pPr>
            <w:r>
              <w:rPr>
                <w:w w:val="120"/>
                <w:sz w:val="20"/>
              </w:rPr>
              <w:t>Much work is necessarily confidential. It is always done with care.</w:t>
            </w:r>
          </w:p>
        </w:tc>
      </w:tr>
      <w:tr>
        <w:trPr>
          <w:trHeight w:val="646" w:hRule="atLeast"/>
        </w:trPr>
        <w:tc>
          <w:tcPr>
            <w:tcW w:w="2651" w:type="dxa"/>
          </w:tcPr>
          <w:p>
            <w:pPr>
              <w:pStyle w:val="TableParagraph"/>
              <w:spacing w:line="213" w:lineRule="auto" w:before="117"/>
              <w:ind w:left="79" w:right="693"/>
              <w:rPr>
                <w:rFonts w:ascii="Stone Sans II ITC Std Bk"/>
                <w:b/>
                <w:sz w:val="20"/>
              </w:rPr>
            </w:pPr>
            <w:r>
              <w:rPr>
                <w:rFonts w:ascii="Stone Sans II ITC Std Bk"/>
                <w:b/>
                <w:w w:val="110"/>
                <w:sz w:val="20"/>
              </w:rPr>
              <w:t>Previous relevant documents</w:t>
            </w:r>
          </w:p>
        </w:tc>
        <w:tc>
          <w:tcPr>
            <w:tcW w:w="6533" w:type="dxa"/>
          </w:tcPr>
          <w:p>
            <w:pPr>
              <w:pStyle w:val="TableParagraph"/>
              <w:spacing w:before="107"/>
              <w:ind w:left="79"/>
              <w:rPr>
                <w:sz w:val="20"/>
              </w:rPr>
            </w:pPr>
            <w:r>
              <w:rPr>
                <w:w w:val="120"/>
                <w:sz w:val="20"/>
              </w:rPr>
              <w:t>Paper K1 at Mission Council, March 2018.</w:t>
            </w:r>
          </w:p>
        </w:tc>
      </w:tr>
      <w:tr>
        <w:trPr>
          <w:trHeight w:val="646" w:hRule="atLeast"/>
        </w:trPr>
        <w:tc>
          <w:tcPr>
            <w:tcW w:w="2651" w:type="dxa"/>
          </w:tcPr>
          <w:p>
            <w:pPr>
              <w:pStyle w:val="TableParagraph"/>
              <w:spacing w:line="213" w:lineRule="auto" w:before="117"/>
              <w:ind w:left="79" w:right="568"/>
              <w:rPr>
                <w:rFonts w:ascii="Stone Sans II ITC Std Bk"/>
                <w:b/>
                <w:sz w:val="20"/>
              </w:rPr>
            </w:pPr>
            <w:r>
              <w:rPr>
                <w:rFonts w:ascii="Stone Sans II ITC Std Bk"/>
                <w:b/>
                <w:w w:val="110"/>
                <w:sz w:val="20"/>
              </w:rPr>
              <w:t>Consultation has taken place with...</w:t>
            </w:r>
          </w:p>
        </w:tc>
        <w:tc>
          <w:tcPr>
            <w:tcW w:w="6533" w:type="dxa"/>
          </w:tcPr>
          <w:p>
            <w:pPr>
              <w:pStyle w:val="TableParagraph"/>
              <w:spacing w:line="235" w:lineRule="auto" w:before="111"/>
              <w:ind w:left="79"/>
              <w:rPr>
                <w:sz w:val="20"/>
              </w:rPr>
            </w:pPr>
            <w:r>
              <w:rPr>
                <w:w w:val="120"/>
                <w:sz w:val="20"/>
              </w:rPr>
              <w:t>Representatives of the Finance Committee, regularly, and with Synod Moderators, in individual cases.</w:t>
            </w:r>
          </w:p>
        </w:tc>
      </w:tr>
    </w:tbl>
    <w:p>
      <w:pPr>
        <w:spacing w:before="187" w:after="9"/>
        <w:ind w:left="1365" w:right="0" w:firstLine="0"/>
        <w:jc w:val="left"/>
        <w:rPr>
          <w:rFonts w:ascii="Stone Sans II ITC Std Bk"/>
          <w:b/>
          <w:sz w:val="21"/>
        </w:rPr>
      </w:pPr>
      <w:r>
        <w:rPr/>
        <w:pict>
          <v:shape style="position:absolute;margin-left:89.541008pt;margin-top:24.257477pt;width:459.2pt;height:63.4pt;mso-position-horizontal-relative:page;mso-position-vertical-relative:paragraph;z-index:-267163648" coordorigin="1791,485" coordsize="9184,1268" path="m10975,485l4441,485,1791,485,1791,1753,4441,1753,10975,1753,10975,485e" filled="true" fillcolor="#ffffff" stroked="false">
            <v:path arrowok="t"/>
            <v:fill type="solid"/>
            <w10:wrap type="none"/>
          </v:shape>
        </w:pict>
      </w:r>
      <w:r>
        <w:rPr>
          <w:rFonts w:ascii="Stone Sans II ITC Std Bk"/>
          <w:b/>
          <w:color w:val="707172"/>
          <w:w w:val="115"/>
          <w:sz w:val="21"/>
        </w:rPr>
        <w:t>Summary of Impact</w:t>
      </w:r>
    </w:p>
    <w:tbl>
      <w:tblPr>
        <w:tblW w:w="0" w:type="auto"/>
        <w:jc w:val="left"/>
        <w:tblInd w:w="1375" w:type="dxa"/>
        <w:tblBorders>
          <w:top w:val="single" w:sz="4" w:space="0" w:color="9C9E9F"/>
          <w:left w:val="single" w:sz="4" w:space="0" w:color="9C9E9F"/>
          <w:bottom w:val="single" w:sz="4" w:space="0" w:color="9C9E9F"/>
          <w:right w:val="single" w:sz="4" w:space="0" w:color="9C9E9F"/>
          <w:insideH w:val="single" w:sz="4" w:space="0" w:color="9C9E9F"/>
          <w:insideV w:val="single" w:sz="4" w:space="0" w:color="9C9E9F"/>
        </w:tblBorders>
        <w:tblLayout w:type="fixed"/>
        <w:tblCellMar>
          <w:top w:w="0" w:type="dxa"/>
          <w:left w:w="0" w:type="dxa"/>
          <w:bottom w:w="0" w:type="dxa"/>
          <w:right w:w="0" w:type="dxa"/>
        </w:tblCellMar>
        <w:tblLook w:val="01E0"/>
      </w:tblPr>
      <w:tblGrid>
        <w:gridCol w:w="2650"/>
        <w:gridCol w:w="6534"/>
      </w:tblGrid>
      <w:tr>
        <w:trPr>
          <w:trHeight w:val="623" w:hRule="atLeast"/>
        </w:trPr>
        <w:tc>
          <w:tcPr>
            <w:tcW w:w="2650" w:type="dxa"/>
          </w:tcPr>
          <w:p>
            <w:pPr>
              <w:pStyle w:val="TableParagraph"/>
              <w:spacing w:before="72"/>
              <w:ind w:left="79"/>
              <w:rPr>
                <w:rFonts w:ascii="Stone Sans II ITC Std Bk"/>
                <w:b/>
                <w:sz w:val="20"/>
              </w:rPr>
            </w:pPr>
            <w:r>
              <w:rPr>
                <w:rFonts w:ascii="Stone Sans II ITC Std Bk"/>
                <w:b/>
                <w:w w:val="110"/>
                <w:sz w:val="20"/>
              </w:rPr>
              <w:t>Financial</w:t>
            </w:r>
          </w:p>
        </w:tc>
        <w:tc>
          <w:tcPr>
            <w:tcW w:w="6534" w:type="dxa"/>
          </w:tcPr>
          <w:p>
            <w:pPr>
              <w:pStyle w:val="TableParagraph"/>
              <w:spacing w:line="235" w:lineRule="auto" w:before="88"/>
              <w:ind w:left="79"/>
              <w:rPr>
                <w:sz w:val="20"/>
              </w:rPr>
            </w:pPr>
            <w:r>
              <w:rPr>
                <w:w w:val="120"/>
                <w:sz w:val="20"/>
              </w:rPr>
              <w:t>No new proposals are in view. Some cases do require financial help from the Church, according to agreed policies.</w:t>
            </w:r>
          </w:p>
        </w:tc>
      </w:tr>
      <w:tr>
        <w:trPr>
          <w:trHeight w:val="623" w:hRule="atLeast"/>
        </w:trPr>
        <w:tc>
          <w:tcPr>
            <w:tcW w:w="2650" w:type="dxa"/>
          </w:tcPr>
          <w:p>
            <w:pPr>
              <w:pStyle w:val="TableParagraph"/>
              <w:spacing w:line="255" w:lineRule="exact" w:before="72"/>
              <w:ind w:left="79"/>
              <w:rPr>
                <w:rFonts w:ascii="Stone Sans II ITC Std Bk"/>
                <w:b/>
                <w:sz w:val="20"/>
              </w:rPr>
            </w:pPr>
            <w:r>
              <w:rPr>
                <w:rFonts w:ascii="Stone Sans II ITC Std Bk"/>
                <w:b/>
                <w:w w:val="110"/>
                <w:sz w:val="20"/>
              </w:rPr>
              <w:t>External</w:t>
            </w:r>
          </w:p>
          <w:p>
            <w:pPr>
              <w:pStyle w:val="TableParagraph"/>
              <w:spacing w:line="255" w:lineRule="exact"/>
              <w:ind w:left="79"/>
              <w:rPr>
                <w:rFonts w:ascii="Stone Sans II ITC Std Bk"/>
                <w:b/>
                <w:sz w:val="20"/>
              </w:rPr>
            </w:pPr>
            <w:r>
              <w:rPr>
                <w:rFonts w:ascii="Stone Sans II ITC Std Bk"/>
                <w:b/>
                <w:w w:val="110"/>
                <w:sz w:val="20"/>
              </w:rPr>
              <w:t>(e.g. ecumenical)</w:t>
            </w:r>
          </w:p>
        </w:tc>
        <w:tc>
          <w:tcPr>
            <w:tcW w:w="6534" w:type="dxa"/>
          </w:tcPr>
          <w:p>
            <w:pPr>
              <w:pStyle w:val="TableParagraph"/>
              <w:spacing w:before="85"/>
              <w:ind w:left="79"/>
              <w:rPr>
                <w:sz w:val="20"/>
              </w:rPr>
            </w:pPr>
            <w:r>
              <w:rPr>
                <w:w w:val="125"/>
                <w:sz w:val="20"/>
              </w:rPr>
              <w:t>None.</w:t>
            </w:r>
          </w:p>
        </w:tc>
      </w:tr>
    </w:tbl>
    <w:p>
      <w:pPr>
        <w:spacing w:after="0"/>
        <w:rPr>
          <w:sz w:val="20"/>
        </w:rPr>
        <w:sectPr>
          <w:headerReference w:type="default" r:id="rId480"/>
          <w:pgSz w:w="11910" w:h="16840"/>
          <w:pgMar w:header="0" w:footer="647" w:top="0" w:bottom="840" w:left="420" w:right="380"/>
        </w:sectPr>
      </w:pPr>
    </w:p>
    <w:p>
      <w:pPr>
        <w:pStyle w:val="BodyText"/>
        <w:rPr>
          <w:rFonts w:ascii="Stone Sans II ITC Std Bk"/>
          <w:b/>
        </w:rPr>
      </w:pPr>
      <w:r>
        <w:rPr/>
        <w:drawing>
          <wp:anchor distT="0" distB="0" distL="0" distR="0" allowOverlap="1" layoutInCell="1" locked="0" behindDoc="1" simplePos="0" relativeHeight="236154880">
            <wp:simplePos x="0" y="0"/>
            <wp:positionH relativeFrom="page">
              <wp:posOffset>0</wp:posOffset>
            </wp:positionH>
            <wp:positionV relativeFrom="page">
              <wp:posOffset>0</wp:posOffset>
            </wp:positionV>
            <wp:extent cx="594067" cy="10692003"/>
            <wp:effectExtent l="0" t="0" r="0" b="0"/>
            <wp:wrapNone/>
            <wp:docPr id="349" name="image70.png"/>
            <wp:cNvGraphicFramePr>
              <a:graphicFrameLocks noChangeAspect="1"/>
            </wp:cNvGraphicFramePr>
            <a:graphic>
              <a:graphicData uri="http://schemas.openxmlformats.org/drawingml/2006/picture">
                <pic:pic>
                  <pic:nvPicPr>
                    <pic:cNvPr id="350" name="image70.png"/>
                    <pic:cNvPicPr/>
                  </pic:nvPicPr>
                  <pic:blipFill>
                    <a:blip r:embed="rId245" cstate="print"/>
                    <a:stretch>
                      <a:fillRect/>
                    </a:stretch>
                  </pic:blipFill>
                  <pic:spPr>
                    <a:xfrm>
                      <a:off x="0" y="0"/>
                      <a:ext cx="594067" cy="10692003"/>
                    </a:xfrm>
                    <a:prstGeom prst="rect">
                      <a:avLst/>
                    </a:prstGeom>
                  </pic:spPr>
                </pic:pic>
              </a:graphicData>
            </a:graphic>
          </wp:anchor>
        </w:drawing>
      </w:r>
    </w:p>
    <w:p>
      <w:pPr>
        <w:pStyle w:val="BodyText"/>
        <w:rPr>
          <w:rFonts w:ascii="Stone Sans II ITC Std Bk"/>
          <w:b/>
        </w:rPr>
      </w:pPr>
    </w:p>
    <w:p>
      <w:pPr>
        <w:pStyle w:val="BodyText"/>
        <w:rPr>
          <w:rFonts w:ascii="Stone Sans II ITC Std Bk"/>
          <w:b/>
        </w:rPr>
      </w:pPr>
    </w:p>
    <w:p>
      <w:pPr>
        <w:pStyle w:val="BodyText"/>
        <w:spacing w:before="11"/>
        <w:rPr>
          <w:rFonts w:ascii="Stone Sans II ITC Std Bk"/>
          <w:b/>
          <w:sz w:val="19"/>
        </w:rPr>
      </w:pPr>
    </w:p>
    <w:p>
      <w:pPr>
        <w:spacing w:before="98"/>
        <w:ind w:left="392" w:right="1167" w:firstLine="0"/>
        <w:jc w:val="center"/>
        <w:rPr>
          <w:rFonts w:ascii="Stone Sans II ITC Std X Bd"/>
          <w:b/>
          <w:sz w:val="50"/>
        </w:rPr>
      </w:pPr>
      <w:r>
        <w:rPr/>
        <w:pict>
          <v:shape style="position:absolute;margin-left:20.519100pt;margin-top:-5.948083pt;width:26pt;height:312pt;mso-position-horizontal-relative:page;mso-position-vertical-relative:paragraph;z-index:252124160" type="#_x0000_t202" filled="false" stroked="false">
            <v:textbox inset="0,0,0,0" style="layout-flow:vertical">
              <w:txbxContent>
                <w:p>
                  <w:pPr>
                    <w:spacing w:before="29"/>
                    <w:ind w:left="20" w:right="0" w:firstLine="0"/>
                    <w:jc w:val="left"/>
                    <w:rPr>
                      <w:sz w:val="39"/>
                    </w:rPr>
                  </w:pPr>
                  <w:r>
                    <w:rPr>
                      <w:color w:val="FFFFFF"/>
                      <w:w w:val="120"/>
                      <w:sz w:val="39"/>
                    </w:rPr>
                    <w:t>Pastoral reference and welfare</w:t>
                  </w:r>
                </w:p>
              </w:txbxContent>
            </v:textbox>
            <w10:wrap type="none"/>
          </v:shape>
        </w:pict>
      </w:r>
      <w:r>
        <w:rPr>
          <w:rFonts w:ascii="Stone Sans II ITC Std X Bd"/>
          <w:b/>
          <w:w w:val="110"/>
          <w:sz w:val="50"/>
        </w:rPr>
        <w:t>General report</w:t>
      </w:r>
    </w:p>
    <w:p>
      <w:pPr>
        <w:spacing w:line="261" w:lineRule="auto" w:before="140"/>
        <w:ind w:left="940" w:right="1735" w:firstLine="0"/>
        <w:jc w:val="left"/>
        <w:rPr>
          <w:sz w:val="18"/>
        </w:rPr>
      </w:pPr>
      <w:r>
        <w:rPr/>
        <w:pict>
          <v:line style="position:absolute;mso-position-horizontal-relative:page;mso-position-vertical-relative:paragraph;z-index:252123136" from="63.362202pt,7.795453pt" to="63.362202pt,136.772453pt" stroked="true" strokeweight=".5pt" strokecolor="#0090d4">
            <v:stroke dashstyle="solid"/>
            <w10:wrap type="none"/>
          </v:line>
        </w:pict>
      </w:r>
      <w:r>
        <w:rPr>
          <w:color w:val="707172"/>
          <w:w w:val="120"/>
          <w:sz w:val="18"/>
        </w:rPr>
        <w:t>This committee considers the cases of ministers who are referred to it, usually by synods, often at times of difficulty. It also deals with welfare and emergency matters including the use of welfare funds. </w:t>
      </w:r>
      <w:r>
        <w:rPr>
          <w:color w:val="707172"/>
          <w:spacing w:val="2"/>
          <w:w w:val="120"/>
          <w:sz w:val="18"/>
        </w:rPr>
        <w:t>Its </w:t>
      </w:r>
      <w:r>
        <w:rPr>
          <w:color w:val="707172"/>
          <w:w w:val="120"/>
          <w:sz w:val="18"/>
        </w:rPr>
        <w:t>work is necessarily confidential and is reported in general terms only, directly to the General</w:t>
      </w:r>
      <w:r>
        <w:rPr>
          <w:color w:val="707172"/>
          <w:spacing w:val="6"/>
          <w:w w:val="120"/>
          <w:sz w:val="18"/>
        </w:rPr>
        <w:t> </w:t>
      </w:r>
      <w:r>
        <w:rPr>
          <w:color w:val="707172"/>
          <w:w w:val="120"/>
          <w:sz w:val="18"/>
        </w:rPr>
        <w:t>Assembly.</w:t>
      </w:r>
    </w:p>
    <w:p>
      <w:pPr>
        <w:pStyle w:val="BodyText"/>
        <w:spacing w:before="10"/>
        <w:rPr>
          <w:sz w:val="18"/>
        </w:rPr>
      </w:pPr>
    </w:p>
    <w:p>
      <w:pPr>
        <w:spacing w:before="1"/>
        <w:ind w:left="940" w:right="0" w:firstLine="0"/>
        <w:jc w:val="left"/>
        <w:rPr>
          <w:rFonts w:ascii="Stone Sans II ITC Std Bk"/>
          <w:b/>
          <w:sz w:val="18"/>
        </w:rPr>
      </w:pPr>
      <w:r>
        <w:rPr>
          <w:rFonts w:ascii="Stone Sans II ITC Std Bk"/>
          <w:b/>
          <w:color w:val="707172"/>
          <w:w w:val="110"/>
          <w:sz w:val="18"/>
        </w:rPr>
        <w:t>Committee members</w:t>
      </w:r>
    </w:p>
    <w:p>
      <w:pPr>
        <w:spacing w:before="7"/>
        <w:ind w:left="940" w:right="0" w:firstLine="0"/>
        <w:jc w:val="left"/>
        <w:rPr>
          <w:sz w:val="18"/>
        </w:rPr>
      </w:pPr>
      <w:r>
        <w:rPr>
          <w:color w:val="707172"/>
          <w:w w:val="120"/>
          <w:sz w:val="18"/>
        </w:rPr>
        <w:t>Convenor: Mrs Wilma Frew (2019); the Revd David Grosch-Miller (from 2019)</w:t>
      </w:r>
    </w:p>
    <w:p>
      <w:pPr>
        <w:spacing w:line="261" w:lineRule="auto" w:before="21"/>
        <w:ind w:left="940" w:right="1804" w:firstLine="0"/>
        <w:jc w:val="left"/>
        <w:rPr>
          <w:sz w:val="18"/>
        </w:rPr>
      </w:pPr>
      <w:r>
        <w:rPr>
          <w:color w:val="707172"/>
          <w:w w:val="125"/>
          <w:sz w:val="18"/>
        </w:rPr>
        <w:t>Members: the Revd Richard Church (DGS Discipleship) (secretary ex officio from May </w:t>
      </w:r>
      <w:r>
        <w:rPr>
          <w:color w:val="707172"/>
          <w:spacing w:val="-6"/>
          <w:w w:val="125"/>
          <w:sz w:val="18"/>
        </w:rPr>
        <w:t>2015), </w:t>
      </w:r>
      <w:r>
        <w:rPr>
          <w:color w:val="707172"/>
          <w:w w:val="125"/>
          <w:sz w:val="18"/>
        </w:rPr>
        <w:t>the Revd Clare Downing (from July </w:t>
      </w:r>
      <w:r>
        <w:rPr>
          <w:color w:val="707172"/>
          <w:spacing w:val="-8"/>
          <w:w w:val="125"/>
          <w:sz w:val="18"/>
        </w:rPr>
        <w:t>2013), </w:t>
      </w:r>
      <w:r>
        <w:rPr>
          <w:color w:val="707172"/>
          <w:w w:val="125"/>
          <w:sz w:val="18"/>
        </w:rPr>
        <w:t>Mrs Pam Sharp (from July</w:t>
      </w:r>
      <w:r>
        <w:rPr>
          <w:color w:val="707172"/>
          <w:spacing w:val="-6"/>
          <w:w w:val="125"/>
          <w:sz w:val="18"/>
        </w:rPr>
        <w:t> 2015), </w:t>
      </w:r>
      <w:r>
        <w:rPr>
          <w:color w:val="707172"/>
          <w:w w:val="125"/>
          <w:sz w:val="18"/>
        </w:rPr>
        <w:t>the Revd Camilla Veitch (from July </w:t>
      </w:r>
      <w:r>
        <w:rPr>
          <w:color w:val="707172"/>
          <w:spacing w:val="-5"/>
          <w:w w:val="125"/>
          <w:sz w:val="18"/>
        </w:rPr>
        <w:t>2016), </w:t>
      </w:r>
      <w:r>
        <w:rPr>
          <w:color w:val="707172"/>
          <w:w w:val="125"/>
          <w:sz w:val="18"/>
        </w:rPr>
        <w:t>Professor Malcolm Johnson (with immediate effect until Assembly </w:t>
      </w:r>
      <w:r>
        <w:rPr>
          <w:color w:val="707172"/>
          <w:spacing w:val="-3"/>
          <w:w w:val="125"/>
          <w:sz w:val="18"/>
        </w:rPr>
        <w:t>2022), </w:t>
      </w:r>
      <w:r>
        <w:rPr>
          <w:color w:val="707172"/>
          <w:w w:val="125"/>
          <w:sz w:val="18"/>
        </w:rPr>
        <w:t>ex-officio: URC Treasurer, deputy treasurer and the General Secretary</w:t>
      </w:r>
    </w:p>
    <w:p>
      <w:pPr>
        <w:pStyle w:val="BodyText"/>
        <w:rPr>
          <w:sz w:val="22"/>
        </w:rPr>
      </w:pPr>
    </w:p>
    <w:p>
      <w:pPr>
        <w:pStyle w:val="BodyText"/>
        <w:spacing w:before="7"/>
        <w:rPr>
          <w:sz w:val="18"/>
        </w:rPr>
      </w:pPr>
    </w:p>
    <w:p>
      <w:pPr>
        <w:spacing w:before="0"/>
        <w:ind w:left="827" w:right="0" w:firstLine="0"/>
        <w:jc w:val="left"/>
        <w:rPr>
          <w:rFonts w:ascii="Stone Sans II ITC Std Bk"/>
          <w:b/>
          <w:sz w:val="29"/>
        </w:rPr>
      </w:pPr>
      <w:r>
        <w:rPr>
          <w:rFonts w:ascii="Stone Sans II ITC Std Bk"/>
          <w:b/>
          <w:w w:val="110"/>
          <w:sz w:val="29"/>
        </w:rPr>
        <w:t>Pastoral reference work</w:t>
      </w:r>
    </w:p>
    <w:p>
      <w:pPr>
        <w:pStyle w:val="ListParagraph"/>
        <w:numPr>
          <w:ilvl w:val="1"/>
          <w:numId w:val="123"/>
        </w:numPr>
        <w:tabs>
          <w:tab w:pos="1507" w:val="left" w:leader="none"/>
          <w:tab w:pos="1508" w:val="left" w:leader="none"/>
        </w:tabs>
        <w:spacing w:line="235" w:lineRule="auto" w:before="69" w:after="0"/>
        <w:ind w:left="827" w:right="1935" w:firstLine="0"/>
        <w:jc w:val="left"/>
        <w:rPr>
          <w:sz w:val="20"/>
        </w:rPr>
      </w:pPr>
      <w:r>
        <w:rPr>
          <w:w w:val="120"/>
          <w:sz w:val="20"/>
        </w:rPr>
        <w:t>We continue to value the work of the churches’ ministerial counselling service from which ministers – whether in active service, training or retirement – and their families can receive completely confidential support. The counselling service grants totalled </w:t>
      </w:r>
      <w:r>
        <w:rPr>
          <w:spacing w:val="-4"/>
          <w:w w:val="120"/>
          <w:sz w:val="20"/>
        </w:rPr>
        <w:t>£8,924 </w:t>
      </w:r>
      <w:r>
        <w:rPr>
          <w:w w:val="120"/>
          <w:sz w:val="20"/>
        </w:rPr>
        <w:t>in </w:t>
      </w:r>
      <w:r>
        <w:rPr>
          <w:spacing w:val="-7"/>
          <w:w w:val="120"/>
          <w:sz w:val="20"/>
        </w:rPr>
        <w:t>2016 </w:t>
      </w:r>
      <w:r>
        <w:rPr>
          <w:w w:val="120"/>
          <w:sz w:val="20"/>
        </w:rPr>
        <w:t>and </w:t>
      </w:r>
      <w:r>
        <w:rPr>
          <w:spacing w:val="-7"/>
          <w:w w:val="120"/>
          <w:sz w:val="20"/>
        </w:rPr>
        <w:t>£7,501 </w:t>
      </w:r>
      <w:r>
        <w:rPr>
          <w:w w:val="120"/>
          <w:sz w:val="20"/>
        </w:rPr>
        <w:t>in</w:t>
      </w:r>
      <w:r>
        <w:rPr>
          <w:spacing w:val="42"/>
          <w:w w:val="120"/>
          <w:sz w:val="20"/>
        </w:rPr>
        <w:t> </w:t>
      </w:r>
      <w:r>
        <w:rPr>
          <w:spacing w:val="-12"/>
          <w:w w:val="120"/>
          <w:sz w:val="20"/>
        </w:rPr>
        <w:t>2017.</w:t>
      </w:r>
    </w:p>
    <w:p>
      <w:pPr>
        <w:pStyle w:val="BodyText"/>
        <w:spacing w:before="11"/>
        <w:rPr>
          <w:sz w:val="19"/>
        </w:rPr>
      </w:pPr>
    </w:p>
    <w:p>
      <w:pPr>
        <w:pStyle w:val="ListParagraph"/>
        <w:numPr>
          <w:ilvl w:val="1"/>
          <w:numId w:val="123"/>
        </w:numPr>
        <w:tabs>
          <w:tab w:pos="1507" w:val="left" w:leader="none"/>
          <w:tab w:pos="1508" w:val="left" w:leader="none"/>
        </w:tabs>
        <w:spacing w:line="235" w:lineRule="auto" w:before="0" w:after="0"/>
        <w:ind w:left="827" w:right="2062" w:firstLine="0"/>
        <w:jc w:val="left"/>
        <w:rPr>
          <w:sz w:val="20"/>
        </w:rPr>
      </w:pPr>
      <w:r>
        <w:rPr>
          <w:w w:val="120"/>
          <w:sz w:val="20"/>
        </w:rPr>
        <w:t>Requests </w:t>
      </w:r>
      <w:r>
        <w:rPr>
          <w:spacing w:val="2"/>
          <w:w w:val="120"/>
          <w:sz w:val="20"/>
        </w:rPr>
        <w:t>vary </w:t>
      </w:r>
      <w:r>
        <w:rPr>
          <w:w w:val="120"/>
          <w:sz w:val="20"/>
        </w:rPr>
        <w:t>in their complexity, but each one is looked at carefully, either in</w:t>
      </w:r>
      <w:r>
        <w:rPr>
          <w:spacing w:val="5"/>
          <w:w w:val="120"/>
          <w:sz w:val="20"/>
        </w:rPr>
        <w:t> </w:t>
      </w:r>
      <w:r>
        <w:rPr>
          <w:w w:val="120"/>
          <w:sz w:val="20"/>
        </w:rPr>
        <w:t>full</w:t>
      </w:r>
      <w:r>
        <w:rPr>
          <w:spacing w:val="5"/>
          <w:w w:val="120"/>
          <w:sz w:val="20"/>
        </w:rPr>
        <w:t> </w:t>
      </w:r>
      <w:r>
        <w:rPr>
          <w:w w:val="120"/>
          <w:sz w:val="20"/>
        </w:rPr>
        <w:t>committee</w:t>
      </w:r>
      <w:r>
        <w:rPr>
          <w:spacing w:val="6"/>
          <w:w w:val="120"/>
          <w:sz w:val="20"/>
        </w:rPr>
        <w:t> </w:t>
      </w:r>
      <w:r>
        <w:rPr>
          <w:w w:val="120"/>
          <w:sz w:val="20"/>
        </w:rPr>
        <w:t>or</w:t>
      </w:r>
      <w:r>
        <w:rPr>
          <w:spacing w:val="5"/>
          <w:w w:val="120"/>
          <w:sz w:val="20"/>
        </w:rPr>
        <w:t> </w:t>
      </w:r>
      <w:r>
        <w:rPr>
          <w:w w:val="120"/>
          <w:sz w:val="20"/>
        </w:rPr>
        <w:t>by</w:t>
      </w:r>
      <w:r>
        <w:rPr>
          <w:spacing w:val="6"/>
          <w:w w:val="120"/>
          <w:sz w:val="20"/>
        </w:rPr>
        <w:t> </w:t>
      </w:r>
      <w:r>
        <w:rPr>
          <w:w w:val="120"/>
          <w:sz w:val="20"/>
        </w:rPr>
        <w:t>email</w:t>
      </w:r>
      <w:r>
        <w:rPr>
          <w:spacing w:val="5"/>
          <w:w w:val="120"/>
          <w:sz w:val="20"/>
        </w:rPr>
        <w:t> </w:t>
      </w:r>
      <w:r>
        <w:rPr>
          <w:w w:val="120"/>
          <w:sz w:val="20"/>
        </w:rPr>
        <w:t>consultation</w:t>
      </w:r>
      <w:r>
        <w:rPr>
          <w:spacing w:val="6"/>
          <w:w w:val="120"/>
          <w:sz w:val="20"/>
        </w:rPr>
        <w:t> </w:t>
      </w:r>
      <w:r>
        <w:rPr>
          <w:w w:val="120"/>
          <w:sz w:val="20"/>
        </w:rPr>
        <w:t>depending</w:t>
      </w:r>
      <w:r>
        <w:rPr>
          <w:spacing w:val="5"/>
          <w:w w:val="120"/>
          <w:sz w:val="20"/>
        </w:rPr>
        <w:t> </w:t>
      </w:r>
      <w:r>
        <w:rPr>
          <w:w w:val="120"/>
          <w:sz w:val="20"/>
        </w:rPr>
        <w:t>on</w:t>
      </w:r>
      <w:r>
        <w:rPr>
          <w:spacing w:val="6"/>
          <w:w w:val="120"/>
          <w:sz w:val="20"/>
        </w:rPr>
        <w:t> </w:t>
      </w:r>
      <w:r>
        <w:rPr>
          <w:w w:val="120"/>
          <w:sz w:val="20"/>
        </w:rPr>
        <w:t>the</w:t>
      </w:r>
      <w:r>
        <w:rPr>
          <w:spacing w:val="5"/>
          <w:w w:val="120"/>
          <w:sz w:val="20"/>
        </w:rPr>
        <w:t> </w:t>
      </w:r>
      <w:r>
        <w:rPr>
          <w:w w:val="120"/>
          <w:sz w:val="20"/>
        </w:rPr>
        <w:t>urgency</w:t>
      </w:r>
      <w:r>
        <w:rPr>
          <w:spacing w:val="6"/>
          <w:w w:val="120"/>
          <w:sz w:val="20"/>
        </w:rPr>
        <w:t> </w:t>
      </w:r>
      <w:r>
        <w:rPr>
          <w:w w:val="120"/>
          <w:sz w:val="20"/>
        </w:rPr>
        <w:t>of</w:t>
      </w:r>
      <w:r>
        <w:rPr>
          <w:spacing w:val="5"/>
          <w:w w:val="120"/>
          <w:sz w:val="20"/>
        </w:rPr>
        <w:t> </w:t>
      </w:r>
      <w:r>
        <w:rPr>
          <w:w w:val="120"/>
          <w:sz w:val="20"/>
        </w:rPr>
        <w:t>the</w:t>
      </w:r>
      <w:r>
        <w:rPr>
          <w:spacing w:val="6"/>
          <w:w w:val="120"/>
          <w:sz w:val="20"/>
        </w:rPr>
        <w:t> </w:t>
      </w:r>
      <w:r>
        <w:rPr>
          <w:w w:val="120"/>
          <w:sz w:val="20"/>
        </w:rPr>
        <w:t>matter.</w:t>
      </w:r>
    </w:p>
    <w:p>
      <w:pPr>
        <w:pStyle w:val="BodyText"/>
        <w:spacing w:line="235" w:lineRule="auto" w:before="2"/>
        <w:ind w:left="827" w:right="1778"/>
      </w:pPr>
      <w:r>
        <w:rPr>
          <w:w w:val="120"/>
        </w:rPr>
        <w:t>We value the wisdom available to us from the members of the committee, who respond conscientiously and usefully both in committee and in our email consultations between meetings.</w:t>
      </w:r>
    </w:p>
    <w:p>
      <w:pPr>
        <w:pStyle w:val="BodyText"/>
        <w:spacing w:before="10"/>
        <w:rPr>
          <w:sz w:val="19"/>
        </w:rPr>
      </w:pPr>
    </w:p>
    <w:p>
      <w:pPr>
        <w:pStyle w:val="ListParagraph"/>
        <w:numPr>
          <w:ilvl w:val="1"/>
          <w:numId w:val="123"/>
        </w:numPr>
        <w:tabs>
          <w:tab w:pos="1507" w:val="left" w:leader="none"/>
          <w:tab w:pos="1508" w:val="left" w:leader="none"/>
        </w:tabs>
        <w:spacing w:line="235" w:lineRule="auto" w:before="0" w:after="0"/>
        <w:ind w:left="827" w:right="1887" w:firstLine="0"/>
        <w:jc w:val="left"/>
        <w:rPr>
          <w:sz w:val="20"/>
        </w:rPr>
      </w:pPr>
      <w:r>
        <w:rPr>
          <w:w w:val="120"/>
          <w:sz w:val="20"/>
        </w:rPr>
        <w:t>We seek to handle all the matters before us securely and confidentially. The need to do this is underlined by new legislation on data protection coming into force on 25 May</w:t>
      </w:r>
      <w:r>
        <w:rPr>
          <w:spacing w:val="6"/>
          <w:w w:val="120"/>
          <w:sz w:val="20"/>
        </w:rPr>
        <w:t> </w:t>
      </w:r>
      <w:r>
        <w:rPr>
          <w:spacing w:val="-5"/>
          <w:w w:val="120"/>
          <w:sz w:val="20"/>
        </w:rPr>
        <w:t>2018.</w:t>
      </w:r>
    </w:p>
    <w:p>
      <w:pPr>
        <w:pStyle w:val="BodyText"/>
        <w:spacing w:before="10"/>
        <w:rPr>
          <w:sz w:val="19"/>
        </w:rPr>
      </w:pPr>
    </w:p>
    <w:p>
      <w:pPr>
        <w:pStyle w:val="ListParagraph"/>
        <w:numPr>
          <w:ilvl w:val="1"/>
          <w:numId w:val="123"/>
        </w:numPr>
        <w:tabs>
          <w:tab w:pos="1507" w:val="left" w:leader="none"/>
          <w:tab w:pos="1508" w:val="left" w:leader="none"/>
        </w:tabs>
        <w:spacing w:line="235" w:lineRule="auto" w:before="0" w:after="0"/>
        <w:ind w:left="827" w:right="1889" w:firstLine="0"/>
        <w:jc w:val="left"/>
        <w:rPr>
          <w:sz w:val="20"/>
        </w:rPr>
      </w:pPr>
      <w:r>
        <w:rPr>
          <w:w w:val="120"/>
          <w:sz w:val="20"/>
        </w:rPr>
        <w:t>The committee meets three times a </w:t>
      </w:r>
      <w:r>
        <w:rPr>
          <w:spacing w:val="-4"/>
          <w:w w:val="120"/>
          <w:sz w:val="20"/>
        </w:rPr>
        <w:t>year, </w:t>
      </w:r>
      <w:r>
        <w:rPr>
          <w:w w:val="120"/>
          <w:sz w:val="20"/>
        </w:rPr>
        <w:t>having discussed other options but still feeling that this is the best arrangement for our agenda. We reserve the right to cancel</w:t>
      </w:r>
      <w:r>
        <w:rPr>
          <w:spacing w:val="5"/>
          <w:w w:val="120"/>
          <w:sz w:val="20"/>
        </w:rPr>
        <w:t> </w:t>
      </w:r>
      <w:r>
        <w:rPr>
          <w:w w:val="120"/>
          <w:sz w:val="20"/>
        </w:rPr>
        <w:t>a</w:t>
      </w:r>
      <w:r>
        <w:rPr>
          <w:spacing w:val="5"/>
          <w:w w:val="120"/>
          <w:sz w:val="20"/>
        </w:rPr>
        <w:t> </w:t>
      </w:r>
      <w:r>
        <w:rPr>
          <w:w w:val="120"/>
          <w:sz w:val="20"/>
        </w:rPr>
        <w:t>meeting</w:t>
      </w:r>
      <w:r>
        <w:rPr>
          <w:spacing w:val="5"/>
          <w:w w:val="120"/>
          <w:sz w:val="20"/>
        </w:rPr>
        <w:t> </w:t>
      </w:r>
      <w:r>
        <w:rPr>
          <w:w w:val="120"/>
          <w:sz w:val="20"/>
        </w:rPr>
        <w:t>if</w:t>
      </w:r>
      <w:r>
        <w:rPr>
          <w:spacing w:val="5"/>
          <w:w w:val="120"/>
          <w:sz w:val="20"/>
        </w:rPr>
        <w:t> </w:t>
      </w:r>
      <w:r>
        <w:rPr>
          <w:w w:val="120"/>
          <w:sz w:val="20"/>
        </w:rPr>
        <w:t>we</w:t>
      </w:r>
      <w:r>
        <w:rPr>
          <w:spacing w:val="5"/>
          <w:w w:val="120"/>
          <w:sz w:val="20"/>
        </w:rPr>
        <w:t> </w:t>
      </w:r>
      <w:r>
        <w:rPr>
          <w:w w:val="120"/>
          <w:sz w:val="20"/>
        </w:rPr>
        <w:t>feel</w:t>
      </w:r>
      <w:r>
        <w:rPr>
          <w:spacing w:val="6"/>
          <w:w w:val="120"/>
          <w:sz w:val="20"/>
        </w:rPr>
        <w:t> </w:t>
      </w:r>
      <w:r>
        <w:rPr>
          <w:w w:val="120"/>
          <w:sz w:val="20"/>
        </w:rPr>
        <w:t>it</w:t>
      </w:r>
      <w:r>
        <w:rPr>
          <w:spacing w:val="5"/>
          <w:w w:val="120"/>
          <w:sz w:val="20"/>
        </w:rPr>
        <w:t> </w:t>
      </w:r>
      <w:r>
        <w:rPr>
          <w:w w:val="120"/>
          <w:sz w:val="20"/>
        </w:rPr>
        <w:t>is</w:t>
      </w:r>
      <w:r>
        <w:rPr>
          <w:spacing w:val="5"/>
          <w:w w:val="120"/>
          <w:sz w:val="20"/>
        </w:rPr>
        <w:t> </w:t>
      </w:r>
      <w:r>
        <w:rPr>
          <w:w w:val="120"/>
          <w:sz w:val="20"/>
        </w:rPr>
        <w:t>not</w:t>
      </w:r>
      <w:r>
        <w:rPr>
          <w:spacing w:val="5"/>
          <w:w w:val="120"/>
          <w:sz w:val="20"/>
        </w:rPr>
        <w:t> </w:t>
      </w:r>
      <w:r>
        <w:rPr>
          <w:w w:val="120"/>
          <w:sz w:val="20"/>
        </w:rPr>
        <w:t>necessary,</w:t>
      </w:r>
      <w:r>
        <w:rPr>
          <w:spacing w:val="5"/>
          <w:w w:val="120"/>
          <w:sz w:val="20"/>
        </w:rPr>
        <w:t> </w:t>
      </w:r>
      <w:r>
        <w:rPr>
          <w:w w:val="120"/>
          <w:sz w:val="20"/>
        </w:rPr>
        <w:t>and</w:t>
      </w:r>
      <w:r>
        <w:rPr>
          <w:spacing w:val="6"/>
          <w:w w:val="120"/>
          <w:sz w:val="20"/>
        </w:rPr>
        <w:t> </w:t>
      </w:r>
      <w:r>
        <w:rPr>
          <w:w w:val="120"/>
          <w:sz w:val="20"/>
        </w:rPr>
        <w:t>indeed</w:t>
      </w:r>
      <w:r>
        <w:rPr>
          <w:spacing w:val="5"/>
          <w:w w:val="120"/>
          <w:sz w:val="20"/>
        </w:rPr>
        <w:t> </w:t>
      </w:r>
      <w:r>
        <w:rPr>
          <w:w w:val="120"/>
          <w:sz w:val="20"/>
        </w:rPr>
        <w:t>did</w:t>
      </w:r>
      <w:r>
        <w:rPr>
          <w:spacing w:val="5"/>
          <w:w w:val="120"/>
          <w:sz w:val="20"/>
        </w:rPr>
        <w:t> </w:t>
      </w:r>
      <w:r>
        <w:rPr>
          <w:w w:val="120"/>
          <w:sz w:val="20"/>
        </w:rPr>
        <w:t>this</w:t>
      </w:r>
      <w:r>
        <w:rPr>
          <w:spacing w:val="5"/>
          <w:w w:val="120"/>
          <w:sz w:val="20"/>
        </w:rPr>
        <w:t> </w:t>
      </w:r>
      <w:r>
        <w:rPr>
          <w:w w:val="120"/>
          <w:sz w:val="20"/>
        </w:rPr>
        <w:t>in</w:t>
      </w:r>
      <w:r>
        <w:rPr>
          <w:spacing w:val="5"/>
          <w:w w:val="120"/>
          <w:sz w:val="20"/>
        </w:rPr>
        <w:t> </w:t>
      </w:r>
      <w:r>
        <w:rPr>
          <w:w w:val="120"/>
          <w:sz w:val="20"/>
        </w:rPr>
        <w:t>November</w:t>
      </w:r>
      <w:r>
        <w:rPr>
          <w:spacing w:val="6"/>
          <w:w w:val="120"/>
          <w:sz w:val="20"/>
        </w:rPr>
        <w:t> </w:t>
      </w:r>
      <w:r>
        <w:rPr>
          <w:spacing w:val="-6"/>
          <w:w w:val="120"/>
          <w:sz w:val="20"/>
        </w:rPr>
        <w:t>2016.</w:t>
      </w:r>
    </w:p>
    <w:p>
      <w:pPr>
        <w:pStyle w:val="BodyText"/>
        <w:spacing w:before="10"/>
        <w:rPr>
          <w:sz w:val="19"/>
        </w:rPr>
      </w:pPr>
    </w:p>
    <w:p>
      <w:pPr>
        <w:pStyle w:val="ListParagraph"/>
        <w:numPr>
          <w:ilvl w:val="1"/>
          <w:numId w:val="123"/>
        </w:numPr>
        <w:tabs>
          <w:tab w:pos="1507" w:val="left" w:leader="none"/>
          <w:tab w:pos="1508" w:val="left" w:leader="none"/>
        </w:tabs>
        <w:spacing w:line="235" w:lineRule="auto" w:before="1" w:after="0"/>
        <w:ind w:left="827" w:right="2077" w:firstLine="0"/>
        <w:jc w:val="left"/>
        <w:rPr>
          <w:sz w:val="20"/>
        </w:rPr>
      </w:pPr>
      <w:r>
        <w:rPr>
          <w:w w:val="120"/>
          <w:sz w:val="20"/>
        </w:rPr>
        <w:t>The transfer of oversight of certain functions </w:t>
      </w:r>
      <w:r>
        <w:rPr>
          <w:spacing w:val="-3"/>
          <w:w w:val="120"/>
          <w:sz w:val="20"/>
        </w:rPr>
        <w:t>(which </w:t>
      </w:r>
      <w:r>
        <w:rPr>
          <w:w w:val="120"/>
          <w:sz w:val="20"/>
        </w:rPr>
        <w:t>had originally come  from the former sexual ethics advisory </w:t>
      </w:r>
      <w:r>
        <w:rPr>
          <w:spacing w:val="-3"/>
          <w:w w:val="120"/>
          <w:sz w:val="20"/>
        </w:rPr>
        <w:t>group) </w:t>
      </w:r>
      <w:r>
        <w:rPr>
          <w:w w:val="120"/>
          <w:sz w:val="20"/>
        </w:rPr>
        <w:t>from the pastoral reference and welfare committee to the safeguarding advisory group was approved by the March Mission</w:t>
      </w:r>
      <w:r>
        <w:rPr>
          <w:spacing w:val="2"/>
          <w:w w:val="120"/>
          <w:sz w:val="20"/>
        </w:rPr>
        <w:t> </w:t>
      </w:r>
      <w:r>
        <w:rPr>
          <w:w w:val="120"/>
          <w:sz w:val="20"/>
        </w:rPr>
        <w:t>Council.</w:t>
      </w:r>
    </w:p>
    <w:p>
      <w:pPr>
        <w:pStyle w:val="BodyText"/>
        <w:rPr>
          <w:sz w:val="24"/>
        </w:rPr>
      </w:pPr>
    </w:p>
    <w:p>
      <w:pPr>
        <w:pStyle w:val="BodyText"/>
        <w:spacing w:before="11"/>
        <w:rPr>
          <w:sz w:val="17"/>
        </w:rPr>
      </w:pPr>
    </w:p>
    <w:p>
      <w:pPr>
        <w:pStyle w:val="Heading4"/>
        <w:ind w:firstLine="0"/>
      </w:pPr>
      <w:r>
        <w:rPr>
          <w:w w:val="110"/>
        </w:rPr>
        <w:t>Welfare grants</w:t>
      </w:r>
    </w:p>
    <w:p>
      <w:pPr>
        <w:pStyle w:val="ListParagraph"/>
        <w:numPr>
          <w:ilvl w:val="1"/>
          <w:numId w:val="124"/>
        </w:numPr>
        <w:tabs>
          <w:tab w:pos="1507" w:val="left" w:leader="none"/>
          <w:tab w:pos="1508" w:val="left" w:leader="none"/>
        </w:tabs>
        <w:spacing w:line="235" w:lineRule="auto" w:before="69" w:after="0"/>
        <w:ind w:left="827" w:right="1749" w:firstLine="0"/>
        <w:jc w:val="left"/>
        <w:rPr>
          <w:sz w:val="20"/>
        </w:rPr>
      </w:pPr>
      <w:r>
        <w:rPr>
          <w:w w:val="120"/>
          <w:sz w:val="20"/>
        </w:rPr>
        <w:t>From time to time, a letter is sent to all ministers and CRCWs with their payslips, explaining the nature of these funds. New ministers and CRCWs receive that letter  with their first payslip. There are dedicated educational welfare funds and we make disbursements totalling in the region of £70,000 each </w:t>
      </w:r>
      <w:r>
        <w:rPr>
          <w:spacing w:val="-4"/>
          <w:w w:val="120"/>
          <w:sz w:val="20"/>
        </w:rPr>
        <w:t>year. </w:t>
      </w:r>
      <w:r>
        <w:rPr>
          <w:spacing w:val="3"/>
          <w:w w:val="120"/>
          <w:sz w:val="20"/>
        </w:rPr>
        <w:t>As </w:t>
      </w:r>
      <w:r>
        <w:rPr>
          <w:w w:val="120"/>
          <w:sz w:val="20"/>
        </w:rPr>
        <w:t>this normally exceeds the income from the designated funds, the subventions from the ministry and mission fund were </w:t>
      </w:r>
      <w:r>
        <w:rPr>
          <w:spacing w:val="-3"/>
          <w:w w:val="120"/>
          <w:sz w:val="20"/>
        </w:rPr>
        <w:t>£15,000 </w:t>
      </w:r>
      <w:r>
        <w:rPr>
          <w:w w:val="120"/>
          <w:sz w:val="20"/>
        </w:rPr>
        <w:t>in </w:t>
      </w:r>
      <w:r>
        <w:rPr>
          <w:spacing w:val="-7"/>
          <w:w w:val="120"/>
          <w:sz w:val="20"/>
        </w:rPr>
        <w:t>2016 </w:t>
      </w:r>
      <w:r>
        <w:rPr>
          <w:w w:val="120"/>
          <w:sz w:val="20"/>
        </w:rPr>
        <w:t>and </w:t>
      </w:r>
      <w:r>
        <w:rPr>
          <w:spacing w:val="-3"/>
          <w:w w:val="120"/>
          <w:sz w:val="20"/>
        </w:rPr>
        <w:t>£15,000 </w:t>
      </w:r>
      <w:r>
        <w:rPr>
          <w:w w:val="120"/>
          <w:sz w:val="20"/>
        </w:rPr>
        <w:t>in</w:t>
      </w:r>
      <w:r>
        <w:rPr>
          <w:spacing w:val="43"/>
          <w:w w:val="120"/>
          <w:sz w:val="20"/>
        </w:rPr>
        <w:t> </w:t>
      </w:r>
      <w:r>
        <w:rPr>
          <w:spacing w:val="-12"/>
          <w:w w:val="120"/>
          <w:sz w:val="20"/>
        </w:rPr>
        <w:t>2017.</w:t>
      </w:r>
    </w:p>
    <w:p>
      <w:pPr>
        <w:pStyle w:val="BodyText"/>
      </w:pPr>
    </w:p>
    <w:p>
      <w:pPr>
        <w:pStyle w:val="ListParagraph"/>
        <w:numPr>
          <w:ilvl w:val="1"/>
          <w:numId w:val="124"/>
        </w:numPr>
        <w:tabs>
          <w:tab w:pos="1564" w:val="left" w:leader="none"/>
          <w:tab w:pos="1565" w:val="left" w:leader="none"/>
        </w:tabs>
        <w:spacing w:line="235" w:lineRule="auto" w:before="0" w:after="0"/>
        <w:ind w:left="827" w:right="1614" w:firstLine="0"/>
        <w:jc w:val="left"/>
        <w:rPr>
          <w:sz w:val="20"/>
        </w:rPr>
      </w:pPr>
      <w:r>
        <w:rPr>
          <w:w w:val="120"/>
          <w:sz w:val="20"/>
        </w:rPr>
        <w:t>We would like to thank John Ellis and Douglas Hay and the Revd Clare Downing for their years of service to the committee and their invaluable contribution to the many issues which came before</w:t>
      </w:r>
      <w:r>
        <w:rPr>
          <w:spacing w:val="7"/>
          <w:w w:val="120"/>
          <w:sz w:val="20"/>
        </w:rPr>
        <w:t> </w:t>
      </w:r>
      <w:r>
        <w:rPr>
          <w:w w:val="120"/>
          <w:sz w:val="20"/>
        </w:rPr>
        <w:t>us.</w:t>
      </w:r>
    </w:p>
    <w:p>
      <w:pPr>
        <w:spacing w:after="0" w:line="235" w:lineRule="auto"/>
        <w:jc w:val="left"/>
        <w:rPr>
          <w:sz w:val="20"/>
        </w:rPr>
        <w:sectPr>
          <w:headerReference w:type="even" r:id="rId481"/>
          <w:footerReference w:type="even" r:id="rId482"/>
          <w:pgSz w:w="11910" w:h="16840"/>
          <w:pgMar w:header="0" w:footer="647" w:top="0" w:bottom="840" w:left="420" w:right="380"/>
        </w:sectPr>
      </w:pPr>
    </w:p>
    <w:p>
      <w:pPr>
        <w:pStyle w:val="BodyText"/>
      </w:pPr>
      <w:r>
        <w:rPr/>
        <w:pict>
          <v:rect style="position:absolute;margin-left:0pt;margin-top:.000015pt;width:549.207pt;height:841.89pt;mso-position-horizontal-relative:page;mso-position-vertical-relative:page;z-index:-267158528" filled="true" fillcolor="#e2eed8" stroked="false">
            <v:fill type="solid"/>
            <w10:wrap type="none"/>
          </v:rect>
        </w:pict>
      </w:r>
      <w:r>
        <w:rPr/>
        <w:pict>
          <v:group style="position:absolute;margin-left:0pt;margin-top:.000015pt;width:595.3pt;height:841.9pt;mso-position-horizontal-relative:page;mso-position-vertical-relative:page;z-index:-267157504" coordorigin="0,0" coordsize="11906,16838">
            <v:shape style="position:absolute;left:10984;top:0;width:922;height:16838" type="#_x0000_t75" stroked="false">
              <v:imagedata r:id="rId485" o:title=""/>
            </v:shape>
            <v:shape style="position:absolute;left:0;top:0;width:11906;height:16838" type="#_x0000_t75" stroked="false">
              <v:imagedata r:id="rId486" o:title=""/>
            </v:shape>
            <v:shape style="position:absolute;left:10984;top:0;width:922;height:16838" type="#_x0000_t75" stroked="false">
              <v:imagedata r:id="rId487" o:title=""/>
            </v:shape>
            <v:shape style="position:absolute;left:3440;top:3239;width:1627;height:857" coordorigin="3440,3240" coordsize="1627,857" path="m4200,3240l3904,3307,3663,3454,3500,3601,3440,3668,3643,3916,3790,4043,3952,4090,4200,4097,4282,4090,4363,4072,4444,4043,4521,4007,4596,3966,4624,3948,4200,3948,3993,3904,3824,3808,3711,3712,3669,3668,3811,3507,3914,3424,4027,3393,4200,3389,4645,3389,4612,3368,4538,3327,4459,3292,4376,3264,4289,3246,4200,3240xm5046,3782l4841,3782,5038,3972,5065,3893,5063,3825,5046,3782xm4645,3389l4200,3389,4402,3433,4571,3529,4687,3625,4730,3668,4577,3830,4471,3913,4362,3943,4200,3948,4624,3948,4666,3920,4731,3873,4790,3827,4841,3782,5046,3782,5040,3766,5003,3715,4959,3668,5003,3622,5041,3569,5050,3549,4847,3549,4798,3505,4743,3459,4680,3412,4645,3389xm5039,3362l4847,3549,5050,3549,5065,3510,5067,3441,5039,3362xe" filled="true" fillcolor="#7c7b7b" stroked="false">
              <v:path arrowok="t"/>
              <v:fill type="solid"/>
            </v:shape>
            <v:shape style="position:absolute;left:3135;top:1811;width:2158;height:3246" coordorigin="3136,1811" coordsize="2158,3246" path="m4167,4901l4098,4901,4100,4902,4105,4927,4112,4965,4119,5001,4123,5020,4134,5042,4141,5054,4149,5057,4160,5056,4167,4901xm4373,4687l4177,4687,4187,5057,4232,5049,4261,5032,4278,5014,4283,5006,4279,4986,4280,4969,4282,4959,4286,4952,4295,4943,4310,4932,4320,4809,4326,4747,4328,4725,4328,4725,4373,4725,4373,4687xm4373,3076l4063,3076,4063,4754,4064,4778,4066,4823,4067,4872,4069,4935,4070,4950,4086,4944,4093,4937,4097,4927,4098,4912,4098,4901,4167,4901,4177,4687,4373,4687,4373,3076xm4373,4725l4328,4725,4330,4754,4331,4803,4332,4848,4334,4870,4338,4878,4344,4889,4353,4897,4367,4896,4372,4872,4373,4823,4373,4771,4373,4754,4373,4725xm5159,2746l5086,2746,3234,2746,3219,2751,3217,2761,3223,2774,3229,2785,3254,2791,3306,2796,3363,2802,3404,2807,3405,2812,3345,2816,3316,2818,3259,2821,3195,2827,3145,2834,3138,2844,3136,2853,3136,2862,3136,2866,3139,2886,3151,2930,3165,2953,3178,2963,3183,2965,3275,2986,3275,2989,3261,2992,3245,2999,3238,3013,3261,3017,3356,3025,3377,3028,3363,3032,3333,3036,3300,3042,3280,3049,3273,3055,3269,3069,3270,3076,3360,3077,5211,3076,5215,3069,5226,3054,5218,3045,5202,3037,5175,3029,5151,3022,5141,3019,5158,3016,5190,3011,5222,3006,5241,2998,5266,2981,5279,2966,5287,2943,5293,2904,5282,2893,5273,2887,5260,2884,5237,2880,5191,2876,5031,2864,5053,2862,5117,2862,5185,2852,5217,2824,5204,2816,5147,2791,5135,2784,5136,2779,5154,2774,5157,2771,5167,2763,5160,2754,5159,2746xm5211,3076l4373,3076,5105,3077,5211,3076xm4091,1864l4084,1866,4076,1874,4068,1888,4064,1906,4063,2746,4373,2746,4373,2051,4314,2051,4311,2026,4156,2026,4152,2016,4152,1999,4105,1999,4103,1980,4099,1933,4095,1886,4091,1864xm4352,1908l4342,1908,4331,1935,4322,1984,4316,2030,4314,2051,4373,2051,4372,2026,4372,1999,4373,1924,4369,1921,4362,1913,4352,1908xm4293,1811l4289,1813,4259,1815,4207,1828,4180,1853,4171,1877,4170,1888,4156,2026,4311,2026,4309,2016,4306,1937,4302,1856,4293,1811xm4130,1940l4122,1947,4114,1965,4105,1999,4152,1999,4151,1987,4148,1957,4141,1941,4130,1940xe" filled="true" fillcolor="#000000" stroked="false">
              <v:path arrowok="t"/>
              <v:fill type="solid"/>
            </v:shape>
            <v:shape style="position:absolute;left:5488;top:2368;width:472;height:379" type="#_x0000_t75" stroked="false">
              <v:imagedata r:id="rId232" o:title=""/>
            </v:shape>
            <v:shape style="position:absolute;left:6006;top:2483;width:217;height:269" type="#_x0000_t75" stroked="false">
              <v:imagedata r:id="rId233" o:title=""/>
            </v:shape>
            <v:shape style="position:absolute;left:5496;top:3001;width:314;height:409" coordorigin="5496,3001" coordsize="314,409" path="m5569,3001l5496,3001,5496,3231,5507,3313,5538,3368,5586,3400,5649,3410,5715,3399,5765,3367,5775,3351,5651,3351,5618,3344,5592,3323,5575,3287,5569,3236,5569,3001xm5809,3001l5736,3001,5736,3236,5730,3287,5714,3323,5687,3344,5651,3351,5775,3351,5798,3311,5809,3231,5809,3001xe" filled="true" fillcolor="#000000" stroked="false">
              <v:path arrowok="t"/>
              <v:fill type="solid"/>
            </v:shape>
            <v:shape style="position:absolute;left:5875;top:3106;width:266;height:298" type="#_x0000_t75" stroked="false">
              <v:imagedata r:id="rId234" o:title=""/>
            </v:shape>
            <v:shape style="position:absolute;left:6202;top:2991;width:83;height:412" coordorigin="6203,2992" coordsize="83,412" path="m6280,3113l6207,3113,6207,3404,6280,3404,6280,3113xm6244,2992l6227,2995,6214,3003,6205,3016,6203,3032,6205,3047,6214,3060,6227,3068,6243,3071,6261,3068,6274,3060,6282,3047,6285,3032,6282,3016,6274,3003,6261,2995,6244,2992xe" filled="true" fillcolor="#000000" stroked="false">
              <v:path arrowok="t"/>
              <v:fill type="solid"/>
            </v:shape>
            <v:shape style="position:absolute;left:6330;top:3030;width:183;height:380" type="#_x0000_t75" stroked="false">
              <v:imagedata r:id="rId235" o:title=""/>
            </v:shape>
            <v:shape style="position:absolute;left:6546;top:3106;width:267;height:304" type="#_x0000_t75" stroked="false">
              <v:imagedata r:id="rId236" o:title=""/>
            </v:shape>
            <v:shape style="position:absolute;left:5496;top:2979;width:1646;height:1080" coordorigin="5497,2980" coordsize="1646,1080" path="m5781,4060l5774,4043,5766,4017,5758,3984,5749,3948,5740,3921,5728,3898,5724,3894,5713,3881,5693,3870,5693,3868,5720,3854,5735,3840,5744,3832,5760,3803,5766,3768,5763,3743,5757,3721,5750,3710,5746,3702,5731,3687,5709,3672,5693,3667,5693,3775,5688,3802,5671,3823,5646,3836,5613,3840,5569,3840,5569,3714,5576,3712,5586,3711,5599,3710,5615,3710,5647,3714,5672,3725,5688,3746,5693,3775,5693,3667,5681,3662,5647,3657,5607,3655,5576,3655,5546,3657,5520,3660,5497,3663,5497,4060,5569,4060,5569,3894,5606,3894,5633,3898,5654,3910,5668,3932,5678,3965,5686,3999,5693,4026,5700,4047,5705,4060,5781,4060m7142,3404l7141,3387,7140,3366,7140,3357,7140,3351,7140,3344,7140,3163,7140,3144,7140,2980,7066,2980,7066,3144,7066,3144,7066,3221,7066,3292,7064,3299,7055,3320,7041,3337,7022,3347,7000,3351,6970,3344,6947,3325,6933,3296,6928,3259,6933,3221,6947,3191,6970,3170,7001,3163,7024,3167,7043,3178,7057,3195,7064,3215,7066,3221,7066,3144,7065,3144,7052,3129,7034,3117,7011,3109,6983,3106,6934,3117,6892,3147,6864,3196,6854,3262,6863,3322,6890,3369,6929,3399,6978,3410,7008,3406,7034,3396,7056,3379,7072,3357,7073,3357,7076,3404,7142,3404e" filled="true" fillcolor="#000000" stroked="false">
              <v:path arrowok="t"/>
              <v:fill type="solid"/>
            </v:shape>
            <v:shape style="position:absolute;left:5809;top:3762;width:267;height:304" type="#_x0000_t75" stroked="false">
              <v:imagedata r:id="rId237" o:title=""/>
            </v:shape>
            <v:shape style="position:absolute;left:6098;top:3629;width:198;height:431" coordorigin="6098,3629" coordsize="198,431" path="m6211,3824l6138,3824,6138,4060,6211,4060,6211,3824xm6274,3769l6098,3769,6098,3824,6274,3824,6274,3769xm6248,3629l6229,3631,6209,3636,6190,3644,6173,3657,6157,3678,6146,3702,6140,3729,6138,3754,6138,3769,6210,3769,6210,3754,6213,3729,6221,3708,6236,3694,6259,3688,6291,3688,6296,3637,6286,3634,6275,3631,6262,3630,6248,3629xm6291,3688l6273,3688,6283,3691,6290,3693,6291,3688xe" filled="true" fillcolor="#000000" stroked="false">
              <v:path arrowok="t"/>
              <v:fill type="solid"/>
            </v:shape>
            <v:shape style="position:absolute;left:6646;top:3762;width:166;height:298" type="#_x0000_t75" stroked="false">
              <v:imagedata r:id="rId239" o:title=""/>
            </v:shape>
            <v:shape style="position:absolute;left:6294;top:3762;width:294;height:305" type="#_x0000_t75" stroked="false">
              <v:imagedata r:id="rId238" o:title=""/>
            </v:shape>
            <v:shape style="position:absolute;left:6858;top:3762;width:430;height:298" coordorigin="6858,3762" coordsize="430,298" path="m6921,3769l6858,3769,6859,3787,6860,3809,6861,3830,6861,4060,6932,4060,6932,3880,6933,3871,6936,3864,6944,3849,6955,3836,6970,3826,6989,3823,7276,3823,7272,3816,7096,3816,7094,3812,6924,3812,6921,3769xm7165,3823l6989,3823,7011,3828,7026,3842,7036,3864,7039,3892,7039,4060,7110,4060,7110,3877,7112,3868,7114,3861,7122,3846,7133,3834,7148,3826,7165,3823xm7276,3823l7165,3823,7188,3828,7204,3843,7213,3867,7217,3899,7217,4060,7288,4060,7288,3889,7280,3830,7276,3823xm7191,3762l7174,3763,7159,3767,7145,3773,7133,3780,7123,3787,7114,3795,7105,3805,7097,3816,7272,3816,7258,3791,7226,3769,7191,3762xm7016,3762l6983,3767,6958,3779,6939,3795,6927,3812,7094,3812,7084,3794,7065,3777,7043,3766,7016,3762xe" filled="true" fillcolor="#000000" stroked="false">
              <v:path arrowok="t"/>
              <v:fill type="solid"/>
            </v:shape>
            <v:shape style="position:absolute;left:7347;top:3762;width:267;height:304" type="#_x0000_t75" stroked="false">
              <v:imagedata r:id="rId240" o:title=""/>
            </v:shape>
            <v:shape style="position:absolute;left:5475;top:3635;width:2468;height:1086" coordorigin="5476,3636" coordsize="2468,1086" path="m5788,4325l5773,4319,5751,4313,5724,4309,5690,4307,5621,4316,5562,4344,5516,4388,5486,4447,5476,4519,5485,4588,5511,4644,5553,4686,5610,4712,5680,4722,5715,4720,5744,4716,5767,4710,5784,4704,5775,4661,5772,4646,5756,4652,5736,4657,5715,4660,5693,4661,5634,4651,5590,4622,5562,4576,5553,4516,5563,4452,5592,4406,5637,4378,5693,4368,5717,4369,5738,4373,5756,4378,5772,4384,5776,4368,5788,4325m6098,4545l6090,4486,6085,4479,6077,4465,6066,4447,6034,4425,5997,4419,5984,4419,5971,4422,5959,4426,5947,4432,5936,4439,5927,4447,5918,4456,5911,4465,5910,4465,5910,4292,5836,4292,5836,4716,5910,4716,5910,4534,5910,4526,5913,4520,5921,4504,5933,4491,5949,4482,5969,4479,5995,4484,6012,4500,6022,4523,6025,4553,6025,4716,6098,4716,6098,4545m7943,4060l7942,4043,7941,4023,7941,4014,7940,4007,7940,4000,7940,3981,7940,3819,7940,3800,7940,3636,7867,3636,7867,3800,7867,3884,7867,3941,7866,3949,7865,3956,7856,3977,7841,3993,7823,4003,7801,4007,7770,4000,7748,3981,7734,3952,7729,3915,7734,3877,7748,3847,7771,3827,7802,3819,7825,3823,7843,3835,7857,3851,7865,3871,7866,3877,7867,3884,7867,3800,7866,3800,7853,3785,7835,3773,7812,3765,7784,3762,7734,3773,7693,3803,7664,3852,7654,3918,7664,3979,7690,4026,7729,4056,7778,4066,7808,4063,7835,4052,7857,4036,7873,4014,7874,4014,7877,4060,7943,4060e" filled="true" fillcolor="#000000" stroked="false">
              <v:path arrowok="t"/>
              <v:fill type="solid"/>
            </v:shape>
            <v:shape style="position:absolute;left:6157;top:4425;width:264;height:298" type="#_x0000_t75" stroked="false">
              <v:imagedata r:id="rId241" o:title=""/>
            </v:shape>
            <v:shape style="position:absolute;left:6476;top:4418;width:418;height:303" type="#_x0000_t75" stroked="false">
              <v:imagedata r:id="rId242" o:title=""/>
            </v:shape>
            <v:shape style="position:absolute;left:6941;top:4292;width:263;height:424" coordorigin="6942,4292" coordsize="263,424" path="m7016,4292l6942,4292,6942,4716,7016,4716,7016,4526,7018,4520,7026,4504,7039,4491,7055,4482,7075,4479,7191,4479,7183,4465,7016,4465,7016,4292xm7191,4479l7075,4479,7101,4484,7118,4500,7128,4523,7131,4553,7131,4716,7204,4716,7204,4545,7195,4486,7191,4479xm7103,4419l7089,4419,7076,4422,7064,4426,7053,4432,7042,4439,7032,4447,7024,4456,7017,4465,7183,4465,7172,4447,7140,4425,7103,4419xe" filled="true" fillcolor="#000000" stroked="false">
              <v:path arrowok="t"/>
              <v:fill type="solid"/>
            </v:shape>
            <v:shape style="position:absolute;left:4009;top:3897;width:414;height:199" coordorigin="4009,3898" coordsize="414,199" path="m4018,3914l4009,4064,4058,4078,4109,4088,4160,4094,4212,4097,4268,4093,4321,4083,4373,4068,4423,4052,4415,3948,4194,3948,4148,3945,4103,3939,4059,3928,4018,3914xm4411,3898l4361,3918,4307,3934,4252,3944,4194,3948,4415,3948,4411,3898xe" filled="true" fillcolor="#7c7b7b" stroked="false">
              <v:path arrowok="t"/>
              <v:fill type="solid"/>
            </v:shape>
            <w10:wrap type="none"/>
          </v:group>
        </w:pict>
      </w:r>
      <w:r>
        <w:rPr/>
        <w:pict>
          <v:shape style="position:absolute;margin-left:554.141174pt;margin-top:48.890015pt;width:26pt;height:261.8pt;mso-position-horizontal-relative:page;mso-position-vertical-relative:page;z-index:252127232" type="#_x0000_t202" filled="false" stroked="false">
            <v:textbox inset="0,0,0,0" style="layout-flow:vertical">
              <w:txbxContent>
                <w:p>
                  <w:pPr>
                    <w:spacing w:before="29"/>
                    <w:ind w:left="20" w:right="0" w:firstLine="0"/>
                    <w:jc w:val="left"/>
                    <w:rPr>
                      <w:sz w:val="39"/>
                    </w:rPr>
                  </w:pPr>
                  <w:r>
                    <w:rPr>
                      <w:color w:val="FFFFFF"/>
                      <w:w w:val="125"/>
                      <w:sz w:val="39"/>
                    </w:rPr>
                    <w:t>Information papers index</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line="206" w:lineRule="auto"/>
        <w:ind w:left="2646" w:right="3149"/>
        <w:rPr>
          <w:b/>
        </w:rPr>
      </w:pPr>
      <w:bookmarkStart w:name="_bookmark30" w:id="41"/>
      <w:bookmarkEnd w:id="41"/>
      <w:r>
        <w:rPr>
          <w:b w:val="0"/>
        </w:rPr>
      </w:r>
      <w:r>
        <w:rPr>
          <w:b/>
          <w:w w:val="110"/>
        </w:rPr>
        <w:t>Information papers index</w:t>
      </w:r>
    </w:p>
    <w:p>
      <w:pPr>
        <w:pStyle w:val="BodyText"/>
        <w:tabs>
          <w:tab w:pos="9545" w:val="right" w:leader="dot"/>
        </w:tabs>
        <w:spacing w:before="587"/>
        <w:ind w:left="2646"/>
        <w:rPr>
          <w:rFonts w:ascii="Stone Sans II ITC Std Sm"/>
          <w:b/>
        </w:rPr>
      </w:pPr>
      <w:r>
        <w:rPr>
          <w:rFonts w:ascii="Stone Sans II ITC Std Sm"/>
          <w:b/>
          <w:w w:val="110"/>
        </w:rPr>
        <w:t>URC History</w:t>
      </w:r>
      <w:r>
        <w:rPr>
          <w:rFonts w:ascii="Stone Sans II ITC Std Sm"/>
          <w:b/>
          <w:spacing w:val="-1"/>
          <w:w w:val="110"/>
        </w:rPr>
        <w:t> </w:t>
      </w:r>
      <w:r>
        <w:rPr>
          <w:rFonts w:ascii="Stone Sans II ITC Std Sm"/>
          <w:b/>
          <w:w w:val="110"/>
        </w:rPr>
        <w:t>Society</w:t>
        <w:tab/>
      </w:r>
      <w:r>
        <w:rPr>
          <w:rFonts w:ascii="Stone Sans II ITC Std Sm"/>
          <w:b/>
          <w:spacing w:val="-5"/>
          <w:w w:val="110"/>
        </w:rPr>
        <w:t>182</w:t>
      </w:r>
    </w:p>
    <w:p>
      <w:pPr>
        <w:pStyle w:val="BodyText"/>
        <w:tabs>
          <w:tab w:pos="9545" w:val="right" w:leader="dot"/>
        </w:tabs>
        <w:spacing w:before="46"/>
        <w:ind w:left="2645"/>
        <w:rPr>
          <w:rFonts w:ascii="Stone Sans II ITC Std Sm"/>
          <w:b/>
        </w:rPr>
      </w:pPr>
      <w:r>
        <w:rPr>
          <w:rFonts w:ascii="Stone Sans II ITC Std Sm"/>
          <w:b/>
          <w:w w:val="110"/>
        </w:rPr>
        <w:t>URC</w:t>
      </w:r>
      <w:r>
        <w:rPr>
          <w:rFonts w:ascii="Stone Sans II ITC Std Sm"/>
          <w:b/>
          <w:spacing w:val="-1"/>
          <w:w w:val="110"/>
        </w:rPr>
        <w:t> </w:t>
      </w:r>
      <w:r>
        <w:rPr>
          <w:rFonts w:ascii="Stone Sans II ITC Std Sm"/>
          <w:b/>
          <w:w w:val="110"/>
        </w:rPr>
        <w:t>Music</w:t>
        <w:tab/>
      </w:r>
      <w:r>
        <w:rPr>
          <w:rFonts w:ascii="Stone Sans II ITC Std Sm"/>
          <w:b/>
          <w:spacing w:val="-7"/>
          <w:w w:val="110"/>
        </w:rPr>
        <w:t>183</w:t>
      </w:r>
    </w:p>
    <w:p>
      <w:pPr>
        <w:pStyle w:val="BodyText"/>
        <w:tabs>
          <w:tab w:pos="9545" w:val="right" w:leader="dot"/>
        </w:tabs>
        <w:spacing w:before="46"/>
        <w:ind w:left="2645"/>
        <w:rPr>
          <w:rFonts w:ascii="Stone Sans II ITC Std Sm"/>
          <w:b/>
        </w:rPr>
      </w:pPr>
      <w:r>
        <w:rPr>
          <w:rFonts w:ascii="Stone Sans II ITC Std Sm"/>
          <w:b/>
          <w:w w:val="110"/>
        </w:rPr>
        <w:t>Schools relating to</w:t>
      </w:r>
      <w:r>
        <w:rPr>
          <w:rFonts w:ascii="Stone Sans II ITC Std Sm"/>
          <w:b/>
          <w:spacing w:val="-1"/>
          <w:w w:val="110"/>
        </w:rPr>
        <w:t> </w:t>
      </w:r>
      <w:r>
        <w:rPr>
          <w:rFonts w:ascii="Stone Sans II ITC Std Sm"/>
          <w:b/>
          <w:w w:val="110"/>
        </w:rPr>
        <w:t>the URC</w:t>
        <w:tab/>
      </w:r>
      <w:r>
        <w:rPr>
          <w:rFonts w:ascii="Stone Sans II ITC Std Sm"/>
          <w:b/>
          <w:spacing w:val="-3"/>
          <w:w w:val="110"/>
        </w:rPr>
        <w:t>184</w:t>
      </w:r>
    </w:p>
    <w:p>
      <w:pPr>
        <w:pStyle w:val="BodyText"/>
        <w:tabs>
          <w:tab w:pos="9545" w:val="right" w:leader="dot"/>
        </w:tabs>
        <w:spacing w:before="46"/>
        <w:ind w:left="2645"/>
        <w:rPr>
          <w:rFonts w:ascii="Stone Sans II ITC Std Sm" w:hAnsi="Stone Sans II ITC Std Sm"/>
          <w:b/>
        </w:rPr>
      </w:pPr>
      <w:r>
        <w:rPr>
          <w:rFonts w:ascii="Stone Sans II ITC Std Sm" w:hAnsi="Stone Sans II ITC Std Sm"/>
          <w:b/>
          <w:spacing w:val="-3"/>
          <w:w w:val="110"/>
        </w:rPr>
        <w:t>Women’s </w:t>
      </w:r>
      <w:r>
        <w:rPr>
          <w:rFonts w:ascii="Stone Sans II ITC Std Sm" w:hAnsi="Stone Sans II ITC Std Sm"/>
          <w:b/>
          <w:w w:val="110"/>
        </w:rPr>
        <w:t>world day</w:t>
      </w:r>
      <w:r>
        <w:rPr>
          <w:rFonts w:ascii="Stone Sans II ITC Std Sm" w:hAnsi="Stone Sans II ITC Std Sm"/>
          <w:b/>
          <w:spacing w:val="2"/>
          <w:w w:val="110"/>
        </w:rPr>
        <w:t> </w:t>
      </w:r>
      <w:r>
        <w:rPr>
          <w:rFonts w:ascii="Stone Sans II ITC Std Sm" w:hAnsi="Stone Sans II ITC Std Sm"/>
          <w:b/>
          <w:w w:val="110"/>
        </w:rPr>
        <w:t>of</w:t>
      </w:r>
      <w:r>
        <w:rPr>
          <w:rFonts w:ascii="Stone Sans II ITC Std Sm" w:hAnsi="Stone Sans II ITC Std Sm"/>
          <w:b/>
          <w:spacing w:val="-1"/>
          <w:w w:val="110"/>
        </w:rPr>
        <w:t> </w:t>
      </w:r>
      <w:r>
        <w:rPr>
          <w:rFonts w:ascii="Stone Sans II ITC Std Sm" w:hAnsi="Stone Sans II ITC Std Sm"/>
          <w:b/>
          <w:w w:val="110"/>
        </w:rPr>
        <w:t>prayer</w:t>
        <w:tab/>
      </w:r>
      <w:r>
        <w:rPr>
          <w:rFonts w:ascii="Stone Sans II ITC Std Sm" w:hAnsi="Stone Sans II ITC Std Sm"/>
          <w:b/>
          <w:spacing w:val="-5"/>
          <w:w w:val="110"/>
        </w:rPr>
        <w:t>185</w:t>
      </w:r>
    </w:p>
    <w:p>
      <w:pPr>
        <w:pStyle w:val="BodyText"/>
        <w:tabs>
          <w:tab w:pos="9545" w:val="right" w:leader="dot"/>
        </w:tabs>
        <w:spacing w:before="67"/>
        <w:ind w:left="2645"/>
        <w:rPr>
          <w:rFonts w:ascii="Stone Sans II ITC Std Sm"/>
          <w:b/>
        </w:rPr>
      </w:pPr>
      <w:r>
        <w:rPr>
          <w:rFonts w:ascii="Stone Sans II ITC Std Sm"/>
          <w:b/>
          <w:w w:val="110"/>
        </w:rPr>
        <w:t>World day of</w:t>
      </w:r>
      <w:r>
        <w:rPr>
          <w:rFonts w:ascii="Stone Sans II ITC Std Sm"/>
          <w:b/>
          <w:spacing w:val="-1"/>
          <w:w w:val="110"/>
        </w:rPr>
        <w:t> </w:t>
      </w:r>
      <w:r>
        <w:rPr>
          <w:rFonts w:ascii="Stone Sans II ITC Std Sm"/>
          <w:b/>
          <w:spacing w:val="-3"/>
          <w:w w:val="110"/>
        </w:rPr>
        <w:t>prayer,</w:t>
      </w:r>
      <w:r>
        <w:rPr>
          <w:rFonts w:ascii="Stone Sans II ITC Std Sm"/>
          <w:b/>
          <w:spacing w:val="-1"/>
          <w:w w:val="110"/>
        </w:rPr>
        <w:t> </w:t>
      </w:r>
      <w:r>
        <w:rPr>
          <w:rFonts w:ascii="Stone Sans II ITC Std Sm"/>
          <w:b/>
          <w:w w:val="110"/>
        </w:rPr>
        <w:t>Scotland</w:t>
        <w:tab/>
      </w:r>
      <w:r>
        <w:rPr>
          <w:rFonts w:ascii="Stone Sans II ITC Std Sm"/>
          <w:b/>
          <w:spacing w:val="-4"/>
          <w:w w:val="110"/>
        </w:rPr>
        <w:t>186</w:t>
      </w: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BodyText"/>
        <w:rPr>
          <w:rFonts w:ascii="Stone Sans II ITC Std Sm"/>
          <w:b/>
          <w:sz w:val="30"/>
        </w:rPr>
      </w:pPr>
    </w:p>
    <w:p>
      <w:pPr>
        <w:pStyle w:val="Heading7"/>
        <w:spacing w:before="235"/>
        <w:ind w:left="3842"/>
        <w:rPr>
          <w:rFonts w:ascii="Stone Sans II ITC Std X Bd" w:hAnsi="Stone Sans II ITC Std X Bd"/>
          <w:b/>
          <w:sz w:val="24"/>
        </w:rPr>
      </w:pP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 </w:t>
      </w:r>
      <w:r>
        <w:rPr>
          <w:rFonts w:ascii="Symbol" w:hAnsi="Symbol"/>
          <w:color w:val="7EAABF"/>
          <w:w w:val="110"/>
        </w:rPr>
        <w:t></w:t>
      </w:r>
      <w:r>
        <w:rPr>
          <w:rFonts w:ascii="Times New Roman" w:hAnsi="Times New Roman"/>
          <w:color w:val="7EAABF"/>
          <w:w w:val="110"/>
        </w:rPr>
        <w:t> </w:t>
      </w:r>
      <w:r>
        <w:rPr>
          <w:rFonts w:ascii="Stone Sans II ITC Std X Bd" w:hAnsi="Stone Sans II ITC Std X Bd"/>
          <w:b/>
          <w:w w:val="110"/>
          <w:sz w:val="24"/>
        </w:rPr>
        <w:t>181</w:t>
      </w:r>
    </w:p>
    <w:p>
      <w:pPr>
        <w:spacing w:after="0"/>
        <w:rPr>
          <w:rFonts w:ascii="Stone Sans II ITC Std X Bd" w:hAnsi="Stone Sans II ITC Std X Bd"/>
          <w:sz w:val="24"/>
        </w:rPr>
        <w:sectPr>
          <w:headerReference w:type="default" r:id="rId483"/>
          <w:footerReference w:type="default" r:id="rId484"/>
          <w:pgSz w:w="11910" w:h="16840"/>
          <w:pgMar w:header="0" w:footer="0" w:top="1580" w:bottom="280" w:left="420" w:right="380"/>
        </w:sectPr>
      </w:pPr>
    </w:p>
    <w:p>
      <w:pPr>
        <w:pStyle w:val="BodyText"/>
        <w:rPr>
          <w:rFonts w:ascii="Stone Sans II ITC Std X Bd"/>
          <w:b/>
        </w:rPr>
      </w:pPr>
      <w:r>
        <w:rPr/>
        <w:drawing>
          <wp:anchor distT="0" distB="0" distL="0" distR="0" allowOverlap="1" layoutInCell="1" locked="0" behindDoc="1" simplePos="0" relativeHeight="236161024">
            <wp:simplePos x="0" y="0"/>
            <wp:positionH relativeFrom="page">
              <wp:posOffset>0</wp:posOffset>
            </wp:positionH>
            <wp:positionV relativeFrom="page">
              <wp:posOffset>0</wp:posOffset>
            </wp:positionV>
            <wp:extent cx="594067" cy="10692003"/>
            <wp:effectExtent l="0" t="0" r="0" b="0"/>
            <wp:wrapNone/>
            <wp:docPr id="351" name="image81.png"/>
            <wp:cNvGraphicFramePr>
              <a:graphicFrameLocks noChangeAspect="1"/>
            </wp:cNvGraphicFramePr>
            <a:graphic>
              <a:graphicData uri="http://schemas.openxmlformats.org/drawingml/2006/picture">
                <pic:pic>
                  <pic:nvPicPr>
                    <pic:cNvPr id="352" name="image81.png"/>
                    <pic:cNvPicPr/>
                  </pic:nvPicPr>
                  <pic:blipFill>
                    <a:blip r:embed="rId491" cstate="print"/>
                    <a:stretch>
                      <a:fillRect/>
                    </a:stretch>
                  </pic:blipFill>
                  <pic:spPr>
                    <a:xfrm>
                      <a:off x="0" y="0"/>
                      <a:ext cx="594067" cy="10692003"/>
                    </a:xfrm>
                    <a:prstGeom prst="rect">
                      <a:avLst/>
                    </a:prstGeom>
                  </pic:spPr>
                </pic:pic>
              </a:graphicData>
            </a:graphic>
          </wp:anchor>
        </w:drawing>
      </w:r>
    </w:p>
    <w:p>
      <w:pPr>
        <w:pStyle w:val="BodyText"/>
        <w:spacing w:before="5"/>
        <w:rPr>
          <w:rFonts w:ascii="Stone Sans II ITC Std X Bd"/>
          <w:b/>
          <w:sz w:val="17"/>
        </w:rPr>
      </w:pPr>
    </w:p>
    <w:p>
      <w:pPr>
        <w:spacing w:before="109"/>
        <w:ind w:left="827" w:right="0" w:firstLine="0"/>
        <w:jc w:val="left"/>
        <w:rPr>
          <w:sz w:val="26"/>
        </w:rPr>
      </w:pPr>
      <w:r>
        <w:rPr/>
        <w:pict>
          <v:shape style="position:absolute;margin-left:20.519100pt;margin-top:22.743946pt;width:26pt;height:202.3pt;mso-position-horizontal-relative:page;mso-position-vertical-relative:paragraph;z-index:252129280" type="#_x0000_t202" filled="false" stroked="false">
            <v:textbox inset="0,0,0,0" style="layout-flow:vertical">
              <w:txbxContent>
                <w:p>
                  <w:pPr>
                    <w:spacing w:before="29"/>
                    <w:ind w:left="20" w:right="0" w:firstLine="0"/>
                    <w:jc w:val="left"/>
                    <w:rPr>
                      <w:sz w:val="39"/>
                    </w:rPr>
                  </w:pPr>
                  <w:r>
                    <w:rPr>
                      <w:color w:val="FFFFFF"/>
                      <w:w w:val="125"/>
                      <w:sz w:val="39"/>
                    </w:rPr>
                    <w:t>URC history society</w:t>
                  </w:r>
                </w:p>
              </w:txbxContent>
            </v:textbox>
            <w10:wrap type="none"/>
          </v:shape>
        </w:pict>
      </w:r>
      <w:bookmarkStart w:name="_bookmark31" w:id="42"/>
      <w:bookmarkEnd w:id="42"/>
      <w:r>
        <w:rPr/>
      </w:r>
      <w:r>
        <w:rPr>
          <w:color w:val="7EAABF"/>
          <w:w w:val="115"/>
          <w:sz w:val="26"/>
        </w:rPr>
        <w:t>Information papers</w:t>
      </w:r>
    </w:p>
    <w:p>
      <w:pPr>
        <w:spacing w:line="667" w:lineRule="exact" w:before="245"/>
        <w:ind w:left="251" w:right="1167" w:firstLine="0"/>
        <w:jc w:val="center"/>
        <w:rPr>
          <w:rFonts w:ascii="Stone Sans II ITC Std X Bd"/>
          <w:b/>
          <w:sz w:val="50"/>
        </w:rPr>
      </w:pPr>
      <w:r>
        <w:rPr>
          <w:rFonts w:ascii="Stone Sans II ITC Std X Bd"/>
          <w:b/>
          <w:w w:val="110"/>
          <w:sz w:val="50"/>
        </w:rPr>
        <w:t>URC History Society</w:t>
      </w:r>
    </w:p>
    <w:p>
      <w:pPr>
        <w:pStyle w:val="BodyText"/>
        <w:spacing w:line="235" w:lineRule="exact"/>
        <w:ind w:left="251" w:right="1167"/>
        <w:jc w:val="center"/>
      </w:pPr>
      <w:r>
        <w:rPr>
          <w:w w:val="120"/>
        </w:rPr>
        <w:t>Registered charity number: 279213</w:t>
      </w:r>
    </w:p>
    <w:p>
      <w:pPr>
        <w:pStyle w:val="BodyText"/>
        <w:rPr>
          <w:sz w:val="24"/>
        </w:rPr>
      </w:pPr>
    </w:p>
    <w:p>
      <w:pPr>
        <w:pStyle w:val="ListParagraph"/>
        <w:numPr>
          <w:ilvl w:val="1"/>
          <w:numId w:val="125"/>
        </w:numPr>
        <w:tabs>
          <w:tab w:pos="1507" w:val="left" w:leader="none"/>
          <w:tab w:pos="1508" w:val="left" w:leader="none"/>
        </w:tabs>
        <w:spacing w:line="235" w:lineRule="auto" w:before="187" w:after="0"/>
        <w:ind w:left="827" w:right="1841" w:firstLine="0"/>
        <w:jc w:val="left"/>
        <w:rPr>
          <w:sz w:val="20"/>
        </w:rPr>
      </w:pPr>
      <w:r>
        <w:rPr>
          <w:w w:val="120"/>
          <w:sz w:val="20"/>
        </w:rPr>
        <w:t>Since last reporting to General Assembly, the Society has organised study occasions in Cardiff and Manchester. The first included a paper by the Revd Dr </w:t>
      </w:r>
      <w:r>
        <w:rPr>
          <w:spacing w:val="-5"/>
          <w:w w:val="120"/>
          <w:sz w:val="20"/>
        </w:rPr>
        <w:t>Tom </w:t>
      </w:r>
      <w:r>
        <w:rPr>
          <w:w w:val="120"/>
          <w:sz w:val="20"/>
        </w:rPr>
        <w:t>Arthur on the seventeenth century cleric </w:t>
      </w:r>
      <w:r>
        <w:rPr>
          <w:spacing w:val="2"/>
          <w:w w:val="120"/>
          <w:sz w:val="20"/>
        </w:rPr>
        <w:t>Robert </w:t>
      </w:r>
      <w:r>
        <w:rPr>
          <w:w w:val="120"/>
          <w:sz w:val="20"/>
        </w:rPr>
        <w:t>Whitehall, and a lecture by the Revd Dr </w:t>
      </w:r>
      <w:r>
        <w:rPr>
          <w:spacing w:val="2"/>
          <w:w w:val="120"/>
          <w:sz w:val="20"/>
        </w:rPr>
        <w:t>Robert </w:t>
      </w:r>
      <w:r>
        <w:rPr>
          <w:w w:val="120"/>
          <w:sz w:val="20"/>
        </w:rPr>
        <w:t>Pope, then at the University of Trinity St David’s, entitled </w:t>
      </w:r>
      <w:r>
        <w:rPr>
          <w:i/>
          <w:w w:val="120"/>
          <w:sz w:val="20"/>
        </w:rPr>
        <w:t>Conscription, </w:t>
      </w:r>
      <w:r>
        <w:rPr>
          <w:i/>
          <w:w w:val="115"/>
          <w:sz w:val="20"/>
        </w:rPr>
        <w:t>Conscience and Building </w:t>
      </w:r>
      <w:r>
        <w:rPr>
          <w:i/>
          <w:spacing w:val="-3"/>
          <w:w w:val="115"/>
          <w:sz w:val="20"/>
        </w:rPr>
        <w:t>God’s </w:t>
      </w:r>
      <w:r>
        <w:rPr>
          <w:i/>
          <w:w w:val="115"/>
          <w:sz w:val="20"/>
        </w:rPr>
        <w:t>Kingdom: </w:t>
      </w:r>
      <w:r>
        <w:rPr>
          <w:i/>
          <w:spacing w:val="-3"/>
          <w:w w:val="115"/>
          <w:sz w:val="20"/>
        </w:rPr>
        <w:t>Welsh </w:t>
      </w:r>
      <w:r>
        <w:rPr>
          <w:i/>
          <w:w w:val="115"/>
          <w:sz w:val="20"/>
        </w:rPr>
        <w:t>Nonconformists and the Great </w:t>
      </w:r>
      <w:r>
        <w:rPr>
          <w:i/>
          <w:spacing w:val="-6"/>
          <w:w w:val="115"/>
          <w:sz w:val="20"/>
        </w:rPr>
        <w:t>War</w:t>
      </w:r>
      <w:r>
        <w:rPr>
          <w:spacing w:val="-6"/>
          <w:w w:val="115"/>
          <w:sz w:val="20"/>
        </w:rPr>
        <w:t>. </w:t>
      </w:r>
      <w:r>
        <w:rPr>
          <w:w w:val="115"/>
          <w:sz w:val="20"/>
        </w:rPr>
        <w:t>Images </w:t>
      </w:r>
      <w:r>
        <w:rPr>
          <w:w w:val="120"/>
          <w:sz w:val="20"/>
        </w:rPr>
        <w:t>of the </w:t>
      </w:r>
      <w:r>
        <w:rPr>
          <w:i/>
          <w:w w:val="120"/>
          <w:sz w:val="20"/>
        </w:rPr>
        <w:t>dramatis personae </w:t>
      </w:r>
      <w:r>
        <w:rPr>
          <w:w w:val="120"/>
          <w:sz w:val="20"/>
        </w:rPr>
        <w:t>assisted understanding, as Dr Pope asked the audience to consider a nation which had responded to the call to arms in considerable numbers, yet one where individuals were uneasy about or opposed </w:t>
      </w:r>
      <w:r>
        <w:rPr>
          <w:spacing w:val="-3"/>
          <w:w w:val="120"/>
          <w:sz w:val="20"/>
        </w:rPr>
        <w:t>to, </w:t>
      </w:r>
      <w:r>
        <w:rPr>
          <w:w w:val="120"/>
          <w:sz w:val="20"/>
        </w:rPr>
        <w:t>conscription – did the government have the God-given right to oblige citizens to defend the state? The prime minister was also a Welshman, and identified himself as a Nonconformist. Religious and political loyalties were stretched to the limit in particular situations, and a century later the decline of the chapels </w:t>
      </w:r>
      <w:r>
        <w:rPr>
          <w:spacing w:val="-4"/>
          <w:w w:val="120"/>
          <w:sz w:val="20"/>
        </w:rPr>
        <w:t>may, </w:t>
      </w:r>
      <w:r>
        <w:rPr>
          <w:w w:val="120"/>
          <w:sz w:val="20"/>
        </w:rPr>
        <w:t>in part, be linked to an undermining of a sense of corporate identity from that</w:t>
      </w:r>
      <w:r>
        <w:rPr>
          <w:spacing w:val="12"/>
          <w:w w:val="120"/>
          <w:sz w:val="20"/>
        </w:rPr>
        <w:t> </w:t>
      </w:r>
      <w:r>
        <w:rPr>
          <w:w w:val="120"/>
          <w:sz w:val="20"/>
        </w:rPr>
        <w:t>period.</w:t>
      </w:r>
    </w:p>
    <w:p>
      <w:pPr>
        <w:pStyle w:val="BodyText"/>
        <w:spacing w:before="5"/>
      </w:pPr>
    </w:p>
    <w:p>
      <w:pPr>
        <w:pStyle w:val="ListParagraph"/>
        <w:numPr>
          <w:ilvl w:val="1"/>
          <w:numId w:val="125"/>
        </w:numPr>
        <w:tabs>
          <w:tab w:pos="1507" w:val="left" w:leader="none"/>
          <w:tab w:pos="1508" w:val="left" w:leader="none"/>
        </w:tabs>
        <w:spacing w:line="235" w:lineRule="auto" w:before="0" w:after="0"/>
        <w:ind w:left="827" w:right="1788" w:firstLine="0"/>
        <w:jc w:val="left"/>
        <w:rPr>
          <w:sz w:val="20"/>
        </w:rPr>
      </w:pPr>
      <w:r>
        <w:rPr>
          <w:w w:val="120"/>
          <w:sz w:val="20"/>
        </w:rPr>
        <w:t>The centenary, in </w:t>
      </w:r>
      <w:r>
        <w:rPr>
          <w:spacing w:val="-12"/>
          <w:w w:val="120"/>
          <w:sz w:val="20"/>
        </w:rPr>
        <w:t>2017, </w:t>
      </w:r>
      <w:r>
        <w:rPr>
          <w:w w:val="120"/>
          <w:sz w:val="20"/>
        </w:rPr>
        <w:t>of Constance </w:t>
      </w:r>
      <w:r>
        <w:rPr>
          <w:spacing w:val="-3"/>
          <w:w w:val="120"/>
          <w:sz w:val="20"/>
        </w:rPr>
        <w:t>Coltman’s </w:t>
      </w:r>
      <w:r>
        <w:rPr>
          <w:w w:val="120"/>
          <w:sz w:val="20"/>
        </w:rPr>
        <w:t>ordination to ministry in the Congregational Union of England and Wales provided a focus for the conference in Manchester, all the main papers being delivered by women ministers. The Revd Dr Kirsty Thorpe, former Moderator of the United Reformed Church, posed the question: ‘Constance Coltman – role model for </w:t>
      </w:r>
      <w:r>
        <w:rPr>
          <w:spacing w:val="-3"/>
          <w:w w:val="120"/>
          <w:sz w:val="20"/>
        </w:rPr>
        <w:t>women’s </w:t>
      </w:r>
      <w:r>
        <w:rPr>
          <w:w w:val="120"/>
          <w:sz w:val="20"/>
        </w:rPr>
        <w:t>ministry or complete </w:t>
      </w:r>
      <w:r>
        <w:rPr>
          <w:spacing w:val="2"/>
          <w:w w:val="120"/>
          <w:sz w:val="20"/>
        </w:rPr>
        <w:t>one-off?’ </w:t>
      </w:r>
      <w:r>
        <w:rPr>
          <w:w w:val="120"/>
          <w:sz w:val="20"/>
        </w:rPr>
        <w:t>She directed attention to the pioneering role played by Mrs Coltman, and from</w:t>
      </w:r>
      <w:r>
        <w:rPr>
          <w:spacing w:val="49"/>
          <w:w w:val="120"/>
          <w:sz w:val="20"/>
        </w:rPr>
        <w:t> </w:t>
      </w:r>
      <w:r>
        <w:rPr>
          <w:w w:val="120"/>
          <w:sz w:val="20"/>
        </w:rPr>
        <w:t>her</w:t>
      </w:r>
    </w:p>
    <w:p>
      <w:pPr>
        <w:pStyle w:val="BodyText"/>
        <w:spacing w:line="235" w:lineRule="auto" w:before="4"/>
        <w:ind w:left="827" w:right="1840"/>
      </w:pPr>
      <w:r>
        <w:rPr>
          <w:w w:val="120"/>
        </w:rPr>
        <w:t>survey of the evidence a case could be made for answering both </w:t>
      </w:r>
      <w:r>
        <w:rPr>
          <w:spacing w:val="2"/>
          <w:w w:val="120"/>
        </w:rPr>
        <w:t>parts </w:t>
      </w:r>
      <w:r>
        <w:rPr>
          <w:w w:val="120"/>
        </w:rPr>
        <w:t>of the question affirmatively. ‘The Constance Coltman centenary in international perspective’, given  by the Revd Dr Julia Pitman from the Uniting Church in Australia, provided a survey across the English-speaking world, along with some reflections  on  the  suggestive links between </w:t>
      </w:r>
      <w:r>
        <w:rPr>
          <w:spacing w:val="-3"/>
          <w:w w:val="120"/>
        </w:rPr>
        <w:t>women’s </w:t>
      </w:r>
      <w:r>
        <w:rPr>
          <w:w w:val="120"/>
        </w:rPr>
        <w:t>involvement in suffrage issues and reform of the liturgy within the marriage service. The third lecture by the Revd Dr Charlotte Methuen from the University of Glasgow focussed on ‘Luther and the shaping of Reformed identity’, where she illustrated in image and quotation how the issues of salvation and grace resonated across the protestant ‘family’, as they still</w:t>
      </w:r>
      <w:r>
        <w:rPr>
          <w:spacing w:val="8"/>
          <w:w w:val="120"/>
        </w:rPr>
        <w:t> </w:t>
      </w:r>
      <w:r>
        <w:rPr>
          <w:w w:val="120"/>
        </w:rPr>
        <w:t>do.</w:t>
      </w:r>
    </w:p>
    <w:p>
      <w:pPr>
        <w:pStyle w:val="BodyText"/>
        <w:spacing w:before="2"/>
      </w:pPr>
    </w:p>
    <w:p>
      <w:pPr>
        <w:pStyle w:val="ListParagraph"/>
        <w:numPr>
          <w:ilvl w:val="1"/>
          <w:numId w:val="125"/>
        </w:numPr>
        <w:tabs>
          <w:tab w:pos="1507" w:val="left" w:leader="none"/>
          <w:tab w:pos="1508" w:val="left" w:leader="none"/>
        </w:tabs>
        <w:spacing w:line="235" w:lineRule="auto" w:before="0" w:after="0"/>
        <w:ind w:left="827" w:right="1842" w:firstLine="0"/>
        <w:jc w:val="left"/>
        <w:rPr>
          <w:sz w:val="20"/>
        </w:rPr>
      </w:pPr>
      <w:r>
        <w:rPr>
          <w:w w:val="120"/>
          <w:sz w:val="20"/>
        </w:rPr>
        <w:t>The archives at Westminster College, Cambridge attract scholars from across the world, often to consult material connected with the Presbyterian Church of England’s mission to </w:t>
      </w:r>
      <w:r>
        <w:rPr>
          <w:spacing w:val="-3"/>
          <w:w w:val="120"/>
          <w:sz w:val="20"/>
        </w:rPr>
        <w:t>Taiwan </w:t>
      </w:r>
      <w:r>
        <w:rPr>
          <w:w w:val="120"/>
          <w:sz w:val="20"/>
        </w:rPr>
        <w:t>– the Church there values its inheritance. Cataloguing of the archives of the Re-formed Association of Churches of Christ has continued. Within the library, sermons composed before </w:t>
      </w:r>
      <w:r>
        <w:rPr>
          <w:spacing w:val="-6"/>
          <w:w w:val="120"/>
          <w:sz w:val="20"/>
        </w:rPr>
        <w:t>1700 </w:t>
      </w:r>
      <w:r>
        <w:rPr>
          <w:w w:val="120"/>
          <w:sz w:val="20"/>
        </w:rPr>
        <w:t>have been examined by Professor Jeanne Shami of the GEMMS project, </w:t>
      </w:r>
      <w:r>
        <w:rPr>
          <w:spacing w:val="-3"/>
          <w:w w:val="120"/>
          <w:sz w:val="20"/>
        </w:rPr>
        <w:t>(Gateway </w:t>
      </w:r>
      <w:r>
        <w:rPr>
          <w:w w:val="120"/>
          <w:sz w:val="20"/>
        </w:rPr>
        <w:t>to Early Manuscript </w:t>
      </w:r>
      <w:r>
        <w:rPr>
          <w:spacing w:val="-3"/>
          <w:w w:val="120"/>
          <w:sz w:val="20"/>
        </w:rPr>
        <w:t>Sermons), </w:t>
      </w:r>
      <w:r>
        <w:rPr>
          <w:w w:val="120"/>
          <w:sz w:val="20"/>
        </w:rPr>
        <w:t>based at the University of Regina, Canada. A digitised copy of the manuscript of the Westminster Confession of </w:t>
      </w:r>
      <w:r>
        <w:rPr>
          <w:spacing w:val="-4"/>
          <w:w w:val="120"/>
          <w:sz w:val="20"/>
        </w:rPr>
        <w:t>1646 </w:t>
      </w:r>
      <w:r>
        <w:rPr>
          <w:w w:val="120"/>
          <w:sz w:val="20"/>
        </w:rPr>
        <w:t>was secured through the good offices of Cambridge University </w:t>
      </w:r>
      <w:r>
        <w:rPr>
          <w:spacing w:val="2"/>
          <w:w w:val="120"/>
          <w:sz w:val="20"/>
        </w:rPr>
        <w:t>Library </w:t>
      </w:r>
      <w:r>
        <w:rPr>
          <w:w w:val="120"/>
          <w:sz w:val="20"/>
        </w:rPr>
        <w:t>at the end of</w:t>
      </w:r>
      <w:r>
        <w:rPr>
          <w:spacing w:val="8"/>
          <w:w w:val="120"/>
          <w:sz w:val="20"/>
        </w:rPr>
        <w:t> </w:t>
      </w:r>
      <w:r>
        <w:rPr>
          <w:spacing w:val="-12"/>
          <w:w w:val="120"/>
          <w:sz w:val="20"/>
        </w:rPr>
        <w:t>2017.</w:t>
      </w:r>
    </w:p>
    <w:p>
      <w:pPr>
        <w:pStyle w:val="BodyText"/>
        <w:spacing w:before="1"/>
      </w:pPr>
    </w:p>
    <w:p>
      <w:pPr>
        <w:pStyle w:val="ListParagraph"/>
        <w:numPr>
          <w:ilvl w:val="1"/>
          <w:numId w:val="125"/>
        </w:numPr>
        <w:tabs>
          <w:tab w:pos="1507" w:val="left" w:leader="none"/>
          <w:tab w:pos="1508" w:val="left" w:leader="none"/>
        </w:tabs>
        <w:spacing w:line="237" w:lineRule="auto" w:before="0" w:after="0"/>
        <w:ind w:left="827" w:right="1853" w:firstLine="0"/>
        <w:jc w:val="left"/>
        <w:rPr>
          <w:sz w:val="20"/>
        </w:rPr>
      </w:pPr>
      <w:r>
        <w:rPr>
          <w:w w:val="120"/>
          <w:sz w:val="20"/>
        </w:rPr>
        <w:t>Volume nine of the Society </w:t>
      </w:r>
      <w:r>
        <w:rPr>
          <w:i/>
          <w:w w:val="120"/>
          <w:sz w:val="20"/>
        </w:rPr>
        <w:t>Journal </w:t>
      </w:r>
      <w:r>
        <w:rPr>
          <w:w w:val="120"/>
          <w:sz w:val="20"/>
        </w:rPr>
        <w:t>has been completed and Volume </w:t>
      </w:r>
      <w:r>
        <w:rPr>
          <w:spacing w:val="-6"/>
          <w:w w:val="120"/>
          <w:sz w:val="20"/>
        </w:rPr>
        <w:t>10 </w:t>
      </w:r>
      <w:r>
        <w:rPr>
          <w:w w:val="120"/>
          <w:sz w:val="20"/>
        </w:rPr>
        <w:t>begun. Past issues </w:t>
      </w:r>
      <w:r>
        <w:rPr>
          <w:spacing w:val="-8"/>
          <w:w w:val="120"/>
          <w:sz w:val="20"/>
        </w:rPr>
        <w:t>(1972 </w:t>
      </w:r>
      <w:r>
        <w:rPr>
          <w:w w:val="120"/>
          <w:sz w:val="20"/>
        </w:rPr>
        <w:t>to </w:t>
      </w:r>
      <w:r>
        <w:rPr>
          <w:spacing w:val="-8"/>
          <w:w w:val="120"/>
          <w:sz w:val="20"/>
        </w:rPr>
        <w:t>2012) </w:t>
      </w:r>
      <w:r>
        <w:rPr>
          <w:w w:val="120"/>
          <w:sz w:val="20"/>
        </w:rPr>
        <w:t>may be read online via the </w:t>
      </w:r>
      <w:r>
        <w:rPr>
          <w:color w:val="006AB3"/>
          <w:w w:val="120"/>
          <w:sz w:val="20"/>
        </w:rPr>
        <w:t>biblicalstudies.org.uk</w:t>
      </w:r>
      <w:r>
        <w:rPr>
          <w:color w:val="006AB3"/>
          <w:spacing w:val="-3"/>
          <w:w w:val="120"/>
          <w:sz w:val="20"/>
        </w:rPr>
        <w:t> </w:t>
      </w:r>
      <w:r>
        <w:rPr>
          <w:w w:val="120"/>
          <w:sz w:val="20"/>
        </w:rPr>
        <w:t>website.</w:t>
      </w:r>
    </w:p>
    <w:p>
      <w:pPr>
        <w:pStyle w:val="BodyText"/>
        <w:spacing w:line="235" w:lineRule="auto"/>
        <w:ind w:left="827" w:right="1946"/>
      </w:pPr>
      <w:r>
        <w:rPr>
          <w:w w:val="120"/>
        </w:rPr>
        <w:t>It is anticipated that other activities of the Society will be publicised shortly at </w:t>
      </w:r>
      <w:hyperlink r:id="rId492">
        <w:r>
          <w:rPr>
            <w:color w:val="006AB3"/>
            <w:w w:val="120"/>
          </w:rPr>
          <w:t>www.urchistory.org.uk</w:t>
        </w:r>
        <w:r>
          <w:rPr>
            <w:w w:val="120"/>
          </w:rPr>
          <w:t>. </w:t>
        </w:r>
      </w:hyperlink>
      <w:r>
        <w:rPr>
          <w:w w:val="120"/>
        </w:rPr>
        <w:t>Editor (Dr Robert Pope, now teaching at the College), Archivist (Mrs Helen Weller) and Secretary (Mrs Margaret Thompson) may all be contacted at Westminster. A membership subscription costs £20 per year – there is a reduction for students and newly retired ministers.</w:t>
      </w:r>
    </w:p>
    <w:p>
      <w:pPr>
        <w:spacing w:after="0" w:line="235" w:lineRule="auto"/>
        <w:sectPr>
          <w:headerReference w:type="even" r:id="rId488"/>
          <w:footerReference w:type="even" r:id="rId489"/>
          <w:footerReference w:type="default" r:id="rId490"/>
          <w:pgSz w:w="11910" w:h="16840"/>
          <w:pgMar w:header="0" w:footer="647" w:top="0" w:bottom="840" w:left="420" w:right="380"/>
          <w:pgNumType w:start="182"/>
        </w:sectPr>
      </w:pPr>
    </w:p>
    <w:p>
      <w:pPr>
        <w:pStyle w:val="BodyText"/>
      </w:pPr>
    </w:p>
    <w:p>
      <w:pPr>
        <w:pStyle w:val="BodyText"/>
        <w:spacing w:before="5"/>
        <w:rPr>
          <w:sz w:val="21"/>
        </w:rPr>
      </w:pPr>
    </w:p>
    <w:p>
      <w:pPr>
        <w:spacing w:after="0"/>
        <w:rPr>
          <w:sz w:val="21"/>
        </w:rPr>
        <w:sectPr>
          <w:headerReference w:type="default" r:id="rId493"/>
          <w:pgSz w:w="11910" w:h="16840"/>
          <w:pgMar w:header="0" w:footer="647" w:top="0" w:bottom="840" w:left="420" w:right="380"/>
        </w:sectPr>
      </w:pPr>
    </w:p>
    <w:p>
      <w:pPr>
        <w:pStyle w:val="BodyText"/>
        <w:rPr>
          <w:sz w:val="55"/>
        </w:rPr>
      </w:pPr>
    </w:p>
    <w:p>
      <w:pPr>
        <w:spacing w:before="0"/>
        <w:ind w:left="4477" w:right="0" w:firstLine="0"/>
        <w:jc w:val="left"/>
        <w:rPr>
          <w:rFonts w:ascii="Stone Sans II ITC Std X Bd"/>
          <w:b/>
          <w:sz w:val="50"/>
        </w:rPr>
      </w:pPr>
      <w:bookmarkStart w:name="_bookmark32" w:id="43"/>
      <w:bookmarkEnd w:id="43"/>
      <w:r>
        <w:rPr/>
      </w:r>
      <w:r>
        <w:rPr>
          <w:rFonts w:ascii="Stone Sans II ITC Std X Bd"/>
          <w:b/>
          <w:spacing w:val="-5"/>
          <w:w w:val="110"/>
          <w:sz w:val="50"/>
        </w:rPr>
        <w:t>URC </w:t>
      </w:r>
      <w:r>
        <w:rPr>
          <w:rFonts w:ascii="Stone Sans II ITC Std X Bd"/>
          <w:b/>
          <w:spacing w:val="-12"/>
          <w:w w:val="110"/>
          <w:sz w:val="50"/>
        </w:rPr>
        <w:t>Music</w:t>
      </w:r>
    </w:p>
    <w:p>
      <w:pPr>
        <w:pStyle w:val="Heading5"/>
        <w:ind w:left="490"/>
      </w:pPr>
      <w:r>
        <w:rPr/>
        <w:br w:type="column"/>
      </w:r>
      <w:r>
        <w:rPr>
          <w:color w:val="7EAABF"/>
          <w:w w:val="115"/>
        </w:rPr>
        <w:t>Information papers</w:t>
      </w:r>
    </w:p>
    <w:p>
      <w:pPr>
        <w:spacing w:after="0"/>
        <w:sectPr>
          <w:type w:val="continuous"/>
          <w:pgSz w:w="11910" w:h="16840"/>
          <w:pgMar w:top="1580" w:bottom="280" w:left="420" w:right="380"/>
          <w:cols w:num="2" w:equalWidth="0">
            <w:col w:w="7325" w:space="40"/>
            <w:col w:w="3745"/>
          </w:cols>
        </w:sectPr>
      </w:pPr>
    </w:p>
    <w:p>
      <w:pPr>
        <w:pStyle w:val="BodyText"/>
        <w:spacing w:before="4"/>
        <w:rPr>
          <w:sz w:val="21"/>
        </w:rPr>
      </w:pPr>
      <w:r>
        <w:rPr/>
        <w:drawing>
          <wp:anchor distT="0" distB="0" distL="0" distR="0" allowOverlap="1" layoutInCell="1" locked="0" behindDoc="0" simplePos="0" relativeHeight="252130304">
            <wp:simplePos x="0" y="0"/>
            <wp:positionH relativeFrom="page">
              <wp:posOffset>6974928</wp:posOffset>
            </wp:positionH>
            <wp:positionV relativeFrom="page">
              <wp:posOffset>0</wp:posOffset>
            </wp:positionV>
            <wp:extent cx="585063" cy="10692003"/>
            <wp:effectExtent l="0" t="0" r="0" b="0"/>
            <wp:wrapNone/>
            <wp:docPr id="353" name="image80.png"/>
            <wp:cNvGraphicFramePr>
              <a:graphicFrameLocks noChangeAspect="1"/>
            </wp:cNvGraphicFramePr>
            <a:graphic>
              <a:graphicData uri="http://schemas.openxmlformats.org/drawingml/2006/picture">
                <pic:pic>
                  <pic:nvPicPr>
                    <pic:cNvPr id="354" name="image80.png"/>
                    <pic:cNvPicPr/>
                  </pic:nvPicPr>
                  <pic:blipFill>
                    <a:blip r:embed="rId487" cstate="print"/>
                    <a:stretch>
                      <a:fillRect/>
                    </a:stretch>
                  </pic:blipFill>
                  <pic:spPr>
                    <a:xfrm>
                      <a:off x="0" y="0"/>
                      <a:ext cx="585063" cy="10692003"/>
                    </a:xfrm>
                    <a:prstGeom prst="rect">
                      <a:avLst/>
                    </a:prstGeom>
                  </pic:spPr>
                </pic:pic>
              </a:graphicData>
            </a:graphic>
          </wp:anchor>
        </w:drawing>
      </w:r>
    </w:p>
    <w:p>
      <w:pPr>
        <w:pStyle w:val="ListParagraph"/>
        <w:numPr>
          <w:ilvl w:val="1"/>
          <w:numId w:val="126"/>
        </w:numPr>
        <w:tabs>
          <w:tab w:pos="2244" w:val="left" w:leader="none"/>
          <w:tab w:pos="2245" w:val="left" w:leader="none"/>
        </w:tabs>
        <w:spacing w:line="235" w:lineRule="auto" w:before="104" w:after="0"/>
        <w:ind w:left="1564" w:right="1066" w:firstLine="0"/>
        <w:jc w:val="left"/>
        <w:rPr>
          <w:sz w:val="20"/>
        </w:rPr>
      </w:pPr>
      <w:r>
        <w:rPr/>
        <w:pict>
          <v:shape style="position:absolute;margin-left:554.141174pt;margin-top:-57.692028pt;width:26pt;height:202.3pt;mso-position-horizontal-relative:page;mso-position-vertical-relative:paragraph;z-index:252131328" type="#_x0000_t202" filled="false" stroked="false">
            <v:textbox inset="0,0,0,0" style="layout-flow:vertical">
              <w:txbxContent>
                <w:p>
                  <w:pPr>
                    <w:spacing w:before="29"/>
                    <w:ind w:left="20" w:right="0" w:firstLine="0"/>
                    <w:jc w:val="left"/>
                    <w:rPr>
                      <w:sz w:val="39"/>
                    </w:rPr>
                  </w:pPr>
                  <w:r>
                    <w:rPr>
                      <w:color w:val="FFFFFF"/>
                      <w:w w:val="125"/>
                      <w:sz w:val="39"/>
                    </w:rPr>
                    <w:t>URC history society</w:t>
                  </w:r>
                </w:p>
              </w:txbxContent>
            </v:textbox>
            <w10:wrap type="none"/>
          </v:shape>
        </w:pict>
      </w:r>
      <w:r>
        <w:rPr>
          <w:w w:val="120"/>
          <w:sz w:val="20"/>
        </w:rPr>
        <w:t>URC Music aims to be a network connecting worship leaders and music makers throughout the United Reformed</w:t>
      </w:r>
      <w:r>
        <w:rPr>
          <w:spacing w:val="10"/>
          <w:w w:val="120"/>
          <w:sz w:val="20"/>
        </w:rPr>
        <w:t> </w:t>
      </w:r>
      <w:r>
        <w:rPr>
          <w:w w:val="120"/>
          <w:sz w:val="20"/>
        </w:rPr>
        <w:t>Church.</w:t>
      </w:r>
    </w:p>
    <w:p>
      <w:pPr>
        <w:pStyle w:val="BodyText"/>
        <w:spacing w:before="10"/>
        <w:rPr>
          <w:sz w:val="19"/>
        </w:rPr>
      </w:pPr>
    </w:p>
    <w:p>
      <w:pPr>
        <w:pStyle w:val="ListParagraph"/>
        <w:numPr>
          <w:ilvl w:val="1"/>
          <w:numId w:val="126"/>
        </w:numPr>
        <w:tabs>
          <w:tab w:pos="2244" w:val="left" w:leader="none"/>
          <w:tab w:pos="2245" w:val="left" w:leader="none"/>
        </w:tabs>
        <w:spacing w:line="235" w:lineRule="auto" w:before="0" w:after="0"/>
        <w:ind w:left="1564" w:right="1152" w:firstLine="0"/>
        <w:jc w:val="left"/>
        <w:rPr>
          <w:sz w:val="20"/>
        </w:rPr>
      </w:pPr>
      <w:r>
        <w:rPr>
          <w:spacing w:val="-4"/>
          <w:w w:val="120"/>
          <w:sz w:val="20"/>
        </w:rPr>
        <w:t>Twice </w:t>
      </w:r>
      <w:r>
        <w:rPr>
          <w:w w:val="120"/>
          <w:sz w:val="20"/>
        </w:rPr>
        <w:t>each year we publish and distribute our magazine </w:t>
      </w:r>
      <w:r>
        <w:rPr>
          <w:i/>
          <w:w w:val="120"/>
          <w:sz w:val="20"/>
        </w:rPr>
        <w:t>Making a Joyful Noise </w:t>
      </w:r>
      <w:r>
        <w:rPr>
          <w:w w:val="120"/>
          <w:sz w:val="20"/>
        </w:rPr>
        <w:t>to members and like-minded organisations. Each edition contains interesting articles commissioned by our </w:t>
      </w:r>
      <w:r>
        <w:rPr>
          <w:spacing w:val="-3"/>
          <w:w w:val="120"/>
          <w:sz w:val="20"/>
        </w:rPr>
        <w:t>editor, </w:t>
      </w:r>
      <w:r>
        <w:rPr>
          <w:w w:val="120"/>
          <w:sz w:val="20"/>
        </w:rPr>
        <w:t>along with </w:t>
      </w:r>
      <w:r>
        <w:rPr>
          <w:spacing w:val="2"/>
          <w:w w:val="120"/>
          <w:sz w:val="20"/>
        </w:rPr>
        <w:t>reports </w:t>
      </w:r>
      <w:r>
        <w:rPr>
          <w:w w:val="120"/>
          <w:sz w:val="20"/>
        </w:rPr>
        <w:t>of music days and music reviews and advice. Music is definitely still alive in our URC worship traditions but where do</w:t>
      </w:r>
      <w:r>
        <w:rPr>
          <w:spacing w:val="47"/>
          <w:w w:val="120"/>
          <w:sz w:val="20"/>
        </w:rPr>
        <w:t> </w:t>
      </w:r>
      <w:r>
        <w:rPr>
          <w:w w:val="120"/>
          <w:sz w:val="20"/>
        </w:rPr>
        <w:t>we</w:t>
      </w:r>
    </w:p>
    <w:p>
      <w:pPr>
        <w:pStyle w:val="BodyText"/>
        <w:spacing w:line="235" w:lineRule="auto" w:before="3"/>
        <w:ind w:left="1564" w:right="923"/>
      </w:pPr>
      <w:r>
        <w:rPr>
          <w:w w:val="120"/>
        </w:rPr>
        <w:t>hear about it? We can do better than we currently do at singing our praises and making them known to everyone! If you are reading this and thinking: ‘I could write about our fantastic worship band’, do not delay in contacting us at </w:t>
      </w:r>
      <w:hyperlink r:id="rId494">
        <w:r>
          <w:rPr>
            <w:color w:val="006AB3"/>
            <w:w w:val="120"/>
          </w:rPr>
          <w:t>carannrog@aol.com</w:t>
        </w:r>
      </w:hyperlink>
    </w:p>
    <w:p>
      <w:pPr>
        <w:pStyle w:val="BodyText"/>
        <w:spacing w:before="10"/>
        <w:rPr>
          <w:sz w:val="19"/>
        </w:rPr>
      </w:pPr>
    </w:p>
    <w:p>
      <w:pPr>
        <w:pStyle w:val="ListParagraph"/>
        <w:numPr>
          <w:ilvl w:val="1"/>
          <w:numId w:val="126"/>
        </w:numPr>
        <w:tabs>
          <w:tab w:pos="2244" w:val="left" w:leader="none"/>
          <w:tab w:pos="2245" w:val="left" w:leader="none"/>
        </w:tabs>
        <w:spacing w:line="235" w:lineRule="auto" w:before="0" w:after="0"/>
        <w:ind w:left="1564" w:right="1136" w:firstLine="0"/>
        <w:jc w:val="left"/>
        <w:rPr>
          <w:sz w:val="20"/>
        </w:rPr>
      </w:pPr>
      <w:r>
        <w:rPr>
          <w:w w:val="120"/>
          <w:sz w:val="20"/>
        </w:rPr>
        <w:t>Our Annual Music Day is held in a different synod area each year so that our far-flung members, and others, can attend at least occasionally. In </w:t>
      </w:r>
      <w:r>
        <w:rPr>
          <w:spacing w:val="-9"/>
          <w:w w:val="120"/>
          <w:sz w:val="20"/>
        </w:rPr>
        <w:t>2017 </w:t>
      </w:r>
      <w:r>
        <w:rPr>
          <w:w w:val="120"/>
          <w:sz w:val="20"/>
        </w:rPr>
        <w:t>we were given a warm welcome at Hungerford where we had an exciting and challenging day rehearsing and then performing a Bach Cantata. Music days are such a good way of bringing people together to sing, to play an instrument, to write new worship songs and generally to enjoy fellowship and shared worship. If you think that your church could organise or host something like this, please do offer. If a church in every synod held a music day once a </w:t>
      </w:r>
      <w:r>
        <w:rPr>
          <w:spacing w:val="-4"/>
          <w:w w:val="120"/>
          <w:sz w:val="20"/>
        </w:rPr>
        <w:t>year, </w:t>
      </w:r>
      <w:r>
        <w:rPr>
          <w:w w:val="120"/>
          <w:sz w:val="20"/>
        </w:rPr>
        <w:t>with help from our synod training officers, music</w:t>
      </w:r>
      <w:r>
        <w:rPr>
          <w:spacing w:val="1"/>
          <w:w w:val="120"/>
          <w:sz w:val="20"/>
        </w:rPr>
        <w:t> </w:t>
      </w:r>
      <w:r>
        <w:rPr>
          <w:w w:val="120"/>
          <w:sz w:val="20"/>
        </w:rPr>
        <w:t>in</w:t>
      </w:r>
    </w:p>
    <w:p>
      <w:pPr>
        <w:pStyle w:val="BodyText"/>
        <w:spacing w:line="235" w:lineRule="auto" w:before="6"/>
        <w:ind w:left="1564" w:right="923"/>
      </w:pPr>
      <w:r>
        <w:rPr>
          <w:w w:val="120"/>
        </w:rPr>
        <w:t>our churches would surely broaden and expand to provide the vital element in our Christian worship that we know it is in many places – but where also it sometimes isn’t!</w:t>
      </w:r>
    </w:p>
    <w:p>
      <w:pPr>
        <w:pStyle w:val="BodyText"/>
        <w:spacing w:before="9"/>
        <w:rPr>
          <w:sz w:val="19"/>
        </w:rPr>
      </w:pPr>
    </w:p>
    <w:p>
      <w:pPr>
        <w:pStyle w:val="ListParagraph"/>
        <w:numPr>
          <w:ilvl w:val="1"/>
          <w:numId w:val="126"/>
        </w:numPr>
        <w:tabs>
          <w:tab w:pos="2244" w:val="left" w:leader="none"/>
          <w:tab w:pos="2245" w:val="left" w:leader="none"/>
        </w:tabs>
        <w:spacing w:line="235" w:lineRule="auto" w:before="0" w:after="0"/>
        <w:ind w:left="1564" w:right="1144" w:firstLine="0"/>
        <w:jc w:val="left"/>
        <w:rPr>
          <w:sz w:val="20"/>
        </w:rPr>
      </w:pPr>
      <w:r>
        <w:rPr>
          <w:w w:val="120"/>
          <w:sz w:val="20"/>
        </w:rPr>
        <w:t>Our organ advisory service helps churches enhance their worship through the appropriate use of an organ, whether it be a traditional pipe organ or an electronic instrument. URC Music, working with synod </w:t>
      </w:r>
      <w:r>
        <w:rPr>
          <w:spacing w:val="2"/>
          <w:w w:val="120"/>
          <w:sz w:val="20"/>
        </w:rPr>
        <w:t>property </w:t>
      </w:r>
      <w:r>
        <w:rPr>
          <w:w w:val="120"/>
          <w:sz w:val="20"/>
        </w:rPr>
        <w:t>officers, also advise on the   best course of action if a church decides to dispose of its organ, for whatever reason. URC Music does not currently have a coordinator for this advisory service and is actively looking for a person with a good working knowledge of pipe organs and  some knowledge of electronic instruments who can help put churches in touch with our regional organ advisors. Our regional advisors have a wide range of skills and knowledge; a </w:t>
      </w:r>
      <w:r>
        <w:rPr>
          <w:spacing w:val="-3"/>
          <w:w w:val="120"/>
          <w:sz w:val="20"/>
        </w:rPr>
        <w:t>church’s </w:t>
      </w:r>
      <w:r>
        <w:rPr>
          <w:w w:val="120"/>
          <w:sz w:val="20"/>
        </w:rPr>
        <w:t>nearest advisor geographically may not necessarily be the one who can give the best help, but they are always willing to</w:t>
      </w:r>
      <w:r>
        <w:rPr>
          <w:spacing w:val="37"/>
          <w:w w:val="120"/>
          <w:sz w:val="20"/>
        </w:rPr>
        <w:t> </w:t>
      </w:r>
      <w:r>
        <w:rPr>
          <w:w w:val="120"/>
          <w:sz w:val="20"/>
        </w:rPr>
        <w:t>help.</w:t>
      </w:r>
    </w:p>
    <w:p>
      <w:pPr>
        <w:pStyle w:val="BodyText"/>
        <w:spacing w:before="3"/>
      </w:pPr>
    </w:p>
    <w:p>
      <w:pPr>
        <w:pStyle w:val="ListParagraph"/>
        <w:numPr>
          <w:ilvl w:val="1"/>
          <w:numId w:val="126"/>
        </w:numPr>
        <w:tabs>
          <w:tab w:pos="2244" w:val="left" w:leader="none"/>
          <w:tab w:pos="2245" w:val="left" w:leader="none"/>
        </w:tabs>
        <w:spacing w:line="235" w:lineRule="auto" w:before="0" w:after="0"/>
        <w:ind w:left="1564" w:right="1001" w:firstLine="0"/>
        <w:jc w:val="left"/>
        <w:rPr>
          <w:sz w:val="20"/>
        </w:rPr>
      </w:pPr>
      <w:r>
        <w:rPr>
          <w:w w:val="120"/>
          <w:sz w:val="20"/>
        </w:rPr>
        <w:t>Our website is currently being redeveloped but, hopefully by the time you read this, it will be up and running again at</w:t>
      </w:r>
      <w:r>
        <w:rPr>
          <w:spacing w:val="32"/>
          <w:w w:val="120"/>
          <w:sz w:val="20"/>
        </w:rPr>
        <w:t> </w:t>
      </w:r>
      <w:hyperlink r:id="rId495">
        <w:r>
          <w:rPr>
            <w:color w:val="006AB3"/>
            <w:w w:val="120"/>
            <w:sz w:val="20"/>
          </w:rPr>
          <w:t>www.urcmusic.org.uk</w:t>
        </w:r>
      </w:hyperlink>
    </w:p>
    <w:p>
      <w:pPr>
        <w:pStyle w:val="BodyText"/>
        <w:spacing w:before="9"/>
        <w:rPr>
          <w:sz w:val="19"/>
        </w:rPr>
      </w:pPr>
    </w:p>
    <w:p>
      <w:pPr>
        <w:pStyle w:val="ListParagraph"/>
        <w:numPr>
          <w:ilvl w:val="1"/>
          <w:numId w:val="126"/>
        </w:numPr>
        <w:tabs>
          <w:tab w:pos="2244" w:val="left" w:leader="none"/>
          <w:tab w:pos="2245" w:val="left" w:leader="none"/>
        </w:tabs>
        <w:spacing w:line="235" w:lineRule="auto" w:before="1" w:after="0"/>
        <w:ind w:left="1564" w:right="949" w:firstLine="0"/>
        <w:jc w:val="left"/>
        <w:rPr>
          <w:sz w:val="20"/>
        </w:rPr>
      </w:pPr>
      <w:r>
        <w:rPr>
          <w:w w:val="120"/>
          <w:sz w:val="20"/>
        </w:rPr>
        <w:t>Finally, even if you think that nothing much is happening musically in your area, you can be certain there is! Surely there cannot be a single church in the URC that does not sing hymns on Sunday mornings? We can all ‘sing up and sing out’ to the </w:t>
      </w:r>
      <w:r>
        <w:rPr>
          <w:spacing w:val="2"/>
          <w:w w:val="120"/>
          <w:sz w:val="20"/>
        </w:rPr>
        <w:t>glory </w:t>
      </w:r>
      <w:r>
        <w:rPr>
          <w:w w:val="120"/>
          <w:sz w:val="20"/>
        </w:rPr>
        <w:t>of God with all the joy and enthusiasm we can</w:t>
      </w:r>
      <w:r>
        <w:rPr>
          <w:spacing w:val="19"/>
          <w:w w:val="120"/>
          <w:sz w:val="20"/>
        </w:rPr>
        <w:t> </w:t>
      </w:r>
      <w:r>
        <w:rPr>
          <w:spacing w:val="-3"/>
          <w:w w:val="120"/>
          <w:sz w:val="20"/>
        </w:rPr>
        <w:t>muster.</w:t>
      </w:r>
    </w:p>
    <w:p>
      <w:pPr>
        <w:pStyle w:val="BodyText"/>
        <w:spacing w:before="11"/>
        <w:rPr>
          <w:sz w:val="19"/>
        </w:rPr>
      </w:pPr>
    </w:p>
    <w:p>
      <w:pPr>
        <w:pStyle w:val="ListParagraph"/>
        <w:numPr>
          <w:ilvl w:val="1"/>
          <w:numId w:val="126"/>
        </w:numPr>
        <w:tabs>
          <w:tab w:pos="2244" w:val="left" w:leader="none"/>
          <w:tab w:pos="2245" w:val="left" w:leader="none"/>
        </w:tabs>
        <w:spacing w:line="235" w:lineRule="auto" w:before="0" w:after="0"/>
        <w:ind w:left="1564" w:right="1072" w:firstLine="0"/>
        <w:jc w:val="left"/>
        <w:rPr>
          <w:sz w:val="20"/>
        </w:rPr>
      </w:pPr>
      <w:r>
        <w:rPr>
          <w:w w:val="120"/>
          <w:sz w:val="20"/>
        </w:rPr>
        <w:t>If you would like to become a supporting member of URC Music, please do get in touch via the</w:t>
      </w:r>
      <w:r>
        <w:rPr>
          <w:spacing w:val="7"/>
          <w:w w:val="120"/>
          <w:sz w:val="20"/>
        </w:rPr>
        <w:t> </w:t>
      </w:r>
      <w:r>
        <w:rPr>
          <w:w w:val="120"/>
          <w:sz w:val="20"/>
        </w:rPr>
        <w:t>website.</w:t>
      </w:r>
    </w:p>
    <w:p>
      <w:pPr>
        <w:spacing w:after="0" w:line="235" w:lineRule="auto"/>
        <w:jc w:val="left"/>
        <w:rPr>
          <w:sz w:val="20"/>
        </w:rPr>
        <w:sectPr>
          <w:type w:val="continuous"/>
          <w:pgSz w:w="11910" w:h="16840"/>
          <w:pgMar w:top="1580" w:bottom="280" w:left="420" w:right="380"/>
        </w:sectPr>
      </w:pPr>
    </w:p>
    <w:p>
      <w:pPr>
        <w:pStyle w:val="BodyText"/>
      </w:pPr>
      <w:r>
        <w:rPr/>
        <w:drawing>
          <wp:anchor distT="0" distB="0" distL="0" distR="0" allowOverlap="1" layoutInCell="1" locked="0" behindDoc="1" simplePos="0" relativeHeight="236165120">
            <wp:simplePos x="0" y="0"/>
            <wp:positionH relativeFrom="page">
              <wp:posOffset>0</wp:posOffset>
            </wp:positionH>
            <wp:positionV relativeFrom="page">
              <wp:posOffset>0</wp:posOffset>
            </wp:positionV>
            <wp:extent cx="594067" cy="10692003"/>
            <wp:effectExtent l="0" t="0" r="0" b="0"/>
            <wp:wrapNone/>
            <wp:docPr id="355" name="image81.png"/>
            <wp:cNvGraphicFramePr>
              <a:graphicFrameLocks noChangeAspect="1"/>
            </wp:cNvGraphicFramePr>
            <a:graphic>
              <a:graphicData uri="http://schemas.openxmlformats.org/drawingml/2006/picture">
                <pic:pic>
                  <pic:nvPicPr>
                    <pic:cNvPr id="356" name="image81.png"/>
                    <pic:cNvPicPr/>
                  </pic:nvPicPr>
                  <pic:blipFill>
                    <a:blip r:embed="rId491"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285.05pt;mso-position-horizontal-relative:page;mso-position-vertical-relative:paragraph;z-index:252133376" type="#_x0000_t202" filled="false" stroked="false">
            <v:textbox inset="0,0,0,0" style="layout-flow:vertical">
              <w:txbxContent>
                <w:p>
                  <w:pPr>
                    <w:spacing w:before="29"/>
                    <w:ind w:left="20" w:right="0" w:firstLine="0"/>
                    <w:jc w:val="left"/>
                    <w:rPr>
                      <w:sz w:val="39"/>
                    </w:rPr>
                  </w:pPr>
                  <w:r>
                    <w:rPr>
                      <w:color w:val="FFFFFF"/>
                      <w:spacing w:val="9"/>
                      <w:w w:val="125"/>
                      <w:sz w:val="39"/>
                    </w:rPr>
                    <w:t>Schools relating </w:t>
                  </w:r>
                  <w:r>
                    <w:rPr>
                      <w:color w:val="FFFFFF"/>
                      <w:spacing w:val="3"/>
                      <w:w w:val="125"/>
                      <w:sz w:val="39"/>
                    </w:rPr>
                    <w:t>to </w:t>
                  </w:r>
                  <w:r>
                    <w:rPr>
                      <w:color w:val="FFFFFF"/>
                      <w:spacing w:val="8"/>
                      <w:w w:val="125"/>
                      <w:sz w:val="39"/>
                    </w:rPr>
                    <w:t>the</w:t>
                  </w:r>
                  <w:r>
                    <w:rPr>
                      <w:color w:val="FFFFFF"/>
                      <w:spacing w:val="71"/>
                      <w:w w:val="125"/>
                      <w:sz w:val="39"/>
                    </w:rPr>
                    <w:t> </w:t>
                  </w:r>
                  <w:r>
                    <w:rPr>
                      <w:color w:val="FFFFFF"/>
                      <w:spacing w:val="6"/>
                      <w:w w:val="125"/>
                      <w:sz w:val="39"/>
                    </w:rPr>
                    <w:t>URC</w:t>
                  </w:r>
                </w:p>
              </w:txbxContent>
            </v:textbox>
            <w10:wrap type="none"/>
          </v:shape>
        </w:pict>
      </w:r>
      <w:bookmarkStart w:name="_bookmark33" w:id="44"/>
      <w:bookmarkEnd w:id="44"/>
      <w:r>
        <w:rPr/>
      </w:r>
      <w:r>
        <w:rPr>
          <w:color w:val="7EAABF"/>
          <w:w w:val="115"/>
        </w:rPr>
        <w:t>Information papers</w:t>
      </w:r>
    </w:p>
    <w:p>
      <w:pPr>
        <w:spacing w:before="279"/>
        <w:ind w:left="421" w:right="1167" w:firstLine="0"/>
        <w:jc w:val="center"/>
        <w:rPr>
          <w:rFonts w:ascii="Stone Sans II ITC Std X Bd"/>
          <w:b/>
          <w:sz w:val="50"/>
        </w:rPr>
      </w:pPr>
      <w:r>
        <w:rPr>
          <w:rFonts w:ascii="Stone Sans II ITC Std X Bd"/>
          <w:b/>
          <w:w w:val="110"/>
          <w:sz w:val="50"/>
        </w:rPr>
        <w:t>Schools relating to the URC</w:t>
      </w:r>
    </w:p>
    <w:p>
      <w:pPr>
        <w:pStyle w:val="BodyText"/>
        <w:tabs>
          <w:tab w:pos="1507" w:val="left" w:leader="none"/>
        </w:tabs>
        <w:spacing w:line="235" w:lineRule="auto" w:before="365"/>
        <w:ind w:left="827" w:right="2067"/>
      </w:pPr>
      <w:r>
        <w:rPr>
          <w:spacing w:val="-11"/>
          <w:w w:val="120"/>
        </w:rPr>
        <w:t>1.1</w:t>
        <w:tab/>
      </w:r>
      <w:r>
        <w:rPr>
          <w:w w:val="120"/>
        </w:rPr>
        <w:t>The following schools have formal and long-standing connections with the United Reformed Church. We appoint governors to many of them, either within the Assembly nominations list or through the appropriate</w:t>
      </w:r>
      <w:r>
        <w:rPr>
          <w:spacing w:val="18"/>
          <w:w w:val="120"/>
        </w:rPr>
        <w:t> </w:t>
      </w:r>
      <w:r>
        <w:rPr>
          <w:w w:val="120"/>
        </w:rPr>
        <w:t>synods:</w:t>
      </w:r>
    </w:p>
    <w:p>
      <w:pPr>
        <w:pStyle w:val="BodyText"/>
        <w:spacing w:before="8"/>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Barrow Primary, near</w:t>
      </w:r>
      <w:r>
        <w:rPr>
          <w:spacing w:val="5"/>
          <w:w w:val="120"/>
          <w:sz w:val="20"/>
        </w:rPr>
        <w:t> </w:t>
      </w:r>
      <w:r>
        <w:rPr>
          <w:w w:val="120"/>
          <w:sz w:val="20"/>
        </w:rPr>
        <w:t>Clitheroe</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spacing w:val="-3"/>
          <w:w w:val="120"/>
          <w:sz w:val="20"/>
        </w:rPr>
        <w:t>Bishop’s </w:t>
      </w:r>
      <w:r>
        <w:rPr>
          <w:w w:val="120"/>
          <w:sz w:val="20"/>
        </w:rPr>
        <w:t>Stortford</w:t>
      </w:r>
      <w:r>
        <w:rPr>
          <w:spacing w:val="7"/>
          <w:w w:val="120"/>
          <w:sz w:val="20"/>
        </w:rPr>
        <w:t> </w:t>
      </w:r>
      <w:r>
        <w:rPr>
          <w:w w:val="120"/>
          <w:sz w:val="20"/>
        </w:rPr>
        <w:t>College</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1" w:after="0"/>
        <w:ind w:left="1507" w:right="0" w:hanging="681"/>
        <w:jc w:val="left"/>
        <w:rPr>
          <w:sz w:val="20"/>
        </w:rPr>
      </w:pPr>
      <w:r>
        <w:rPr>
          <w:w w:val="120"/>
          <w:sz w:val="20"/>
        </w:rPr>
        <w:t>Bournemouth Collegiate</w:t>
      </w:r>
      <w:r>
        <w:rPr>
          <w:spacing w:val="4"/>
          <w:w w:val="120"/>
          <w:sz w:val="20"/>
        </w:rPr>
        <w:t> </w:t>
      </w:r>
      <w:r>
        <w:rPr>
          <w:w w:val="120"/>
          <w:sz w:val="20"/>
        </w:rPr>
        <w:t>School</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Caterham School,</w:t>
      </w:r>
      <w:r>
        <w:rPr>
          <w:spacing w:val="4"/>
          <w:w w:val="120"/>
          <w:sz w:val="20"/>
        </w:rPr>
        <w:t> </w:t>
      </w:r>
      <w:r>
        <w:rPr>
          <w:w w:val="120"/>
          <w:sz w:val="20"/>
        </w:rPr>
        <w:t>Surrey</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Christ the Sower Primary, Milton</w:t>
      </w:r>
      <w:r>
        <w:rPr>
          <w:spacing w:val="9"/>
          <w:w w:val="120"/>
          <w:sz w:val="20"/>
        </w:rPr>
        <w:t> </w:t>
      </w:r>
      <w:r>
        <w:rPr>
          <w:w w:val="120"/>
          <w:sz w:val="20"/>
        </w:rPr>
        <w:t>Keynes</w:t>
      </w:r>
    </w:p>
    <w:p>
      <w:pPr>
        <w:pStyle w:val="BodyText"/>
        <w:spacing w:before="6"/>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5"/>
          <w:sz w:val="20"/>
        </w:rPr>
        <w:t>Eltham College,</w:t>
      </w:r>
      <w:r>
        <w:rPr>
          <w:spacing w:val="-2"/>
          <w:w w:val="125"/>
          <w:sz w:val="20"/>
        </w:rPr>
        <w:t> </w:t>
      </w:r>
      <w:r>
        <w:rPr>
          <w:w w:val="125"/>
          <w:sz w:val="20"/>
        </w:rPr>
        <w:t>London</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Holt Primary,</w:t>
      </w:r>
      <w:r>
        <w:rPr>
          <w:spacing w:val="3"/>
          <w:w w:val="120"/>
          <w:sz w:val="20"/>
        </w:rPr>
        <w:t> </w:t>
      </w:r>
      <w:r>
        <w:rPr>
          <w:w w:val="120"/>
          <w:sz w:val="20"/>
        </w:rPr>
        <w:t>Wiltshire</w:t>
      </w:r>
    </w:p>
    <w:p>
      <w:pPr>
        <w:pStyle w:val="BodyText"/>
        <w:spacing w:before="6"/>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spacing w:val="-3"/>
          <w:w w:val="120"/>
          <w:sz w:val="20"/>
        </w:rPr>
        <w:t>Queen’s </w:t>
      </w:r>
      <w:r>
        <w:rPr>
          <w:w w:val="120"/>
          <w:sz w:val="20"/>
        </w:rPr>
        <w:t>Park Primary, St</w:t>
      </w:r>
      <w:r>
        <w:rPr>
          <w:spacing w:val="10"/>
          <w:w w:val="120"/>
          <w:sz w:val="20"/>
        </w:rPr>
        <w:t> </w:t>
      </w:r>
      <w:r>
        <w:rPr>
          <w:w w:val="120"/>
          <w:sz w:val="20"/>
        </w:rPr>
        <w:t>Helens</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Silcoates School,</w:t>
      </w:r>
      <w:r>
        <w:rPr>
          <w:spacing w:val="3"/>
          <w:w w:val="120"/>
          <w:sz w:val="20"/>
        </w:rPr>
        <w:t> </w:t>
      </w:r>
      <w:r>
        <w:rPr>
          <w:w w:val="120"/>
          <w:sz w:val="20"/>
        </w:rPr>
        <w:t>Wakefield</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1" w:after="0"/>
        <w:ind w:left="1507" w:right="0" w:hanging="681"/>
        <w:jc w:val="left"/>
        <w:rPr>
          <w:sz w:val="20"/>
        </w:rPr>
      </w:pPr>
      <w:r>
        <w:rPr>
          <w:spacing w:val="-3"/>
          <w:w w:val="120"/>
          <w:sz w:val="20"/>
        </w:rPr>
        <w:t>Taunton</w:t>
      </w:r>
      <w:r>
        <w:rPr>
          <w:spacing w:val="2"/>
          <w:w w:val="120"/>
          <w:sz w:val="20"/>
        </w:rPr>
        <w:t> </w:t>
      </w:r>
      <w:r>
        <w:rPr>
          <w:w w:val="120"/>
          <w:sz w:val="20"/>
        </w:rPr>
        <w:t>School</w:t>
      </w:r>
    </w:p>
    <w:p>
      <w:pPr>
        <w:pStyle w:val="BodyText"/>
        <w:spacing w:before="5"/>
        <w:rPr>
          <w:sz w:val="18"/>
        </w:rPr>
      </w:pPr>
    </w:p>
    <w:p>
      <w:pPr>
        <w:pStyle w:val="ListParagraph"/>
        <w:numPr>
          <w:ilvl w:val="0"/>
          <w:numId w:val="65"/>
        </w:numPr>
        <w:tabs>
          <w:tab w:pos="1507" w:val="left" w:leader="none"/>
          <w:tab w:pos="1508" w:val="left" w:leader="none"/>
        </w:tabs>
        <w:spacing w:line="240" w:lineRule="auto" w:before="0" w:after="0"/>
        <w:ind w:left="1507" w:right="0" w:hanging="681"/>
        <w:jc w:val="left"/>
        <w:rPr>
          <w:sz w:val="20"/>
        </w:rPr>
      </w:pPr>
      <w:r>
        <w:rPr>
          <w:w w:val="120"/>
          <w:sz w:val="20"/>
        </w:rPr>
        <w:t>Walthamstow Hall,</w:t>
      </w:r>
      <w:r>
        <w:rPr>
          <w:spacing w:val="3"/>
          <w:w w:val="120"/>
          <w:sz w:val="20"/>
        </w:rPr>
        <w:t> </w:t>
      </w:r>
      <w:r>
        <w:rPr>
          <w:w w:val="120"/>
          <w:sz w:val="20"/>
        </w:rPr>
        <w:t>Sevenoaks.</w:t>
      </w:r>
    </w:p>
    <w:p>
      <w:pPr>
        <w:spacing w:after="0" w:line="240" w:lineRule="auto"/>
        <w:jc w:val="left"/>
        <w:rPr>
          <w:sz w:val="20"/>
        </w:rPr>
        <w:sectPr>
          <w:headerReference w:type="even" r:id="rId496"/>
          <w:footerReference w:type="even" r:id="rId497"/>
          <w:footerReference w:type="default" r:id="rId498"/>
          <w:pgSz w:w="11910" w:h="16840"/>
          <w:pgMar w:header="0" w:footer="647" w:top="0" w:bottom="840" w:left="420" w:right="380"/>
          <w:pgNumType w:start="184"/>
        </w:sectPr>
      </w:pPr>
    </w:p>
    <w:p>
      <w:pPr>
        <w:pStyle w:val="BodyText"/>
      </w:pPr>
      <w:r>
        <w:rPr/>
        <w:drawing>
          <wp:anchor distT="0" distB="0" distL="0" distR="0" allowOverlap="1" layoutInCell="1" locked="0" behindDoc="0" simplePos="0" relativeHeight="252134400">
            <wp:simplePos x="0" y="0"/>
            <wp:positionH relativeFrom="page">
              <wp:posOffset>6974928</wp:posOffset>
            </wp:positionH>
            <wp:positionV relativeFrom="page">
              <wp:posOffset>0</wp:posOffset>
            </wp:positionV>
            <wp:extent cx="585063" cy="10692003"/>
            <wp:effectExtent l="0" t="0" r="0" b="0"/>
            <wp:wrapNone/>
            <wp:docPr id="357" name="image80.png"/>
            <wp:cNvGraphicFramePr>
              <a:graphicFrameLocks noChangeAspect="1"/>
            </wp:cNvGraphicFramePr>
            <a:graphic>
              <a:graphicData uri="http://schemas.openxmlformats.org/drawingml/2006/picture">
                <pic:pic>
                  <pic:nvPicPr>
                    <pic:cNvPr id="358" name="image80.png"/>
                    <pic:cNvPicPr/>
                  </pic:nvPicPr>
                  <pic:blipFill>
                    <a:blip r:embed="rId487" cstate="print"/>
                    <a:stretch>
                      <a:fillRect/>
                    </a:stretch>
                  </pic:blipFill>
                  <pic:spPr>
                    <a:xfrm>
                      <a:off x="0" y="0"/>
                      <a:ext cx="585063"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301.9pt;mso-position-horizontal-relative:page;mso-position-vertical-relative:paragraph;z-index:252135424" type="#_x0000_t202" filled="false" stroked="false">
            <v:textbox inset="0,0,0,0" style="layout-flow:vertical">
              <w:txbxContent>
                <w:p>
                  <w:pPr>
                    <w:spacing w:before="29"/>
                    <w:ind w:left="20" w:right="0" w:firstLine="0"/>
                    <w:jc w:val="left"/>
                    <w:rPr>
                      <w:sz w:val="39"/>
                    </w:rPr>
                  </w:pPr>
                  <w:r>
                    <w:rPr>
                      <w:color w:val="FFFFFF"/>
                      <w:w w:val="125"/>
                      <w:sz w:val="39"/>
                    </w:rPr>
                    <w:t>Women’s world day of prayer</w:t>
                  </w:r>
                </w:p>
              </w:txbxContent>
            </v:textbox>
            <w10:wrap type="none"/>
          </v:shape>
        </w:pict>
      </w:r>
      <w:bookmarkStart w:name="_bookmark34" w:id="45"/>
      <w:bookmarkEnd w:id="45"/>
      <w:r>
        <w:rPr/>
      </w:r>
      <w:r>
        <w:rPr>
          <w:color w:val="7EAABF"/>
          <w:w w:val="115"/>
        </w:rPr>
        <w:t>Information papers</w:t>
      </w:r>
    </w:p>
    <w:p>
      <w:pPr>
        <w:spacing w:line="667" w:lineRule="exact" w:before="246"/>
        <w:ind w:left="1261" w:right="565" w:firstLine="0"/>
        <w:jc w:val="center"/>
        <w:rPr>
          <w:rFonts w:ascii="Stone Sans II ITC Std X Bd" w:hAnsi="Stone Sans II ITC Std X Bd"/>
          <w:b/>
          <w:sz w:val="50"/>
        </w:rPr>
      </w:pPr>
      <w:r>
        <w:rPr>
          <w:rFonts w:ascii="Stone Sans II ITC Std X Bd" w:hAnsi="Stone Sans II ITC Std X Bd"/>
          <w:b/>
          <w:spacing w:val="-16"/>
          <w:w w:val="110"/>
          <w:sz w:val="50"/>
        </w:rPr>
        <w:t>Women’s </w:t>
      </w:r>
      <w:r>
        <w:rPr>
          <w:rFonts w:ascii="Stone Sans II ITC Std X Bd" w:hAnsi="Stone Sans II ITC Std X Bd"/>
          <w:b/>
          <w:spacing w:val="-10"/>
          <w:w w:val="110"/>
          <w:sz w:val="50"/>
        </w:rPr>
        <w:t>World </w:t>
      </w:r>
      <w:r>
        <w:rPr>
          <w:rFonts w:ascii="Stone Sans II ITC Std X Bd" w:hAnsi="Stone Sans II ITC Std X Bd"/>
          <w:b/>
          <w:spacing w:val="-12"/>
          <w:w w:val="110"/>
          <w:sz w:val="50"/>
        </w:rPr>
        <w:t>Day </w:t>
      </w:r>
      <w:r>
        <w:rPr>
          <w:rFonts w:ascii="Stone Sans II ITC Std X Bd" w:hAnsi="Stone Sans II ITC Std X Bd"/>
          <w:b/>
          <w:spacing w:val="-5"/>
          <w:w w:val="110"/>
          <w:sz w:val="50"/>
        </w:rPr>
        <w:t>of</w:t>
      </w:r>
      <w:r>
        <w:rPr>
          <w:rFonts w:ascii="Stone Sans II ITC Std X Bd" w:hAnsi="Stone Sans II ITC Std X Bd"/>
          <w:b/>
          <w:spacing w:val="49"/>
          <w:w w:val="110"/>
          <w:sz w:val="50"/>
        </w:rPr>
        <w:t> </w:t>
      </w:r>
      <w:r>
        <w:rPr>
          <w:rFonts w:ascii="Stone Sans II ITC Std X Bd" w:hAnsi="Stone Sans II ITC Std X Bd"/>
          <w:b/>
          <w:spacing w:val="-13"/>
          <w:w w:val="110"/>
          <w:sz w:val="50"/>
        </w:rPr>
        <w:t>Prayer</w:t>
      </w:r>
    </w:p>
    <w:p>
      <w:pPr>
        <w:pStyle w:val="BodyText"/>
        <w:spacing w:line="235" w:lineRule="exact"/>
        <w:ind w:left="1261" w:right="564"/>
        <w:jc w:val="center"/>
      </w:pPr>
      <w:r>
        <w:rPr>
          <w:w w:val="120"/>
        </w:rPr>
        <w:t>England, Wales and Northern Ireland</w:t>
      </w:r>
    </w:p>
    <w:p>
      <w:pPr>
        <w:pStyle w:val="BodyText"/>
        <w:rPr>
          <w:sz w:val="24"/>
        </w:rPr>
      </w:pPr>
    </w:p>
    <w:p>
      <w:pPr>
        <w:pStyle w:val="ListParagraph"/>
        <w:numPr>
          <w:ilvl w:val="1"/>
          <w:numId w:val="127"/>
        </w:numPr>
        <w:tabs>
          <w:tab w:pos="2244" w:val="left" w:leader="none"/>
          <w:tab w:pos="2245" w:val="left" w:leader="none"/>
        </w:tabs>
        <w:spacing w:line="235" w:lineRule="auto" w:before="186" w:after="0"/>
        <w:ind w:left="1564" w:right="1367" w:firstLine="0"/>
        <w:jc w:val="left"/>
        <w:rPr>
          <w:sz w:val="20"/>
        </w:rPr>
      </w:pPr>
      <w:r>
        <w:rPr>
          <w:w w:val="120"/>
          <w:sz w:val="20"/>
        </w:rPr>
        <w:t>At the September </w:t>
      </w:r>
      <w:r>
        <w:rPr>
          <w:spacing w:val="-9"/>
          <w:w w:val="120"/>
          <w:sz w:val="20"/>
        </w:rPr>
        <w:t>2017 </w:t>
      </w:r>
      <w:r>
        <w:rPr>
          <w:w w:val="120"/>
          <w:sz w:val="20"/>
        </w:rPr>
        <w:t>committee meeting preparations for the </w:t>
      </w:r>
      <w:r>
        <w:rPr>
          <w:spacing w:val="-6"/>
          <w:w w:val="120"/>
          <w:sz w:val="20"/>
        </w:rPr>
        <w:t>2018 </w:t>
      </w:r>
      <w:r>
        <w:rPr>
          <w:w w:val="120"/>
          <w:sz w:val="20"/>
        </w:rPr>
        <w:t>services (from Suriname) were in full swing; the income from the </w:t>
      </w:r>
      <w:r>
        <w:rPr>
          <w:spacing w:val="-9"/>
          <w:w w:val="120"/>
          <w:sz w:val="20"/>
        </w:rPr>
        <w:t>2017 </w:t>
      </w:r>
      <w:r>
        <w:rPr>
          <w:w w:val="120"/>
          <w:sz w:val="20"/>
        </w:rPr>
        <w:t>services was being allocated to the large number of charities supported by the movement; and preparations begun for the annual residential meeting where committee members would </w:t>
      </w:r>
      <w:r>
        <w:rPr>
          <w:spacing w:val="2"/>
          <w:w w:val="120"/>
          <w:sz w:val="20"/>
        </w:rPr>
        <w:t>start </w:t>
      </w:r>
      <w:r>
        <w:rPr>
          <w:w w:val="120"/>
          <w:sz w:val="20"/>
        </w:rPr>
        <w:t>work on the text of the </w:t>
      </w:r>
      <w:r>
        <w:rPr>
          <w:spacing w:val="-7"/>
          <w:w w:val="120"/>
          <w:sz w:val="20"/>
        </w:rPr>
        <w:t>2019 </w:t>
      </w:r>
      <w:r>
        <w:rPr>
          <w:w w:val="120"/>
          <w:sz w:val="20"/>
        </w:rPr>
        <w:t>services (from</w:t>
      </w:r>
      <w:r>
        <w:rPr>
          <w:spacing w:val="36"/>
          <w:w w:val="120"/>
          <w:sz w:val="20"/>
        </w:rPr>
        <w:t> </w:t>
      </w:r>
      <w:r>
        <w:rPr>
          <w:spacing w:val="-3"/>
          <w:w w:val="120"/>
          <w:sz w:val="20"/>
        </w:rPr>
        <w:t>Slovenia).</w:t>
      </w:r>
    </w:p>
    <w:p>
      <w:pPr>
        <w:pStyle w:val="BodyText"/>
      </w:pPr>
    </w:p>
    <w:p>
      <w:pPr>
        <w:pStyle w:val="ListParagraph"/>
        <w:numPr>
          <w:ilvl w:val="1"/>
          <w:numId w:val="127"/>
        </w:numPr>
        <w:tabs>
          <w:tab w:pos="2244" w:val="left" w:leader="none"/>
          <w:tab w:pos="2245" w:val="left" w:leader="none"/>
        </w:tabs>
        <w:spacing w:line="235" w:lineRule="auto" w:before="0" w:after="0"/>
        <w:ind w:left="1564" w:right="957" w:firstLine="0"/>
        <w:jc w:val="left"/>
        <w:rPr>
          <w:sz w:val="20"/>
        </w:rPr>
      </w:pPr>
      <w:r>
        <w:rPr>
          <w:w w:val="120"/>
          <w:sz w:val="20"/>
        </w:rPr>
        <w:t>The residential meeting in November, held in beautiful surroundings in rural Gloucestershire, focussed on preparation for </w:t>
      </w:r>
      <w:r>
        <w:rPr>
          <w:spacing w:val="-8"/>
          <w:w w:val="120"/>
          <w:sz w:val="20"/>
        </w:rPr>
        <w:t>2019. </w:t>
      </w:r>
      <w:r>
        <w:rPr>
          <w:w w:val="120"/>
          <w:sz w:val="20"/>
        </w:rPr>
        <w:t>We worked in small groups to look at different aspects of the service: </w:t>
      </w:r>
      <w:r>
        <w:rPr>
          <w:spacing w:val="-3"/>
          <w:w w:val="120"/>
          <w:sz w:val="20"/>
        </w:rPr>
        <w:t>liturgy, </w:t>
      </w:r>
      <w:r>
        <w:rPr>
          <w:w w:val="120"/>
          <w:sz w:val="20"/>
        </w:rPr>
        <w:t>Bible study, music, </w:t>
      </w:r>
      <w:r>
        <w:rPr>
          <w:spacing w:val="-3"/>
          <w:w w:val="120"/>
          <w:sz w:val="20"/>
        </w:rPr>
        <w:t>children’s </w:t>
      </w:r>
      <w:r>
        <w:rPr>
          <w:w w:val="120"/>
          <w:sz w:val="20"/>
        </w:rPr>
        <w:t>work and more. The final results of our (very enjoyable) labours will be distributed to local groups.    And, like most residential meetings, it helped to build relationships, so that what had been a sea of faces and a muddle of names became colleagues and</w:t>
      </w:r>
      <w:r>
        <w:rPr>
          <w:spacing w:val="27"/>
          <w:w w:val="120"/>
          <w:sz w:val="20"/>
        </w:rPr>
        <w:t> </w:t>
      </w:r>
      <w:r>
        <w:rPr>
          <w:w w:val="120"/>
          <w:sz w:val="20"/>
        </w:rPr>
        <w:t>friends.</w:t>
      </w:r>
    </w:p>
    <w:p>
      <w:pPr>
        <w:pStyle w:val="BodyText"/>
      </w:pPr>
    </w:p>
    <w:p>
      <w:pPr>
        <w:pStyle w:val="ListParagraph"/>
        <w:numPr>
          <w:ilvl w:val="1"/>
          <w:numId w:val="127"/>
        </w:numPr>
        <w:tabs>
          <w:tab w:pos="2244" w:val="left" w:leader="none"/>
          <w:tab w:pos="2245" w:val="left" w:leader="none"/>
        </w:tabs>
        <w:spacing w:line="235" w:lineRule="auto" w:before="0" w:after="0"/>
        <w:ind w:left="1564" w:right="1316" w:firstLine="0"/>
        <w:jc w:val="left"/>
        <w:rPr>
          <w:sz w:val="20"/>
        </w:rPr>
      </w:pPr>
      <w:r>
        <w:rPr>
          <w:w w:val="120"/>
          <w:sz w:val="20"/>
        </w:rPr>
        <w:t>In January Heather Pencavel attended as an observer one of the Preparation Days for </w:t>
      </w:r>
      <w:r>
        <w:rPr>
          <w:spacing w:val="-5"/>
          <w:w w:val="120"/>
          <w:sz w:val="20"/>
        </w:rPr>
        <w:t>2018, </w:t>
      </w:r>
      <w:r>
        <w:rPr>
          <w:w w:val="120"/>
          <w:sz w:val="20"/>
        </w:rPr>
        <w:t>where the Suriname service –titled </w:t>
      </w:r>
      <w:r>
        <w:rPr>
          <w:spacing w:val="-4"/>
          <w:w w:val="120"/>
          <w:sz w:val="20"/>
        </w:rPr>
        <w:t>‘All </w:t>
      </w:r>
      <w:r>
        <w:rPr>
          <w:w w:val="120"/>
          <w:sz w:val="20"/>
        </w:rPr>
        <w:t>God’s Creation is very good’ was presented to a group of area organisers. Its relevance to their local settings was discussed and some good ideas</w:t>
      </w:r>
      <w:r>
        <w:rPr>
          <w:spacing w:val="13"/>
          <w:w w:val="120"/>
          <w:sz w:val="20"/>
        </w:rPr>
        <w:t> </w:t>
      </w:r>
      <w:r>
        <w:rPr>
          <w:w w:val="120"/>
          <w:sz w:val="20"/>
        </w:rPr>
        <w:t>generated.</w:t>
      </w:r>
    </w:p>
    <w:p>
      <w:pPr>
        <w:pStyle w:val="BodyText"/>
        <w:spacing w:before="11"/>
        <w:rPr>
          <w:sz w:val="19"/>
        </w:rPr>
      </w:pPr>
    </w:p>
    <w:p>
      <w:pPr>
        <w:pStyle w:val="ListParagraph"/>
        <w:numPr>
          <w:ilvl w:val="1"/>
          <w:numId w:val="127"/>
        </w:numPr>
        <w:tabs>
          <w:tab w:pos="2244" w:val="left" w:leader="none"/>
          <w:tab w:pos="2245" w:val="left" w:leader="none"/>
        </w:tabs>
        <w:spacing w:line="235" w:lineRule="auto" w:before="0" w:after="0"/>
        <w:ind w:left="1564" w:right="1116" w:firstLine="0"/>
        <w:jc w:val="left"/>
        <w:rPr>
          <w:sz w:val="20"/>
        </w:rPr>
      </w:pPr>
      <w:r>
        <w:rPr>
          <w:w w:val="120"/>
          <w:sz w:val="20"/>
        </w:rPr>
        <w:t>At an International Committee Meeting last </w:t>
      </w:r>
      <w:r>
        <w:rPr>
          <w:spacing w:val="-4"/>
          <w:w w:val="120"/>
          <w:sz w:val="20"/>
        </w:rPr>
        <w:t>year, </w:t>
      </w:r>
      <w:r>
        <w:rPr>
          <w:w w:val="120"/>
          <w:sz w:val="20"/>
        </w:rPr>
        <w:t>it was agreed that the service scheduled to be held on 4 March </w:t>
      </w:r>
      <w:r>
        <w:rPr>
          <w:spacing w:val="-3"/>
          <w:w w:val="120"/>
          <w:sz w:val="20"/>
        </w:rPr>
        <w:t>2022, </w:t>
      </w:r>
      <w:r>
        <w:rPr>
          <w:w w:val="120"/>
          <w:sz w:val="20"/>
        </w:rPr>
        <w:t>will be written by the women of England, Wales and </w:t>
      </w:r>
      <w:r>
        <w:rPr>
          <w:spacing w:val="2"/>
          <w:w w:val="120"/>
          <w:sz w:val="20"/>
        </w:rPr>
        <w:t>Northern </w:t>
      </w:r>
      <w:r>
        <w:rPr>
          <w:w w:val="120"/>
          <w:sz w:val="20"/>
        </w:rPr>
        <w:t>Ireland! The theme is ‘I know the plans I have for you’ based on Jeremiah </w:t>
      </w:r>
      <w:r>
        <w:rPr>
          <w:spacing w:val="-10"/>
          <w:w w:val="120"/>
          <w:sz w:val="20"/>
        </w:rPr>
        <w:t>29:11. </w:t>
      </w:r>
      <w:r>
        <w:rPr>
          <w:w w:val="120"/>
          <w:sz w:val="20"/>
        </w:rPr>
        <w:t>We have already begun the process of recruiting</w:t>
      </w:r>
      <w:r>
        <w:rPr>
          <w:spacing w:val="30"/>
          <w:w w:val="120"/>
          <w:sz w:val="20"/>
        </w:rPr>
        <w:t> </w:t>
      </w:r>
      <w:r>
        <w:rPr>
          <w:w w:val="120"/>
          <w:sz w:val="20"/>
        </w:rPr>
        <w:t>writers.</w:t>
      </w:r>
    </w:p>
    <w:p>
      <w:pPr>
        <w:pStyle w:val="BodyText"/>
        <w:spacing w:before="11"/>
        <w:rPr>
          <w:sz w:val="19"/>
        </w:rPr>
      </w:pPr>
    </w:p>
    <w:p>
      <w:pPr>
        <w:pStyle w:val="ListParagraph"/>
        <w:numPr>
          <w:ilvl w:val="1"/>
          <w:numId w:val="127"/>
        </w:numPr>
        <w:tabs>
          <w:tab w:pos="2244" w:val="left" w:leader="none"/>
          <w:tab w:pos="2245" w:val="left" w:leader="none"/>
        </w:tabs>
        <w:spacing w:line="235" w:lineRule="auto" w:before="0" w:after="0"/>
        <w:ind w:left="1564" w:right="921" w:firstLine="0"/>
        <w:jc w:val="left"/>
        <w:rPr>
          <w:sz w:val="20"/>
        </w:rPr>
      </w:pPr>
      <w:r>
        <w:rPr>
          <w:w w:val="120"/>
          <w:sz w:val="20"/>
        </w:rPr>
        <w:t>For more information please look on the website </w:t>
      </w:r>
      <w:hyperlink r:id="rId500">
        <w:r>
          <w:rPr>
            <w:color w:val="006AB3"/>
            <w:w w:val="120"/>
            <w:sz w:val="20"/>
          </w:rPr>
          <w:t>www.wwdp.org.uk </w:t>
        </w:r>
      </w:hyperlink>
      <w:r>
        <w:rPr>
          <w:w w:val="120"/>
          <w:sz w:val="20"/>
        </w:rPr>
        <w:t>and/or the Facebook page – </w:t>
      </w:r>
      <w:r>
        <w:rPr>
          <w:spacing w:val="-3"/>
          <w:w w:val="120"/>
          <w:sz w:val="20"/>
        </w:rPr>
        <w:t>Women’s </w:t>
      </w:r>
      <w:r>
        <w:rPr>
          <w:w w:val="120"/>
          <w:sz w:val="20"/>
        </w:rPr>
        <w:t>World Day of Prayer – England, Wales and </w:t>
      </w:r>
      <w:r>
        <w:rPr>
          <w:spacing w:val="2"/>
          <w:w w:val="120"/>
          <w:sz w:val="20"/>
        </w:rPr>
        <w:t>Northern</w:t>
      </w:r>
      <w:r>
        <w:rPr>
          <w:spacing w:val="49"/>
          <w:w w:val="120"/>
          <w:sz w:val="20"/>
        </w:rPr>
        <w:t> </w:t>
      </w:r>
      <w:r>
        <w:rPr>
          <w:w w:val="120"/>
          <w:sz w:val="20"/>
        </w:rPr>
        <w:t>Ireland.</w:t>
      </w:r>
    </w:p>
    <w:p>
      <w:pPr>
        <w:spacing w:after="0" w:line="235" w:lineRule="auto"/>
        <w:jc w:val="left"/>
        <w:rPr>
          <w:sz w:val="20"/>
        </w:rPr>
        <w:sectPr>
          <w:headerReference w:type="default" r:id="rId499"/>
          <w:pgSz w:w="11910" w:h="16840"/>
          <w:pgMar w:header="0" w:footer="647" w:top="0" w:bottom="840" w:left="420" w:right="380"/>
        </w:sectPr>
      </w:pPr>
    </w:p>
    <w:p>
      <w:pPr>
        <w:pStyle w:val="BodyText"/>
      </w:pPr>
      <w:r>
        <w:rPr/>
        <w:drawing>
          <wp:anchor distT="0" distB="0" distL="0" distR="0" allowOverlap="1" layoutInCell="1" locked="0" behindDoc="1" simplePos="0" relativeHeight="236169216">
            <wp:simplePos x="0" y="0"/>
            <wp:positionH relativeFrom="page">
              <wp:posOffset>0</wp:posOffset>
            </wp:positionH>
            <wp:positionV relativeFrom="page">
              <wp:posOffset>0</wp:posOffset>
            </wp:positionV>
            <wp:extent cx="594067" cy="10692003"/>
            <wp:effectExtent l="0" t="0" r="0" b="0"/>
            <wp:wrapNone/>
            <wp:docPr id="359" name="image81.png"/>
            <wp:cNvGraphicFramePr>
              <a:graphicFrameLocks noChangeAspect="1"/>
            </wp:cNvGraphicFramePr>
            <a:graphic>
              <a:graphicData uri="http://schemas.openxmlformats.org/drawingml/2006/picture">
                <pic:pic>
                  <pic:nvPicPr>
                    <pic:cNvPr id="360" name="image81.png"/>
                    <pic:cNvPicPr/>
                  </pic:nvPicPr>
                  <pic:blipFill>
                    <a:blip r:embed="rId491"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308pt;mso-position-horizontal-relative:page;mso-position-vertical-relative:paragraph;z-index:252138496" type="#_x0000_t202" filled="false" stroked="false">
            <v:textbox inset="0,0,0,0" style="layout-flow:vertical">
              <w:txbxContent>
                <w:p>
                  <w:pPr>
                    <w:spacing w:before="29"/>
                    <w:ind w:left="20" w:right="0" w:firstLine="0"/>
                    <w:jc w:val="left"/>
                    <w:rPr>
                      <w:sz w:val="39"/>
                    </w:rPr>
                  </w:pPr>
                  <w:r>
                    <w:rPr>
                      <w:color w:val="FFFFFF"/>
                      <w:w w:val="125"/>
                      <w:sz w:val="39"/>
                    </w:rPr>
                    <w:t>World day of prayer, Scotland</w:t>
                  </w:r>
                </w:p>
              </w:txbxContent>
            </v:textbox>
            <w10:wrap type="none"/>
          </v:shape>
        </w:pict>
      </w:r>
      <w:bookmarkStart w:name="_bookmark35" w:id="46"/>
      <w:bookmarkEnd w:id="46"/>
      <w:r>
        <w:rPr/>
      </w:r>
      <w:r>
        <w:rPr>
          <w:color w:val="7EAABF"/>
          <w:w w:val="115"/>
        </w:rPr>
        <w:t>Information papers</w:t>
      </w:r>
    </w:p>
    <w:p>
      <w:pPr>
        <w:spacing w:before="147"/>
        <w:ind w:left="1100" w:right="0" w:firstLine="0"/>
        <w:jc w:val="left"/>
        <w:rPr>
          <w:rFonts w:ascii="Stone Sans II ITC Std X Bd"/>
          <w:b/>
          <w:sz w:val="50"/>
        </w:rPr>
      </w:pPr>
      <w:r>
        <w:rPr>
          <w:rFonts w:ascii="Stone Sans II ITC Std X Bd"/>
          <w:b/>
          <w:w w:val="110"/>
          <w:sz w:val="50"/>
        </w:rPr>
        <w:t>World Day of Prayer, Scotland</w:t>
      </w:r>
    </w:p>
    <w:p>
      <w:pPr>
        <w:pStyle w:val="ListParagraph"/>
        <w:numPr>
          <w:ilvl w:val="0"/>
          <w:numId w:val="128"/>
        </w:numPr>
        <w:tabs>
          <w:tab w:pos="1507" w:val="left" w:leader="none"/>
          <w:tab w:pos="1508" w:val="left" w:leader="none"/>
        </w:tabs>
        <w:spacing w:line="240" w:lineRule="auto" w:before="313" w:after="0"/>
        <w:ind w:left="1507" w:right="0" w:hanging="681"/>
        <w:jc w:val="left"/>
        <w:rPr>
          <w:rFonts w:ascii="Stone Sans II ITC Std Bk"/>
          <w:b/>
          <w:sz w:val="29"/>
        </w:rPr>
      </w:pPr>
      <w:r>
        <w:rPr/>
        <w:drawing>
          <wp:anchor distT="0" distB="0" distL="0" distR="0" allowOverlap="1" layoutInCell="1" locked="0" behindDoc="0" simplePos="0" relativeHeight="252137472">
            <wp:simplePos x="0" y="0"/>
            <wp:positionH relativeFrom="page">
              <wp:posOffset>5310009</wp:posOffset>
            </wp:positionH>
            <wp:positionV relativeFrom="paragraph">
              <wp:posOffset>494541</wp:posOffset>
            </wp:positionV>
            <wp:extent cx="1219825" cy="1175586"/>
            <wp:effectExtent l="0" t="0" r="0" b="0"/>
            <wp:wrapNone/>
            <wp:docPr id="361" name="image82.jpeg"/>
            <wp:cNvGraphicFramePr>
              <a:graphicFrameLocks noChangeAspect="1"/>
            </wp:cNvGraphicFramePr>
            <a:graphic>
              <a:graphicData uri="http://schemas.openxmlformats.org/drawingml/2006/picture">
                <pic:pic>
                  <pic:nvPicPr>
                    <pic:cNvPr id="362" name="image82.jpeg"/>
                    <pic:cNvPicPr/>
                  </pic:nvPicPr>
                  <pic:blipFill>
                    <a:blip r:embed="rId503" cstate="print"/>
                    <a:stretch>
                      <a:fillRect/>
                    </a:stretch>
                  </pic:blipFill>
                  <pic:spPr>
                    <a:xfrm>
                      <a:off x="0" y="0"/>
                      <a:ext cx="1219825" cy="1175586"/>
                    </a:xfrm>
                    <a:prstGeom prst="rect">
                      <a:avLst/>
                    </a:prstGeom>
                  </pic:spPr>
                </pic:pic>
              </a:graphicData>
            </a:graphic>
          </wp:anchor>
        </w:drawing>
      </w:r>
      <w:r>
        <w:rPr>
          <w:rFonts w:ascii="Stone Sans II ITC Std Bk"/>
          <w:b/>
          <w:spacing w:val="3"/>
          <w:w w:val="110"/>
          <w:sz w:val="29"/>
        </w:rPr>
        <w:t>World </w:t>
      </w:r>
      <w:r>
        <w:rPr>
          <w:rFonts w:ascii="Stone Sans II ITC Std Bk"/>
          <w:b/>
          <w:w w:val="110"/>
          <w:sz w:val="29"/>
        </w:rPr>
        <w:t>Day of </w:t>
      </w:r>
      <w:r>
        <w:rPr>
          <w:rFonts w:ascii="Stone Sans II ITC Std Bk"/>
          <w:b/>
          <w:spacing w:val="2"/>
          <w:w w:val="110"/>
          <w:sz w:val="29"/>
        </w:rPr>
        <w:t>Prayer</w:t>
      </w:r>
      <w:r>
        <w:rPr>
          <w:rFonts w:ascii="Stone Sans II ITC Std Bk"/>
          <w:b/>
          <w:spacing w:val="47"/>
          <w:w w:val="110"/>
          <w:sz w:val="29"/>
        </w:rPr>
        <w:t> </w:t>
      </w:r>
      <w:r>
        <w:rPr>
          <w:rFonts w:ascii="Stone Sans II ITC Std Bk"/>
          <w:b/>
          <w:spacing w:val="6"/>
          <w:w w:val="110"/>
          <w:sz w:val="29"/>
        </w:rPr>
        <w:t>Logo</w:t>
      </w:r>
    </w:p>
    <w:p>
      <w:pPr>
        <w:pStyle w:val="ListParagraph"/>
        <w:numPr>
          <w:ilvl w:val="1"/>
          <w:numId w:val="128"/>
        </w:numPr>
        <w:tabs>
          <w:tab w:pos="1508" w:val="left" w:leader="none"/>
        </w:tabs>
        <w:spacing w:line="240" w:lineRule="auto" w:before="166" w:after="0"/>
        <w:ind w:left="1507" w:right="0" w:hanging="681"/>
        <w:jc w:val="both"/>
        <w:rPr>
          <w:sz w:val="20"/>
        </w:rPr>
      </w:pPr>
      <w:r>
        <w:rPr>
          <w:w w:val="120"/>
          <w:sz w:val="20"/>
        </w:rPr>
        <w:t>The symbol of the World Day of Prayer was designed by</w:t>
      </w:r>
      <w:r>
        <w:rPr>
          <w:spacing w:val="25"/>
          <w:w w:val="120"/>
          <w:sz w:val="20"/>
        </w:rPr>
        <w:t> </w:t>
      </w:r>
      <w:r>
        <w:rPr>
          <w:w w:val="120"/>
          <w:sz w:val="20"/>
        </w:rPr>
        <w:t>a</w:t>
      </w:r>
    </w:p>
    <w:p>
      <w:pPr>
        <w:pStyle w:val="BodyText"/>
        <w:spacing w:line="235" w:lineRule="auto" w:before="99"/>
        <w:ind w:left="827" w:right="3292"/>
      </w:pPr>
      <w:r>
        <w:rPr>
          <w:w w:val="120"/>
        </w:rPr>
        <w:t>young Irish artist in 1982, the year when the service was prepared by the women of Ireland, and adopted as the International logo.</w:t>
      </w:r>
    </w:p>
    <w:p>
      <w:pPr>
        <w:pStyle w:val="BodyText"/>
        <w:spacing w:before="10"/>
        <w:rPr>
          <w:sz w:val="19"/>
        </w:rPr>
      </w:pPr>
    </w:p>
    <w:p>
      <w:pPr>
        <w:pStyle w:val="ListParagraph"/>
        <w:numPr>
          <w:ilvl w:val="1"/>
          <w:numId w:val="128"/>
        </w:numPr>
        <w:tabs>
          <w:tab w:pos="1508" w:val="left" w:leader="none"/>
        </w:tabs>
        <w:spacing w:line="235" w:lineRule="auto" w:before="0" w:after="0"/>
        <w:ind w:left="827" w:right="3469" w:firstLine="0"/>
        <w:jc w:val="both"/>
        <w:rPr>
          <w:sz w:val="20"/>
        </w:rPr>
      </w:pPr>
      <w:r>
        <w:rPr>
          <w:w w:val="120"/>
          <w:sz w:val="20"/>
        </w:rPr>
        <w:t>The design comprises arrows converging from the four points of the compass, four figures kneeling in prayer, the Celtic Cross and a circle</w:t>
      </w:r>
      <w:r>
        <w:rPr>
          <w:spacing w:val="6"/>
          <w:w w:val="120"/>
          <w:sz w:val="20"/>
        </w:rPr>
        <w:t> </w:t>
      </w:r>
      <w:r>
        <w:rPr>
          <w:w w:val="120"/>
          <w:sz w:val="20"/>
        </w:rPr>
        <w:t>representing</w:t>
      </w:r>
      <w:r>
        <w:rPr>
          <w:spacing w:val="7"/>
          <w:w w:val="120"/>
          <w:sz w:val="20"/>
        </w:rPr>
        <w:t> </w:t>
      </w:r>
      <w:r>
        <w:rPr>
          <w:w w:val="120"/>
          <w:sz w:val="20"/>
        </w:rPr>
        <w:t>the</w:t>
      </w:r>
      <w:r>
        <w:rPr>
          <w:spacing w:val="7"/>
          <w:w w:val="120"/>
          <w:sz w:val="20"/>
        </w:rPr>
        <w:t> </w:t>
      </w:r>
      <w:r>
        <w:rPr>
          <w:w w:val="120"/>
          <w:sz w:val="20"/>
        </w:rPr>
        <w:t>world</w:t>
      </w:r>
      <w:r>
        <w:rPr>
          <w:spacing w:val="7"/>
          <w:w w:val="120"/>
          <w:sz w:val="20"/>
        </w:rPr>
        <w:t> </w:t>
      </w:r>
      <w:r>
        <w:rPr>
          <w:w w:val="120"/>
          <w:sz w:val="20"/>
        </w:rPr>
        <w:t>and</w:t>
      </w:r>
      <w:r>
        <w:rPr>
          <w:spacing w:val="7"/>
          <w:w w:val="120"/>
          <w:sz w:val="20"/>
        </w:rPr>
        <w:t> </w:t>
      </w:r>
      <w:r>
        <w:rPr>
          <w:w w:val="120"/>
          <w:sz w:val="20"/>
        </w:rPr>
        <w:t>our</w:t>
      </w:r>
      <w:r>
        <w:rPr>
          <w:spacing w:val="7"/>
          <w:w w:val="120"/>
          <w:sz w:val="20"/>
        </w:rPr>
        <w:t> </w:t>
      </w:r>
      <w:r>
        <w:rPr>
          <w:w w:val="120"/>
          <w:sz w:val="20"/>
        </w:rPr>
        <w:t>unity</w:t>
      </w:r>
      <w:r>
        <w:rPr>
          <w:spacing w:val="7"/>
          <w:w w:val="120"/>
          <w:sz w:val="20"/>
        </w:rPr>
        <w:t> </w:t>
      </w:r>
      <w:r>
        <w:rPr>
          <w:w w:val="120"/>
          <w:sz w:val="20"/>
        </w:rPr>
        <w:t>through</w:t>
      </w:r>
      <w:r>
        <w:rPr>
          <w:spacing w:val="7"/>
          <w:w w:val="120"/>
          <w:sz w:val="20"/>
        </w:rPr>
        <w:t> </w:t>
      </w:r>
      <w:r>
        <w:rPr>
          <w:w w:val="120"/>
          <w:sz w:val="20"/>
        </w:rPr>
        <w:t>all</w:t>
      </w:r>
      <w:r>
        <w:rPr>
          <w:spacing w:val="7"/>
          <w:w w:val="120"/>
          <w:sz w:val="20"/>
        </w:rPr>
        <w:t> </w:t>
      </w:r>
      <w:r>
        <w:rPr>
          <w:w w:val="120"/>
          <w:sz w:val="20"/>
        </w:rPr>
        <w:t>our</w:t>
      </w:r>
      <w:r>
        <w:rPr>
          <w:spacing w:val="7"/>
          <w:w w:val="120"/>
          <w:sz w:val="20"/>
        </w:rPr>
        <w:t> </w:t>
      </w:r>
      <w:r>
        <w:rPr>
          <w:w w:val="120"/>
          <w:sz w:val="20"/>
        </w:rPr>
        <w:t>diversity.</w:t>
      </w:r>
    </w:p>
    <w:p>
      <w:pPr>
        <w:pStyle w:val="BodyText"/>
        <w:spacing w:before="2"/>
        <w:rPr>
          <w:sz w:val="22"/>
        </w:rPr>
      </w:pPr>
    </w:p>
    <w:p>
      <w:pPr>
        <w:pStyle w:val="ListParagraph"/>
        <w:numPr>
          <w:ilvl w:val="0"/>
          <w:numId w:val="128"/>
        </w:numPr>
        <w:tabs>
          <w:tab w:pos="1507" w:val="left" w:leader="none"/>
          <w:tab w:pos="1508" w:val="left" w:leader="none"/>
        </w:tabs>
        <w:spacing w:line="240" w:lineRule="auto" w:before="1" w:after="0"/>
        <w:ind w:left="1507" w:right="0" w:hanging="681"/>
        <w:jc w:val="left"/>
        <w:rPr>
          <w:rFonts w:ascii="Stone Sans II ITC Std Bk"/>
          <w:b/>
          <w:sz w:val="29"/>
        </w:rPr>
      </w:pPr>
      <w:r>
        <w:rPr>
          <w:rFonts w:ascii="Stone Sans II ITC Std Bk"/>
          <w:b/>
          <w:spacing w:val="3"/>
          <w:w w:val="110"/>
          <w:sz w:val="29"/>
        </w:rPr>
        <w:t>International</w:t>
      </w:r>
      <w:r>
        <w:rPr>
          <w:rFonts w:ascii="Stone Sans II ITC Std Bk"/>
          <w:b/>
          <w:spacing w:val="12"/>
          <w:w w:val="110"/>
          <w:sz w:val="29"/>
        </w:rPr>
        <w:t> </w:t>
      </w:r>
      <w:r>
        <w:rPr>
          <w:rFonts w:ascii="Stone Sans II ITC Std Bk"/>
          <w:b/>
          <w:spacing w:val="4"/>
          <w:w w:val="110"/>
          <w:sz w:val="29"/>
        </w:rPr>
        <w:t>structure</w:t>
      </w:r>
    </w:p>
    <w:p>
      <w:pPr>
        <w:pStyle w:val="ListParagraph"/>
        <w:numPr>
          <w:ilvl w:val="1"/>
          <w:numId w:val="128"/>
        </w:numPr>
        <w:tabs>
          <w:tab w:pos="1507" w:val="left" w:leader="none"/>
          <w:tab w:pos="1508" w:val="left" w:leader="none"/>
        </w:tabs>
        <w:spacing w:line="235" w:lineRule="auto" w:before="69" w:after="0"/>
        <w:ind w:left="827" w:right="1724" w:firstLine="0"/>
        <w:jc w:val="left"/>
        <w:rPr>
          <w:sz w:val="20"/>
        </w:rPr>
      </w:pPr>
      <w:r>
        <w:rPr>
          <w:w w:val="120"/>
          <w:sz w:val="20"/>
        </w:rPr>
        <w:t>The international committee, which is composed of delegates from the National committees, meets every four years</w:t>
      </w:r>
      <w:r>
        <w:rPr>
          <w:spacing w:val="8"/>
          <w:w w:val="120"/>
          <w:sz w:val="20"/>
        </w:rPr>
        <w:t> </w:t>
      </w:r>
      <w:r>
        <w:rPr>
          <w:spacing w:val="-3"/>
          <w:w w:val="120"/>
          <w:sz w:val="20"/>
        </w:rPr>
        <w:t>to:</w:t>
      </w:r>
    </w:p>
    <w:p>
      <w:pPr>
        <w:pStyle w:val="ListParagraph"/>
        <w:numPr>
          <w:ilvl w:val="0"/>
          <w:numId w:val="65"/>
        </w:numPr>
        <w:tabs>
          <w:tab w:pos="1507" w:val="left" w:leader="none"/>
          <w:tab w:pos="1508" w:val="left" w:leader="none"/>
        </w:tabs>
        <w:spacing w:line="234" w:lineRule="exact" w:before="0" w:after="0"/>
        <w:ind w:left="1507" w:right="0" w:hanging="681"/>
        <w:jc w:val="left"/>
        <w:rPr>
          <w:sz w:val="20"/>
        </w:rPr>
      </w:pPr>
      <w:r>
        <w:rPr>
          <w:w w:val="120"/>
          <w:sz w:val="20"/>
        </w:rPr>
        <w:t>select themes and writers for the</w:t>
      </w:r>
      <w:r>
        <w:rPr>
          <w:spacing w:val="10"/>
          <w:w w:val="120"/>
          <w:sz w:val="20"/>
        </w:rPr>
        <w:t> </w:t>
      </w:r>
      <w:r>
        <w:rPr>
          <w:w w:val="120"/>
          <w:sz w:val="20"/>
        </w:rPr>
        <w:t>services</w:t>
      </w:r>
    </w:p>
    <w:p>
      <w:pPr>
        <w:pStyle w:val="ListParagraph"/>
        <w:numPr>
          <w:ilvl w:val="0"/>
          <w:numId w:val="65"/>
        </w:numPr>
        <w:tabs>
          <w:tab w:pos="1507" w:val="left" w:leader="none"/>
          <w:tab w:pos="1508" w:val="left" w:leader="none"/>
        </w:tabs>
        <w:spacing w:line="240" w:lineRule="exact" w:before="0" w:after="0"/>
        <w:ind w:left="1507" w:right="0" w:hanging="681"/>
        <w:jc w:val="left"/>
        <w:rPr>
          <w:sz w:val="20"/>
        </w:rPr>
      </w:pPr>
      <w:r>
        <w:rPr>
          <w:w w:val="120"/>
          <w:sz w:val="20"/>
        </w:rPr>
        <w:t>elect an executive committee (from seven geographical</w:t>
      </w:r>
      <w:r>
        <w:rPr>
          <w:spacing w:val="20"/>
          <w:w w:val="120"/>
          <w:sz w:val="20"/>
        </w:rPr>
        <w:t> </w:t>
      </w:r>
      <w:r>
        <w:rPr>
          <w:w w:val="120"/>
          <w:sz w:val="20"/>
        </w:rPr>
        <w:t>regions)</w:t>
      </w:r>
    </w:p>
    <w:p>
      <w:pPr>
        <w:pStyle w:val="ListParagraph"/>
        <w:numPr>
          <w:ilvl w:val="0"/>
          <w:numId w:val="65"/>
        </w:numPr>
        <w:tabs>
          <w:tab w:pos="1507" w:val="left" w:leader="none"/>
          <w:tab w:pos="1508" w:val="left" w:leader="none"/>
        </w:tabs>
        <w:spacing w:line="240" w:lineRule="exact" w:before="0" w:after="0"/>
        <w:ind w:left="1507" w:right="0" w:hanging="681"/>
        <w:jc w:val="left"/>
        <w:rPr>
          <w:sz w:val="20"/>
        </w:rPr>
      </w:pPr>
      <w:r>
        <w:rPr>
          <w:w w:val="120"/>
          <w:sz w:val="20"/>
        </w:rPr>
        <w:t>prepare a budget from funds provided by national</w:t>
      </w:r>
      <w:r>
        <w:rPr>
          <w:spacing w:val="21"/>
          <w:w w:val="120"/>
          <w:sz w:val="20"/>
        </w:rPr>
        <w:t> </w:t>
      </w:r>
      <w:r>
        <w:rPr>
          <w:w w:val="120"/>
          <w:sz w:val="20"/>
        </w:rPr>
        <w:t>committees</w:t>
      </w:r>
    </w:p>
    <w:p>
      <w:pPr>
        <w:pStyle w:val="ListParagraph"/>
        <w:numPr>
          <w:ilvl w:val="0"/>
          <w:numId w:val="65"/>
        </w:numPr>
        <w:tabs>
          <w:tab w:pos="1507" w:val="left" w:leader="none"/>
          <w:tab w:pos="1508" w:val="left" w:leader="none"/>
        </w:tabs>
        <w:spacing w:line="240" w:lineRule="exact" w:before="0" w:after="0"/>
        <w:ind w:left="1507" w:right="0" w:hanging="681"/>
        <w:jc w:val="left"/>
        <w:rPr>
          <w:sz w:val="20"/>
        </w:rPr>
      </w:pPr>
      <w:r>
        <w:rPr>
          <w:w w:val="120"/>
          <w:sz w:val="20"/>
        </w:rPr>
        <w:t>consider ways to extend the</w:t>
      </w:r>
      <w:r>
        <w:rPr>
          <w:spacing w:val="9"/>
          <w:w w:val="120"/>
          <w:sz w:val="20"/>
        </w:rPr>
        <w:t> </w:t>
      </w:r>
      <w:r>
        <w:rPr>
          <w:w w:val="120"/>
          <w:sz w:val="20"/>
        </w:rPr>
        <w:t>movement</w:t>
      </w:r>
    </w:p>
    <w:p>
      <w:pPr>
        <w:pStyle w:val="ListParagraph"/>
        <w:numPr>
          <w:ilvl w:val="0"/>
          <w:numId w:val="65"/>
        </w:numPr>
        <w:tabs>
          <w:tab w:pos="1507" w:val="left" w:leader="none"/>
          <w:tab w:pos="1508" w:val="left" w:leader="none"/>
        </w:tabs>
        <w:spacing w:line="245" w:lineRule="exact" w:before="0" w:after="0"/>
        <w:ind w:left="1507" w:right="0" w:hanging="681"/>
        <w:jc w:val="left"/>
        <w:rPr>
          <w:sz w:val="20"/>
        </w:rPr>
      </w:pPr>
      <w:r>
        <w:rPr>
          <w:w w:val="120"/>
          <w:sz w:val="20"/>
        </w:rPr>
        <w:t>share experiences of the World Day of</w:t>
      </w:r>
      <w:r>
        <w:rPr>
          <w:spacing w:val="10"/>
          <w:w w:val="120"/>
          <w:sz w:val="20"/>
        </w:rPr>
        <w:t> </w:t>
      </w:r>
      <w:r>
        <w:rPr>
          <w:w w:val="120"/>
          <w:sz w:val="20"/>
        </w:rPr>
        <w:t>Prayer.</w:t>
      </w:r>
    </w:p>
    <w:p>
      <w:pPr>
        <w:pStyle w:val="BodyText"/>
        <w:spacing w:line="235" w:lineRule="auto" w:before="1"/>
        <w:ind w:left="827" w:right="1814"/>
      </w:pPr>
      <w:r>
        <w:rPr>
          <w:w w:val="120"/>
        </w:rPr>
        <w:t>The international executive is composed of two representatives from each of seven regions: Latin America, Asia, Europe, Africa, Caribbean/North America and Pacific; and is led by the chairperson and executive director.</w:t>
      </w:r>
    </w:p>
    <w:p>
      <w:pPr>
        <w:pStyle w:val="BodyText"/>
        <w:spacing w:before="11"/>
        <w:rPr>
          <w:sz w:val="19"/>
        </w:rPr>
      </w:pPr>
    </w:p>
    <w:p>
      <w:pPr>
        <w:pStyle w:val="ListParagraph"/>
        <w:numPr>
          <w:ilvl w:val="1"/>
          <w:numId w:val="128"/>
        </w:numPr>
        <w:tabs>
          <w:tab w:pos="1507" w:val="left" w:leader="none"/>
          <w:tab w:pos="1508" w:val="left" w:leader="none"/>
        </w:tabs>
        <w:spacing w:line="235" w:lineRule="auto" w:before="0" w:after="0"/>
        <w:ind w:left="827" w:right="2494" w:firstLine="0"/>
        <w:jc w:val="left"/>
        <w:rPr>
          <w:sz w:val="20"/>
        </w:rPr>
      </w:pPr>
      <w:r>
        <w:rPr>
          <w:w w:val="120"/>
          <w:sz w:val="20"/>
        </w:rPr>
        <w:t>The regional committees are composed of delegates from the national committees in that region, led by two executive representatives. The European committee meets every four</w:t>
      </w:r>
      <w:r>
        <w:rPr>
          <w:spacing w:val="6"/>
          <w:w w:val="120"/>
          <w:sz w:val="20"/>
        </w:rPr>
        <w:t> </w:t>
      </w:r>
      <w:r>
        <w:rPr>
          <w:w w:val="120"/>
          <w:sz w:val="20"/>
        </w:rPr>
        <w:t>years.</w:t>
      </w:r>
    </w:p>
    <w:p>
      <w:pPr>
        <w:pStyle w:val="BodyText"/>
        <w:spacing w:before="2"/>
        <w:rPr>
          <w:sz w:val="22"/>
        </w:rPr>
      </w:pPr>
    </w:p>
    <w:p>
      <w:pPr>
        <w:pStyle w:val="Heading4"/>
        <w:numPr>
          <w:ilvl w:val="0"/>
          <w:numId w:val="128"/>
        </w:numPr>
        <w:tabs>
          <w:tab w:pos="1507" w:val="left" w:leader="none"/>
          <w:tab w:pos="1508" w:val="left" w:leader="none"/>
        </w:tabs>
        <w:spacing w:line="240" w:lineRule="auto" w:before="0" w:after="0"/>
        <w:ind w:left="1507" w:right="0" w:hanging="681"/>
        <w:jc w:val="left"/>
      </w:pPr>
      <w:r>
        <w:rPr>
          <w:spacing w:val="3"/>
          <w:w w:val="110"/>
        </w:rPr>
        <w:t>National</w:t>
      </w:r>
      <w:r>
        <w:rPr>
          <w:spacing w:val="12"/>
          <w:w w:val="110"/>
        </w:rPr>
        <w:t> </w:t>
      </w:r>
      <w:r>
        <w:rPr>
          <w:spacing w:val="3"/>
          <w:w w:val="110"/>
        </w:rPr>
        <w:t>Structure</w:t>
      </w:r>
    </w:p>
    <w:p>
      <w:pPr>
        <w:pStyle w:val="ListParagraph"/>
        <w:numPr>
          <w:ilvl w:val="1"/>
          <w:numId w:val="128"/>
        </w:numPr>
        <w:tabs>
          <w:tab w:pos="1507" w:val="left" w:leader="none"/>
          <w:tab w:pos="1508" w:val="left" w:leader="none"/>
        </w:tabs>
        <w:spacing w:line="235" w:lineRule="auto" w:before="69" w:after="0"/>
        <w:ind w:left="827" w:right="3005" w:firstLine="0"/>
        <w:jc w:val="left"/>
        <w:rPr>
          <w:sz w:val="20"/>
        </w:rPr>
      </w:pPr>
      <w:r>
        <w:rPr>
          <w:w w:val="120"/>
          <w:sz w:val="20"/>
        </w:rPr>
        <w:t>The Scottish committee is composed of representatives of all major denominations in</w:t>
      </w:r>
      <w:r>
        <w:rPr>
          <w:spacing w:val="4"/>
          <w:w w:val="120"/>
          <w:sz w:val="20"/>
        </w:rPr>
        <w:t> </w:t>
      </w:r>
      <w:r>
        <w:rPr>
          <w:w w:val="120"/>
          <w:sz w:val="20"/>
        </w:rPr>
        <w:t>Scotland:</w:t>
      </w:r>
    </w:p>
    <w:p>
      <w:pPr>
        <w:pStyle w:val="BodyText"/>
        <w:spacing w:before="6"/>
        <w:rPr>
          <w:sz w:val="7"/>
        </w:rPr>
      </w:pP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3"/>
        <w:gridCol w:w="3047"/>
        <w:gridCol w:w="3379"/>
      </w:tblGrid>
      <w:tr>
        <w:trPr>
          <w:trHeight w:val="349" w:hRule="atLeast"/>
        </w:trPr>
        <w:tc>
          <w:tcPr>
            <w:tcW w:w="2193" w:type="dxa"/>
          </w:tcPr>
          <w:p>
            <w:pPr>
              <w:pStyle w:val="TableParagraph"/>
              <w:spacing w:before="50"/>
              <w:ind w:left="50"/>
              <w:rPr>
                <w:sz w:val="20"/>
              </w:rPr>
            </w:pPr>
            <w:r>
              <w:rPr>
                <w:w w:val="120"/>
                <w:sz w:val="20"/>
              </w:rPr>
              <w:t>Church of Scotland</w:t>
            </w:r>
          </w:p>
        </w:tc>
        <w:tc>
          <w:tcPr>
            <w:tcW w:w="3047" w:type="dxa"/>
          </w:tcPr>
          <w:p>
            <w:pPr>
              <w:pStyle w:val="TableParagraph"/>
              <w:spacing w:before="50"/>
              <w:ind w:left="261"/>
              <w:rPr>
                <w:sz w:val="20"/>
              </w:rPr>
            </w:pPr>
            <w:r>
              <w:rPr>
                <w:w w:val="120"/>
                <w:sz w:val="20"/>
              </w:rPr>
              <w:t>Scottish Episcopal Church</w:t>
            </w:r>
          </w:p>
        </w:tc>
        <w:tc>
          <w:tcPr>
            <w:tcW w:w="3379" w:type="dxa"/>
          </w:tcPr>
          <w:p>
            <w:pPr>
              <w:pStyle w:val="TableParagraph"/>
              <w:spacing w:before="50"/>
              <w:ind w:left="247"/>
              <w:rPr>
                <w:sz w:val="20"/>
              </w:rPr>
            </w:pPr>
            <w:r>
              <w:rPr>
                <w:w w:val="120"/>
                <w:sz w:val="20"/>
              </w:rPr>
              <w:t>Congregational Federation</w:t>
            </w:r>
          </w:p>
        </w:tc>
      </w:tr>
      <w:tr>
        <w:trPr>
          <w:trHeight w:val="359" w:hRule="atLeast"/>
        </w:trPr>
        <w:tc>
          <w:tcPr>
            <w:tcW w:w="2193" w:type="dxa"/>
          </w:tcPr>
          <w:p>
            <w:pPr>
              <w:pStyle w:val="TableParagraph"/>
              <w:spacing w:before="60"/>
              <w:ind w:left="50"/>
              <w:rPr>
                <w:sz w:val="20"/>
              </w:rPr>
            </w:pPr>
            <w:r>
              <w:rPr>
                <w:w w:val="120"/>
                <w:sz w:val="20"/>
              </w:rPr>
              <w:t>Baptist Church</w:t>
            </w:r>
          </w:p>
        </w:tc>
        <w:tc>
          <w:tcPr>
            <w:tcW w:w="3047" w:type="dxa"/>
          </w:tcPr>
          <w:p>
            <w:pPr>
              <w:pStyle w:val="TableParagraph"/>
              <w:spacing w:before="60"/>
              <w:ind w:left="261"/>
              <w:rPr>
                <w:sz w:val="20"/>
              </w:rPr>
            </w:pPr>
            <w:r>
              <w:rPr>
                <w:w w:val="120"/>
                <w:sz w:val="20"/>
              </w:rPr>
              <w:t>Roman Catholic Church</w:t>
            </w:r>
          </w:p>
        </w:tc>
        <w:tc>
          <w:tcPr>
            <w:tcW w:w="3379" w:type="dxa"/>
          </w:tcPr>
          <w:p>
            <w:pPr>
              <w:pStyle w:val="TableParagraph"/>
              <w:spacing w:before="60"/>
              <w:ind w:left="247"/>
              <w:rPr>
                <w:sz w:val="20"/>
              </w:rPr>
            </w:pPr>
            <w:r>
              <w:rPr>
                <w:w w:val="120"/>
                <w:sz w:val="20"/>
              </w:rPr>
              <w:t>Religious Society of Friends</w:t>
            </w:r>
          </w:p>
        </w:tc>
      </w:tr>
      <w:tr>
        <w:trPr>
          <w:trHeight w:val="359" w:hRule="atLeast"/>
        </w:trPr>
        <w:tc>
          <w:tcPr>
            <w:tcW w:w="2193" w:type="dxa"/>
          </w:tcPr>
          <w:p>
            <w:pPr>
              <w:pStyle w:val="TableParagraph"/>
              <w:spacing w:before="60"/>
              <w:ind w:left="50"/>
              <w:rPr>
                <w:sz w:val="20"/>
              </w:rPr>
            </w:pPr>
            <w:r>
              <w:rPr>
                <w:w w:val="120"/>
                <w:sz w:val="20"/>
              </w:rPr>
              <w:t>Methodist Church</w:t>
            </w:r>
          </w:p>
        </w:tc>
        <w:tc>
          <w:tcPr>
            <w:tcW w:w="3047" w:type="dxa"/>
          </w:tcPr>
          <w:p>
            <w:pPr>
              <w:pStyle w:val="TableParagraph"/>
              <w:spacing w:before="60"/>
              <w:ind w:left="261"/>
              <w:rPr>
                <w:sz w:val="20"/>
              </w:rPr>
            </w:pPr>
            <w:r>
              <w:rPr>
                <w:w w:val="120"/>
                <w:sz w:val="20"/>
              </w:rPr>
              <w:t>United Reformed Church</w:t>
            </w:r>
          </w:p>
        </w:tc>
        <w:tc>
          <w:tcPr>
            <w:tcW w:w="3379" w:type="dxa"/>
          </w:tcPr>
          <w:p>
            <w:pPr>
              <w:pStyle w:val="TableParagraph"/>
              <w:spacing w:before="60"/>
              <w:ind w:left="247"/>
              <w:rPr>
                <w:sz w:val="20"/>
              </w:rPr>
            </w:pPr>
            <w:r>
              <w:rPr>
                <w:w w:val="120"/>
                <w:sz w:val="20"/>
              </w:rPr>
              <w:t>United Free Church of Scotland</w:t>
            </w:r>
          </w:p>
        </w:tc>
      </w:tr>
      <w:tr>
        <w:trPr>
          <w:trHeight w:val="349" w:hRule="atLeast"/>
        </w:trPr>
        <w:tc>
          <w:tcPr>
            <w:tcW w:w="2193" w:type="dxa"/>
          </w:tcPr>
          <w:p>
            <w:pPr>
              <w:pStyle w:val="TableParagraph"/>
              <w:spacing w:line="240" w:lineRule="exact" w:before="60"/>
              <w:ind w:left="50"/>
              <w:rPr>
                <w:sz w:val="20"/>
              </w:rPr>
            </w:pPr>
            <w:r>
              <w:rPr>
                <w:w w:val="120"/>
                <w:sz w:val="20"/>
              </w:rPr>
              <w:t>Salvation Army</w:t>
            </w:r>
          </w:p>
        </w:tc>
        <w:tc>
          <w:tcPr>
            <w:tcW w:w="3047" w:type="dxa"/>
          </w:tcPr>
          <w:p>
            <w:pPr>
              <w:pStyle w:val="TableParagraph"/>
              <w:spacing w:line="240" w:lineRule="exact" w:before="60"/>
              <w:ind w:left="261"/>
              <w:rPr>
                <w:sz w:val="20"/>
              </w:rPr>
            </w:pPr>
            <w:r>
              <w:rPr>
                <w:w w:val="120"/>
                <w:sz w:val="20"/>
              </w:rPr>
              <w:t>Church of the Nazarene</w:t>
            </w:r>
          </w:p>
        </w:tc>
        <w:tc>
          <w:tcPr>
            <w:tcW w:w="3379" w:type="dxa"/>
          </w:tcPr>
          <w:p>
            <w:pPr>
              <w:pStyle w:val="TableParagraph"/>
              <w:rPr>
                <w:rFonts w:ascii="Times New Roman"/>
                <w:sz w:val="22"/>
              </w:rPr>
            </w:pPr>
          </w:p>
        </w:tc>
      </w:tr>
    </w:tbl>
    <w:p>
      <w:pPr>
        <w:pStyle w:val="ListParagraph"/>
        <w:numPr>
          <w:ilvl w:val="1"/>
          <w:numId w:val="128"/>
        </w:numPr>
        <w:tabs>
          <w:tab w:pos="1507" w:val="left" w:leader="none"/>
          <w:tab w:pos="1508" w:val="left" w:leader="none"/>
        </w:tabs>
        <w:spacing w:line="237" w:lineRule="exact" w:before="167" w:after="0"/>
        <w:ind w:left="1507" w:right="0" w:hanging="681"/>
        <w:jc w:val="left"/>
        <w:rPr>
          <w:sz w:val="20"/>
        </w:rPr>
      </w:pPr>
      <w:r>
        <w:rPr>
          <w:w w:val="120"/>
          <w:sz w:val="20"/>
        </w:rPr>
        <w:t>The Scottish committee meets several times and works throughout the year</w:t>
      </w:r>
      <w:r>
        <w:rPr>
          <w:spacing w:val="20"/>
          <w:w w:val="120"/>
          <w:sz w:val="20"/>
        </w:rPr>
        <w:t> </w:t>
      </w:r>
      <w:r>
        <w:rPr>
          <w:spacing w:val="-3"/>
          <w:w w:val="120"/>
          <w:sz w:val="20"/>
        </w:rPr>
        <w:t>to:</w:t>
      </w:r>
    </w:p>
    <w:p>
      <w:pPr>
        <w:pStyle w:val="ListParagraph"/>
        <w:numPr>
          <w:ilvl w:val="0"/>
          <w:numId w:val="65"/>
        </w:numPr>
        <w:tabs>
          <w:tab w:pos="1507" w:val="left" w:leader="none"/>
          <w:tab w:pos="1508" w:val="left" w:leader="none"/>
        </w:tabs>
        <w:spacing w:line="240" w:lineRule="exact" w:before="0" w:after="0"/>
        <w:ind w:left="1507" w:right="0" w:hanging="681"/>
        <w:jc w:val="left"/>
        <w:rPr>
          <w:sz w:val="20"/>
        </w:rPr>
      </w:pPr>
      <w:r>
        <w:rPr>
          <w:w w:val="120"/>
          <w:sz w:val="20"/>
        </w:rPr>
        <w:t>prepare and distribute material for the World Day of Prayer</w:t>
      </w:r>
      <w:r>
        <w:rPr>
          <w:spacing w:val="14"/>
          <w:w w:val="120"/>
          <w:sz w:val="20"/>
        </w:rPr>
        <w:t> </w:t>
      </w:r>
      <w:r>
        <w:rPr>
          <w:w w:val="120"/>
          <w:sz w:val="20"/>
        </w:rPr>
        <w:t>service</w:t>
      </w:r>
    </w:p>
    <w:p>
      <w:pPr>
        <w:pStyle w:val="ListParagraph"/>
        <w:numPr>
          <w:ilvl w:val="0"/>
          <w:numId w:val="65"/>
        </w:numPr>
        <w:tabs>
          <w:tab w:pos="1507" w:val="left" w:leader="none"/>
          <w:tab w:pos="1508" w:val="left" w:leader="none"/>
        </w:tabs>
        <w:spacing w:line="240" w:lineRule="exact" w:before="0" w:after="0"/>
        <w:ind w:left="1507" w:right="0" w:hanging="681"/>
        <w:jc w:val="left"/>
        <w:rPr>
          <w:sz w:val="20"/>
        </w:rPr>
      </w:pPr>
      <w:r>
        <w:rPr>
          <w:w w:val="120"/>
          <w:sz w:val="20"/>
        </w:rPr>
        <w:t>decide on the distribution of</w:t>
      </w:r>
      <w:r>
        <w:rPr>
          <w:spacing w:val="11"/>
          <w:w w:val="120"/>
          <w:sz w:val="20"/>
        </w:rPr>
        <w:t> </w:t>
      </w:r>
      <w:r>
        <w:rPr>
          <w:w w:val="120"/>
          <w:sz w:val="20"/>
        </w:rPr>
        <w:t>funds</w:t>
      </w:r>
    </w:p>
    <w:p>
      <w:pPr>
        <w:pStyle w:val="ListParagraph"/>
        <w:numPr>
          <w:ilvl w:val="0"/>
          <w:numId w:val="65"/>
        </w:numPr>
        <w:tabs>
          <w:tab w:pos="1507" w:val="left" w:leader="none"/>
          <w:tab w:pos="1508" w:val="left" w:leader="none"/>
        </w:tabs>
        <w:spacing w:line="245" w:lineRule="exact" w:before="0" w:after="0"/>
        <w:ind w:left="1507" w:right="0" w:hanging="681"/>
        <w:jc w:val="left"/>
        <w:rPr>
          <w:sz w:val="20"/>
        </w:rPr>
      </w:pPr>
      <w:r>
        <w:rPr>
          <w:w w:val="120"/>
          <w:sz w:val="20"/>
        </w:rPr>
        <w:t>promote the World Day of Prayer</w:t>
      </w:r>
      <w:r>
        <w:rPr>
          <w:spacing w:val="10"/>
          <w:w w:val="120"/>
          <w:sz w:val="20"/>
        </w:rPr>
        <w:t> </w:t>
      </w:r>
      <w:r>
        <w:rPr>
          <w:w w:val="120"/>
          <w:sz w:val="20"/>
        </w:rPr>
        <w:t>movement.</w:t>
      </w:r>
    </w:p>
    <w:p>
      <w:pPr>
        <w:pStyle w:val="BodyText"/>
        <w:spacing w:line="235" w:lineRule="auto" w:before="1"/>
        <w:ind w:left="827" w:right="1528"/>
      </w:pPr>
      <w:r>
        <w:rPr>
          <w:w w:val="120"/>
        </w:rPr>
        <w:t>Ruth Laing from URC and Marjorie Paton from the Church of Scotland attended the International meeting in Brazil in August 2017.</w:t>
      </w:r>
    </w:p>
    <w:p>
      <w:pPr>
        <w:pStyle w:val="BodyText"/>
        <w:spacing w:before="6"/>
        <w:rPr>
          <w:sz w:val="19"/>
        </w:rPr>
      </w:pPr>
    </w:p>
    <w:p>
      <w:pPr>
        <w:pStyle w:val="ListParagraph"/>
        <w:numPr>
          <w:ilvl w:val="1"/>
          <w:numId w:val="128"/>
        </w:numPr>
        <w:tabs>
          <w:tab w:pos="1507" w:val="left" w:leader="none"/>
          <w:tab w:pos="1508" w:val="left" w:leader="none"/>
        </w:tabs>
        <w:spacing w:line="240" w:lineRule="auto" w:before="0" w:after="0"/>
        <w:ind w:left="1507" w:right="0" w:hanging="681"/>
        <w:jc w:val="left"/>
        <w:rPr>
          <w:sz w:val="20"/>
        </w:rPr>
      </w:pPr>
      <w:r>
        <w:rPr/>
        <w:pict>
          <v:shape style="position:absolute;margin-left:59.862202pt;margin-top:9.506386pt;width:307.6pt;height:41pt;mso-position-horizontal-relative:page;mso-position-vertical-relative:paragraph;z-index:2521395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3"/>
                    <w:gridCol w:w="1951"/>
                    <w:gridCol w:w="3568"/>
                  </w:tblGrid>
                  <w:tr>
                    <w:trPr>
                      <w:trHeight w:val="289" w:hRule="atLeast"/>
                    </w:trPr>
                    <w:tc>
                      <w:tcPr>
                        <w:tcW w:w="633" w:type="dxa"/>
                      </w:tcPr>
                      <w:p>
                        <w:pPr>
                          <w:pStyle w:val="TableParagraph"/>
                          <w:spacing w:line="220" w:lineRule="exact" w:before="50"/>
                          <w:ind w:left="11" w:right="66"/>
                          <w:jc w:val="center"/>
                          <w:rPr>
                            <w:sz w:val="20"/>
                          </w:rPr>
                        </w:pPr>
                        <w:r>
                          <w:rPr>
                            <w:w w:val="125"/>
                            <w:sz w:val="20"/>
                          </w:rPr>
                          <w:t>2017</w:t>
                        </w:r>
                      </w:p>
                    </w:tc>
                    <w:tc>
                      <w:tcPr>
                        <w:tcW w:w="1951" w:type="dxa"/>
                      </w:tcPr>
                      <w:p>
                        <w:pPr>
                          <w:pStyle w:val="TableParagraph"/>
                          <w:spacing w:line="220" w:lineRule="exact" w:before="50"/>
                          <w:ind w:left="97"/>
                          <w:rPr>
                            <w:sz w:val="20"/>
                          </w:rPr>
                        </w:pPr>
                        <w:r>
                          <w:rPr>
                            <w:w w:val="120"/>
                            <w:sz w:val="20"/>
                          </w:rPr>
                          <w:t>The Philippines</w:t>
                        </w:r>
                      </w:p>
                    </w:tc>
                    <w:tc>
                      <w:tcPr>
                        <w:tcW w:w="3568" w:type="dxa"/>
                      </w:tcPr>
                      <w:p>
                        <w:pPr>
                          <w:pStyle w:val="TableParagraph"/>
                          <w:spacing w:line="220" w:lineRule="exact" w:before="50"/>
                          <w:ind w:left="346"/>
                          <w:rPr>
                            <w:sz w:val="20"/>
                          </w:rPr>
                        </w:pPr>
                        <w:r>
                          <w:rPr>
                            <w:w w:val="115"/>
                            <w:sz w:val="20"/>
                          </w:rPr>
                          <w:t>Am I unfair to you?</w:t>
                        </w:r>
                      </w:p>
                    </w:tc>
                  </w:tr>
                  <w:tr>
                    <w:trPr>
                      <w:trHeight w:val="239" w:hRule="atLeast"/>
                    </w:trPr>
                    <w:tc>
                      <w:tcPr>
                        <w:tcW w:w="633" w:type="dxa"/>
                      </w:tcPr>
                      <w:p>
                        <w:pPr>
                          <w:pStyle w:val="TableParagraph"/>
                          <w:spacing w:line="220" w:lineRule="exact"/>
                          <w:ind w:left="15" w:right="61"/>
                          <w:jc w:val="center"/>
                          <w:rPr>
                            <w:sz w:val="20"/>
                          </w:rPr>
                        </w:pPr>
                        <w:r>
                          <w:rPr>
                            <w:w w:val="125"/>
                            <w:sz w:val="20"/>
                          </w:rPr>
                          <w:t>2018</w:t>
                        </w:r>
                      </w:p>
                    </w:tc>
                    <w:tc>
                      <w:tcPr>
                        <w:tcW w:w="1951" w:type="dxa"/>
                      </w:tcPr>
                      <w:p>
                        <w:pPr>
                          <w:pStyle w:val="TableParagraph"/>
                          <w:spacing w:line="220" w:lineRule="exact"/>
                          <w:ind w:left="97"/>
                          <w:rPr>
                            <w:sz w:val="20"/>
                          </w:rPr>
                        </w:pPr>
                        <w:r>
                          <w:rPr>
                            <w:w w:val="120"/>
                            <w:sz w:val="20"/>
                          </w:rPr>
                          <w:t>Suriname</w:t>
                        </w:r>
                      </w:p>
                    </w:tc>
                    <w:tc>
                      <w:tcPr>
                        <w:tcW w:w="3568" w:type="dxa"/>
                      </w:tcPr>
                      <w:p>
                        <w:pPr>
                          <w:pStyle w:val="TableParagraph"/>
                          <w:spacing w:line="220" w:lineRule="exact"/>
                          <w:ind w:left="346"/>
                          <w:rPr>
                            <w:sz w:val="20"/>
                          </w:rPr>
                        </w:pPr>
                        <w:r>
                          <w:rPr>
                            <w:w w:val="120"/>
                            <w:sz w:val="20"/>
                          </w:rPr>
                          <w:t>And God’s creation is very good</w:t>
                        </w:r>
                      </w:p>
                    </w:tc>
                  </w:tr>
                  <w:tr>
                    <w:trPr>
                      <w:trHeight w:val="289" w:hRule="atLeast"/>
                    </w:trPr>
                    <w:tc>
                      <w:tcPr>
                        <w:tcW w:w="633" w:type="dxa"/>
                      </w:tcPr>
                      <w:p>
                        <w:pPr>
                          <w:pStyle w:val="TableParagraph"/>
                          <w:spacing w:line="240" w:lineRule="exact"/>
                          <w:ind w:left="15" w:right="62"/>
                          <w:jc w:val="center"/>
                          <w:rPr>
                            <w:sz w:val="20"/>
                          </w:rPr>
                        </w:pPr>
                        <w:r>
                          <w:rPr>
                            <w:w w:val="125"/>
                            <w:sz w:val="20"/>
                          </w:rPr>
                          <w:t>2019</w:t>
                        </w:r>
                      </w:p>
                    </w:tc>
                    <w:tc>
                      <w:tcPr>
                        <w:tcW w:w="1951" w:type="dxa"/>
                      </w:tcPr>
                      <w:p>
                        <w:pPr>
                          <w:pStyle w:val="TableParagraph"/>
                          <w:spacing w:line="240" w:lineRule="exact"/>
                          <w:ind w:left="97"/>
                          <w:rPr>
                            <w:sz w:val="20"/>
                          </w:rPr>
                        </w:pPr>
                        <w:r>
                          <w:rPr>
                            <w:w w:val="120"/>
                            <w:sz w:val="20"/>
                          </w:rPr>
                          <w:t>Slovenia</w:t>
                        </w:r>
                      </w:p>
                    </w:tc>
                    <w:tc>
                      <w:tcPr>
                        <w:tcW w:w="3568" w:type="dxa"/>
                      </w:tcPr>
                      <w:p>
                        <w:pPr>
                          <w:pStyle w:val="TableParagraph"/>
                          <w:spacing w:line="240" w:lineRule="exact"/>
                          <w:ind w:left="346"/>
                          <w:rPr>
                            <w:sz w:val="20"/>
                          </w:rPr>
                        </w:pPr>
                        <w:r>
                          <w:rPr>
                            <w:w w:val="120"/>
                            <w:sz w:val="20"/>
                          </w:rPr>
                          <w:t>Come, everything is ready.</w:t>
                        </w:r>
                      </w:p>
                    </w:tc>
                  </w:tr>
                </w:tbl>
                <w:p>
                  <w:pPr>
                    <w:pStyle w:val="BodyText"/>
                  </w:pPr>
                </w:p>
              </w:txbxContent>
            </v:textbox>
            <w10:wrap type="none"/>
          </v:shape>
        </w:pict>
      </w:r>
      <w:r>
        <w:rPr>
          <w:w w:val="120"/>
          <w:sz w:val="20"/>
        </w:rPr>
        <w:t>Themes from past and future years</w:t>
      </w:r>
      <w:r>
        <w:rPr>
          <w:spacing w:val="9"/>
          <w:w w:val="120"/>
          <w:sz w:val="20"/>
        </w:rPr>
        <w:t> </w:t>
      </w:r>
      <w:r>
        <w:rPr>
          <w:w w:val="120"/>
          <w:sz w:val="20"/>
        </w:rPr>
        <w:t>are;</w:t>
      </w:r>
    </w:p>
    <w:p>
      <w:pPr>
        <w:pStyle w:val="BodyText"/>
        <w:rPr>
          <w:sz w:val="24"/>
        </w:rPr>
      </w:pPr>
    </w:p>
    <w:p>
      <w:pPr>
        <w:pStyle w:val="BodyText"/>
        <w:rPr>
          <w:sz w:val="24"/>
        </w:rPr>
      </w:pPr>
    </w:p>
    <w:p>
      <w:pPr>
        <w:pStyle w:val="BodyText"/>
        <w:spacing w:before="7"/>
        <w:rPr>
          <w:sz w:val="30"/>
        </w:rPr>
      </w:pPr>
    </w:p>
    <w:p>
      <w:pPr>
        <w:pStyle w:val="ListParagraph"/>
        <w:numPr>
          <w:ilvl w:val="1"/>
          <w:numId w:val="128"/>
        </w:numPr>
        <w:tabs>
          <w:tab w:pos="1507" w:val="left" w:leader="none"/>
          <w:tab w:pos="1508" w:val="left" w:leader="none"/>
        </w:tabs>
        <w:spacing w:line="235" w:lineRule="auto" w:before="1" w:after="0"/>
        <w:ind w:left="827" w:right="2054" w:firstLine="0"/>
        <w:jc w:val="left"/>
        <w:rPr>
          <w:sz w:val="20"/>
        </w:rPr>
      </w:pPr>
      <w:r>
        <w:rPr>
          <w:w w:val="120"/>
          <w:sz w:val="20"/>
        </w:rPr>
        <w:t>Due to extreme weather conditions in Scotland in March </w:t>
      </w:r>
      <w:r>
        <w:rPr>
          <w:spacing w:val="-6"/>
          <w:w w:val="120"/>
          <w:sz w:val="20"/>
        </w:rPr>
        <w:t>2018 </w:t>
      </w:r>
      <w:r>
        <w:rPr>
          <w:w w:val="120"/>
          <w:sz w:val="20"/>
        </w:rPr>
        <w:t>many services were cancelled or postponed. Fortunately, many went ahead</w:t>
      </w:r>
      <w:r>
        <w:rPr>
          <w:spacing w:val="15"/>
          <w:w w:val="120"/>
          <w:sz w:val="20"/>
        </w:rPr>
        <w:t> </w:t>
      </w:r>
      <w:r>
        <w:rPr>
          <w:spacing w:val="-3"/>
          <w:w w:val="120"/>
          <w:sz w:val="20"/>
        </w:rPr>
        <w:t>later.</w:t>
      </w:r>
    </w:p>
    <w:p>
      <w:pPr>
        <w:pStyle w:val="BodyText"/>
        <w:spacing w:before="9"/>
        <w:rPr>
          <w:sz w:val="19"/>
        </w:rPr>
      </w:pPr>
    </w:p>
    <w:p>
      <w:pPr>
        <w:pStyle w:val="ListParagraph"/>
        <w:numPr>
          <w:ilvl w:val="1"/>
          <w:numId w:val="128"/>
        </w:numPr>
        <w:tabs>
          <w:tab w:pos="1507" w:val="left" w:leader="none"/>
          <w:tab w:pos="1508" w:val="left" w:leader="none"/>
        </w:tabs>
        <w:spacing w:line="235" w:lineRule="auto" w:before="0" w:after="0"/>
        <w:ind w:left="827" w:right="2414" w:firstLine="0"/>
        <w:jc w:val="left"/>
        <w:rPr>
          <w:sz w:val="20"/>
        </w:rPr>
      </w:pPr>
      <w:r>
        <w:rPr>
          <w:w w:val="120"/>
          <w:sz w:val="20"/>
        </w:rPr>
        <w:t>Through World Day of Prayer, Christians affirm that prayer and action are inseparable and that both have immeasurable influence in the world. Further information may be found at:</w:t>
      </w:r>
      <w:r>
        <w:rPr>
          <w:spacing w:val="13"/>
          <w:w w:val="120"/>
          <w:sz w:val="20"/>
        </w:rPr>
        <w:t> </w:t>
      </w:r>
      <w:hyperlink r:id="rId504">
        <w:r>
          <w:rPr>
            <w:color w:val="006AB3"/>
            <w:w w:val="120"/>
            <w:sz w:val="20"/>
          </w:rPr>
          <w:t>www.wdpscotland.org.uk</w:t>
        </w:r>
      </w:hyperlink>
    </w:p>
    <w:p>
      <w:pPr>
        <w:spacing w:after="0" w:line="235" w:lineRule="auto"/>
        <w:jc w:val="left"/>
        <w:rPr>
          <w:sz w:val="20"/>
        </w:rPr>
        <w:sectPr>
          <w:headerReference w:type="even" r:id="rId501"/>
          <w:footerReference w:type="even" r:id="rId502"/>
          <w:pgSz w:w="11910" w:h="16840"/>
          <w:pgMar w:header="0" w:footer="647" w:top="0" w:bottom="840" w:left="420" w:right="380"/>
          <w:pgNumType w:start="186"/>
        </w:sectPr>
      </w:pPr>
    </w:p>
    <w:p>
      <w:pPr>
        <w:pStyle w:val="BodyText"/>
      </w:pPr>
      <w:r>
        <w:rPr/>
        <w:pict>
          <v:rect style="position:absolute;margin-left:0pt;margin-top:.000015pt;width:549.207pt;height:841.89pt;mso-position-horizontal-relative:page;mso-position-vertical-relative:page;z-index:-267143168" filled="true" fillcolor="#e2d9ea" stroked="false">
            <v:fill type="solid"/>
            <w10:wrap type="none"/>
          </v:rect>
        </w:pict>
      </w:r>
      <w:r>
        <w:rPr/>
        <w:pict>
          <v:group style="position:absolute;margin-left:0pt;margin-top:.000015pt;width:595.3pt;height:841.9pt;mso-position-horizontal-relative:page;mso-position-vertical-relative:page;z-index:-267142144" coordorigin="0,0" coordsize="11906,16838">
            <v:shape style="position:absolute;left:10984;top:0;width:922;height:16838" type="#_x0000_t75" stroked="false">
              <v:imagedata r:id="rId507" o:title=""/>
            </v:shape>
            <v:shape style="position:absolute;left:0;top:0;width:11906;height:16838" type="#_x0000_t75" stroked="false">
              <v:imagedata r:id="rId486" o:title=""/>
            </v:shape>
            <v:shape style="position:absolute;left:3440;top:3239;width:1627;height:857" coordorigin="3440,3240" coordsize="1627,857" path="m4200,3240l3904,3307,3663,3454,3500,3601,3440,3668,3643,3916,3790,4043,3952,4090,4200,4097,4282,4090,4363,4072,4444,4043,4521,4007,4596,3966,4624,3948,4200,3948,3993,3904,3824,3808,3711,3712,3669,3668,3811,3507,3914,3424,4027,3393,4200,3389,4645,3389,4612,3368,4538,3327,4459,3292,4376,3264,4289,3246,4200,3240xm5046,3782l4841,3782,5038,3972,5065,3893,5063,3825,5046,3782xm4645,3389l4200,3389,4402,3433,4571,3529,4687,3625,4730,3668,4577,3830,4471,3913,4362,3943,4200,3948,4624,3948,4666,3920,4731,3873,4790,3827,4841,3782,5046,3782,5040,3766,5003,3715,4959,3668,5003,3622,5041,3569,5050,3549,4847,3549,4798,3505,4743,3459,4680,3412,4645,3389xm5039,3362l4847,3549,5050,3549,5065,3510,5067,3441,5039,3362xe" filled="true" fillcolor="#7c7b7b" stroked="false">
              <v:path arrowok="t"/>
              <v:fill type="solid"/>
            </v:shape>
            <v:shape style="position:absolute;left:3135;top:1811;width:2158;height:3246" coordorigin="3136,1811" coordsize="2158,3246" path="m4167,4901l4098,4901,4100,4902,4105,4927,4112,4965,4119,5001,4123,5020,4134,5042,4141,5054,4149,5057,4160,5056,4167,4901xm4373,4687l4177,4687,4187,5057,4232,5049,4261,5032,4278,5014,4283,5006,4279,4986,4280,4969,4282,4959,4286,4952,4295,4943,4310,4932,4320,4809,4326,4747,4328,4725,4328,4725,4373,4725,4373,4687xm4373,3076l4063,3076,4063,4754,4064,4778,4066,4823,4067,4872,4069,4935,4070,4950,4086,4944,4093,4937,4097,4927,4098,4912,4098,4901,4167,4901,4177,4687,4373,4687,4373,3076xm4373,4725l4328,4725,4330,4754,4331,4803,4332,4848,4334,4870,4338,4878,4344,4889,4353,4897,4367,4896,4372,4872,4373,4823,4373,4771,4373,4754,4373,4725xm5159,2746l5086,2746,3234,2746,3219,2751,3217,2761,3223,2774,3229,2785,3254,2791,3306,2796,3363,2802,3404,2807,3405,2812,3345,2816,3316,2818,3259,2821,3195,2827,3145,2834,3138,2844,3136,2853,3136,2862,3136,2866,3139,2886,3151,2930,3165,2953,3178,2963,3183,2965,3275,2986,3275,2989,3261,2992,3245,2999,3238,3013,3261,3017,3356,3025,3377,3028,3363,3032,3333,3036,3300,3042,3280,3049,3273,3055,3269,3069,3270,3076,3360,3077,5211,3076,5215,3069,5226,3054,5218,3045,5202,3037,5175,3029,5151,3022,5141,3019,5158,3016,5190,3011,5222,3006,5241,2998,5266,2981,5279,2966,5287,2943,5293,2904,5282,2893,5273,2887,5260,2884,5237,2880,5191,2876,5031,2864,5053,2862,5117,2862,5185,2852,5217,2824,5204,2816,5147,2791,5135,2784,5136,2779,5154,2774,5157,2771,5167,2763,5160,2754,5159,2746xm5211,3076l4373,3076,5105,3077,5211,3076xm4091,1864l4084,1866,4076,1874,4068,1888,4064,1906,4063,2746,4373,2746,4373,2051,4314,2051,4311,2026,4156,2026,4152,2016,4152,1999,4105,1999,4103,1980,4099,1933,4095,1886,4091,1864xm4352,1908l4342,1908,4331,1935,4322,1984,4316,2030,4314,2051,4373,2051,4372,2026,4372,1999,4373,1924,4369,1921,4362,1913,4352,1908xm4293,1811l4289,1813,4259,1815,4207,1828,4180,1853,4171,1877,4170,1888,4156,2026,4311,2026,4309,2016,4306,1937,4302,1856,4293,1811xm4130,1940l4122,1947,4114,1965,4105,1999,4152,1999,4151,1987,4148,1957,4141,1941,4130,1940xe" filled="true" fillcolor="#000000" stroked="false">
              <v:path arrowok="t"/>
              <v:fill type="solid"/>
            </v:shape>
            <v:shape style="position:absolute;left:5488;top:2368;width:472;height:379" type="#_x0000_t75" stroked="false">
              <v:imagedata r:id="rId232" o:title=""/>
            </v:shape>
            <v:shape style="position:absolute;left:6006;top:2483;width:217;height:269" type="#_x0000_t75" stroked="false">
              <v:imagedata r:id="rId233" o:title=""/>
            </v:shape>
            <v:shape style="position:absolute;left:5496;top:3001;width:314;height:409" coordorigin="5496,3001" coordsize="314,409" path="m5569,3001l5496,3001,5496,3231,5507,3313,5538,3368,5586,3400,5649,3410,5715,3399,5765,3367,5775,3351,5651,3351,5618,3344,5592,3323,5575,3287,5569,3236,5569,3001xm5809,3001l5736,3001,5736,3236,5730,3287,5714,3323,5687,3344,5651,3351,5775,3351,5798,3311,5809,3231,5809,3001xe" filled="true" fillcolor="#000000" stroked="false">
              <v:path arrowok="t"/>
              <v:fill type="solid"/>
            </v:shape>
            <v:shape style="position:absolute;left:5875;top:3106;width:266;height:298" type="#_x0000_t75" stroked="false">
              <v:imagedata r:id="rId234" o:title=""/>
            </v:shape>
            <v:shape style="position:absolute;left:6202;top:2991;width:83;height:412" coordorigin="6203,2992" coordsize="83,412" path="m6280,3113l6207,3113,6207,3404,6280,3404,6280,3113xm6244,2992l6227,2995,6214,3003,6205,3016,6203,3032,6205,3047,6214,3060,6227,3068,6243,3071,6261,3068,6274,3060,6282,3047,6285,3032,6282,3016,6274,3003,6261,2995,6244,2992xe" filled="true" fillcolor="#000000" stroked="false">
              <v:path arrowok="t"/>
              <v:fill type="solid"/>
            </v:shape>
            <v:shape style="position:absolute;left:6330;top:3030;width:183;height:380" type="#_x0000_t75" stroked="false">
              <v:imagedata r:id="rId235" o:title=""/>
            </v:shape>
            <v:shape style="position:absolute;left:6546;top:3106;width:267;height:304" type="#_x0000_t75" stroked="false">
              <v:imagedata r:id="rId236" o:title=""/>
            </v:shape>
            <v:shape style="position:absolute;left:5496;top:2979;width:1646;height:1080" coordorigin="5497,2980" coordsize="1646,1080" path="m5781,4060l5774,4043,5766,4017,5758,3984,5749,3948,5740,3921,5728,3898,5724,3894,5713,3881,5693,3870,5693,3868,5720,3854,5735,3840,5744,3832,5760,3803,5766,3768,5763,3743,5757,3721,5750,3710,5746,3702,5731,3687,5709,3672,5693,3667,5693,3775,5688,3802,5671,3823,5646,3836,5613,3840,5569,3840,5569,3714,5576,3712,5586,3711,5599,3710,5615,3710,5647,3714,5672,3725,5688,3746,5693,3775,5693,3667,5681,3662,5647,3657,5607,3655,5576,3655,5546,3657,5520,3660,5497,3663,5497,4060,5569,4060,5569,3894,5606,3894,5633,3898,5654,3910,5668,3932,5678,3965,5686,3999,5693,4026,5700,4047,5705,4060,5781,4060m7142,3404l7141,3387,7140,3366,7140,3357,7140,3351,7140,3344,7140,3163,7140,3144,7140,2980,7066,2980,7066,3144,7066,3144,7066,3221,7066,3292,7064,3299,7055,3320,7041,3337,7022,3347,7000,3351,6970,3344,6947,3325,6933,3296,6928,3259,6933,3221,6947,3191,6970,3170,7001,3163,7024,3167,7043,3178,7057,3195,7064,3215,7066,3221,7066,3144,7065,3144,7052,3129,7034,3117,7011,3109,6983,3106,6934,3117,6892,3147,6864,3196,6854,3262,6863,3322,6890,3369,6929,3399,6978,3410,7008,3406,7034,3396,7056,3379,7072,3357,7073,3357,7076,3404,7142,3404e" filled="true" fillcolor="#000000" stroked="false">
              <v:path arrowok="t"/>
              <v:fill type="solid"/>
            </v:shape>
            <v:shape style="position:absolute;left:5809;top:3762;width:267;height:304" type="#_x0000_t75" stroked="false">
              <v:imagedata r:id="rId237" o:title=""/>
            </v:shape>
            <v:shape style="position:absolute;left:6098;top:3629;width:198;height:431" coordorigin="6098,3629" coordsize="198,431" path="m6211,3824l6138,3824,6138,4060,6211,4060,6211,3824xm6274,3769l6098,3769,6098,3824,6274,3824,6274,3769xm6248,3629l6229,3631,6209,3636,6190,3644,6173,3657,6157,3678,6146,3702,6140,3729,6138,3754,6138,3769,6210,3769,6210,3754,6213,3729,6221,3708,6236,3694,6259,3688,6291,3688,6296,3637,6286,3634,6275,3631,6262,3630,6248,3629xm6291,3688l6273,3688,6283,3691,6290,3693,6291,3688xe" filled="true" fillcolor="#000000" stroked="false">
              <v:path arrowok="t"/>
              <v:fill type="solid"/>
            </v:shape>
            <v:shape style="position:absolute;left:6294;top:3762;width:294;height:305" type="#_x0000_t75" stroked="false">
              <v:imagedata r:id="rId238" o:title=""/>
            </v:shape>
            <v:shape style="position:absolute;left:6646;top:3762;width:166;height:298" type="#_x0000_t75" stroked="false">
              <v:imagedata r:id="rId239" o:title=""/>
            </v:shape>
            <v:shape style="position:absolute;left:6858;top:3762;width:430;height:298" coordorigin="6858,3762" coordsize="430,298" path="m6921,3769l6858,3769,6859,3787,6860,3809,6861,3830,6861,4060,6932,4060,6932,3880,6933,3871,6936,3864,6944,3849,6955,3836,6970,3826,6989,3823,7276,3823,7272,3816,7096,3816,7094,3812,6924,3812,6921,3769xm7165,3823l6989,3823,7011,3828,7026,3842,7036,3864,7039,3892,7039,4060,7110,4060,7110,3877,7112,3868,7114,3861,7122,3846,7133,3834,7148,3826,7165,3823xm7276,3823l7165,3823,7188,3828,7204,3843,7213,3867,7217,3899,7217,4060,7288,4060,7288,3889,7280,3830,7276,3823xm7191,3762l7174,3763,7159,3767,7145,3773,7133,3780,7123,3787,7114,3795,7105,3805,7097,3816,7272,3816,7258,3791,7226,3769,7191,3762xm7016,3762l6983,3767,6958,3779,6939,3795,6927,3812,7094,3812,7084,3794,7065,3777,7043,3766,7016,3762xe" filled="true" fillcolor="#000000" stroked="false">
              <v:path arrowok="t"/>
              <v:fill type="solid"/>
            </v:shape>
            <v:shape style="position:absolute;left:7347;top:3762;width:267;height:304" type="#_x0000_t75" stroked="false">
              <v:imagedata r:id="rId240" o:title=""/>
            </v:shape>
            <v:shape style="position:absolute;left:5475;top:3635;width:2468;height:1086" coordorigin="5476,3636" coordsize="2468,1086" path="m5788,4325l5773,4319,5751,4313,5724,4309,5690,4307,5621,4316,5562,4344,5516,4388,5486,4447,5476,4519,5485,4588,5511,4644,5553,4686,5610,4712,5680,4722,5715,4720,5744,4716,5767,4710,5784,4704,5775,4661,5772,4646,5756,4652,5736,4657,5715,4660,5693,4661,5634,4651,5590,4622,5562,4576,5553,4516,5563,4452,5592,4406,5637,4378,5693,4368,5717,4369,5738,4373,5756,4378,5772,4384,5776,4368,5788,4325m6098,4545l6090,4486,6085,4479,6077,4465,6066,4447,6034,4425,5997,4419,5984,4419,5971,4422,5959,4426,5947,4432,5936,4439,5927,4447,5918,4456,5911,4465,5910,4465,5910,4292,5836,4292,5836,4716,5910,4716,5910,4534,5910,4526,5913,4520,5921,4504,5933,4491,5949,4482,5969,4479,5995,4484,6012,4500,6022,4523,6025,4553,6025,4716,6098,4716,6098,4545m7943,4060l7942,4043,7941,4023,7941,4014,7940,4007,7940,4000,7940,3981,7940,3819,7940,3800,7940,3636,7867,3636,7867,3800,7867,3884,7867,3941,7866,3949,7865,3956,7856,3977,7841,3993,7823,4003,7801,4007,7770,4000,7748,3981,7734,3952,7729,3915,7734,3877,7748,3847,7771,3827,7802,3819,7825,3823,7843,3835,7857,3851,7865,3871,7866,3877,7867,3884,7867,3800,7866,3800,7853,3785,7835,3773,7812,3765,7784,3762,7734,3773,7693,3803,7664,3852,7654,3918,7664,3979,7690,4026,7729,4056,7778,4066,7808,4063,7835,4052,7857,4036,7873,4014,7874,4014,7877,4060,7943,4060e" filled="true" fillcolor="#000000" stroked="false">
              <v:path arrowok="t"/>
              <v:fill type="solid"/>
            </v:shape>
            <v:shape style="position:absolute;left:6157;top:4425;width:264;height:298" type="#_x0000_t75" stroked="false">
              <v:imagedata r:id="rId241" o:title=""/>
            </v:shape>
            <v:shape style="position:absolute;left:6476;top:4418;width:418;height:303" type="#_x0000_t75" stroked="false">
              <v:imagedata r:id="rId242" o:title=""/>
            </v:shape>
            <v:shape style="position:absolute;left:6941;top:4292;width:263;height:424" coordorigin="6942,4292" coordsize="263,424" path="m7016,4292l6942,4292,6942,4716,7016,4716,7016,4526,7018,4520,7026,4504,7039,4491,7055,4482,7075,4479,7191,4479,7183,4465,7016,4465,7016,4292xm7191,4479l7075,4479,7101,4484,7118,4500,7128,4523,7131,4553,7131,4716,7204,4716,7204,4545,7195,4486,7191,4479xm7103,4419l7089,4419,7076,4422,7064,4426,7053,4432,7042,4439,7032,4447,7024,4456,7017,4465,7183,4465,7172,4447,7140,4425,7103,4419xe" filled="true" fillcolor="#000000" stroked="false">
              <v:path arrowok="t"/>
              <v:fill type="solid"/>
            </v:shape>
            <v:shape style="position:absolute;left:4009;top:3897;width:414;height:199" coordorigin="4009,3898" coordsize="414,199" path="m4018,3914l4009,4064,4058,4078,4109,4088,4160,4094,4212,4097,4268,4093,4321,4083,4373,4068,4423,4052,4415,3948,4194,3948,4148,3945,4103,3939,4059,3928,4018,3914xm4411,3898l4361,3918,4307,3934,4252,3944,4194,3948,4415,3948,4411,3898xe" filled="true" fillcolor="#7c7b7b" stroked="false">
              <v:path arrowok="t"/>
              <v:fill type="solid"/>
            </v:shape>
            <w10:wrap type="none"/>
          </v:group>
        </w:pict>
      </w:r>
      <w:r>
        <w:rPr/>
        <w:pict>
          <v:shape style="position:absolute;margin-left:554.141174pt;margin-top:48.890015pt;width:26pt;height:120.3pt;mso-position-horizontal-relative:page;mso-position-vertical-relative:page;z-index:252142592" type="#_x0000_t202" filled="false" stroked="false">
            <v:textbox inset="0,0,0,0" style="layout-flow:vertical">
              <w:txbxContent>
                <w:p>
                  <w:pPr>
                    <w:spacing w:before="29"/>
                    <w:ind w:left="20" w:right="0" w:firstLine="0"/>
                    <w:jc w:val="left"/>
                    <w:rPr>
                      <w:sz w:val="39"/>
                    </w:rPr>
                  </w:pPr>
                  <w:r>
                    <w:rPr>
                      <w:color w:val="FFFFFF"/>
                      <w:w w:val="120"/>
                      <w:sz w:val="39"/>
                    </w:rPr>
                    <w:t>Resolutions</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89"/>
        <w:ind w:left="1261" w:right="233"/>
        <w:jc w:val="center"/>
        <w:rPr>
          <w:b/>
        </w:rPr>
      </w:pPr>
      <w:r>
        <w:rPr>
          <w:b/>
          <w:w w:val="110"/>
        </w:rPr>
        <w:t>Resolutions 1 to 32</w:t>
      </w:r>
    </w:p>
    <w:p>
      <w:pPr>
        <w:pStyle w:val="BodyText"/>
        <w:rPr>
          <w:rFonts w:ascii="Stone Sans II ITC Std X Bd"/>
          <w:b/>
          <w:sz w:val="82"/>
        </w:rPr>
      </w:pPr>
    </w:p>
    <w:p>
      <w:pPr>
        <w:pStyle w:val="BodyText"/>
        <w:rPr>
          <w:rFonts w:ascii="Stone Sans II ITC Std X Bd"/>
          <w:b/>
          <w:sz w:val="82"/>
        </w:rPr>
      </w:pPr>
    </w:p>
    <w:p>
      <w:pPr>
        <w:pStyle w:val="BodyText"/>
        <w:rPr>
          <w:rFonts w:ascii="Stone Sans II ITC Std X Bd"/>
          <w:b/>
          <w:sz w:val="82"/>
        </w:rPr>
      </w:pPr>
    </w:p>
    <w:p>
      <w:pPr>
        <w:pStyle w:val="BodyText"/>
        <w:rPr>
          <w:rFonts w:ascii="Stone Sans II ITC Std X Bd"/>
          <w:b/>
          <w:sz w:val="82"/>
        </w:rPr>
      </w:pPr>
    </w:p>
    <w:p>
      <w:pPr>
        <w:pStyle w:val="BodyText"/>
        <w:rPr>
          <w:rFonts w:ascii="Stone Sans II ITC Std X Bd"/>
          <w:b/>
          <w:sz w:val="82"/>
        </w:rPr>
      </w:pPr>
    </w:p>
    <w:p>
      <w:pPr>
        <w:pStyle w:val="BodyText"/>
        <w:rPr>
          <w:rFonts w:ascii="Stone Sans II ITC Std X Bd"/>
          <w:b/>
          <w:sz w:val="82"/>
        </w:rPr>
      </w:pPr>
    </w:p>
    <w:p>
      <w:pPr>
        <w:pStyle w:val="BodyText"/>
        <w:rPr>
          <w:rFonts w:ascii="Stone Sans II ITC Std X Bd"/>
          <w:b/>
          <w:sz w:val="82"/>
        </w:rPr>
      </w:pPr>
    </w:p>
    <w:p>
      <w:pPr>
        <w:pStyle w:val="BodyText"/>
        <w:spacing w:before="8"/>
        <w:rPr>
          <w:rFonts w:ascii="Stone Sans II ITC Std X Bd"/>
          <w:b/>
          <w:sz w:val="75"/>
        </w:rPr>
      </w:pPr>
    </w:p>
    <w:p>
      <w:pPr>
        <w:pStyle w:val="Heading7"/>
        <w:spacing w:before="0"/>
        <w:ind w:left="3842"/>
        <w:rPr>
          <w:rFonts w:ascii="Stone Sans II ITC Std X Bd" w:hAnsi="Stone Sans II ITC Std X Bd"/>
          <w:b/>
          <w:sz w:val="24"/>
        </w:rPr>
      </w:pPr>
      <w:r>
        <w:rPr>
          <w:color w:val="7EAABF"/>
          <w:w w:val="110"/>
        </w:rPr>
        <w:t>United Reformed Church </w:t>
      </w:r>
      <w:r>
        <w:rPr>
          <w:rFonts w:ascii="Symbol" w:hAnsi="Symbol"/>
          <w:color w:val="7EAABF"/>
          <w:w w:val="110"/>
        </w:rPr>
        <w:t></w:t>
      </w:r>
      <w:r>
        <w:rPr>
          <w:rFonts w:ascii="Times New Roman" w:hAnsi="Times New Roman"/>
          <w:color w:val="7EAABF"/>
          <w:w w:val="110"/>
        </w:rPr>
        <w:t> </w:t>
      </w:r>
      <w:r>
        <w:rPr>
          <w:color w:val="7EAABF"/>
          <w:w w:val="110"/>
        </w:rPr>
        <w:t>General Assembly 2018 </w:t>
      </w:r>
      <w:r>
        <w:rPr>
          <w:rFonts w:ascii="Symbol" w:hAnsi="Symbol"/>
          <w:color w:val="7EAABF"/>
          <w:w w:val="110"/>
        </w:rPr>
        <w:t></w:t>
      </w:r>
      <w:r>
        <w:rPr>
          <w:rFonts w:ascii="Times New Roman" w:hAnsi="Times New Roman"/>
          <w:color w:val="7EAABF"/>
          <w:w w:val="110"/>
        </w:rPr>
        <w:t> </w:t>
      </w:r>
      <w:r>
        <w:rPr>
          <w:rFonts w:ascii="Stone Sans II ITC Std X Bd" w:hAnsi="Stone Sans II ITC Std X Bd"/>
          <w:b/>
          <w:w w:val="110"/>
          <w:sz w:val="24"/>
        </w:rPr>
        <w:t>187</w:t>
      </w:r>
    </w:p>
    <w:p>
      <w:pPr>
        <w:spacing w:after="0"/>
        <w:rPr>
          <w:rFonts w:ascii="Stone Sans II ITC Std X Bd" w:hAnsi="Stone Sans II ITC Std X Bd"/>
          <w:sz w:val="24"/>
        </w:rPr>
        <w:sectPr>
          <w:headerReference w:type="default" r:id="rId505"/>
          <w:footerReference w:type="default" r:id="rId506"/>
          <w:pgSz w:w="11910" w:h="16840"/>
          <w:pgMar w:header="0" w:footer="0" w:top="1580" w:bottom="280" w:left="420" w:right="380"/>
        </w:sectPr>
      </w:pPr>
    </w:p>
    <w:p>
      <w:pPr>
        <w:pStyle w:val="BodyText"/>
        <w:rPr>
          <w:rFonts w:ascii="Stone Sans II ITC Std X Bd"/>
          <w:b/>
        </w:rPr>
      </w:pPr>
      <w:r>
        <w:rPr/>
        <w:drawing>
          <wp:anchor distT="0" distB="0" distL="0" distR="0" allowOverlap="1" layoutInCell="1" locked="0" behindDoc="1" simplePos="0" relativeHeight="236188672">
            <wp:simplePos x="0" y="0"/>
            <wp:positionH relativeFrom="page">
              <wp:posOffset>0</wp:posOffset>
            </wp:positionH>
            <wp:positionV relativeFrom="page">
              <wp:posOffset>0</wp:posOffset>
            </wp:positionV>
            <wp:extent cx="594067" cy="10692003"/>
            <wp:effectExtent l="0" t="0" r="0" b="0"/>
            <wp:wrapNone/>
            <wp:docPr id="363" name="image84.png"/>
            <wp:cNvGraphicFramePr>
              <a:graphicFrameLocks noChangeAspect="1"/>
            </wp:cNvGraphicFramePr>
            <a:graphic>
              <a:graphicData uri="http://schemas.openxmlformats.org/drawingml/2006/picture">
                <pic:pic>
                  <pic:nvPicPr>
                    <pic:cNvPr id="364" name="image84.png"/>
                    <pic:cNvPicPr/>
                  </pic:nvPicPr>
                  <pic:blipFill>
                    <a:blip r:embed="rId511" cstate="print"/>
                    <a:stretch>
                      <a:fillRect/>
                    </a:stretch>
                  </pic:blipFill>
                  <pic:spPr>
                    <a:xfrm>
                      <a:off x="0" y="0"/>
                      <a:ext cx="594067" cy="10692003"/>
                    </a:xfrm>
                    <a:prstGeom prst="rect">
                      <a:avLst/>
                    </a:prstGeom>
                  </pic:spPr>
                </pic:pic>
              </a:graphicData>
            </a:graphic>
          </wp:anchor>
        </w:drawing>
      </w:r>
    </w:p>
    <w:p>
      <w:pPr>
        <w:pStyle w:val="BodyText"/>
        <w:rPr>
          <w:rFonts w:ascii="Stone Sans II ITC Std X Bd"/>
          <w:b/>
        </w:rPr>
      </w:pPr>
    </w:p>
    <w:p>
      <w:pPr>
        <w:pStyle w:val="BodyText"/>
        <w:rPr>
          <w:rFonts w:ascii="Stone Sans II ITC Std X Bd"/>
          <w:b/>
        </w:rPr>
      </w:pPr>
    </w:p>
    <w:p>
      <w:pPr>
        <w:pStyle w:val="BodyText"/>
        <w:spacing w:before="11"/>
        <w:rPr>
          <w:rFonts w:ascii="Stone Sans II ITC Std X Bd"/>
          <w:b/>
          <w:sz w:val="19"/>
        </w:rPr>
      </w:pPr>
    </w:p>
    <w:p>
      <w:pPr>
        <w:spacing w:before="98"/>
        <w:ind w:left="968" w:right="0" w:firstLine="0"/>
        <w:jc w:val="left"/>
        <w:rPr>
          <w:rFonts w:ascii="Stone Sans II ITC Std X Bd"/>
          <w:b/>
          <w:sz w:val="50"/>
        </w:rPr>
      </w:pPr>
      <w:r>
        <w:rPr/>
        <w:pict>
          <v:shape style="position:absolute;margin-left:20.519100pt;margin-top:-5.948083pt;width:26pt;height:160.550pt;mso-position-horizontal-relative:page;mso-position-vertical-relative:paragraph;z-index:252156928" type="#_x0000_t202" filled="false" stroked="false">
            <v:textbox inset="0,0,0,0" style="layout-flow:vertical">
              <w:txbxContent>
                <w:p>
                  <w:pPr>
                    <w:spacing w:before="29"/>
                    <w:ind w:left="20" w:right="0" w:firstLine="0"/>
                    <w:jc w:val="left"/>
                    <w:rPr>
                      <w:sz w:val="39"/>
                    </w:rPr>
                  </w:pPr>
                  <w:r>
                    <w:rPr>
                      <w:color w:val="FFFFFF"/>
                      <w:w w:val="125"/>
                      <w:sz w:val="39"/>
                    </w:rPr>
                    <w:t>Resolutions 1-6</w:t>
                  </w:r>
                </w:p>
              </w:txbxContent>
            </v:textbox>
            <w10:wrap type="none"/>
          </v:shape>
        </w:pict>
      </w:r>
      <w:bookmarkStart w:name="_bookmark36" w:id="47"/>
      <w:bookmarkEnd w:id="47"/>
      <w:r>
        <w:rPr/>
      </w:r>
      <w:r>
        <w:rPr>
          <w:rFonts w:ascii="Stone Sans II ITC Std X Bd"/>
          <w:b/>
          <w:w w:val="110"/>
          <w:sz w:val="50"/>
        </w:rPr>
        <w:t>RESOLUTIONS</w:t>
      </w:r>
    </w:p>
    <w:p>
      <w:pPr>
        <w:pStyle w:val="BodyText"/>
        <w:spacing w:before="6"/>
        <w:rPr>
          <w:rFonts w:ascii="Stone Sans II ITC Std X Bd"/>
          <w:b/>
        </w:rPr>
      </w:pPr>
      <w:r>
        <w:rPr/>
        <w:pict>
          <v:shape style="position:absolute;margin-left:56.209pt;margin-top:16.306999pt;width:465.85pt;height:78.150pt;mso-position-horizontal-relative:page;mso-position-vertical-relative:paragraph;z-index:-251172864;mso-wrap-distance-left:0;mso-wrap-distance-right:0" type="#_x0000_t202" filled="false" stroked="true" strokeweight="1pt" strokecolor="#000000">
            <v:textbox inset="0,0,0,0">
              <w:txbxContent>
                <w:p>
                  <w:pPr>
                    <w:spacing w:line="631" w:lineRule="exact" w:before="18"/>
                    <w:ind w:left="254" w:right="0" w:firstLine="0"/>
                    <w:jc w:val="both"/>
                    <w:rPr>
                      <w:rFonts w:ascii="Stone Sans II ITC Std Bk"/>
                      <w:b/>
                      <w:sz w:val="47"/>
                    </w:rPr>
                  </w:pPr>
                  <w:r>
                    <w:rPr>
                      <w:color w:val="7B4290"/>
                      <w:w w:val="120"/>
                      <w:sz w:val="39"/>
                    </w:rPr>
                    <w:t>Resolution </w:t>
                  </w:r>
                  <w:r>
                    <w:rPr>
                      <w:rFonts w:ascii="Stone Sans II ITC Std Bk"/>
                      <w:b/>
                      <w:color w:val="7B4290"/>
                      <w:w w:val="120"/>
                      <w:sz w:val="47"/>
                    </w:rPr>
                    <w:t>1</w:t>
                  </w:r>
                </w:p>
                <w:p>
                  <w:pPr>
                    <w:spacing w:line="230" w:lineRule="auto" w:before="4"/>
                    <w:ind w:left="254" w:right="425" w:firstLine="0"/>
                    <w:jc w:val="both"/>
                    <w:rPr>
                      <w:sz w:val="20"/>
                    </w:rPr>
                  </w:pPr>
                  <w:r>
                    <w:rPr>
                      <w:rFonts w:ascii="Stone Sans II ITC Std Bk"/>
                      <w:b/>
                      <w:w w:val="115"/>
                      <w:sz w:val="20"/>
                    </w:rPr>
                    <w:t>Nominations:</w:t>
                  </w:r>
                  <w:r>
                    <w:rPr>
                      <w:rFonts w:ascii="Stone Sans II ITC Std Bk"/>
                      <w:b/>
                      <w:spacing w:val="-27"/>
                      <w:w w:val="115"/>
                      <w:sz w:val="20"/>
                    </w:rPr>
                    <w:t> </w:t>
                  </w:r>
                  <w:r>
                    <w:rPr>
                      <w:rFonts w:ascii="Stone Sans II ITC Std Bk"/>
                      <w:b/>
                      <w:spacing w:val="-7"/>
                      <w:w w:val="115"/>
                      <w:sz w:val="20"/>
                    </w:rPr>
                    <w:t>To</w:t>
                  </w:r>
                  <w:r>
                    <w:rPr>
                      <w:rFonts w:ascii="Stone Sans II ITC Std Bk"/>
                      <w:b/>
                      <w:spacing w:val="-27"/>
                      <w:w w:val="115"/>
                      <w:sz w:val="20"/>
                    </w:rPr>
                    <w:t> </w:t>
                  </w:r>
                  <w:r>
                    <w:rPr>
                      <w:rFonts w:ascii="Stone Sans II ITC Std Bk"/>
                      <w:b/>
                      <w:w w:val="115"/>
                      <w:sz w:val="20"/>
                    </w:rPr>
                    <w:t>recommend</w:t>
                  </w:r>
                  <w:r>
                    <w:rPr>
                      <w:rFonts w:ascii="Stone Sans II ITC Std Bk"/>
                      <w:b/>
                      <w:spacing w:val="-27"/>
                      <w:w w:val="115"/>
                      <w:sz w:val="20"/>
                    </w:rPr>
                    <w:t> </w:t>
                  </w:r>
                  <w:r>
                    <w:rPr>
                      <w:rFonts w:ascii="Stone Sans II ITC Std Bk"/>
                      <w:b/>
                      <w:w w:val="115"/>
                      <w:sz w:val="20"/>
                    </w:rPr>
                    <w:t>three</w:t>
                  </w:r>
                  <w:r>
                    <w:rPr>
                      <w:rFonts w:ascii="Stone Sans II ITC Std Bk"/>
                      <w:b/>
                      <w:spacing w:val="-27"/>
                      <w:w w:val="115"/>
                      <w:sz w:val="20"/>
                    </w:rPr>
                    <w:t> </w:t>
                  </w:r>
                  <w:r>
                    <w:rPr>
                      <w:rFonts w:ascii="Stone Sans II ITC Std Bk"/>
                      <w:b/>
                      <w:w w:val="115"/>
                      <w:sz w:val="20"/>
                    </w:rPr>
                    <w:t>extensions</w:t>
                  </w:r>
                  <w:r>
                    <w:rPr>
                      <w:rFonts w:ascii="Stone Sans II ITC Std Bk"/>
                      <w:b/>
                      <w:spacing w:val="-27"/>
                      <w:w w:val="115"/>
                      <w:sz w:val="20"/>
                    </w:rPr>
                    <w:t> </w:t>
                  </w:r>
                  <w:r>
                    <w:rPr>
                      <w:rFonts w:ascii="Stone Sans II ITC Std Bk"/>
                      <w:b/>
                      <w:w w:val="115"/>
                      <w:sz w:val="20"/>
                    </w:rPr>
                    <w:t>of</w:t>
                  </w:r>
                  <w:r>
                    <w:rPr>
                      <w:rFonts w:ascii="Stone Sans II ITC Std Bk"/>
                      <w:b/>
                      <w:spacing w:val="-27"/>
                      <w:w w:val="115"/>
                      <w:sz w:val="20"/>
                    </w:rPr>
                    <w:t> </w:t>
                  </w:r>
                  <w:r>
                    <w:rPr>
                      <w:rFonts w:ascii="Stone Sans II ITC Std Bk"/>
                      <w:b/>
                      <w:w w:val="115"/>
                      <w:sz w:val="20"/>
                    </w:rPr>
                    <w:t>tenure</w:t>
                  </w:r>
                  <w:r>
                    <w:rPr>
                      <w:rFonts w:ascii="Stone Sans II ITC Std Bk"/>
                      <w:b/>
                      <w:spacing w:val="-27"/>
                      <w:w w:val="115"/>
                      <w:sz w:val="20"/>
                    </w:rPr>
                    <w:t> </w:t>
                  </w:r>
                  <w:r>
                    <w:rPr>
                      <w:rFonts w:ascii="Stone Sans II ITC Std Bk"/>
                      <w:b/>
                      <w:w w:val="115"/>
                      <w:sz w:val="20"/>
                    </w:rPr>
                    <w:t>to</w:t>
                  </w:r>
                  <w:r>
                    <w:rPr>
                      <w:rFonts w:ascii="Stone Sans II ITC Std Bk"/>
                      <w:b/>
                      <w:spacing w:val="-27"/>
                      <w:w w:val="115"/>
                      <w:sz w:val="20"/>
                    </w:rPr>
                    <w:t> </w:t>
                  </w:r>
                  <w:r>
                    <w:rPr>
                      <w:rFonts w:ascii="Stone Sans II ITC Std Bk"/>
                      <w:b/>
                      <w:w w:val="115"/>
                      <w:sz w:val="20"/>
                    </w:rPr>
                    <w:t>Mission</w:t>
                  </w:r>
                  <w:r>
                    <w:rPr>
                      <w:rFonts w:ascii="Stone Sans II ITC Std Bk"/>
                      <w:b/>
                      <w:spacing w:val="-27"/>
                      <w:w w:val="115"/>
                      <w:sz w:val="20"/>
                    </w:rPr>
                    <w:t> </w:t>
                  </w:r>
                  <w:r>
                    <w:rPr>
                      <w:rFonts w:ascii="Stone Sans II ITC Std Bk"/>
                      <w:b/>
                      <w:w w:val="115"/>
                      <w:sz w:val="20"/>
                    </w:rPr>
                    <w:t>Council</w:t>
                  </w:r>
                  <w:r>
                    <w:rPr>
                      <w:rFonts w:ascii="Stone Sans II ITC Std Bk"/>
                      <w:b/>
                      <w:spacing w:val="-27"/>
                      <w:w w:val="115"/>
                      <w:sz w:val="20"/>
                    </w:rPr>
                    <w:t> </w:t>
                  </w:r>
                  <w:r>
                    <w:rPr>
                      <w:spacing w:val="-9"/>
                      <w:w w:val="115"/>
                      <w:sz w:val="20"/>
                    </w:rPr>
                    <w:t>(p.14) </w:t>
                  </w:r>
                  <w:r>
                    <w:rPr>
                      <w:w w:val="115"/>
                      <w:sz w:val="20"/>
                    </w:rPr>
                    <w:t>General Assembly extends the appointment of the Revd Michael Hopkins as its Clerk to    the end of the </w:t>
                  </w:r>
                  <w:r>
                    <w:rPr>
                      <w:spacing w:val="-5"/>
                      <w:w w:val="115"/>
                      <w:sz w:val="20"/>
                    </w:rPr>
                    <w:t>2024 </w:t>
                  </w:r>
                  <w:r>
                    <w:rPr>
                      <w:w w:val="115"/>
                      <w:sz w:val="20"/>
                    </w:rPr>
                    <w:t>meeting of General</w:t>
                  </w:r>
                  <w:r>
                    <w:rPr>
                      <w:spacing w:val="11"/>
                      <w:w w:val="115"/>
                      <w:sz w:val="20"/>
                    </w:rPr>
                    <w:t> </w:t>
                  </w:r>
                  <w:r>
                    <w:rPr>
                      <w:w w:val="115"/>
                      <w:sz w:val="20"/>
                    </w:rPr>
                    <w:t>Assembly.</w:t>
                  </w:r>
                </w:p>
              </w:txbxContent>
            </v:textbox>
            <v:stroke dashstyle="solid"/>
            <w10:wrap type="topAndBottom"/>
          </v:shape>
        </w:pict>
      </w:r>
      <w:r>
        <w:rPr/>
        <w:pict>
          <v:shape style="position:absolute;margin-left:56.209pt;margin-top:108.212997pt;width:465.85pt;height:76.75pt;mso-position-horizontal-relative:page;mso-position-vertical-relative:paragraph;z-index:-251171840;mso-wrap-distance-left:0;mso-wrap-distance-right:0" type="#_x0000_t202" filled="false" stroked="true" strokeweight="1pt" strokecolor="#000000">
            <v:textbox inset="0,0,0,0">
              <w:txbxContent>
                <w:p>
                  <w:pPr>
                    <w:spacing w:line="631" w:lineRule="exact" w:before="13"/>
                    <w:ind w:left="254" w:right="0" w:firstLine="0"/>
                    <w:jc w:val="left"/>
                    <w:rPr>
                      <w:rFonts w:ascii="Stone Sans II ITC Std Bk"/>
                      <w:b/>
                      <w:sz w:val="47"/>
                    </w:rPr>
                  </w:pPr>
                  <w:r>
                    <w:rPr>
                      <w:color w:val="7B4290"/>
                      <w:w w:val="120"/>
                      <w:sz w:val="39"/>
                    </w:rPr>
                    <w:t>Resolution </w:t>
                  </w:r>
                  <w:r>
                    <w:rPr>
                      <w:rFonts w:ascii="Stone Sans II ITC Std Bk"/>
                      <w:b/>
                      <w:color w:val="7B4290"/>
                      <w:w w:val="120"/>
                      <w:sz w:val="47"/>
                    </w:rPr>
                    <w:t>2</w:t>
                  </w:r>
                </w:p>
                <w:p>
                  <w:pPr>
                    <w:spacing w:line="230" w:lineRule="auto" w:before="4"/>
                    <w:ind w:left="254" w:right="425" w:firstLine="0"/>
                    <w:jc w:val="left"/>
                    <w:rPr>
                      <w:sz w:val="20"/>
                    </w:rPr>
                  </w:pPr>
                  <w:r>
                    <w:rPr>
                      <w:rFonts w:ascii="Stone Sans II ITC Std Bk"/>
                      <w:b/>
                      <w:w w:val="115"/>
                      <w:sz w:val="20"/>
                    </w:rPr>
                    <w:t>Nominations:</w:t>
                  </w:r>
                  <w:r>
                    <w:rPr>
                      <w:rFonts w:ascii="Stone Sans II ITC Std Bk"/>
                      <w:b/>
                      <w:spacing w:val="-27"/>
                      <w:w w:val="115"/>
                      <w:sz w:val="20"/>
                    </w:rPr>
                    <w:t> </w:t>
                  </w:r>
                  <w:r>
                    <w:rPr>
                      <w:rFonts w:ascii="Stone Sans II ITC Std Bk"/>
                      <w:b/>
                      <w:spacing w:val="-7"/>
                      <w:w w:val="115"/>
                      <w:sz w:val="20"/>
                    </w:rPr>
                    <w:t>To</w:t>
                  </w:r>
                  <w:r>
                    <w:rPr>
                      <w:rFonts w:ascii="Stone Sans II ITC Std Bk"/>
                      <w:b/>
                      <w:spacing w:val="-27"/>
                      <w:w w:val="115"/>
                      <w:sz w:val="20"/>
                    </w:rPr>
                    <w:t> </w:t>
                  </w:r>
                  <w:r>
                    <w:rPr>
                      <w:rFonts w:ascii="Stone Sans II ITC Std Bk"/>
                      <w:b/>
                      <w:w w:val="115"/>
                      <w:sz w:val="20"/>
                    </w:rPr>
                    <w:t>recommend</w:t>
                  </w:r>
                  <w:r>
                    <w:rPr>
                      <w:rFonts w:ascii="Stone Sans II ITC Std Bk"/>
                      <w:b/>
                      <w:spacing w:val="-27"/>
                      <w:w w:val="115"/>
                      <w:sz w:val="20"/>
                    </w:rPr>
                    <w:t> </w:t>
                  </w:r>
                  <w:r>
                    <w:rPr>
                      <w:rFonts w:ascii="Stone Sans II ITC Std Bk"/>
                      <w:b/>
                      <w:w w:val="115"/>
                      <w:sz w:val="20"/>
                    </w:rPr>
                    <w:t>three</w:t>
                  </w:r>
                  <w:r>
                    <w:rPr>
                      <w:rFonts w:ascii="Stone Sans II ITC Std Bk"/>
                      <w:b/>
                      <w:spacing w:val="-27"/>
                      <w:w w:val="115"/>
                      <w:sz w:val="20"/>
                    </w:rPr>
                    <w:t> </w:t>
                  </w:r>
                  <w:r>
                    <w:rPr>
                      <w:rFonts w:ascii="Stone Sans II ITC Std Bk"/>
                      <w:b/>
                      <w:w w:val="115"/>
                      <w:sz w:val="20"/>
                    </w:rPr>
                    <w:t>extensions</w:t>
                  </w:r>
                  <w:r>
                    <w:rPr>
                      <w:rFonts w:ascii="Stone Sans II ITC Std Bk"/>
                      <w:b/>
                      <w:spacing w:val="-27"/>
                      <w:w w:val="115"/>
                      <w:sz w:val="20"/>
                    </w:rPr>
                    <w:t> </w:t>
                  </w:r>
                  <w:r>
                    <w:rPr>
                      <w:rFonts w:ascii="Stone Sans II ITC Std Bk"/>
                      <w:b/>
                      <w:w w:val="115"/>
                      <w:sz w:val="20"/>
                    </w:rPr>
                    <w:t>of</w:t>
                  </w:r>
                  <w:r>
                    <w:rPr>
                      <w:rFonts w:ascii="Stone Sans II ITC Std Bk"/>
                      <w:b/>
                      <w:spacing w:val="-27"/>
                      <w:w w:val="115"/>
                      <w:sz w:val="20"/>
                    </w:rPr>
                    <w:t> </w:t>
                  </w:r>
                  <w:r>
                    <w:rPr>
                      <w:rFonts w:ascii="Stone Sans II ITC Std Bk"/>
                      <w:b/>
                      <w:w w:val="115"/>
                      <w:sz w:val="20"/>
                    </w:rPr>
                    <w:t>tenure</w:t>
                  </w:r>
                  <w:r>
                    <w:rPr>
                      <w:rFonts w:ascii="Stone Sans II ITC Std Bk"/>
                      <w:b/>
                      <w:spacing w:val="-27"/>
                      <w:w w:val="115"/>
                      <w:sz w:val="20"/>
                    </w:rPr>
                    <w:t> </w:t>
                  </w:r>
                  <w:r>
                    <w:rPr>
                      <w:rFonts w:ascii="Stone Sans II ITC Std Bk"/>
                      <w:b/>
                      <w:w w:val="115"/>
                      <w:sz w:val="20"/>
                    </w:rPr>
                    <w:t>to</w:t>
                  </w:r>
                  <w:r>
                    <w:rPr>
                      <w:rFonts w:ascii="Stone Sans II ITC Std Bk"/>
                      <w:b/>
                      <w:spacing w:val="-27"/>
                      <w:w w:val="115"/>
                      <w:sz w:val="20"/>
                    </w:rPr>
                    <w:t> </w:t>
                  </w:r>
                  <w:r>
                    <w:rPr>
                      <w:rFonts w:ascii="Stone Sans II ITC Std Bk"/>
                      <w:b/>
                      <w:w w:val="115"/>
                      <w:sz w:val="20"/>
                    </w:rPr>
                    <w:t>Mission</w:t>
                  </w:r>
                  <w:r>
                    <w:rPr>
                      <w:rFonts w:ascii="Stone Sans II ITC Std Bk"/>
                      <w:b/>
                      <w:spacing w:val="-27"/>
                      <w:w w:val="115"/>
                      <w:sz w:val="20"/>
                    </w:rPr>
                    <w:t> </w:t>
                  </w:r>
                  <w:r>
                    <w:rPr>
                      <w:rFonts w:ascii="Stone Sans II ITC Std Bk"/>
                      <w:b/>
                      <w:w w:val="115"/>
                      <w:sz w:val="20"/>
                    </w:rPr>
                    <w:t>Council</w:t>
                  </w:r>
                  <w:r>
                    <w:rPr>
                      <w:rFonts w:ascii="Stone Sans II ITC Std Bk"/>
                      <w:b/>
                      <w:spacing w:val="-27"/>
                      <w:w w:val="115"/>
                      <w:sz w:val="20"/>
                    </w:rPr>
                    <w:t> </w:t>
                  </w:r>
                  <w:r>
                    <w:rPr>
                      <w:spacing w:val="-9"/>
                      <w:w w:val="115"/>
                      <w:sz w:val="20"/>
                    </w:rPr>
                    <w:t>(p.14) </w:t>
                  </w:r>
                  <w:r>
                    <w:rPr>
                      <w:w w:val="115"/>
                      <w:sz w:val="20"/>
                    </w:rPr>
                    <w:t>General Assembly extends the appointment of the Revd Simon Walkling as Moderator        of the National Synod of Wales to </w:t>
                  </w:r>
                  <w:r>
                    <w:rPr>
                      <w:spacing w:val="-7"/>
                      <w:w w:val="115"/>
                      <w:sz w:val="20"/>
                    </w:rPr>
                    <w:t>31 </w:t>
                  </w:r>
                  <w:r>
                    <w:rPr>
                      <w:w w:val="115"/>
                      <w:sz w:val="20"/>
                    </w:rPr>
                    <w:t>August</w:t>
                  </w:r>
                  <w:r>
                    <w:rPr>
                      <w:spacing w:val="25"/>
                      <w:w w:val="115"/>
                      <w:sz w:val="20"/>
                    </w:rPr>
                    <w:t> </w:t>
                  </w:r>
                  <w:r>
                    <w:rPr>
                      <w:spacing w:val="-5"/>
                      <w:w w:val="115"/>
                      <w:sz w:val="20"/>
                    </w:rPr>
                    <w:t>2024.</w:t>
                  </w:r>
                </w:p>
              </w:txbxContent>
            </v:textbox>
            <v:stroke dashstyle="solid"/>
            <w10:wrap type="topAndBottom"/>
          </v:shape>
        </w:pict>
      </w:r>
      <w:r>
        <w:rPr/>
        <w:pict>
          <v:shape style="position:absolute;margin-left:57.209pt;margin-top:198.979004pt;width:465.85pt;height:76.75pt;mso-position-horizontal-relative:page;mso-position-vertical-relative:paragraph;z-index:-251170816;mso-wrap-distance-left:0;mso-wrap-distance-right:0" type="#_x0000_t202" filled="false" stroked="true" strokeweight="1pt" strokecolor="#000000">
            <v:textbox inset="0,0,0,0">
              <w:txbxContent>
                <w:p>
                  <w:pPr>
                    <w:spacing w:line="631" w:lineRule="exact" w:before="31"/>
                    <w:ind w:left="234" w:right="0" w:firstLine="0"/>
                    <w:jc w:val="left"/>
                    <w:rPr>
                      <w:rFonts w:ascii="Stone Sans II ITC Std Bk"/>
                      <w:b/>
                      <w:sz w:val="47"/>
                    </w:rPr>
                  </w:pPr>
                  <w:r>
                    <w:rPr>
                      <w:color w:val="7B4290"/>
                      <w:w w:val="120"/>
                      <w:sz w:val="39"/>
                    </w:rPr>
                    <w:t>Resolution </w:t>
                  </w:r>
                  <w:r>
                    <w:rPr>
                      <w:rFonts w:ascii="Stone Sans II ITC Std Bk"/>
                      <w:b/>
                      <w:color w:val="7B4290"/>
                      <w:w w:val="120"/>
                      <w:sz w:val="47"/>
                    </w:rPr>
                    <w:t>3</w:t>
                  </w:r>
                </w:p>
                <w:p>
                  <w:pPr>
                    <w:spacing w:line="230" w:lineRule="auto" w:before="4"/>
                    <w:ind w:left="234" w:right="443" w:firstLine="0"/>
                    <w:jc w:val="left"/>
                    <w:rPr>
                      <w:sz w:val="20"/>
                    </w:rPr>
                  </w:pPr>
                  <w:r>
                    <w:rPr>
                      <w:rFonts w:ascii="Stone Sans II ITC Std Bk"/>
                      <w:b/>
                      <w:w w:val="115"/>
                      <w:sz w:val="20"/>
                    </w:rPr>
                    <w:t>Nominations:</w:t>
                  </w:r>
                  <w:r>
                    <w:rPr>
                      <w:rFonts w:ascii="Stone Sans II ITC Std Bk"/>
                      <w:b/>
                      <w:spacing w:val="-27"/>
                      <w:w w:val="115"/>
                      <w:sz w:val="20"/>
                    </w:rPr>
                    <w:t> </w:t>
                  </w:r>
                  <w:r>
                    <w:rPr>
                      <w:rFonts w:ascii="Stone Sans II ITC Std Bk"/>
                      <w:b/>
                      <w:spacing w:val="-7"/>
                      <w:w w:val="115"/>
                      <w:sz w:val="20"/>
                    </w:rPr>
                    <w:t>To</w:t>
                  </w:r>
                  <w:r>
                    <w:rPr>
                      <w:rFonts w:ascii="Stone Sans II ITC Std Bk"/>
                      <w:b/>
                      <w:spacing w:val="-27"/>
                      <w:w w:val="115"/>
                      <w:sz w:val="20"/>
                    </w:rPr>
                    <w:t> </w:t>
                  </w:r>
                  <w:r>
                    <w:rPr>
                      <w:rFonts w:ascii="Stone Sans II ITC Std Bk"/>
                      <w:b/>
                      <w:w w:val="115"/>
                      <w:sz w:val="20"/>
                    </w:rPr>
                    <w:t>recommend</w:t>
                  </w:r>
                  <w:r>
                    <w:rPr>
                      <w:rFonts w:ascii="Stone Sans II ITC Std Bk"/>
                      <w:b/>
                      <w:spacing w:val="-27"/>
                      <w:w w:val="115"/>
                      <w:sz w:val="20"/>
                    </w:rPr>
                    <w:t> </w:t>
                  </w:r>
                  <w:r>
                    <w:rPr>
                      <w:rFonts w:ascii="Stone Sans II ITC Std Bk"/>
                      <w:b/>
                      <w:w w:val="115"/>
                      <w:sz w:val="20"/>
                    </w:rPr>
                    <w:t>three</w:t>
                  </w:r>
                  <w:r>
                    <w:rPr>
                      <w:rFonts w:ascii="Stone Sans II ITC Std Bk"/>
                      <w:b/>
                      <w:spacing w:val="-27"/>
                      <w:w w:val="115"/>
                      <w:sz w:val="20"/>
                    </w:rPr>
                    <w:t> </w:t>
                  </w:r>
                  <w:r>
                    <w:rPr>
                      <w:rFonts w:ascii="Stone Sans II ITC Std Bk"/>
                      <w:b/>
                      <w:w w:val="115"/>
                      <w:sz w:val="20"/>
                    </w:rPr>
                    <w:t>extensions</w:t>
                  </w:r>
                  <w:r>
                    <w:rPr>
                      <w:rFonts w:ascii="Stone Sans II ITC Std Bk"/>
                      <w:b/>
                      <w:spacing w:val="-27"/>
                      <w:w w:val="115"/>
                      <w:sz w:val="20"/>
                    </w:rPr>
                    <w:t> </w:t>
                  </w:r>
                  <w:r>
                    <w:rPr>
                      <w:rFonts w:ascii="Stone Sans II ITC Std Bk"/>
                      <w:b/>
                      <w:w w:val="115"/>
                      <w:sz w:val="20"/>
                    </w:rPr>
                    <w:t>of</w:t>
                  </w:r>
                  <w:r>
                    <w:rPr>
                      <w:rFonts w:ascii="Stone Sans II ITC Std Bk"/>
                      <w:b/>
                      <w:spacing w:val="-27"/>
                      <w:w w:val="115"/>
                      <w:sz w:val="20"/>
                    </w:rPr>
                    <w:t> </w:t>
                  </w:r>
                  <w:r>
                    <w:rPr>
                      <w:rFonts w:ascii="Stone Sans II ITC Std Bk"/>
                      <w:b/>
                      <w:w w:val="115"/>
                      <w:sz w:val="20"/>
                    </w:rPr>
                    <w:t>tenure</w:t>
                  </w:r>
                  <w:r>
                    <w:rPr>
                      <w:rFonts w:ascii="Stone Sans II ITC Std Bk"/>
                      <w:b/>
                      <w:spacing w:val="-27"/>
                      <w:w w:val="115"/>
                      <w:sz w:val="20"/>
                    </w:rPr>
                    <w:t> </w:t>
                  </w:r>
                  <w:r>
                    <w:rPr>
                      <w:rFonts w:ascii="Stone Sans II ITC Std Bk"/>
                      <w:b/>
                      <w:w w:val="115"/>
                      <w:sz w:val="20"/>
                    </w:rPr>
                    <w:t>to</w:t>
                  </w:r>
                  <w:r>
                    <w:rPr>
                      <w:rFonts w:ascii="Stone Sans II ITC Std Bk"/>
                      <w:b/>
                      <w:spacing w:val="-27"/>
                      <w:w w:val="115"/>
                      <w:sz w:val="20"/>
                    </w:rPr>
                    <w:t> </w:t>
                  </w:r>
                  <w:r>
                    <w:rPr>
                      <w:rFonts w:ascii="Stone Sans II ITC Std Bk"/>
                      <w:b/>
                      <w:w w:val="115"/>
                      <w:sz w:val="20"/>
                    </w:rPr>
                    <w:t>Mission</w:t>
                  </w:r>
                  <w:r>
                    <w:rPr>
                      <w:rFonts w:ascii="Stone Sans II ITC Std Bk"/>
                      <w:b/>
                      <w:spacing w:val="-27"/>
                      <w:w w:val="115"/>
                      <w:sz w:val="20"/>
                    </w:rPr>
                    <w:t> </w:t>
                  </w:r>
                  <w:r>
                    <w:rPr>
                      <w:rFonts w:ascii="Stone Sans II ITC Std Bk"/>
                      <w:b/>
                      <w:w w:val="115"/>
                      <w:sz w:val="20"/>
                    </w:rPr>
                    <w:t>Council</w:t>
                  </w:r>
                  <w:r>
                    <w:rPr>
                      <w:rFonts w:ascii="Stone Sans II ITC Std Bk"/>
                      <w:b/>
                      <w:spacing w:val="-27"/>
                      <w:w w:val="115"/>
                      <w:sz w:val="20"/>
                    </w:rPr>
                    <w:t> </w:t>
                  </w:r>
                  <w:r>
                    <w:rPr>
                      <w:spacing w:val="-9"/>
                      <w:w w:val="115"/>
                      <w:sz w:val="20"/>
                    </w:rPr>
                    <w:t>(p.14) </w:t>
                  </w:r>
                  <w:r>
                    <w:rPr>
                      <w:w w:val="115"/>
                      <w:sz w:val="20"/>
                    </w:rPr>
                    <w:t>General Assembly extends the appointment of the Revd Paul Whittle as Moderator of Eastern Synod to </w:t>
                  </w:r>
                  <w:r>
                    <w:rPr>
                      <w:spacing w:val="-7"/>
                      <w:w w:val="115"/>
                      <w:sz w:val="20"/>
                    </w:rPr>
                    <w:t>31 </w:t>
                  </w:r>
                  <w:r>
                    <w:rPr>
                      <w:w w:val="115"/>
                      <w:sz w:val="20"/>
                    </w:rPr>
                    <w:t>August</w:t>
                  </w:r>
                  <w:r>
                    <w:rPr>
                      <w:spacing w:val="36"/>
                      <w:w w:val="115"/>
                      <w:sz w:val="20"/>
                    </w:rPr>
                    <w:t> </w:t>
                  </w:r>
                  <w:r>
                    <w:rPr>
                      <w:spacing w:val="-3"/>
                      <w:w w:val="115"/>
                      <w:sz w:val="20"/>
                    </w:rPr>
                    <w:t>2023.</w:t>
                  </w:r>
                </w:p>
              </w:txbxContent>
            </v:textbox>
            <v:stroke dashstyle="solid"/>
            <w10:wrap type="topAndBottom"/>
          </v:shape>
        </w:pict>
      </w:r>
      <w:r>
        <w:rPr/>
        <w:pict>
          <v:group style="position:absolute;margin-left:56.709pt;margin-top:288.541992pt;width:466.85pt;height:79.2pt;mso-position-horizontal-relative:page;mso-position-vertical-relative:paragraph;z-index:-251166720;mso-wrap-distance-left:0;mso-wrap-distance-right:0" coordorigin="1134,5771" coordsize="9337,1584">
            <v:rect style="position:absolute;left:1144;top:5780;width:9317;height:1564" filled="false" stroked="true" strokeweight="1.0pt" strokecolor="#000000">
              <v:stroke dashstyle="solid"/>
            </v:rect>
            <v:shape style="position:absolute;left:1388;top:6734;width:8600;height:480" type="#_x0000_t202" filled="false" stroked="false">
              <v:textbox inset="0,0,0,0">
                <w:txbxContent>
                  <w:p>
                    <w:pPr>
                      <w:spacing w:line="235" w:lineRule="auto" w:before="3"/>
                      <w:ind w:left="0" w:right="0" w:firstLine="0"/>
                      <w:jc w:val="left"/>
                      <w:rPr>
                        <w:sz w:val="20"/>
                      </w:rPr>
                    </w:pPr>
                    <w:r>
                      <w:rPr>
                        <w:w w:val="120"/>
                        <w:sz w:val="20"/>
                      </w:rPr>
                      <w:t>General Assembly adopts the changes proposed to section 3 of the Rules of Procedure, with effect from the end of the 2018 meeting of Assembly.</w:t>
                    </w:r>
                  </w:p>
                </w:txbxContent>
              </v:textbox>
              <w10:wrap type="none"/>
            </v:shape>
            <v:shape style="position:absolute;left:9308;top:6494;width:605;height:240" type="#_x0000_t202" filled="false" stroked="false">
              <v:textbox inset="0,0,0,0">
                <w:txbxContent>
                  <w:p>
                    <w:pPr>
                      <w:spacing w:line="240" w:lineRule="exact" w:before="0"/>
                      <w:ind w:left="0" w:right="0" w:firstLine="0"/>
                      <w:jc w:val="left"/>
                      <w:rPr>
                        <w:sz w:val="20"/>
                      </w:rPr>
                    </w:pPr>
                    <w:r>
                      <w:rPr>
                        <w:spacing w:val="-8"/>
                        <w:w w:val="130"/>
                        <w:sz w:val="20"/>
                      </w:rPr>
                      <w:t>(p.16)</w:t>
                    </w:r>
                  </w:p>
                </w:txbxContent>
              </v:textbox>
              <w10:wrap type="none"/>
            </v:shape>
            <v:shape style="position:absolute;left:1388;top:5869;width:7440;height:86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4</w:t>
                    </w:r>
                  </w:p>
                  <w:p>
                    <w:pPr>
                      <w:spacing w:line="248" w:lineRule="exact" w:before="0"/>
                      <w:ind w:left="0" w:right="0" w:firstLine="0"/>
                      <w:jc w:val="left"/>
                      <w:rPr>
                        <w:rFonts w:ascii="Stone Sans II ITC Std Bk"/>
                        <w:b/>
                        <w:sz w:val="20"/>
                      </w:rPr>
                    </w:pPr>
                    <w:r>
                      <w:rPr>
                        <w:rFonts w:ascii="Stone Sans II ITC Std Bk"/>
                        <w:b/>
                        <w:w w:val="110"/>
                        <w:sz w:val="20"/>
                      </w:rPr>
                      <w:t>Mission council appendix three: The election of Assembly Moderators</w:t>
                    </w:r>
                  </w:p>
                </w:txbxContent>
              </v:textbox>
              <w10:wrap type="none"/>
            </v:shape>
            <w10:wrap type="topAndBottom"/>
          </v:group>
        </w:pict>
      </w:r>
      <w:r>
        <w:rPr/>
        <w:pict>
          <v:shape style="position:absolute;margin-left:57.209pt;margin-top:383.471008pt;width:465.85pt;height:164.15pt;mso-position-horizontal-relative:page;mso-position-vertical-relative:paragraph;z-index:-251165696;mso-wrap-distance-left:0;mso-wrap-distance-right:0" type="#_x0000_t202" filled="false" stroked="true" strokeweight="1pt" strokecolor="#000000">
            <v:textbox inset="0,0,0,0">
              <w:txbxContent>
                <w:p>
                  <w:pPr>
                    <w:spacing w:line="631" w:lineRule="exact" w:before="8"/>
                    <w:ind w:left="234" w:right="0" w:firstLine="0"/>
                    <w:jc w:val="left"/>
                    <w:rPr>
                      <w:rFonts w:ascii="Stone Sans II ITC Std Bk"/>
                      <w:b/>
                      <w:sz w:val="47"/>
                    </w:rPr>
                  </w:pPr>
                  <w:r>
                    <w:rPr>
                      <w:color w:val="7B4290"/>
                      <w:w w:val="120"/>
                      <w:sz w:val="39"/>
                    </w:rPr>
                    <w:t>Resolution </w:t>
                  </w:r>
                  <w:r>
                    <w:rPr>
                      <w:rFonts w:ascii="Stone Sans II ITC Std Bk"/>
                      <w:b/>
                      <w:color w:val="7B4290"/>
                      <w:w w:val="120"/>
                      <w:sz w:val="47"/>
                    </w:rPr>
                    <w:t>5</w:t>
                  </w:r>
                </w:p>
                <w:p>
                  <w:pPr>
                    <w:spacing w:line="257" w:lineRule="exact" w:before="0"/>
                    <w:ind w:left="234" w:right="0" w:firstLine="0"/>
                    <w:jc w:val="left"/>
                    <w:rPr>
                      <w:rFonts w:ascii="Stone Sans II ITC Std Bk"/>
                      <w:b/>
                      <w:sz w:val="20"/>
                    </w:rPr>
                  </w:pPr>
                  <w:r>
                    <w:rPr>
                      <w:rFonts w:ascii="Stone Sans II ITC Std Bk"/>
                      <w:b/>
                      <w:w w:val="110"/>
                      <w:sz w:val="20"/>
                    </w:rPr>
                    <w:t>Mission council appendix four: The role of Elders in the United Reformed Church</w:t>
                  </w:r>
                </w:p>
                <w:p>
                  <w:pPr>
                    <w:pStyle w:val="BodyText"/>
                    <w:spacing w:line="233" w:lineRule="exact"/>
                    <w:ind w:left="8155"/>
                  </w:pPr>
                  <w:r>
                    <w:rPr>
                      <w:w w:val="130"/>
                    </w:rPr>
                    <w:t>(p.20)</w:t>
                  </w:r>
                </w:p>
                <w:p>
                  <w:pPr>
                    <w:pStyle w:val="BodyText"/>
                    <w:spacing w:line="235" w:lineRule="auto" w:before="2"/>
                    <w:ind w:left="234" w:right="443"/>
                  </w:pPr>
                  <w:r>
                    <w:rPr>
                      <w:w w:val="120"/>
                    </w:rPr>
                    <w:t>General Assembly, resolves to add a further question to Schedule B [of the Basis of Union] for elders as follows:</w:t>
                  </w:r>
                </w:p>
                <w:p>
                  <w:pPr>
                    <w:pStyle w:val="BodyText"/>
                    <w:tabs>
                      <w:tab w:pos="914" w:val="left" w:leader="none"/>
                    </w:tabs>
                    <w:spacing w:line="235" w:lineRule="auto" w:before="1"/>
                    <w:ind w:left="915" w:right="710" w:hanging="681"/>
                  </w:pPr>
                  <w:r>
                    <w:rPr>
                      <w:w w:val="120"/>
                    </w:rPr>
                    <w:t>Q:</w:t>
                    <w:tab/>
                    <w:t>Do you promise as an elder of the United Reformed Church to seek its well- being, unity and peace, to cherish love towards all other churches and to endeavour always so far as you are able to build up the one, </w:t>
                  </w:r>
                  <w:r>
                    <w:rPr>
                      <w:spacing w:val="-3"/>
                      <w:w w:val="120"/>
                    </w:rPr>
                    <w:t>holy, </w:t>
                  </w:r>
                  <w:r>
                    <w:rPr>
                      <w:w w:val="120"/>
                    </w:rPr>
                    <w:t>catholic and apostolic</w:t>
                  </w:r>
                  <w:r>
                    <w:rPr>
                      <w:spacing w:val="2"/>
                      <w:w w:val="120"/>
                    </w:rPr>
                    <w:t> </w:t>
                  </w:r>
                  <w:r>
                    <w:rPr>
                      <w:w w:val="120"/>
                    </w:rPr>
                    <w:t>Church?</w:t>
                  </w:r>
                </w:p>
                <w:p>
                  <w:pPr>
                    <w:pStyle w:val="BodyText"/>
                    <w:tabs>
                      <w:tab w:pos="914" w:val="left" w:leader="none"/>
                    </w:tabs>
                    <w:spacing w:line="235" w:lineRule="auto" w:before="3"/>
                    <w:ind w:left="915" w:right="538" w:hanging="681"/>
                  </w:pPr>
                  <w:r>
                    <w:rPr>
                      <w:w w:val="120"/>
                    </w:rPr>
                    <w:t>A:</w:t>
                    <w:tab/>
                    <w:t>By the grace of God I do, and all these things I profess and promise in the power of the Holy</w:t>
                  </w:r>
                  <w:r>
                    <w:rPr>
                      <w:spacing w:val="6"/>
                      <w:w w:val="120"/>
                    </w:rPr>
                    <w:t> </w:t>
                  </w:r>
                  <w:r>
                    <w:rPr>
                      <w:w w:val="120"/>
                    </w:rPr>
                    <w:t>Spirit.</w:t>
                  </w:r>
                </w:p>
              </w:txbxContent>
            </v:textbox>
            <v:stroke dashstyle="solid"/>
            <w10:wrap type="topAndBottom"/>
          </v:shape>
        </w:pict>
      </w:r>
      <w:r>
        <w:rPr/>
        <w:pict>
          <v:group style="position:absolute;margin-left:51.023998pt;margin-top:556.299011pt;width:483.35pt;height:146.25pt;mso-position-horizontal-relative:page;mso-position-vertical-relative:paragraph;z-index:-251161600;mso-wrap-distance-left:0;mso-wrap-distance-right:0" coordorigin="1020,11126" coordsize="9667,2925">
            <v:rect style="position:absolute;left:1124;top:11135;width:9317;height:2688" filled="false" stroked="true" strokeweight="1pt" strokecolor="#000000">
              <v:stroke dashstyle="solid"/>
            </v:rect>
            <v:rect style="position:absolute;left:1020;top:13785;width:9667;height:265" filled="true" fillcolor="#ffffff" stroked="false">
              <v:fill type="solid"/>
            </v:rect>
            <v:shape style="position:absolute;left:1388;top:11215;width:4980;height:110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6</w:t>
                    </w:r>
                  </w:p>
                  <w:p>
                    <w:pPr>
                      <w:spacing w:line="257" w:lineRule="exact" w:before="0"/>
                      <w:ind w:left="0" w:right="0" w:firstLine="0"/>
                      <w:jc w:val="left"/>
                      <w:rPr>
                        <w:rFonts w:ascii="Stone Sans II ITC Std Bk"/>
                        <w:b/>
                        <w:sz w:val="20"/>
                      </w:rPr>
                    </w:pPr>
                    <w:r>
                      <w:rPr>
                        <w:rFonts w:ascii="Stone Sans II ITC Std Bk"/>
                        <w:b/>
                        <w:w w:val="110"/>
                        <w:sz w:val="20"/>
                      </w:rPr>
                      <w:t>Task group on the future of General Assembly:</w:t>
                    </w:r>
                  </w:p>
                  <w:p>
                    <w:pPr>
                      <w:spacing w:line="231" w:lineRule="exact" w:before="0"/>
                      <w:ind w:left="0" w:right="0" w:firstLine="0"/>
                      <w:jc w:val="left"/>
                      <w:rPr>
                        <w:sz w:val="20"/>
                      </w:rPr>
                    </w:pPr>
                    <w:r>
                      <w:rPr>
                        <w:w w:val="120"/>
                        <w:sz w:val="20"/>
                      </w:rPr>
                      <w:t>General Assembly resolves that:</w:t>
                    </w:r>
                  </w:p>
                </w:txbxContent>
              </v:textbox>
              <w10:wrap type="none"/>
            </v:shape>
            <v:shape style="position:absolute;left:9309;top:11841;width:597;height:240" type="#_x0000_t202" filled="false" stroked="false">
              <v:textbox inset="0,0,0,0">
                <w:txbxContent>
                  <w:p>
                    <w:pPr>
                      <w:spacing w:line="240" w:lineRule="exact" w:before="0"/>
                      <w:ind w:left="0" w:right="0" w:firstLine="0"/>
                      <w:jc w:val="left"/>
                      <w:rPr>
                        <w:sz w:val="20"/>
                      </w:rPr>
                    </w:pPr>
                    <w:r>
                      <w:rPr>
                        <w:spacing w:val="-10"/>
                        <w:w w:val="130"/>
                        <w:sz w:val="20"/>
                      </w:rPr>
                      <w:t>(p.51)</w:t>
                    </w:r>
                  </w:p>
                </w:txbxContent>
              </v:textbox>
              <w10:wrap type="none"/>
            </v:shape>
            <v:shape style="position:absolute;left:1388;top:12321;width:8218;height:1200" type="#_x0000_t202" filled="false" stroked="false">
              <v:textbox inset="0,0,0,0">
                <w:txbxContent>
                  <w:p>
                    <w:pPr>
                      <w:numPr>
                        <w:ilvl w:val="0"/>
                        <w:numId w:val="129"/>
                      </w:numPr>
                      <w:tabs>
                        <w:tab w:pos="680" w:val="left" w:leader="none"/>
                        <w:tab w:pos="681" w:val="left" w:leader="none"/>
                      </w:tabs>
                      <w:spacing w:line="235" w:lineRule="auto" w:before="3"/>
                      <w:ind w:left="680" w:right="18" w:hanging="681"/>
                      <w:jc w:val="both"/>
                      <w:rPr>
                        <w:sz w:val="20"/>
                      </w:rPr>
                    </w:pPr>
                    <w:r>
                      <w:rPr>
                        <w:w w:val="120"/>
                        <w:sz w:val="20"/>
                      </w:rPr>
                      <w:t>General Assembly should primarily be funded from the ministry and mission fund, rather than by synods or</w:t>
                    </w:r>
                    <w:r>
                      <w:rPr>
                        <w:spacing w:val="13"/>
                        <w:w w:val="120"/>
                        <w:sz w:val="20"/>
                      </w:rPr>
                      <w:t> </w:t>
                    </w:r>
                    <w:r>
                      <w:rPr>
                        <w:w w:val="120"/>
                        <w:sz w:val="20"/>
                      </w:rPr>
                      <w:t>individuals;</w:t>
                    </w:r>
                  </w:p>
                  <w:p>
                    <w:pPr>
                      <w:numPr>
                        <w:ilvl w:val="0"/>
                        <w:numId w:val="129"/>
                      </w:numPr>
                      <w:tabs>
                        <w:tab w:pos="681" w:val="left" w:leader="none"/>
                      </w:tabs>
                      <w:spacing w:line="235" w:lineRule="auto" w:before="2"/>
                      <w:ind w:left="680" w:right="279" w:hanging="681"/>
                      <w:jc w:val="both"/>
                      <w:rPr>
                        <w:sz w:val="20"/>
                      </w:rPr>
                    </w:pPr>
                    <w:r>
                      <w:rPr>
                        <w:w w:val="120"/>
                        <w:sz w:val="20"/>
                      </w:rPr>
                      <w:t>members of General Assembly be given fuller information on the costs of General Assembly, and a clearer invitation to consider making a donation, including the option of donating by </w:t>
                    </w:r>
                    <w:r>
                      <w:rPr>
                        <w:spacing w:val="2"/>
                        <w:w w:val="120"/>
                        <w:sz w:val="20"/>
                      </w:rPr>
                      <w:t>Gift</w:t>
                    </w:r>
                    <w:r>
                      <w:rPr>
                        <w:spacing w:val="25"/>
                        <w:w w:val="120"/>
                        <w:sz w:val="20"/>
                      </w:rPr>
                      <w:t> </w:t>
                    </w:r>
                    <w:r>
                      <w:rPr>
                        <w:w w:val="120"/>
                        <w:sz w:val="20"/>
                      </w:rPr>
                      <w:t>Aid;</w:t>
                    </w:r>
                  </w:p>
                </w:txbxContent>
              </v:textbox>
              <w10:wrap type="none"/>
            </v:shape>
            <w10:wrap type="topAndBottom"/>
          </v:group>
        </w:pict>
      </w:r>
    </w:p>
    <w:p>
      <w:pPr>
        <w:pStyle w:val="BodyText"/>
        <w:spacing w:before="11"/>
        <w:rPr>
          <w:rFonts w:ascii="Stone Sans II ITC Std X Bd"/>
          <w:b/>
          <w:sz w:val="13"/>
        </w:rPr>
      </w:pPr>
    </w:p>
    <w:p>
      <w:pPr>
        <w:pStyle w:val="BodyText"/>
        <w:spacing w:before="3"/>
        <w:rPr>
          <w:rFonts w:ascii="Stone Sans II ITC Std X Bd"/>
          <w:b/>
          <w:sz w:val="14"/>
        </w:rPr>
      </w:pPr>
    </w:p>
    <w:p>
      <w:pPr>
        <w:pStyle w:val="BodyText"/>
        <w:spacing w:before="3"/>
        <w:rPr>
          <w:rFonts w:ascii="Stone Sans II ITC Std X Bd"/>
          <w:b/>
          <w:sz w:val="13"/>
        </w:rPr>
      </w:pPr>
    </w:p>
    <w:p>
      <w:pPr>
        <w:pStyle w:val="BodyText"/>
        <w:spacing w:before="7"/>
        <w:rPr>
          <w:rFonts w:ascii="Stone Sans II ITC Std X Bd"/>
          <w:b/>
          <w:sz w:val="17"/>
        </w:rPr>
      </w:pPr>
    </w:p>
    <w:p>
      <w:pPr>
        <w:pStyle w:val="BodyText"/>
        <w:spacing w:before="1"/>
        <w:rPr>
          <w:rFonts w:ascii="Stone Sans II ITC Std X Bd"/>
          <w:b/>
          <w:sz w:val="7"/>
        </w:rPr>
      </w:pPr>
    </w:p>
    <w:p>
      <w:pPr>
        <w:spacing w:after="0"/>
        <w:rPr>
          <w:rFonts w:ascii="Stone Sans II ITC Std X Bd"/>
          <w:sz w:val="7"/>
        </w:rPr>
        <w:sectPr>
          <w:headerReference w:type="even" r:id="rId508"/>
          <w:footerReference w:type="even" r:id="rId509"/>
          <w:footerReference w:type="default" r:id="rId510"/>
          <w:pgSz w:w="11910" w:h="16840"/>
          <w:pgMar w:header="0" w:footer="647" w:top="0" w:bottom="840" w:left="420" w:right="380"/>
          <w:pgNumType w:start="188"/>
        </w:sectPr>
      </w:pPr>
    </w:p>
    <w:p>
      <w:pPr>
        <w:spacing w:before="94"/>
        <w:ind w:left="0" w:right="865" w:firstLine="0"/>
        <w:jc w:val="right"/>
        <w:rPr>
          <w:sz w:val="26"/>
        </w:rPr>
      </w:pPr>
      <w:r>
        <w:rPr/>
        <w:pict>
          <v:group style="position:absolute;margin-left:65.180000pt;margin-top:.000015pt;width:530.1pt;height:841.9pt;mso-position-horizontal-relative:page;mso-position-vertical-relative:page;z-index:-267110400" coordorigin="1304,0" coordsize="10602,16838">
            <v:shape style="position:absolute;left:1634;top:1002;width:9317;height:8065" coordorigin="1634,1002" coordsize="9317,8065" path="m1634,7042l10951,7042,10951,3993,1634,3993,1634,7042xm1634,9067l10951,9067,10951,7281,1634,7281,1634,9067xm1634,3746l10951,3746,10951,1002,1634,1002,1634,3746xe" filled="false" stroked="true" strokeweight="1pt" strokecolor="#000000">
              <v:path arrowok="t"/>
              <v:stroke dashstyle="solid"/>
            </v:shape>
            <v:shape style="position:absolute;left:10984;top:0;width:922;height:16838" type="#_x0000_t75" stroked="false">
              <v:imagedata r:id="rId507" o:title=""/>
            </v:shape>
            <v:rect style="position:absolute;left:1303;top:912;width:9667;height:199" filled="true" fillcolor="#ffffff" stroked="false">
              <v:fill type="solid"/>
            </v:rect>
            <v:shape style="position:absolute;left:1654;top:9361;width:9326;height:5927" coordorigin="1654,9362" coordsize="9326,5927" path="m1654,10705l10971,10705,10971,9362,1654,9362,1654,10705xm1663,13001l10980,13001,10980,10975,1663,10975,1663,13001xm1663,15289l10980,15289,10980,13262,1663,13262,1663,15289xe" filled="false" stroked="true" strokeweight="1pt" strokecolor="#000000">
              <v:path arrowok="t"/>
              <v:stroke dashstyle="solid"/>
            </v:shape>
            <w10:wrap type="none"/>
          </v:group>
        </w:pict>
      </w:r>
      <w:r>
        <w:rPr/>
        <w:pict>
          <v:shape style="position:absolute;margin-left:554.141174pt;margin-top:21.993946pt;width:26pt;height:173.75pt;mso-position-horizontal-relative:page;mso-position-vertical-relative:paragraph;z-index:252174336" type="#_x0000_t202" filled="false" stroked="false">
            <v:textbox inset="0,0,0,0" style="layout-flow:vertical">
              <w:txbxContent>
                <w:p>
                  <w:pPr>
                    <w:spacing w:before="29"/>
                    <w:ind w:left="20" w:right="0" w:firstLine="0"/>
                    <w:jc w:val="left"/>
                    <w:rPr>
                      <w:sz w:val="39"/>
                    </w:rPr>
                  </w:pPr>
                  <w:r>
                    <w:rPr>
                      <w:color w:val="FFFFFF"/>
                      <w:w w:val="125"/>
                      <w:sz w:val="39"/>
                    </w:rPr>
                    <w:t>Resolutions 7-11</w:t>
                  </w:r>
                </w:p>
              </w:txbxContent>
            </v:textbox>
            <w10:wrap type="none"/>
          </v:shape>
        </w:pict>
      </w:r>
      <w:r>
        <w:rPr>
          <w:color w:val="7EAABF"/>
          <w:w w:val="115"/>
          <w:sz w:val="26"/>
        </w:rPr>
        <w:t>Resolutions</w:t>
      </w:r>
    </w:p>
    <w:p>
      <w:pPr>
        <w:pStyle w:val="ListParagraph"/>
        <w:numPr>
          <w:ilvl w:val="1"/>
          <w:numId w:val="110"/>
        </w:numPr>
        <w:tabs>
          <w:tab w:pos="2244" w:val="left" w:leader="none"/>
          <w:tab w:pos="2245" w:val="left" w:leader="none"/>
        </w:tabs>
        <w:spacing w:line="235" w:lineRule="auto" w:before="221" w:after="0"/>
        <w:ind w:left="2244" w:right="1249" w:hanging="681"/>
        <w:jc w:val="left"/>
        <w:rPr>
          <w:sz w:val="20"/>
        </w:rPr>
      </w:pPr>
      <w:r>
        <w:rPr>
          <w:w w:val="120"/>
          <w:sz w:val="20"/>
        </w:rPr>
        <w:t>all papers be issued electronically as the primary means of dissemination, but those who wish may choose to receive paper copies at the expense of the Assembly</w:t>
      </w:r>
      <w:r>
        <w:rPr>
          <w:spacing w:val="2"/>
          <w:w w:val="120"/>
          <w:sz w:val="20"/>
        </w:rPr>
        <w:t> </w:t>
      </w:r>
      <w:r>
        <w:rPr>
          <w:w w:val="120"/>
          <w:sz w:val="20"/>
        </w:rPr>
        <w:t>budget;</w:t>
      </w:r>
    </w:p>
    <w:p>
      <w:pPr>
        <w:pStyle w:val="ListParagraph"/>
        <w:numPr>
          <w:ilvl w:val="1"/>
          <w:numId w:val="110"/>
        </w:numPr>
        <w:tabs>
          <w:tab w:pos="2244" w:val="left" w:leader="none"/>
          <w:tab w:pos="2245" w:val="left" w:leader="none"/>
        </w:tabs>
        <w:spacing w:line="235" w:lineRule="auto" w:before="2" w:after="0"/>
        <w:ind w:left="2244" w:right="1269" w:hanging="681"/>
        <w:jc w:val="left"/>
        <w:rPr>
          <w:sz w:val="20"/>
        </w:rPr>
      </w:pPr>
      <w:r>
        <w:rPr>
          <w:w w:val="120"/>
          <w:sz w:val="20"/>
        </w:rPr>
        <w:t>it prefers to meet in a venue either around tables or with significant breakout rooms if</w:t>
      </w:r>
      <w:r>
        <w:rPr>
          <w:spacing w:val="3"/>
          <w:w w:val="120"/>
          <w:sz w:val="20"/>
        </w:rPr>
        <w:t> </w:t>
      </w:r>
      <w:r>
        <w:rPr>
          <w:w w:val="120"/>
          <w:sz w:val="20"/>
        </w:rPr>
        <w:t>possible;</w:t>
      </w:r>
    </w:p>
    <w:p>
      <w:pPr>
        <w:pStyle w:val="ListParagraph"/>
        <w:numPr>
          <w:ilvl w:val="1"/>
          <w:numId w:val="110"/>
        </w:numPr>
        <w:tabs>
          <w:tab w:pos="2244" w:val="left" w:leader="none"/>
          <w:tab w:pos="2245" w:val="left" w:leader="none"/>
        </w:tabs>
        <w:spacing w:line="235" w:lineRule="auto" w:before="2" w:after="0"/>
        <w:ind w:left="2244" w:right="967" w:hanging="681"/>
        <w:jc w:val="left"/>
        <w:rPr>
          <w:sz w:val="20"/>
        </w:rPr>
      </w:pPr>
      <w:r>
        <w:rPr>
          <w:w w:val="120"/>
          <w:sz w:val="20"/>
        </w:rPr>
        <w:t>from the close of General Assembly </w:t>
      </w:r>
      <w:r>
        <w:rPr>
          <w:spacing w:val="-5"/>
          <w:w w:val="120"/>
          <w:sz w:val="20"/>
        </w:rPr>
        <w:t>2018,  </w:t>
      </w:r>
      <w:r>
        <w:rPr>
          <w:w w:val="120"/>
          <w:sz w:val="20"/>
        </w:rPr>
        <w:t>Moderators should be inducted at  the close of the Assembly which begins their term of office and should therefore chair the General Assembly at the end of their term of</w:t>
      </w:r>
      <w:r>
        <w:rPr>
          <w:spacing w:val="12"/>
          <w:w w:val="120"/>
          <w:sz w:val="20"/>
        </w:rPr>
        <w:t> </w:t>
      </w:r>
      <w:r>
        <w:rPr>
          <w:w w:val="120"/>
          <w:sz w:val="20"/>
        </w:rPr>
        <w:t>office.</w:t>
      </w:r>
    </w:p>
    <w:p>
      <w:pPr>
        <w:pStyle w:val="ListParagraph"/>
        <w:numPr>
          <w:ilvl w:val="1"/>
          <w:numId w:val="110"/>
        </w:numPr>
        <w:tabs>
          <w:tab w:pos="2244" w:val="left" w:leader="none"/>
          <w:tab w:pos="2245" w:val="left" w:leader="none"/>
        </w:tabs>
        <w:spacing w:line="235" w:lineRule="auto" w:before="2" w:after="0"/>
        <w:ind w:left="2244" w:right="895" w:hanging="681"/>
        <w:jc w:val="left"/>
        <w:rPr>
          <w:sz w:val="20"/>
        </w:rPr>
      </w:pPr>
      <w:r>
        <w:rPr>
          <w:w w:val="120"/>
          <w:sz w:val="20"/>
        </w:rPr>
        <w:t>every </w:t>
      </w:r>
      <w:r>
        <w:rPr>
          <w:spacing w:val="2"/>
          <w:w w:val="120"/>
          <w:sz w:val="20"/>
        </w:rPr>
        <w:t>effort </w:t>
      </w:r>
      <w:r>
        <w:rPr>
          <w:w w:val="120"/>
          <w:sz w:val="20"/>
        </w:rPr>
        <w:t>be made to encourage a variety of voices to speak, by giving priority to those who have not spoken</w:t>
      </w:r>
      <w:r>
        <w:rPr>
          <w:spacing w:val="11"/>
          <w:w w:val="120"/>
          <w:sz w:val="20"/>
        </w:rPr>
        <w:t> </w:t>
      </w:r>
      <w:r>
        <w:rPr>
          <w:w w:val="120"/>
          <w:sz w:val="20"/>
        </w:rPr>
        <w:t>before.</w:t>
      </w:r>
    </w:p>
    <w:p>
      <w:pPr>
        <w:pStyle w:val="BodyText"/>
      </w:pPr>
    </w:p>
    <w:p>
      <w:pPr>
        <w:pStyle w:val="BodyText"/>
        <w:spacing w:before="10"/>
        <w:rPr>
          <w:sz w:val="17"/>
        </w:rPr>
      </w:pPr>
      <w:r>
        <w:rPr/>
        <w:pict>
          <v:shape style="position:absolute;margin-left:99.212601pt;margin-top:12.093822pt;width:317.4pt;height:55.3pt;mso-position-horizontal-relative:page;mso-position-vertical-relative:paragraph;z-index:-251158528;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7</w:t>
                  </w:r>
                </w:p>
                <w:p>
                  <w:pPr>
                    <w:spacing w:line="257" w:lineRule="exact" w:before="0"/>
                    <w:ind w:left="0" w:right="0" w:firstLine="0"/>
                    <w:jc w:val="left"/>
                    <w:rPr>
                      <w:rFonts w:ascii="Stone Sans II ITC Std Bk"/>
                      <w:b/>
                      <w:sz w:val="20"/>
                    </w:rPr>
                  </w:pPr>
                  <w:r>
                    <w:rPr>
                      <w:rFonts w:ascii="Stone Sans II ITC Std Bk"/>
                      <w:b/>
                      <w:w w:val="110"/>
                      <w:sz w:val="20"/>
                    </w:rPr>
                    <w:t>Task group on the future of General Assembly:</w:t>
                  </w:r>
                </w:p>
                <w:p>
                  <w:pPr>
                    <w:pStyle w:val="BodyText"/>
                    <w:spacing w:line="231" w:lineRule="exact"/>
                  </w:pPr>
                  <w:r>
                    <w:rPr>
                      <w:w w:val="120"/>
                    </w:rPr>
                    <w:t>General Assembly resolves to change its membership as follows:</w:t>
                  </w:r>
                </w:p>
              </w:txbxContent>
            </v:textbox>
            <w10:wrap type="topAndBottom"/>
          </v:shape>
        </w:pict>
      </w:r>
      <w:r>
        <w:rPr/>
        <w:pict>
          <v:shape style="position:absolute;margin-left:495.223602pt;margin-top:43.368423pt;width:30.8pt;height:12pt;mso-position-horizontal-relative:page;mso-position-vertical-relative:paragraph;z-index:-251157504;mso-wrap-distance-left:0;mso-wrap-distance-right:0" type="#_x0000_t202" filled="false" stroked="false">
            <v:textbox inset="0,0,0,0">
              <w:txbxContent>
                <w:p>
                  <w:pPr>
                    <w:pStyle w:val="BodyText"/>
                    <w:spacing w:line="240" w:lineRule="exact"/>
                  </w:pPr>
                  <w:r>
                    <w:rPr>
                      <w:spacing w:val="-7"/>
                      <w:w w:val="130"/>
                    </w:rPr>
                    <w:t>(p.52)</w:t>
                  </w:r>
                </w:p>
              </w:txbxContent>
            </v:textbox>
            <w10:wrap type="topAndBottom"/>
          </v:shape>
        </w:pict>
      </w:r>
    </w:p>
    <w:p>
      <w:pPr>
        <w:pStyle w:val="BodyText"/>
        <w:ind w:left="1564"/>
      </w:pPr>
      <w:r>
        <w:rPr/>
        <w:pict>
          <v:shape style="width:429.75pt;height:84pt;mso-position-horizontal-relative:char;mso-position-vertical-relative:line" type="#_x0000_t202" filled="false" stroked="false">
            <w10:anchorlock/>
            <v:textbox inset="0,0,0,0">
              <w:txbxContent>
                <w:p>
                  <w:pPr>
                    <w:pStyle w:val="BodyText"/>
                    <w:numPr>
                      <w:ilvl w:val="0"/>
                      <w:numId w:val="130"/>
                    </w:numPr>
                    <w:tabs>
                      <w:tab w:pos="680" w:val="left" w:leader="none"/>
                      <w:tab w:pos="681" w:val="left" w:leader="none"/>
                    </w:tabs>
                    <w:spacing w:line="242" w:lineRule="exact" w:before="0" w:after="0"/>
                    <w:ind w:left="680" w:right="0" w:hanging="681"/>
                    <w:jc w:val="left"/>
                  </w:pPr>
                  <w:r>
                    <w:rPr>
                      <w:w w:val="120"/>
                    </w:rPr>
                    <w:t>There shall be the same number of representatives from each</w:t>
                  </w:r>
                  <w:r>
                    <w:rPr>
                      <w:spacing w:val="13"/>
                      <w:w w:val="120"/>
                    </w:rPr>
                    <w:t> </w:t>
                  </w:r>
                  <w:r>
                    <w:rPr>
                      <w:w w:val="120"/>
                    </w:rPr>
                    <w:t>synod</w:t>
                  </w:r>
                </w:p>
                <w:p>
                  <w:pPr>
                    <w:pStyle w:val="BodyText"/>
                    <w:numPr>
                      <w:ilvl w:val="0"/>
                      <w:numId w:val="130"/>
                    </w:numPr>
                    <w:tabs>
                      <w:tab w:pos="680" w:val="left" w:leader="none"/>
                      <w:tab w:pos="681" w:val="left" w:leader="none"/>
                    </w:tabs>
                    <w:spacing w:line="235" w:lineRule="auto" w:before="1" w:after="0"/>
                    <w:ind w:left="680" w:right="18" w:hanging="681"/>
                    <w:jc w:val="left"/>
                  </w:pPr>
                  <w:r>
                    <w:rPr>
                      <w:w w:val="120"/>
                    </w:rPr>
                    <w:t>There shall be no additional representation from the Synod of Scotland (thereby rescinding a previous Assembly decision to grant six additional representatives to the Synod of</w:t>
                  </w:r>
                  <w:r>
                    <w:rPr>
                      <w:spacing w:val="8"/>
                      <w:w w:val="120"/>
                    </w:rPr>
                    <w:t> </w:t>
                  </w:r>
                  <w:r>
                    <w:rPr>
                      <w:w w:val="120"/>
                    </w:rPr>
                    <w:t>Scotland)</w:t>
                  </w:r>
                </w:p>
                <w:p>
                  <w:pPr>
                    <w:pStyle w:val="BodyText"/>
                    <w:numPr>
                      <w:ilvl w:val="0"/>
                      <w:numId w:val="130"/>
                    </w:numPr>
                    <w:tabs>
                      <w:tab w:pos="680" w:val="left" w:leader="none"/>
                      <w:tab w:pos="681" w:val="left" w:leader="none"/>
                    </w:tabs>
                    <w:spacing w:line="235" w:lineRule="auto" w:before="3" w:after="0"/>
                    <w:ind w:left="0" w:right="96" w:hanging="1"/>
                    <w:jc w:val="left"/>
                  </w:pPr>
                  <w:r>
                    <w:rPr>
                      <w:w w:val="120"/>
                    </w:rPr>
                    <w:t>Synod Moderators shall be included in the representation from the synods Details of how this would change the Structure of the United Reformed Church are set out in the body of the</w:t>
                  </w:r>
                  <w:r>
                    <w:rPr>
                      <w:spacing w:val="13"/>
                      <w:w w:val="120"/>
                    </w:rPr>
                    <w:t> </w:t>
                  </w:r>
                  <w:r>
                    <w:rPr>
                      <w:w w:val="120"/>
                    </w:rPr>
                    <w:t>report.</w:t>
                  </w:r>
                </w:p>
              </w:txbxContent>
            </v:textbox>
          </v:shape>
        </w:pict>
      </w:r>
      <w:r>
        <w:rPr/>
      </w:r>
    </w:p>
    <w:p>
      <w:pPr>
        <w:pStyle w:val="BodyText"/>
      </w:pPr>
    </w:p>
    <w:p>
      <w:pPr>
        <w:pStyle w:val="BodyText"/>
        <w:spacing w:before="9"/>
        <w:rPr>
          <w:sz w:val="16"/>
        </w:rPr>
      </w:pPr>
      <w:r>
        <w:rPr/>
        <w:pict>
          <v:shape style="position:absolute;margin-left:99.212601pt;margin-top:11.440069pt;width:249pt;height:43.3pt;mso-position-horizontal-relative:page;mso-position-vertical-relative:paragraph;z-index:-251155456;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8</w:t>
                  </w:r>
                </w:p>
                <w:p>
                  <w:pPr>
                    <w:spacing w:line="248" w:lineRule="exact" w:before="0"/>
                    <w:ind w:left="0" w:right="0" w:firstLine="0"/>
                    <w:jc w:val="left"/>
                    <w:rPr>
                      <w:rFonts w:ascii="Stone Sans II ITC Std Bk"/>
                      <w:b/>
                      <w:sz w:val="20"/>
                    </w:rPr>
                  </w:pPr>
                  <w:r>
                    <w:rPr>
                      <w:rFonts w:ascii="Stone Sans II ITC Std Bk"/>
                      <w:b/>
                      <w:w w:val="110"/>
                      <w:sz w:val="20"/>
                    </w:rPr>
                    <w:t>Task group on the future of General Assembly:</w:t>
                  </w:r>
                </w:p>
              </w:txbxContent>
            </v:textbox>
            <w10:wrap type="topAndBottom"/>
          </v:shape>
        </w:pict>
      </w:r>
      <w:r>
        <w:rPr/>
        <w:pict>
          <v:shape style="position:absolute;margin-left:495.223602pt;margin-top:42.714668pt;width:30.8pt;height:12pt;mso-position-horizontal-relative:page;mso-position-vertical-relative:paragraph;z-index:-251154432;mso-wrap-distance-left:0;mso-wrap-distance-right:0" type="#_x0000_t202" filled="false" stroked="false">
            <v:textbox inset="0,0,0,0">
              <w:txbxContent>
                <w:p>
                  <w:pPr>
                    <w:pStyle w:val="BodyText"/>
                    <w:spacing w:line="240" w:lineRule="exact"/>
                  </w:pPr>
                  <w:r>
                    <w:rPr>
                      <w:spacing w:val="-7"/>
                      <w:w w:val="130"/>
                    </w:rPr>
                    <w:t>(p.52)</w:t>
                  </w:r>
                </w:p>
              </w:txbxContent>
            </v:textbox>
            <w10:wrap type="topAndBottom"/>
          </v:shape>
        </w:pict>
      </w:r>
    </w:p>
    <w:p>
      <w:pPr>
        <w:pStyle w:val="BodyText"/>
        <w:ind w:left="1564"/>
      </w:pPr>
      <w:r>
        <w:rPr/>
        <w:pict>
          <v:shape style="width:429.1pt;height:36.050pt;mso-position-horizontal-relative:char;mso-position-vertical-relative:line" type="#_x0000_t202" filled="false" stroked="false">
            <w10:anchorlock/>
            <v:textbox inset="0,0,0,0">
              <w:txbxContent>
                <w:p>
                  <w:pPr>
                    <w:pStyle w:val="BodyText"/>
                    <w:spacing w:line="235" w:lineRule="auto" w:before="3"/>
                    <w:ind w:right="23"/>
                  </w:pPr>
                  <w:r>
                    <w:rPr>
                      <w:w w:val="120"/>
                    </w:rPr>
                    <w:t>General Assembly resolves to cease the current pattern of rotation of venue, previously informally agreed, and to meet regularly in the centre of the </w:t>
                  </w:r>
                  <w:r>
                    <w:rPr>
                      <w:spacing w:val="2"/>
                      <w:w w:val="120"/>
                    </w:rPr>
                    <w:t>UK, </w:t>
                  </w:r>
                  <w:r>
                    <w:rPr>
                      <w:w w:val="120"/>
                    </w:rPr>
                    <w:t>as outlined in pages  </w:t>
                  </w:r>
                  <w:r>
                    <w:rPr>
                      <w:spacing w:val="-6"/>
                      <w:w w:val="120"/>
                    </w:rPr>
                    <w:t>61 </w:t>
                  </w:r>
                  <w:r>
                    <w:rPr>
                      <w:w w:val="120"/>
                    </w:rPr>
                    <w:t>to 62 of the </w:t>
                  </w:r>
                  <w:r>
                    <w:rPr>
                      <w:i/>
                      <w:w w:val="120"/>
                    </w:rPr>
                    <w:t>Book of Reports </w:t>
                  </w:r>
                  <w:r>
                    <w:rPr>
                      <w:spacing w:val="-5"/>
                      <w:w w:val="120"/>
                    </w:rPr>
                    <w:t>2018, </w:t>
                  </w:r>
                  <w:r>
                    <w:rPr>
                      <w:w w:val="120"/>
                    </w:rPr>
                    <w:t>with immediate</w:t>
                  </w:r>
                  <w:r>
                    <w:rPr>
                      <w:spacing w:val="4"/>
                      <w:w w:val="120"/>
                    </w:rPr>
                    <w:t> </w:t>
                  </w:r>
                  <w:r>
                    <w:rPr>
                      <w:w w:val="120"/>
                    </w:rPr>
                    <w:t>effect.</w:t>
                  </w:r>
                </w:p>
              </w:txbxContent>
            </v:textbox>
          </v:shape>
        </w:pict>
      </w:r>
      <w:r>
        <w:rPr/>
      </w:r>
    </w:p>
    <w:p>
      <w:pPr>
        <w:pStyle w:val="BodyText"/>
      </w:pPr>
    </w:p>
    <w:p>
      <w:pPr>
        <w:pStyle w:val="BodyText"/>
        <w:spacing w:before="8"/>
        <w:rPr>
          <w:sz w:val="16"/>
        </w:rPr>
      </w:pPr>
      <w:r>
        <w:rPr/>
        <w:pict>
          <v:shape style="position:absolute;margin-left:99.212601pt;margin-top:11.388869pt;width:249pt;height:43.3pt;mso-position-horizontal-relative:page;mso-position-vertical-relative:paragraph;z-index:-251152384;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9</w:t>
                  </w:r>
                </w:p>
                <w:p>
                  <w:pPr>
                    <w:spacing w:line="248" w:lineRule="exact" w:before="0"/>
                    <w:ind w:left="0" w:right="0" w:firstLine="0"/>
                    <w:jc w:val="left"/>
                    <w:rPr>
                      <w:rFonts w:ascii="Stone Sans II ITC Std Bk"/>
                      <w:b/>
                      <w:sz w:val="20"/>
                    </w:rPr>
                  </w:pPr>
                  <w:r>
                    <w:rPr>
                      <w:rFonts w:ascii="Stone Sans II ITC Std Bk"/>
                      <w:b/>
                      <w:w w:val="110"/>
                      <w:sz w:val="20"/>
                    </w:rPr>
                    <w:t>Task group on the future of General Assembly:</w:t>
                  </w:r>
                </w:p>
              </w:txbxContent>
            </v:textbox>
            <w10:wrap type="topAndBottom"/>
          </v:shape>
        </w:pict>
      </w:r>
      <w:r>
        <w:rPr/>
        <w:pict>
          <v:shape style="position:absolute;margin-left:495.223602pt;margin-top:42.663467pt;width:30.8pt;height:12pt;mso-position-horizontal-relative:page;mso-position-vertical-relative:paragraph;z-index:-251151360;mso-wrap-distance-left:0;mso-wrap-distance-right:0" type="#_x0000_t202" filled="false" stroked="false">
            <v:textbox inset="0,0,0,0">
              <w:txbxContent>
                <w:p>
                  <w:pPr>
                    <w:pStyle w:val="BodyText"/>
                    <w:spacing w:line="240" w:lineRule="exact"/>
                  </w:pPr>
                  <w:r>
                    <w:rPr>
                      <w:spacing w:val="-7"/>
                      <w:w w:val="130"/>
                    </w:rPr>
                    <w:t>(p.52)</w:t>
                  </w:r>
                </w:p>
              </w:txbxContent>
            </v:textbox>
            <w10:wrap type="topAndBottom"/>
          </v:shape>
        </w:pict>
      </w:r>
    </w:p>
    <w:p>
      <w:pPr>
        <w:pStyle w:val="BodyText"/>
        <w:spacing w:line="239" w:lineRule="exact"/>
        <w:ind w:left="1564"/>
      </w:pPr>
      <w:r>
        <w:rPr>
          <w:position w:val="-4"/>
        </w:rPr>
        <w:pict>
          <v:shape style="width:424.2pt;height:12pt;mso-position-horizontal-relative:char;mso-position-vertical-relative:line" type="#_x0000_t202" filled="false" stroked="false">
            <w10:anchorlock/>
            <v:textbox inset="0,0,0,0">
              <w:txbxContent>
                <w:p>
                  <w:pPr>
                    <w:pStyle w:val="BodyText"/>
                    <w:spacing w:line="240" w:lineRule="exact"/>
                  </w:pPr>
                  <w:r>
                    <w:rPr>
                      <w:w w:val="120"/>
                    </w:rPr>
                    <w:t>General Assembly wishes its future pattern of meetings to be that set out in Option</w:t>
                  </w:r>
                  <w:r>
                    <w:rPr>
                      <w:spacing w:val="51"/>
                      <w:w w:val="120"/>
                    </w:rPr>
                    <w:t> </w:t>
                  </w:r>
                  <w:r>
                    <w:rPr>
                      <w:spacing w:val="-4"/>
                      <w:w w:val="120"/>
                    </w:rPr>
                    <w:t>D.</w:t>
                  </w:r>
                </w:p>
              </w:txbxContent>
            </v:textbox>
          </v:shape>
        </w:pict>
      </w:r>
      <w:r>
        <w:rPr>
          <w:position w:val="-4"/>
        </w:rPr>
      </w:r>
    </w:p>
    <w:p>
      <w:pPr>
        <w:pStyle w:val="BodyText"/>
      </w:pPr>
    </w:p>
    <w:p>
      <w:pPr>
        <w:pStyle w:val="BodyText"/>
        <w:spacing w:before="10"/>
        <w:rPr>
          <w:sz w:val="16"/>
        </w:rPr>
      </w:pPr>
      <w:r>
        <w:rPr/>
        <w:pict>
          <v:shape style="position:absolute;margin-left:99.212601pt;margin-top:11.48887pt;width:249pt;height:43.3pt;mso-position-horizontal-relative:page;mso-position-vertical-relative:paragraph;z-index:-251149312;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10</w:t>
                  </w:r>
                </w:p>
                <w:p>
                  <w:pPr>
                    <w:spacing w:line="248" w:lineRule="exact" w:before="0"/>
                    <w:ind w:left="0" w:right="0" w:firstLine="0"/>
                    <w:jc w:val="left"/>
                    <w:rPr>
                      <w:rFonts w:ascii="Stone Sans II ITC Std Bk"/>
                      <w:b/>
                      <w:sz w:val="20"/>
                    </w:rPr>
                  </w:pPr>
                  <w:r>
                    <w:rPr>
                      <w:rFonts w:ascii="Stone Sans II ITC Std Bk"/>
                      <w:b/>
                      <w:w w:val="110"/>
                      <w:sz w:val="20"/>
                    </w:rPr>
                    <w:t>Task group on the future of General Assembly:</w:t>
                  </w:r>
                </w:p>
              </w:txbxContent>
            </v:textbox>
            <w10:wrap type="topAndBottom"/>
          </v:shape>
        </w:pict>
      </w:r>
      <w:r>
        <w:rPr/>
        <w:pict>
          <v:shape style="position:absolute;margin-left:495.223602pt;margin-top:42.76347pt;width:30.8pt;height:12pt;mso-position-horizontal-relative:page;mso-position-vertical-relative:paragraph;z-index:-251148288;mso-wrap-distance-left:0;mso-wrap-distance-right:0" type="#_x0000_t202" filled="false" stroked="false">
            <v:textbox inset="0,0,0,0">
              <w:txbxContent>
                <w:p>
                  <w:pPr>
                    <w:pStyle w:val="BodyText"/>
                    <w:spacing w:line="240" w:lineRule="exact"/>
                  </w:pPr>
                  <w:r>
                    <w:rPr>
                      <w:spacing w:val="-7"/>
                      <w:w w:val="130"/>
                    </w:rPr>
                    <w:t>(p.52)</w:t>
                  </w:r>
                </w:p>
              </w:txbxContent>
            </v:textbox>
            <w10:wrap type="topAndBottom"/>
          </v:shape>
        </w:pict>
      </w:r>
    </w:p>
    <w:p>
      <w:pPr>
        <w:pStyle w:val="BodyText"/>
        <w:ind w:left="1564"/>
      </w:pPr>
      <w:r>
        <w:rPr/>
        <w:pict>
          <v:shape style="width:412.9pt;height:48pt;mso-position-horizontal-relative:char;mso-position-vertical-relative:line" type="#_x0000_t202" filled="false" stroked="false">
            <w10:anchorlock/>
            <v:textbox inset="0,0,0,0">
              <w:txbxContent>
                <w:p>
                  <w:pPr>
                    <w:pStyle w:val="BodyText"/>
                    <w:spacing w:line="235" w:lineRule="auto" w:before="3"/>
                  </w:pPr>
                  <w:r>
                    <w:rPr>
                      <w:w w:val="120"/>
                    </w:rPr>
                    <w:t>The number of synod representatives shall be 208, who shall be divided among the synods equally. Within each synod, at least one third of its representatives shall be either Ministers of Word and Sacraments or Church Related Community Workers, and at least one third shall be lay.</w:t>
                  </w:r>
                </w:p>
              </w:txbxContent>
            </v:textbox>
          </v:shape>
        </w:pict>
      </w:r>
      <w:r>
        <w:rPr/>
      </w:r>
    </w:p>
    <w:p>
      <w:pPr>
        <w:pStyle w:val="BodyText"/>
      </w:pPr>
    </w:p>
    <w:p>
      <w:pPr>
        <w:pStyle w:val="BodyText"/>
        <w:spacing w:before="9"/>
        <w:rPr>
          <w:sz w:val="16"/>
        </w:rPr>
      </w:pPr>
      <w:r>
        <w:rPr/>
        <w:pict>
          <v:shape style="position:absolute;margin-left:99.212601pt;margin-top:11.438869pt;width:249pt;height:43.3pt;mso-position-horizontal-relative:page;mso-position-vertical-relative:paragraph;z-index:-251146240;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spacing w:val="-5"/>
                      <w:w w:val="120"/>
                      <w:sz w:val="39"/>
                    </w:rPr>
                    <w:t>Resolution </w:t>
                  </w:r>
                  <w:r>
                    <w:rPr>
                      <w:rFonts w:ascii="Stone Sans II ITC Std Bk"/>
                      <w:b/>
                      <w:color w:val="7B4290"/>
                      <w:spacing w:val="-61"/>
                      <w:w w:val="120"/>
                      <w:sz w:val="47"/>
                    </w:rPr>
                    <w:t>11</w:t>
                  </w:r>
                </w:p>
                <w:p>
                  <w:pPr>
                    <w:spacing w:line="248" w:lineRule="exact" w:before="0"/>
                    <w:ind w:left="0" w:right="0" w:firstLine="0"/>
                    <w:jc w:val="left"/>
                    <w:rPr>
                      <w:rFonts w:ascii="Stone Sans II ITC Std Bk"/>
                      <w:b/>
                      <w:sz w:val="20"/>
                    </w:rPr>
                  </w:pPr>
                  <w:r>
                    <w:rPr>
                      <w:rFonts w:ascii="Stone Sans II ITC Std Bk"/>
                      <w:b/>
                      <w:w w:val="110"/>
                      <w:sz w:val="20"/>
                    </w:rPr>
                    <w:t>Task group on the future of General Assembly:</w:t>
                  </w:r>
                </w:p>
              </w:txbxContent>
            </v:textbox>
            <w10:wrap type="topAndBottom"/>
          </v:shape>
        </w:pict>
      </w:r>
      <w:r>
        <w:rPr/>
        <w:pict>
          <v:shape style="position:absolute;margin-left:495.222504pt;margin-top:42.71347pt;width:30.8pt;height:12pt;mso-position-horizontal-relative:page;mso-position-vertical-relative:paragraph;z-index:-251145216;mso-wrap-distance-left:0;mso-wrap-distance-right:0" type="#_x0000_t202" filled="false" stroked="false">
            <v:textbox inset="0,0,0,0">
              <w:txbxContent>
                <w:p>
                  <w:pPr>
                    <w:pStyle w:val="BodyText"/>
                    <w:spacing w:line="240" w:lineRule="exact"/>
                  </w:pPr>
                  <w:r>
                    <w:rPr>
                      <w:spacing w:val="-7"/>
                      <w:w w:val="130"/>
                    </w:rPr>
                    <w:t>(p.52)</w:t>
                  </w:r>
                </w:p>
              </w:txbxContent>
            </v:textbox>
            <w10:wrap type="topAndBottom"/>
          </v:shape>
        </w:pict>
      </w:r>
    </w:p>
    <w:p>
      <w:pPr>
        <w:pStyle w:val="BodyText"/>
        <w:ind w:left="1564"/>
      </w:pPr>
      <w:r>
        <w:rPr/>
        <w:pict>
          <v:shape style="width:411.6pt;height:48pt;mso-position-horizontal-relative:char;mso-position-vertical-relative:line" type="#_x0000_t202" filled="false" stroked="false">
            <w10:anchorlock/>
            <v:textbox inset="0,0,0,0">
              <w:txbxContent>
                <w:p>
                  <w:pPr>
                    <w:pStyle w:val="BodyText"/>
                    <w:spacing w:line="235" w:lineRule="auto" w:before="3"/>
                    <w:ind w:right="18"/>
                    <w:jc w:val="both"/>
                  </w:pPr>
                  <w:r>
                    <w:rPr>
                      <w:w w:val="120"/>
                    </w:rPr>
                    <w:t>The number of representatives of churches outside Britain and Ireland shall be five, with a further place for a representative of the Council for World Mission, and there shall be five representatives from partner churches within Britain</w:t>
                  </w:r>
                </w:p>
                <w:p>
                  <w:pPr>
                    <w:pStyle w:val="BodyText"/>
                    <w:spacing w:line="239" w:lineRule="exact"/>
                    <w:jc w:val="both"/>
                  </w:pPr>
                  <w:r>
                    <w:rPr>
                      <w:w w:val="120"/>
                    </w:rPr>
                    <w:t>and Ireland.</w:t>
                  </w:r>
                </w:p>
              </w:txbxContent>
            </v:textbox>
          </v:shape>
        </w:pict>
      </w:r>
      <w:r>
        <w:rPr/>
      </w:r>
    </w:p>
    <w:p>
      <w:pPr>
        <w:spacing w:after="0"/>
        <w:sectPr>
          <w:headerReference w:type="default" r:id="rId512"/>
          <w:pgSz w:w="11910" w:h="16840"/>
          <w:pgMar w:header="0" w:footer="647" w:top="520" w:bottom="840" w:left="420" w:right="380"/>
        </w:sectPr>
      </w:pPr>
    </w:p>
    <w:p>
      <w:pPr>
        <w:pStyle w:val="BodyText"/>
      </w:pPr>
      <w:r>
        <w:rPr/>
        <w:drawing>
          <wp:anchor distT="0" distB="0" distL="0" distR="0" allowOverlap="1" layoutInCell="1" locked="0" behindDoc="1" simplePos="0" relativeHeight="236218368">
            <wp:simplePos x="0" y="0"/>
            <wp:positionH relativeFrom="page">
              <wp:posOffset>0</wp:posOffset>
            </wp:positionH>
            <wp:positionV relativeFrom="page">
              <wp:posOffset>0</wp:posOffset>
            </wp:positionV>
            <wp:extent cx="594067" cy="10692003"/>
            <wp:effectExtent l="0" t="0" r="0" b="0"/>
            <wp:wrapNone/>
            <wp:docPr id="365" name="image84.png"/>
            <wp:cNvGraphicFramePr>
              <a:graphicFrameLocks noChangeAspect="1"/>
            </wp:cNvGraphicFramePr>
            <a:graphic>
              <a:graphicData uri="http://schemas.openxmlformats.org/drawingml/2006/picture">
                <pic:pic>
                  <pic:nvPicPr>
                    <pic:cNvPr id="366" name="image84.png"/>
                    <pic:cNvPicPr/>
                  </pic:nvPicPr>
                  <pic:blipFill>
                    <a:blip r:embed="rId511"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pict>
          <v:shape style="position:absolute;margin-left:20.519100pt;margin-top:22.693945pt;width:26pt;height:187pt;mso-position-horizontal-relative:page;mso-position-vertical-relative:paragraph;z-index:252186624" type="#_x0000_t202" filled="false" stroked="false">
            <v:textbox inset="0,0,0,0" style="layout-flow:vertical">
              <w:txbxContent>
                <w:p>
                  <w:pPr>
                    <w:spacing w:before="29"/>
                    <w:ind w:left="20" w:right="0" w:firstLine="0"/>
                    <w:jc w:val="left"/>
                    <w:rPr>
                      <w:sz w:val="39"/>
                    </w:rPr>
                  </w:pPr>
                  <w:r>
                    <w:rPr>
                      <w:color w:val="FFFFFF"/>
                      <w:w w:val="125"/>
                      <w:sz w:val="39"/>
                    </w:rPr>
                    <w:t>Resolutions 12-18</w:t>
                  </w:r>
                </w:p>
              </w:txbxContent>
            </v:textbox>
            <w10:wrap type="none"/>
          </v:shape>
        </w:pict>
      </w:r>
      <w:r>
        <w:rPr>
          <w:color w:val="7EAABF"/>
          <w:w w:val="115"/>
          <w:sz w:val="26"/>
        </w:rPr>
        <w:t>Resolutions</w:t>
      </w:r>
    </w:p>
    <w:p>
      <w:pPr>
        <w:pStyle w:val="BodyText"/>
        <w:spacing w:before="8"/>
        <w:rPr>
          <w:sz w:val="9"/>
        </w:rPr>
      </w:pPr>
      <w:r>
        <w:rPr/>
        <w:pict>
          <v:group style="position:absolute;margin-left:55.709pt;margin-top:7.847445pt;width:466.85pt;height:79.150pt;mso-position-horizontal-relative:page;mso-position-vertical-relative:paragraph;z-index:-251138048;mso-wrap-distance-left:0;mso-wrap-distance-right:0" coordorigin="1114,157" coordsize="9337,1583">
            <v:rect style="position:absolute;left:1124;top:166;width:9317;height:1563" filled="false" stroked="true" strokeweight="1pt" strokecolor="#000000">
              <v:stroke dashstyle="solid"/>
            </v:rect>
            <v:shape style="position:absolute;left:1374;top:1134;width:7949;height:480" type="#_x0000_t202" filled="false" stroked="false">
              <v:textbox inset="0,0,0,0">
                <w:txbxContent>
                  <w:p>
                    <w:pPr>
                      <w:spacing w:line="235" w:lineRule="auto" w:before="3"/>
                      <w:ind w:left="0" w:right="0" w:firstLine="0"/>
                      <w:jc w:val="left"/>
                      <w:rPr>
                        <w:sz w:val="20"/>
                      </w:rPr>
                    </w:pPr>
                    <w:r>
                      <w:rPr>
                        <w:w w:val="120"/>
                        <w:sz w:val="20"/>
                      </w:rPr>
                      <w:t>The number of representatives of URC Youth, in addition to the twenty-six youth places available for appointment by synods, shall be two.</w:t>
                    </w:r>
                  </w:p>
                </w:txbxContent>
              </v:textbox>
              <w10:wrap type="none"/>
            </v:shape>
            <v:shape style="position:absolute;left:9295;top:895;width:616;height:240" type="#_x0000_t202" filled="false" stroked="false">
              <v:textbox inset="0,0,0,0">
                <w:txbxContent>
                  <w:p>
                    <w:pPr>
                      <w:spacing w:line="240" w:lineRule="exact" w:before="0"/>
                      <w:ind w:left="0" w:right="0" w:firstLine="0"/>
                      <w:jc w:val="left"/>
                      <w:rPr>
                        <w:sz w:val="20"/>
                      </w:rPr>
                    </w:pPr>
                    <w:r>
                      <w:rPr>
                        <w:spacing w:val="-7"/>
                        <w:w w:val="130"/>
                        <w:sz w:val="20"/>
                      </w:rPr>
                      <w:t>(p.52)</w:t>
                    </w:r>
                  </w:p>
                </w:txbxContent>
              </v:textbox>
              <w10:wrap type="none"/>
            </v:shape>
            <v:shape style="position:absolute;left:1374;top:269;width:4980;height:866" type="#_x0000_t202" filled="false" stroked="false">
              <v:textbox inset="0,0,0,0">
                <w:txbxContent>
                  <w:p>
                    <w:pPr>
                      <w:spacing w:line="617" w:lineRule="exact" w:before="0"/>
                      <w:ind w:left="0" w:right="0" w:firstLine="0"/>
                      <w:jc w:val="left"/>
                      <w:rPr>
                        <w:rFonts w:ascii="Stone Sans II ITC Std Bk"/>
                        <w:b/>
                        <w:sz w:val="47"/>
                      </w:rPr>
                    </w:pPr>
                    <w:r>
                      <w:rPr>
                        <w:color w:val="7B4290"/>
                        <w:spacing w:val="-5"/>
                        <w:w w:val="120"/>
                        <w:sz w:val="39"/>
                      </w:rPr>
                      <w:t>Resolution </w:t>
                    </w:r>
                    <w:r>
                      <w:rPr>
                        <w:rFonts w:ascii="Stone Sans II ITC Std Bk"/>
                        <w:b/>
                        <w:color w:val="7B4290"/>
                        <w:spacing w:val="-48"/>
                        <w:w w:val="120"/>
                        <w:sz w:val="47"/>
                      </w:rPr>
                      <w:t>12</w:t>
                    </w:r>
                  </w:p>
                  <w:p>
                    <w:pPr>
                      <w:spacing w:line="248" w:lineRule="exact" w:before="0"/>
                      <w:ind w:left="0" w:right="0" w:firstLine="0"/>
                      <w:jc w:val="left"/>
                      <w:rPr>
                        <w:rFonts w:ascii="Stone Sans II ITC Std Bk"/>
                        <w:b/>
                        <w:sz w:val="20"/>
                      </w:rPr>
                    </w:pPr>
                    <w:r>
                      <w:rPr>
                        <w:rFonts w:ascii="Stone Sans II ITC Std Bk"/>
                        <w:b/>
                        <w:w w:val="110"/>
                        <w:sz w:val="20"/>
                      </w:rPr>
                      <w:t>Task group on the future of General Assembly:</w:t>
                    </w:r>
                  </w:p>
                </w:txbxContent>
              </v:textbox>
              <w10:wrap type="none"/>
            </v:shape>
            <w10:wrap type="topAndBottom"/>
          </v:group>
        </w:pict>
      </w:r>
      <w:r>
        <w:rPr/>
        <w:pict>
          <v:shape style="position:absolute;margin-left:56.209pt;margin-top:99.160446pt;width:465.85pt;height:78.150pt;mso-position-horizontal-relative:page;mso-position-vertical-relative:paragraph;z-index:-251137024;mso-wrap-distance-left:0;mso-wrap-distance-right:0" type="#_x0000_t202" filled="false" stroked="true" strokeweight="1pt" strokecolor="#000000">
            <v:textbox inset="0,0,0,0">
              <w:txbxContent>
                <w:p>
                  <w:pPr>
                    <w:spacing w:line="631" w:lineRule="exact" w:before="95"/>
                    <w:ind w:left="240" w:right="0" w:firstLine="0"/>
                    <w:jc w:val="left"/>
                    <w:rPr>
                      <w:rFonts w:ascii="Stone Sans II ITC Std Bk"/>
                      <w:b/>
                      <w:sz w:val="47"/>
                    </w:rPr>
                  </w:pPr>
                  <w:r>
                    <w:rPr>
                      <w:color w:val="7B4290"/>
                      <w:spacing w:val="-5"/>
                      <w:w w:val="120"/>
                      <w:sz w:val="39"/>
                    </w:rPr>
                    <w:t>Resolution </w:t>
                  </w:r>
                  <w:r>
                    <w:rPr>
                      <w:rFonts w:ascii="Stone Sans II ITC Std Bk"/>
                      <w:b/>
                      <w:color w:val="7B4290"/>
                      <w:spacing w:val="-51"/>
                      <w:w w:val="120"/>
                      <w:sz w:val="47"/>
                    </w:rPr>
                    <w:t>13</w:t>
                  </w:r>
                </w:p>
                <w:p>
                  <w:pPr>
                    <w:tabs>
                      <w:tab w:pos="8160" w:val="left" w:leader="none"/>
                    </w:tabs>
                    <w:spacing w:line="223" w:lineRule="auto" w:before="10"/>
                    <w:ind w:left="240" w:right="538" w:firstLine="0"/>
                    <w:jc w:val="left"/>
                    <w:rPr>
                      <w:sz w:val="20"/>
                    </w:rPr>
                  </w:pPr>
                  <w:r>
                    <w:rPr>
                      <w:rFonts w:ascii="Stone Sans II ITC Std Bk"/>
                      <w:b/>
                      <w:spacing w:val="-4"/>
                      <w:w w:val="115"/>
                      <w:sz w:val="20"/>
                    </w:rPr>
                    <w:t>Task</w:t>
                  </w:r>
                  <w:r>
                    <w:rPr>
                      <w:rFonts w:ascii="Stone Sans II ITC Std Bk"/>
                      <w:b/>
                      <w:spacing w:val="-23"/>
                      <w:w w:val="115"/>
                      <w:sz w:val="20"/>
                    </w:rPr>
                    <w:t> </w:t>
                  </w:r>
                  <w:r>
                    <w:rPr>
                      <w:rFonts w:ascii="Stone Sans II ITC Std Bk"/>
                      <w:b/>
                      <w:w w:val="115"/>
                      <w:sz w:val="20"/>
                    </w:rPr>
                    <w:t>group</w:t>
                  </w:r>
                  <w:r>
                    <w:rPr>
                      <w:rFonts w:ascii="Stone Sans II ITC Std Bk"/>
                      <w:b/>
                      <w:spacing w:val="-23"/>
                      <w:w w:val="115"/>
                      <w:sz w:val="20"/>
                    </w:rPr>
                    <w:t> </w:t>
                  </w:r>
                  <w:r>
                    <w:rPr>
                      <w:rFonts w:ascii="Stone Sans II ITC Std Bk"/>
                      <w:b/>
                      <w:w w:val="115"/>
                      <w:sz w:val="20"/>
                    </w:rPr>
                    <w:t>on</w:t>
                  </w:r>
                  <w:r>
                    <w:rPr>
                      <w:rFonts w:ascii="Stone Sans II ITC Std Bk"/>
                      <w:b/>
                      <w:spacing w:val="-23"/>
                      <w:w w:val="115"/>
                      <w:sz w:val="20"/>
                    </w:rPr>
                    <w:t> </w:t>
                  </w:r>
                  <w:r>
                    <w:rPr>
                      <w:rFonts w:ascii="Stone Sans II ITC Std Bk"/>
                      <w:b/>
                      <w:w w:val="115"/>
                      <w:sz w:val="20"/>
                    </w:rPr>
                    <w:t>the</w:t>
                  </w:r>
                  <w:r>
                    <w:rPr>
                      <w:rFonts w:ascii="Stone Sans II ITC Std Bk"/>
                      <w:b/>
                      <w:spacing w:val="-23"/>
                      <w:w w:val="115"/>
                      <w:sz w:val="20"/>
                    </w:rPr>
                    <w:t> </w:t>
                  </w:r>
                  <w:r>
                    <w:rPr>
                      <w:rFonts w:ascii="Stone Sans II ITC Std Bk"/>
                      <w:b/>
                      <w:w w:val="115"/>
                      <w:sz w:val="20"/>
                    </w:rPr>
                    <w:t>future</w:t>
                  </w:r>
                  <w:r>
                    <w:rPr>
                      <w:rFonts w:ascii="Stone Sans II ITC Std Bk"/>
                      <w:b/>
                      <w:spacing w:val="-23"/>
                      <w:w w:val="115"/>
                      <w:sz w:val="20"/>
                    </w:rPr>
                    <w:t> </w:t>
                  </w:r>
                  <w:r>
                    <w:rPr>
                      <w:rFonts w:ascii="Stone Sans II ITC Std Bk"/>
                      <w:b/>
                      <w:w w:val="115"/>
                      <w:sz w:val="20"/>
                    </w:rPr>
                    <w:t>of</w:t>
                  </w:r>
                  <w:r>
                    <w:rPr>
                      <w:rFonts w:ascii="Stone Sans II ITC Std Bk"/>
                      <w:b/>
                      <w:spacing w:val="-23"/>
                      <w:w w:val="115"/>
                      <w:sz w:val="20"/>
                    </w:rPr>
                    <w:t> </w:t>
                  </w:r>
                  <w:r>
                    <w:rPr>
                      <w:rFonts w:ascii="Stone Sans II ITC Std Bk"/>
                      <w:b/>
                      <w:w w:val="115"/>
                      <w:sz w:val="20"/>
                    </w:rPr>
                    <w:t>General</w:t>
                  </w:r>
                  <w:r>
                    <w:rPr>
                      <w:rFonts w:ascii="Stone Sans II ITC Std Bk"/>
                      <w:b/>
                      <w:spacing w:val="-23"/>
                      <w:w w:val="115"/>
                      <w:sz w:val="20"/>
                    </w:rPr>
                    <w:t> </w:t>
                  </w:r>
                  <w:r>
                    <w:rPr>
                      <w:rFonts w:ascii="Stone Sans II ITC Std Bk"/>
                      <w:b/>
                      <w:w w:val="115"/>
                      <w:sz w:val="20"/>
                    </w:rPr>
                    <w:t>Assembly:</w:t>
                    <w:tab/>
                  </w:r>
                  <w:r>
                    <w:rPr>
                      <w:spacing w:val="-10"/>
                      <w:w w:val="115"/>
                      <w:sz w:val="20"/>
                    </w:rPr>
                    <w:t>(p.52) </w:t>
                  </w:r>
                  <w:r>
                    <w:rPr>
                      <w:w w:val="115"/>
                      <w:sz w:val="20"/>
                    </w:rPr>
                    <w:t>The</w:t>
                  </w:r>
                  <w:r>
                    <w:rPr>
                      <w:spacing w:val="14"/>
                      <w:w w:val="115"/>
                      <w:sz w:val="20"/>
                    </w:rPr>
                    <w:t> </w:t>
                  </w:r>
                  <w:r>
                    <w:rPr>
                      <w:w w:val="115"/>
                      <w:sz w:val="20"/>
                    </w:rPr>
                    <w:t>number</w:t>
                  </w:r>
                  <w:r>
                    <w:rPr>
                      <w:spacing w:val="14"/>
                      <w:w w:val="115"/>
                      <w:sz w:val="20"/>
                    </w:rPr>
                    <w:t> </w:t>
                  </w:r>
                  <w:r>
                    <w:rPr>
                      <w:w w:val="115"/>
                      <w:sz w:val="20"/>
                    </w:rPr>
                    <w:t>of</w:t>
                  </w:r>
                  <w:r>
                    <w:rPr>
                      <w:spacing w:val="14"/>
                      <w:w w:val="115"/>
                      <w:sz w:val="20"/>
                    </w:rPr>
                    <w:t> </w:t>
                  </w:r>
                  <w:r>
                    <w:rPr>
                      <w:spacing w:val="-3"/>
                      <w:w w:val="115"/>
                      <w:sz w:val="20"/>
                    </w:rPr>
                    <w:t>EM1</w:t>
                  </w:r>
                  <w:r>
                    <w:rPr>
                      <w:spacing w:val="14"/>
                      <w:w w:val="115"/>
                      <w:sz w:val="20"/>
                    </w:rPr>
                    <w:t> </w:t>
                  </w:r>
                  <w:r>
                    <w:rPr>
                      <w:w w:val="115"/>
                      <w:sz w:val="20"/>
                    </w:rPr>
                    <w:t>students</w:t>
                  </w:r>
                  <w:r>
                    <w:rPr>
                      <w:spacing w:val="14"/>
                      <w:w w:val="115"/>
                      <w:sz w:val="20"/>
                    </w:rPr>
                    <w:t> </w:t>
                  </w:r>
                  <w:r>
                    <w:rPr>
                      <w:w w:val="115"/>
                      <w:sz w:val="20"/>
                    </w:rPr>
                    <w:t>shall</w:t>
                  </w:r>
                  <w:r>
                    <w:rPr>
                      <w:spacing w:val="14"/>
                      <w:w w:val="115"/>
                      <w:sz w:val="20"/>
                    </w:rPr>
                    <w:t> </w:t>
                  </w:r>
                  <w:r>
                    <w:rPr>
                      <w:w w:val="115"/>
                      <w:sz w:val="20"/>
                    </w:rPr>
                    <w:t>be</w:t>
                  </w:r>
                  <w:r>
                    <w:rPr>
                      <w:spacing w:val="14"/>
                      <w:w w:val="115"/>
                      <w:sz w:val="20"/>
                    </w:rPr>
                    <w:t> </w:t>
                  </w:r>
                  <w:r>
                    <w:rPr>
                      <w:w w:val="115"/>
                      <w:sz w:val="20"/>
                    </w:rPr>
                    <w:t>one,</w:t>
                  </w:r>
                  <w:r>
                    <w:rPr>
                      <w:spacing w:val="14"/>
                      <w:w w:val="115"/>
                      <w:sz w:val="20"/>
                    </w:rPr>
                    <w:t> </w:t>
                  </w:r>
                  <w:r>
                    <w:rPr>
                      <w:w w:val="115"/>
                      <w:sz w:val="20"/>
                    </w:rPr>
                    <w:t>rather</w:t>
                  </w:r>
                  <w:r>
                    <w:rPr>
                      <w:spacing w:val="14"/>
                      <w:w w:val="115"/>
                      <w:sz w:val="20"/>
                    </w:rPr>
                    <w:t> </w:t>
                  </w:r>
                  <w:r>
                    <w:rPr>
                      <w:w w:val="115"/>
                      <w:sz w:val="20"/>
                    </w:rPr>
                    <w:t>than</w:t>
                  </w:r>
                  <w:r>
                    <w:rPr>
                      <w:spacing w:val="14"/>
                      <w:w w:val="115"/>
                      <w:sz w:val="20"/>
                    </w:rPr>
                    <w:t> </w:t>
                  </w:r>
                  <w:r>
                    <w:rPr>
                      <w:w w:val="115"/>
                      <w:sz w:val="20"/>
                    </w:rPr>
                    <w:t>one</w:t>
                  </w:r>
                  <w:r>
                    <w:rPr>
                      <w:spacing w:val="15"/>
                      <w:w w:val="115"/>
                      <w:sz w:val="20"/>
                    </w:rPr>
                    <w:t> </w:t>
                  </w:r>
                  <w:r>
                    <w:rPr>
                      <w:w w:val="115"/>
                      <w:sz w:val="20"/>
                    </w:rPr>
                    <w:t>from</w:t>
                  </w:r>
                  <w:r>
                    <w:rPr>
                      <w:spacing w:val="14"/>
                      <w:w w:val="115"/>
                      <w:sz w:val="20"/>
                    </w:rPr>
                    <w:t> </w:t>
                  </w:r>
                  <w:r>
                    <w:rPr>
                      <w:w w:val="115"/>
                      <w:sz w:val="20"/>
                    </w:rPr>
                    <w:t>each</w:t>
                  </w:r>
                  <w:r>
                    <w:rPr>
                      <w:spacing w:val="14"/>
                      <w:w w:val="115"/>
                      <w:sz w:val="20"/>
                    </w:rPr>
                    <w:t> </w:t>
                  </w:r>
                  <w:r>
                    <w:rPr>
                      <w:w w:val="115"/>
                      <w:sz w:val="20"/>
                    </w:rPr>
                    <w:t>Resource</w:t>
                  </w:r>
                </w:p>
                <w:p>
                  <w:pPr>
                    <w:pStyle w:val="BodyText"/>
                    <w:ind w:left="240"/>
                  </w:pPr>
                  <w:r>
                    <w:rPr>
                      <w:w w:val="120"/>
                    </w:rPr>
                    <w:t>Centre for Learning.</w:t>
                  </w:r>
                </w:p>
              </w:txbxContent>
            </v:textbox>
            <v:stroke dashstyle="solid"/>
            <w10:wrap type="topAndBottom"/>
          </v:shape>
        </w:pict>
      </w:r>
      <w:r>
        <w:rPr/>
        <w:pict>
          <v:shape style="position:absolute;margin-left:56.209pt;margin-top:189.980438pt;width:465.85pt;height:78.150pt;mso-position-horizontal-relative:page;mso-position-vertical-relative:paragraph;z-index:-251136000;mso-wrap-distance-left:0;mso-wrap-distance-right:0" type="#_x0000_t202" filled="false" stroked="true" strokeweight="1pt" strokecolor="#000000">
            <v:textbox inset="0,0,0,0">
              <w:txbxContent>
                <w:p>
                  <w:pPr>
                    <w:spacing w:line="631" w:lineRule="exact" w:before="112"/>
                    <w:ind w:left="240" w:right="0" w:firstLine="0"/>
                    <w:jc w:val="left"/>
                    <w:rPr>
                      <w:rFonts w:ascii="Stone Sans II ITC Std Bk"/>
                      <w:b/>
                      <w:sz w:val="47"/>
                    </w:rPr>
                  </w:pPr>
                  <w:r>
                    <w:rPr>
                      <w:color w:val="7B4290"/>
                      <w:w w:val="120"/>
                      <w:sz w:val="39"/>
                    </w:rPr>
                    <w:t>Resolution </w:t>
                  </w:r>
                  <w:r>
                    <w:rPr>
                      <w:rFonts w:ascii="Stone Sans II ITC Std Bk"/>
                      <w:b/>
                      <w:color w:val="7B4290"/>
                      <w:w w:val="120"/>
                      <w:sz w:val="47"/>
                    </w:rPr>
                    <w:t>14</w:t>
                  </w:r>
                </w:p>
                <w:p>
                  <w:pPr>
                    <w:tabs>
                      <w:tab w:pos="8160" w:val="left" w:leader="none"/>
                    </w:tabs>
                    <w:spacing w:line="257" w:lineRule="exact" w:before="0"/>
                    <w:ind w:left="240" w:right="0" w:firstLine="0"/>
                    <w:jc w:val="left"/>
                    <w:rPr>
                      <w:sz w:val="20"/>
                    </w:rPr>
                  </w:pPr>
                  <w:r>
                    <w:rPr>
                      <w:rFonts w:ascii="Stone Sans II ITC Std Bk"/>
                      <w:b/>
                      <w:spacing w:val="-4"/>
                      <w:w w:val="110"/>
                      <w:sz w:val="20"/>
                    </w:rPr>
                    <w:t>Task </w:t>
                  </w:r>
                  <w:r>
                    <w:rPr>
                      <w:rFonts w:ascii="Stone Sans II ITC Std Bk"/>
                      <w:b/>
                      <w:w w:val="110"/>
                      <w:sz w:val="20"/>
                    </w:rPr>
                    <w:t>group on the future of</w:t>
                  </w:r>
                  <w:r>
                    <w:rPr>
                      <w:rFonts w:ascii="Stone Sans II ITC Std Bk"/>
                      <w:b/>
                      <w:spacing w:val="14"/>
                      <w:w w:val="110"/>
                      <w:sz w:val="20"/>
                    </w:rPr>
                    <w:t> </w:t>
                  </w:r>
                  <w:r>
                    <w:rPr>
                      <w:rFonts w:ascii="Stone Sans II ITC Std Bk"/>
                      <w:b/>
                      <w:w w:val="110"/>
                      <w:sz w:val="20"/>
                    </w:rPr>
                    <w:t>General</w:t>
                  </w:r>
                  <w:r>
                    <w:rPr>
                      <w:rFonts w:ascii="Stone Sans II ITC Std Bk"/>
                      <w:b/>
                      <w:spacing w:val="2"/>
                      <w:w w:val="110"/>
                      <w:sz w:val="20"/>
                    </w:rPr>
                    <w:t> </w:t>
                  </w:r>
                  <w:r>
                    <w:rPr>
                      <w:rFonts w:ascii="Stone Sans II ITC Std Bk"/>
                      <w:b/>
                      <w:w w:val="110"/>
                      <w:sz w:val="20"/>
                    </w:rPr>
                    <w:t>Assembly:</w:t>
                    <w:tab/>
                  </w:r>
                  <w:r>
                    <w:rPr>
                      <w:spacing w:val="-7"/>
                      <w:w w:val="110"/>
                      <w:sz w:val="20"/>
                    </w:rPr>
                    <w:t>(p.52)</w:t>
                  </w:r>
                </w:p>
                <w:p>
                  <w:pPr>
                    <w:pStyle w:val="BodyText"/>
                    <w:spacing w:line="235" w:lineRule="auto"/>
                    <w:ind w:left="240" w:right="710"/>
                  </w:pPr>
                  <w:r>
                    <w:rPr>
                      <w:w w:val="120"/>
                    </w:rPr>
                    <w:t>The Convenor of the pastoral reference and welfare committee shall not be a member of Assembly.</w:t>
                  </w:r>
                </w:p>
              </w:txbxContent>
            </v:textbox>
            <v:stroke dashstyle="solid"/>
            <w10:wrap type="topAndBottom"/>
          </v:shape>
        </w:pict>
      </w:r>
      <w:r>
        <w:rPr/>
        <w:pict>
          <v:shape style="position:absolute;margin-left:56.209pt;margin-top:280.706451pt;width:465.85pt;height:91.6pt;mso-position-horizontal-relative:page;mso-position-vertical-relative:paragraph;z-index:-251134976;mso-wrap-distance-left:0;mso-wrap-distance-right:0" type="#_x0000_t202" filled="false" stroked="true" strokeweight="1pt" strokecolor="#000000">
            <v:textbox inset="0,0,0,0">
              <w:txbxContent>
                <w:p>
                  <w:pPr>
                    <w:spacing w:line="631" w:lineRule="exact" w:before="131"/>
                    <w:ind w:left="240" w:right="0" w:firstLine="0"/>
                    <w:jc w:val="left"/>
                    <w:rPr>
                      <w:rFonts w:ascii="Stone Sans II ITC Std Bk"/>
                      <w:b/>
                      <w:sz w:val="47"/>
                    </w:rPr>
                  </w:pPr>
                  <w:r>
                    <w:rPr>
                      <w:color w:val="7B4290"/>
                      <w:spacing w:val="-5"/>
                      <w:w w:val="120"/>
                      <w:sz w:val="39"/>
                    </w:rPr>
                    <w:t>Resolution </w:t>
                  </w:r>
                  <w:r>
                    <w:rPr>
                      <w:rFonts w:ascii="Stone Sans II ITC Std Bk"/>
                      <w:b/>
                      <w:color w:val="7B4290"/>
                      <w:spacing w:val="-46"/>
                      <w:w w:val="120"/>
                      <w:sz w:val="47"/>
                    </w:rPr>
                    <w:t>15</w:t>
                  </w:r>
                </w:p>
                <w:p>
                  <w:pPr>
                    <w:tabs>
                      <w:tab w:pos="8160" w:val="left" w:leader="none"/>
                    </w:tabs>
                    <w:spacing w:line="257" w:lineRule="exact" w:before="0"/>
                    <w:ind w:left="240" w:right="0" w:firstLine="0"/>
                    <w:jc w:val="left"/>
                    <w:rPr>
                      <w:sz w:val="20"/>
                    </w:rPr>
                  </w:pPr>
                  <w:r>
                    <w:rPr>
                      <w:rFonts w:ascii="Stone Sans II ITC Std Bk"/>
                      <w:b/>
                      <w:spacing w:val="-4"/>
                      <w:w w:val="110"/>
                      <w:sz w:val="20"/>
                    </w:rPr>
                    <w:t>Task </w:t>
                  </w:r>
                  <w:r>
                    <w:rPr>
                      <w:rFonts w:ascii="Stone Sans II ITC Std Bk"/>
                      <w:b/>
                      <w:w w:val="110"/>
                      <w:sz w:val="20"/>
                    </w:rPr>
                    <w:t>group on the future of</w:t>
                  </w:r>
                  <w:r>
                    <w:rPr>
                      <w:rFonts w:ascii="Stone Sans II ITC Std Bk"/>
                      <w:b/>
                      <w:spacing w:val="14"/>
                      <w:w w:val="110"/>
                      <w:sz w:val="20"/>
                    </w:rPr>
                    <w:t> </w:t>
                  </w:r>
                  <w:r>
                    <w:rPr>
                      <w:rFonts w:ascii="Stone Sans II ITC Std Bk"/>
                      <w:b/>
                      <w:w w:val="110"/>
                      <w:sz w:val="20"/>
                    </w:rPr>
                    <w:t>General</w:t>
                  </w:r>
                  <w:r>
                    <w:rPr>
                      <w:rFonts w:ascii="Stone Sans II ITC Std Bk"/>
                      <w:b/>
                      <w:spacing w:val="2"/>
                      <w:w w:val="110"/>
                      <w:sz w:val="20"/>
                    </w:rPr>
                    <w:t> </w:t>
                  </w:r>
                  <w:r>
                    <w:rPr>
                      <w:rFonts w:ascii="Stone Sans II ITC Std Bk"/>
                      <w:b/>
                      <w:w w:val="110"/>
                      <w:sz w:val="20"/>
                    </w:rPr>
                    <w:t>Assembly:</w:t>
                    <w:tab/>
                  </w:r>
                  <w:r>
                    <w:rPr>
                      <w:spacing w:val="-7"/>
                      <w:w w:val="110"/>
                      <w:sz w:val="20"/>
                    </w:rPr>
                    <w:t>(p.52)</w:t>
                  </w:r>
                </w:p>
                <w:p>
                  <w:pPr>
                    <w:pStyle w:val="BodyText"/>
                    <w:spacing w:line="235" w:lineRule="auto"/>
                    <w:ind w:left="240" w:right="852"/>
                  </w:pPr>
                  <w:r>
                    <w:rPr>
                      <w:w w:val="120"/>
                    </w:rPr>
                    <w:t>Those elected as Moderator of General Assembly at the 2018 General Assembly shall serve from 2020 to 2022, chairing the Assemblies of 2021 and 2022 in whatever manner they shall determine.</w:t>
                  </w:r>
                </w:p>
              </w:txbxContent>
            </v:textbox>
            <v:stroke dashstyle="solid"/>
            <w10:wrap type="topAndBottom"/>
          </v:shape>
        </w:pict>
      </w:r>
      <w:r>
        <w:rPr/>
        <w:pict>
          <v:shape style="position:absolute;margin-left:57.626999pt;margin-top:384.878448pt;width:465.85pt;height:91.6pt;mso-position-horizontal-relative:page;mso-position-vertical-relative:paragraph;z-index:-251133952;mso-wrap-distance-left:0;mso-wrap-distance-right:0" type="#_x0000_t202" filled="false" stroked="true" strokeweight="1pt" strokecolor="#000000">
            <v:textbox inset="0,0,0,0">
              <w:txbxContent>
                <w:p>
                  <w:pPr>
                    <w:spacing w:line="631" w:lineRule="exact" w:before="121"/>
                    <w:ind w:left="212" w:right="0" w:firstLine="0"/>
                    <w:jc w:val="left"/>
                    <w:rPr>
                      <w:rFonts w:ascii="Stone Sans II ITC Std Bk"/>
                      <w:b/>
                      <w:sz w:val="47"/>
                    </w:rPr>
                  </w:pPr>
                  <w:r>
                    <w:rPr>
                      <w:color w:val="7B4290"/>
                      <w:w w:val="120"/>
                      <w:sz w:val="39"/>
                    </w:rPr>
                    <w:t>Resolution </w:t>
                  </w:r>
                  <w:r>
                    <w:rPr>
                      <w:rFonts w:ascii="Stone Sans II ITC Std Bk"/>
                      <w:b/>
                      <w:color w:val="7B4290"/>
                      <w:w w:val="120"/>
                      <w:sz w:val="47"/>
                    </w:rPr>
                    <w:t>16</w:t>
                  </w:r>
                </w:p>
                <w:p>
                  <w:pPr>
                    <w:tabs>
                      <w:tab w:pos="8132" w:val="left" w:leader="none"/>
                    </w:tabs>
                    <w:spacing w:line="223" w:lineRule="auto" w:before="10"/>
                    <w:ind w:left="212" w:right="567" w:firstLine="0"/>
                    <w:jc w:val="left"/>
                    <w:rPr>
                      <w:sz w:val="20"/>
                    </w:rPr>
                  </w:pPr>
                  <w:r>
                    <w:rPr>
                      <w:rFonts w:ascii="Stone Sans II ITC Std Bk"/>
                      <w:b/>
                      <w:spacing w:val="-4"/>
                      <w:w w:val="115"/>
                      <w:sz w:val="20"/>
                    </w:rPr>
                    <w:t>Task</w:t>
                  </w:r>
                  <w:r>
                    <w:rPr>
                      <w:rFonts w:ascii="Stone Sans II ITC Std Bk"/>
                      <w:b/>
                      <w:spacing w:val="-23"/>
                      <w:w w:val="115"/>
                      <w:sz w:val="20"/>
                    </w:rPr>
                    <w:t> </w:t>
                  </w:r>
                  <w:r>
                    <w:rPr>
                      <w:rFonts w:ascii="Stone Sans II ITC Std Bk"/>
                      <w:b/>
                      <w:w w:val="115"/>
                      <w:sz w:val="20"/>
                    </w:rPr>
                    <w:t>group</w:t>
                  </w:r>
                  <w:r>
                    <w:rPr>
                      <w:rFonts w:ascii="Stone Sans II ITC Std Bk"/>
                      <w:b/>
                      <w:spacing w:val="-23"/>
                      <w:w w:val="115"/>
                      <w:sz w:val="20"/>
                    </w:rPr>
                    <w:t> </w:t>
                  </w:r>
                  <w:r>
                    <w:rPr>
                      <w:rFonts w:ascii="Stone Sans II ITC Std Bk"/>
                      <w:b/>
                      <w:w w:val="115"/>
                      <w:sz w:val="20"/>
                    </w:rPr>
                    <w:t>on</w:t>
                  </w:r>
                  <w:r>
                    <w:rPr>
                      <w:rFonts w:ascii="Stone Sans II ITC Std Bk"/>
                      <w:b/>
                      <w:spacing w:val="-23"/>
                      <w:w w:val="115"/>
                      <w:sz w:val="20"/>
                    </w:rPr>
                    <w:t> </w:t>
                  </w:r>
                  <w:r>
                    <w:rPr>
                      <w:rFonts w:ascii="Stone Sans II ITC Std Bk"/>
                      <w:b/>
                      <w:w w:val="115"/>
                      <w:sz w:val="20"/>
                    </w:rPr>
                    <w:t>the</w:t>
                  </w:r>
                  <w:r>
                    <w:rPr>
                      <w:rFonts w:ascii="Stone Sans II ITC Std Bk"/>
                      <w:b/>
                      <w:spacing w:val="-23"/>
                      <w:w w:val="115"/>
                      <w:sz w:val="20"/>
                    </w:rPr>
                    <w:t> </w:t>
                  </w:r>
                  <w:r>
                    <w:rPr>
                      <w:rFonts w:ascii="Stone Sans II ITC Std Bk"/>
                      <w:b/>
                      <w:w w:val="115"/>
                      <w:sz w:val="20"/>
                    </w:rPr>
                    <w:t>future</w:t>
                  </w:r>
                  <w:r>
                    <w:rPr>
                      <w:rFonts w:ascii="Stone Sans II ITC Std Bk"/>
                      <w:b/>
                      <w:spacing w:val="-23"/>
                      <w:w w:val="115"/>
                      <w:sz w:val="20"/>
                    </w:rPr>
                    <w:t> </w:t>
                  </w:r>
                  <w:r>
                    <w:rPr>
                      <w:rFonts w:ascii="Stone Sans II ITC Std Bk"/>
                      <w:b/>
                      <w:w w:val="115"/>
                      <w:sz w:val="20"/>
                    </w:rPr>
                    <w:t>of</w:t>
                  </w:r>
                  <w:r>
                    <w:rPr>
                      <w:rFonts w:ascii="Stone Sans II ITC Std Bk"/>
                      <w:b/>
                      <w:spacing w:val="-23"/>
                      <w:w w:val="115"/>
                      <w:sz w:val="20"/>
                    </w:rPr>
                    <w:t> </w:t>
                  </w:r>
                  <w:r>
                    <w:rPr>
                      <w:rFonts w:ascii="Stone Sans II ITC Std Bk"/>
                      <w:b/>
                      <w:w w:val="115"/>
                      <w:sz w:val="20"/>
                    </w:rPr>
                    <w:t>General</w:t>
                  </w:r>
                  <w:r>
                    <w:rPr>
                      <w:rFonts w:ascii="Stone Sans II ITC Std Bk"/>
                      <w:b/>
                      <w:spacing w:val="-23"/>
                      <w:w w:val="115"/>
                      <w:sz w:val="20"/>
                    </w:rPr>
                    <w:t> </w:t>
                  </w:r>
                  <w:r>
                    <w:rPr>
                      <w:rFonts w:ascii="Stone Sans II ITC Std Bk"/>
                      <w:b/>
                      <w:w w:val="115"/>
                      <w:sz w:val="20"/>
                    </w:rPr>
                    <w:t>Assembly:</w:t>
                    <w:tab/>
                  </w:r>
                  <w:r>
                    <w:rPr>
                      <w:spacing w:val="-10"/>
                      <w:w w:val="115"/>
                      <w:sz w:val="20"/>
                    </w:rPr>
                    <w:t>(p.52) </w:t>
                  </w:r>
                  <w:r>
                    <w:rPr>
                      <w:w w:val="115"/>
                      <w:sz w:val="20"/>
                    </w:rPr>
                    <w:t>After</w:t>
                  </w:r>
                  <w:r>
                    <w:rPr>
                      <w:spacing w:val="13"/>
                      <w:w w:val="115"/>
                      <w:sz w:val="20"/>
                    </w:rPr>
                    <w:t> </w:t>
                  </w:r>
                  <w:r>
                    <w:rPr>
                      <w:w w:val="115"/>
                      <w:sz w:val="20"/>
                    </w:rPr>
                    <w:t>2022</w:t>
                  </w:r>
                  <w:r>
                    <w:rPr>
                      <w:spacing w:val="14"/>
                      <w:w w:val="115"/>
                      <w:sz w:val="20"/>
                    </w:rPr>
                    <w:t> </w:t>
                  </w:r>
                  <w:r>
                    <w:rPr>
                      <w:w w:val="115"/>
                      <w:sz w:val="20"/>
                    </w:rPr>
                    <w:t>there</w:t>
                  </w:r>
                  <w:r>
                    <w:rPr>
                      <w:spacing w:val="14"/>
                      <w:w w:val="115"/>
                      <w:sz w:val="20"/>
                    </w:rPr>
                    <w:t> </w:t>
                  </w:r>
                  <w:r>
                    <w:rPr>
                      <w:w w:val="115"/>
                      <w:sz w:val="20"/>
                    </w:rPr>
                    <w:t>shall</w:t>
                  </w:r>
                  <w:r>
                    <w:rPr>
                      <w:spacing w:val="14"/>
                      <w:w w:val="115"/>
                      <w:sz w:val="20"/>
                    </w:rPr>
                    <w:t> </w:t>
                  </w:r>
                  <w:r>
                    <w:rPr>
                      <w:w w:val="115"/>
                      <w:sz w:val="20"/>
                    </w:rPr>
                    <w:t>be</w:t>
                  </w:r>
                  <w:r>
                    <w:rPr>
                      <w:spacing w:val="14"/>
                      <w:w w:val="115"/>
                      <w:sz w:val="20"/>
                    </w:rPr>
                    <w:t> </w:t>
                  </w:r>
                  <w:r>
                    <w:rPr>
                      <w:w w:val="115"/>
                      <w:sz w:val="20"/>
                    </w:rPr>
                    <w:t>one</w:t>
                  </w:r>
                  <w:r>
                    <w:rPr>
                      <w:spacing w:val="14"/>
                      <w:w w:val="115"/>
                      <w:sz w:val="20"/>
                    </w:rPr>
                    <w:t> </w:t>
                  </w:r>
                  <w:r>
                    <w:rPr>
                      <w:w w:val="115"/>
                      <w:sz w:val="20"/>
                    </w:rPr>
                    <w:t>Moderator</w:t>
                  </w:r>
                  <w:r>
                    <w:rPr>
                      <w:spacing w:val="14"/>
                      <w:w w:val="115"/>
                      <w:sz w:val="20"/>
                    </w:rPr>
                    <w:t> </w:t>
                  </w:r>
                  <w:r>
                    <w:rPr>
                      <w:w w:val="115"/>
                      <w:sz w:val="20"/>
                    </w:rPr>
                    <w:t>of</w:t>
                  </w:r>
                  <w:r>
                    <w:rPr>
                      <w:spacing w:val="13"/>
                      <w:w w:val="115"/>
                      <w:sz w:val="20"/>
                    </w:rPr>
                    <w:t> </w:t>
                  </w:r>
                  <w:r>
                    <w:rPr>
                      <w:w w:val="115"/>
                      <w:sz w:val="20"/>
                    </w:rPr>
                    <w:t>General</w:t>
                  </w:r>
                  <w:r>
                    <w:rPr>
                      <w:spacing w:val="14"/>
                      <w:w w:val="115"/>
                      <w:sz w:val="20"/>
                    </w:rPr>
                    <w:t> </w:t>
                  </w:r>
                  <w:r>
                    <w:rPr>
                      <w:w w:val="115"/>
                      <w:sz w:val="20"/>
                    </w:rPr>
                    <w:t>Assembly</w:t>
                  </w:r>
                  <w:r>
                    <w:rPr>
                      <w:spacing w:val="14"/>
                      <w:w w:val="115"/>
                      <w:sz w:val="20"/>
                    </w:rPr>
                    <w:t> </w:t>
                  </w:r>
                  <w:r>
                    <w:rPr>
                      <w:w w:val="115"/>
                      <w:sz w:val="20"/>
                    </w:rPr>
                    <w:t>at</w:t>
                  </w:r>
                  <w:r>
                    <w:rPr>
                      <w:spacing w:val="14"/>
                      <w:w w:val="115"/>
                      <w:sz w:val="20"/>
                    </w:rPr>
                    <w:t> </w:t>
                  </w:r>
                  <w:r>
                    <w:rPr>
                      <w:w w:val="115"/>
                      <w:sz w:val="20"/>
                    </w:rPr>
                    <w:t>any</w:t>
                  </w:r>
                  <w:r>
                    <w:rPr>
                      <w:spacing w:val="14"/>
                      <w:w w:val="115"/>
                      <w:sz w:val="20"/>
                    </w:rPr>
                    <w:t> </w:t>
                  </w:r>
                  <w:r>
                    <w:rPr>
                      <w:w w:val="115"/>
                      <w:sz w:val="20"/>
                    </w:rPr>
                    <w:t>one</w:t>
                  </w:r>
                  <w:r>
                    <w:rPr>
                      <w:spacing w:val="14"/>
                      <w:w w:val="115"/>
                      <w:sz w:val="20"/>
                    </w:rPr>
                    <w:t> </w:t>
                  </w:r>
                  <w:r>
                    <w:rPr>
                      <w:w w:val="115"/>
                      <w:sz w:val="20"/>
                    </w:rPr>
                    <w:t>time,</w:t>
                  </w:r>
                </w:p>
                <w:p>
                  <w:pPr>
                    <w:pStyle w:val="BodyText"/>
                    <w:spacing w:line="235" w:lineRule="auto" w:before="3"/>
                    <w:ind w:left="212" w:right="710"/>
                  </w:pPr>
                  <w:r>
                    <w:rPr>
                      <w:w w:val="120"/>
                    </w:rPr>
                    <w:t>and Assembly resolves to amend the Structure of the United Reformed Church to reflect this change and make it clear.</w:t>
                  </w:r>
                </w:p>
              </w:txbxContent>
            </v:textbox>
            <v:stroke dashstyle="solid"/>
            <w10:wrap type="topAndBottom"/>
          </v:shape>
        </w:pict>
      </w:r>
      <w:r>
        <w:rPr/>
        <w:pict>
          <v:shape style="position:absolute;margin-left:57.626999pt;margin-top:484.276459pt;width:465.85pt;height:98.5pt;mso-position-horizontal-relative:page;mso-position-vertical-relative:paragraph;z-index:-251132928;mso-wrap-distance-left:0;mso-wrap-distance-right:0" type="#_x0000_t202" filled="false" stroked="true" strokeweight="1pt" strokecolor="#000000">
            <v:textbox inset="0,0,0,0">
              <w:txbxContent>
                <w:p>
                  <w:pPr>
                    <w:spacing w:line="631" w:lineRule="exact" w:before="206"/>
                    <w:ind w:left="212" w:right="0" w:firstLine="0"/>
                    <w:jc w:val="left"/>
                    <w:rPr>
                      <w:rFonts w:ascii="Stone Sans II ITC Std Bk"/>
                      <w:b/>
                      <w:sz w:val="47"/>
                    </w:rPr>
                  </w:pPr>
                  <w:r>
                    <w:rPr>
                      <w:color w:val="7B4290"/>
                      <w:spacing w:val="-5"/>
                      <w:w w:val="120"/>
                      <w:sz w:val="39"/>
                    </w:rPr>
                    <w:t>Resolution </w:t>
                  </w:r>
                  <w:r>
                    <w:rPr>
                      <w:rFonts w:ascii="Stone Sans II ITC Std Bk"/>
                      <w:b/>
                      <w:color w:val="7B4290"/>
                      <w:spacing w:val="-59"/>
                      <w:w w:val="120"/>
                      <w:sz w:val="47"/>
                    </w:rPr>
                    <w:t>17</w:t>
                  </w:r>
                </w:p>
                <w:p>
                  <w:pPr>
                    <w:pStyle w:val="BodyText"/>
                    <w:tabs>
                      <w:tab w:pos="8132" w:val="left" w:leader="none"/>
                    </w:tabs>
                    <w:spacing w:line="232" w:lineRule="auto" w:before="2"/>
                    <w:ind w:left="212" w:right="567"/>
                  </w:pPr>
                  <w:r>
                    <w:rPr>
                      <w:rFonts w:ascii="Stone Sans II ITC Std Bk"/>
                      <w:b/>
                      <w:spacing w:val="-4"/>
                      <w:w w:val="115"/>
                    </w:rPr>
                    <w:t>Task</w:t>
                  </w:r>
                  <w:r>
                    <w:rPr>
                      <w:rFonts w:ascii="Stone Sans II ITC Std Bk"/>
                      <w:b/>
                      <w:spacing w:val="-23"/>
                      <w:w w:val="115"/>
                    </w:rPr>
                    <w:t> </w:t>
                  </w:r>
                  <w:r>
                    <w:rPr>
                      <w:rFonts w:ascii="Stone Sans II ITC Std Bk"/>
                      <w:b/>
                      <w:w w:val="115"/>
                    </w:rPr>
                    <w:t>group</w:t>
                  </w:r>
                  <w:r>
                    <w:rPr>
                      <w:rFonts w:ascii="Stone Sans II ITC Std Bk"/>
                      <w:b/>
                      <w:spacing w:val="-23"/>
                      <w:w w:val="115"/>
                    </w:rPr>
                    <w:t> </w:t>
                  </w:r>
                  <w:r>
                    <w:rPr>
                      <w:rFonts w:ascii="Stone Sans II ITC Std Bk"/>
                      <w:b/>
                      <w:w w:val="115"/>
                    </w:rPr>
                    <w:t>on</w:t>
                  </w:r>
                  <w:r>
                    <w:rPr>
                      <w:rFonts w:ascii="Stone Sans II ITC Std Bk"/>
                      <w:b/>
                      <w:spacing w:val="-23"/>
                      <w:w w:val="115"/>
                    </w:rPr>
                    <w:t> </w:t>
                  </w:r>
                  <w:r>
                    <w:rPr>
                      <w:rFonts w:ascii="Stone Sans II ITC Std Bk"/>
                      <w:b/>
                      <w:w w:val="115"/>
                    </w:rPr>
                    <w:t>the</w:t>
                  </w:r>
                  <w:r>
                    <w:rPr>
                      <w:rFonts w:ascii="Stone Sans II ITC Std Bk"/>
                      <w:b/>
                      <w:spacing w:val="-23"/>
                      <w:w w:val="115"/>
                    </w:rPr>
                    <w:t> </w:t>
                  </w:r>
                  <w:r>
                    <w:rPr>
                      <w:rFonts w:ascii="Stone Sans II ITC Std Bk"/>
                      <w:b/>
                      <w:w w:val="115"/>
                    </w:rPr>
                    <w:t>future</w:t>
                  </w:r>
                  <w:r>
                    <w:rPr>
                      <w:rFonts w:ascii="Stone Sans II ITC Std Bk"/>
                      <w:b/>
                      <w:spacing w:val="-23"/>
                      <w:w w:val="115"/>
                    </w:rPr>
                    <w:t> </w:t>
                  </w:r>
                  <w:r>
                    <w:rPr>
                      <w:rFonts w:ascii="Stone Sans II ITC Std Bk"/>
                      <w:b/>
                      <w:w w:val="115"/>
                    </w:rPr>
                    <w:t>of</w:t>
                  </w:r>
                  <w:r>
                    <w:rPr>
                      <w:rFonts w:ascii="Stone Sans II ITC Std Bk"/>
                      <w:b/>
                      <w:spacing w:val="-23"/>
                      <w:w w:val="115"/>
                    </w:rPr>
                    <w:t> </w:t>
                  </w:r>
                  <w:r>
                    <w:rPr>
                      <w:rFonts w:ascii="Stone Sans II ITC Std Bk"/>
                      <w:b/>
                      <w:w w:val="115"/>
                    </w:rPr>
                    <w:t>General</w:t>
                  </w:r>
                  <w:r>
                    <w:rPr>
                      <w:rFonts w:ascii="Stone Sans II ITC Std Bk"/>
                      <w:b/>
                      <w:spacing w:val="-23"/>
                      <w:w w:val="115"/>
                    </w:rPr>
                    <w:t> </w:t>
                  </w:r>
                  <w:r>
                    <w:rPr>
                      <w:rFonts w:ascii="Stone Sans II ITC Std Bk"/>
                      <w:b/>
                      <w:w w:val="115"/>
                    </w:rPr>
                    <w:t>Assembly:</w:t>
                    <w:tab/>
                  </w:r>
                  <w:r>
                    <w:rPr>
                      <w:spacing w:val="-10"/>
                      <w:w w:val="120"/>
                    </w:rPr>
                    <w:t>(p.52) </w:t>
                  </w:r>
                  <w:r>
                    <w:rPr>
                      <w:w w:val="120"/>
                    </w:rPr>
                    <w:t>General Assembly instructs the Mission Council to make detailed alterations to sections </w:t>
                  </w:r>
                  <w:r>
                    <w:rPr>
                      <w:spacing w:val="-7"/>
                      <w:w w:val="120"/>
                    </w:rPr>
                    <w:t>1, </w:t>
                  </w:r>
                  <w:r>
                    <w:rPr>
                      <w:w w:val="120"/>
                    </w:rPr>
                    <w:t>2, and 3 of the Rules of Procedure, upon the advice of the Clerk, to effect the decisions of principle that it has</w:t>
                  </w:r>
                  <w:r>
                    <w:rPr>
                      <w:spacing w:val="14"/>
                      <w:w w:val="120"/>
                    </w:rPr>
                    <w:t> </w:t>
                  </w:r>
                  <w:r>
                    <w:rPr>
                      <w:w w:val="120"/>
                    </w:rPr>
                    <w:t>made.</w:t>
                  </w:r>
                </w:p>
              </w:txbxContent>
            </v:textbox>
            <v:stroke dashstyle="solid"/>
            <w10:wrap type="topAndBottom"/>
          </v:shape>
        </w:pict>
      </w:r>
      <w:r>
        <w:rPr/>
        <w:pict>
          <v:shape style="position:absolute;margin-left:57.626999pt;margin-top:593.198425pt;width:465.85pt;height:92.4pt;mso-position-horizontal-relative:page;mso-position-vertical-relative:paragraph;z-index:-251131904;mso-wrap-distance-left:0;mso-wrap-distance-right:0" type="#_x0000_t202" filled="false" stroked="true" strokeweight="1pt" strokecolor="#000000">
            <v:textbox inset="0,0,0,0">
              <w:txbxContent>
                <w:p>
                  <w:pPr>
                    <w:spacing w:line="631" w:lineRule="exact" w:before="101"/>
                    <w:ind w:left="212" w:right="0" w:firstLine="0"/>
                    <w:jc w:val="left"/>
                    <w:rPr>
                      <w:rFonts w:ascii="Stone Sans II ITC Std Bk"/>
                      <w:b/>
                      <w:sz w:val="47"/>
                    </w:rPr>
                  </w:pPr>
                  <w:r>
                    <w:rPr>
                      <w:color w:val="7B4290"/>
                      <w:w w:val="120"/>
                      <w:sz w:val="39"/>
                    </w:rPr>
                    <w:t>Resolution </w:t>
                  </w:r>
                  <w:r>
                    <w:rPr>
                      <w:rFonts w:ascii="Stone Sans II ITC Std Bk"/>
                      <w:b/>
                      <w:color w:val="7B4290"/>
                      <w:w w:val="120"/>
                      <w:sz w:val="47"/>
                    </w:rPr>
                    <w:t>18</w:t>
                  </w:r>
                </w:p>
                <w:p>
                  <w:pPr>
                    <w:tabs>
                      <w:tab w:pos="8132" w:val="left" w:leader="none"/>
                    </w:tabs>
                    <w:spacing w:line="223" w:lineRule="auto" w:before="10"/>
                    <w:ind w:left="212" w:right="567" w:firstLine="0"/>
                    <w:jc w:val="left"/>
                    <w:rPr>
                      <w:sz w:val="20"/>
                    </w:rPr>
                  </w:pPr>
                  <w:r>
                    <w:rPr>
                      <w:rFonts w:ascii="Stone Sans II ITC Std Bk"/>
                      <w:b/>
                      <w:spacing w:val="-4"/>
                      <w:w w:val="115"/>
                      <w:sz w:val="20"/>
                    </w:rPr>
                    <w:t>Task</w:t>
                  </w:r>
                  <w:r>
                    <w:rPr>
                      <w:rFonts w:ascii="Stone Sans II ITC Std Bk"/>
                      <w:b/>
                      <w:spacing w:val="-23"/>
                      <w:w w:val="115"/>
                      <w:sz w:val="20"/>
                    </w:rPr>
                    <w:t> </w:t>
                  </w:r>
                  <w:r>
                    <w:rPr>
                      <w:rFonts w:ascii="Stone Sans II ITC Std Bk"/>
                      <w:b/>
                      <w:w w:val="115"/>
                      <w:sz w:val="20"/>
                    </w:rPr>
                    <w:t>group</w:t>
                  </w:r>
                  <w:r>
                    <w:rPr>
                      <w:rFonts w:ascii="Stone Sans II ITC Std Bk"/>
                      <w:b/>
                      <w:spacing w:val="-23"/>
                      <w:w w:val="115"/>
                      <w:sz w:val="20"/>
                    </w:rPr>
                    <w:t> </w:t>
                  </w:r>
                  <w:r>
                    <w:rPr>
                      <w:rFonts w:ascii="Stone Sans II ITC Std Bk"/>
                      <w:b/>
                      <w:w w:val="115"/>
                      <w:sz w:val="20"/>
                    </w:rPr>
                    <w:t>on</w:t>
                  </w:r>
                  <w:r>
                    <w:rPr>
                      <w:rFonts w:ascii="Stone Sans II ITC Std Bk"/>
                      <w:b/>
                      <w:spacing w:val="-23"/>
                      <w:w w:val="115"/>
                      <w:sz w:val="20"/>
                    </w:rPr>
                    <w:t> </w:t>
                  </w:r>
                  <w:r>
                    <w:rPr>
                      <w:rFonts w:ascii="Stone Sans II ITC Std Bk"/>
                      <w:b/>
                      <w:w w:val="115"/>
                      <w:sz w:val="20"/>
                    </w:rPr>
                    <w:t>the</w:t>
                  </w:r>
                  <w:r>
                    <w:rPr>
                      <w:rFonts w:ascii="Stone Sans II ITC Std Bk"/>
                      <w:b/>
                      <w:spacing w:val="-23"/>
                      <w:w w:val="115"/>
                      <w:sz w:val="20"/>
                    </w:rPr>
                    <w:t> </w:t>
                  </w:r>
                  <w:r>
                    <w:rPr>
                      <w:rFonts w:ascii="Stone Sans II ITC Std Bk"/>
                      <w:b/>
                      <w:w w:val="115"/>
                      <w:sz w:val="20"/>
                    </w:rPr>
                    <w:t>future</w:t>
                  </w:r>
                  <w:r>
                    <w:rPr>
                      <w:rFonts w:ascii="Stone Sans II ITC Std Bk"/>
                      <w:b/>
                      <w:spacing w:val="-23"/>
                      <w:w w:val="115"/>
                      <w:sz w:val="20"/>
                    </w:rPr>
                    <w:t> </w:t>
                  </w:r>
                  <w:r>
                    <w:rPr>
                      <w:rFonts w:ascii="Stone Sans II ITC Std Bk"/>
                      <w:b/>
                      <w:w w:val="115"/>
                      <w:sz w:val="20"/>
                    </w:rPr>
                    <w:t>of</w:t>
                  </w:r>
                  <w:r>
                    <w:rPr>
                      <w:rFonts w:ascii="Stone Sans II ITC Std Bk"/>
                      <w:b/>
                      <w:spacing w:val="-23"/>
                      <w:w w:val="115"/>
                      <w:sz w:val="20"/>
                    </w:rPr>
                    <w:t> </w:t>
                  </w:r>
                  <w:r>
                    <w:rPr>
                      <w:rFonts w:ascii="Stone Sans II ITC Std Bk"/>
                      <w:b/>
                      <w:w w:val="115"/>
                      <w:sz w:val="20"/>
                    </w:rPr>
                    <w:t>General</w:t>
                  </w:r>
                  <w:r>
                    <w:rPr>
                      <w:rFonts w:ascii="Stone Sans II ITC Std Bk"/>
                      <w:b/>
                      <w:spacing w:val="-23"/>
                      <w:w w:val="115"/>
                      <w:sz w:val="20"/>
                    </w:rPr>
                    <w:t> </w:t>
                  </w:r>
                  <w:r>
                    <w:rPr>
                      <w:rFonts w:ascii="Stone Sans II ITC Std Bk"/>
                      <w:b/>
                      <w:w w:val="115"/>
                      <w:sz w:val="20"/>
                    </w:rPr>
                    <w:t>Assembly:</w:t>
                    <w:tab/>
                  </w:r>
                  <w:r>
                    <w:rPr>
                      <w:spacing w:val="-10"/>
                      <w:w w:val="115"/>
                      <w:sz w:val="20"/>
                    </w:rPr>
                    <w:t>(p.52) </w:t>
                  </w:r>
                  <w:r>
                    <w:rPr>
                      <w:w w:val="115"/>
                      <w:sz w:val="20"/>
                    </w:rPr>
                    <w:t>General</w:t>
                  </w:r>
                  <w:r>
                    <w:rPr>
                      <w:spacing w:val="13"/>
                      <w:w w:val="115"/>
                      <w:sz w:val="20"/>
                    </w:rPr>
                    <w:t> </w:t>
                  </w:r>
                  <w:r>
                    <w:rPr>
                      <w:w w:val="115"/>
                      <w:sz w:val="20"/>
                    </w:rPr>
                    <w:t>Assembly</w:t>
                  </w:r>
                  <w:r>
                    <w:rPr>
                      <w:spacing w:val="14"/>
                      <w:w w:val="115"/>
                      <w:sz w:val="20"/>
                    </w:rPr>
                    <w:t> </w:t>
                  </w:r>
                  <w:r>
                    <w:rPr>
                      <w:w w:val="115"/>
                      <w:sz w:val="20"/>
                    </w:rPr>
                    <w:t>further</w:t>
                  </w:r>
                  <w:r>
                    <w:rPr>
                      <w:spacing w:val="14"/>
                      <w:w w:val="115"/>
                      <w:sz w:val="20"/>
                    </w:rPr>
                    <w:t> </w:t>
                  </w:r>
                  <w:r>
                    <w:rPr>
                      <w:w w:val="115"/>
                      <w:sz w:val="20"/>
                    </w:rPr>
                    <w:t>extends</w:t>
                  </w:r>
                  <w:r>
                    <w:rPr>
                      <w:spacing w:val="13"/>
                      <w:w w:val="115"/>
                      <w:sz w:val="20"/>
                    </w:rPr>
                    <w:t> </w:t>
                  </w:r>
                  <w:r>
                    <w:rPr>
                      <w:w w:val="115"/>
                      <w:sz w:val="20"/>
                    </w:rPr>
                    <w:t>the</w:t>
                  </w:r>
                  <w:r>
                    <w:rPr>
                      <w:spacing w:val="14"/>
                      <w:w w:val="115"/>
                      <w:sz w:val="20"/>
                    </w:rPr>
                    <w:t> </w:t>
                  </w:r>
                  <w:r>
                    <w:rPr>
                      <w:w w:val="115"/>
                      <w:sz w:val="20"/>
                    </w:rPr>
                    <w:t>remit</w:t>
                  </w:r>
                  <w:r>
                    <w:rPr>
                      <w:spacing w:val="14"/>
                      <w:w w:val="115"/>
                      <w:sz w:val="20"/>
                    </w:rPr>
                    <w:t> </w:t>
                  </w:r>
                  <w:r>
                    <w:rPr>
                      <w:w w:val="115"/>
                      <w:sz w:val="20"/>
                    </w:rPr>
                    <w:t>of</w:t>
                  </w:r>
                  <w:r>
                    <w:rPr>
                      <w:spacing w:val="13"/>
                      <w:w w:val="115"/>
                      <w:sz w:val="20"/>
                    </w:rPr>
                    <w:t> </w:t>
                  </w:r>
                  <w:r>
                    <w:rPr>
                      <w:w w:val="115"/>
                      <w:sz w:val="20"/>
                    </w:rPr>
                    <w:t>the</w:t>
                  </w:r>
                  <w:r>
                    <w:rPr>
                      <w:spacing w:val="14"/>
                      <w:w w:val="115"/>
                      <w:sz w:val="20"/>
                    </w:rPr>
                    <w:t> </w:t>
                  </w:r>
                  <w:r>
                    <w:rPr>
                      <w:w w:val="115"/>
                      <w:sz w:val="20"/>
                    </w:rPr>
                    <w:t>task</w:t>
                  </w:r>
                  <w:r>
                    <w:rPr>
                      <w:spacing w:val="14"/>
                      <w:w w:val="115"/>
                      <w:sz w:val="20"/>
                    </w:rPr>
                    <w:t> </w:t>
                  </w:r>
                  <w:r>
                    <w:rPr>
                      <w:w w:val="115"/>
                      <w:sz w:val="20"/>
                    </w:rPr>
                    <w:t>group</w:t>
                  </w:r>
                  <w:r>
                    <w:rPr>
                      <w:spacing w:val="13"/>
                      <w:w w:val="115"/>
                      <w:sz w:val="20"/>
                    </w:rPr>
                    <w:t> </w:t>
                  </w:r>
                  <w:r>
                    <w:rPr>
                      <w:w w:val="115"/>
                      <w:sz w:val="20"/>
                    </w:rPr>
                    <w:t>on</w:t>
                  </w:r>
                  <w:r>
                    <w:rPr>
                      <w:spacing w:val="14"/>
                      <w:w w:val="115"/>
                      <w:sz w:val="20"/>
                    </w:rPr>
                    <w:t> </w:t>
                  </w:r>
                  <w:r>
                    <w:rPr>
                      <w:w w:val="115"/>
                      <w:sz w:val="20"/>
                    </w:rPr>
                    <w:t>the</w:t>
                  </w:r>
                  <w:r>
                    <w:rPr>
                      <w:spacing w:val="14"/>
                      <w:w w:val="115"/>
                      <w:sz w:val="20"/>
                    </w:rPr>
                    <w:t> </w:t>
                  </w:r>
                  <w:r>
                    <w:rPr>
                      <w:w w:val="115"/>
                      <w:sz w:val="20"/>
                    </w:rPr>
                    <w:t>future</w:t>
                  </w:r>
                  <w:r>
                    <w:rPr>
                      <w:spacing w:val="13"/>
                      <w:w w:val="115"/>
                      <w:sz w:val="20"/>
                    </w:rPr>
                    <w:t> </w:t>
                  </w:r>
                  <w:r>
                    <w:rPr>
                      <w:w w:val="115"/>
                      <w:sz w:val="20"/>
                    </w:rPr>
                    <w:t>of</w:t>
                  </w:r>
                </w:p>
                <w:p>
                  <w:pPr>
                    <w:pStyle w:val="BodyText"/>
                    <w:spacing w:line="235" w:lineRule="auto" w:before="4"/>
                    <w:ind w:left="212" w:right="443"/>
                  </w:pPr>
                  <w:r>
                    <w:rPr>
                      <w:w w:val="120"/>
                    </w:rPr>
                    <w:t>General Assembly to propose recommendations on the expectations of General Assembly on the activities to be undertaken by the Assembly </w:t>
                  </w:r>
                  <w:r>
                    <w:rPr>
                      <w:spacing w:val="-3"/>
                      <w:w w:val="120"/>
                    </w:rPr>
                    <w:t>Moderator(s).</w:t>
                  </w:r>
                </w:p>
              </w:txbxContent>
            </v:textbox>
            <v:stroke dashstyle="solid"/>
            <w10:wrap type="topAndBottom"/>
          </v:shape>
        </w:pict>
      </w:r>
    </w:p>
    <w:p>
      <w:pPr>
        <w:pStyle w:val="BodyText"/>
        <w:spacing w:before="6"/>
        <w:rPr>
          <w:sz w:val="13"/>
        </w:rPr>
      </w:pPr>
    </w:p>
    <w:p>
      <w:pPr>
        <w:pStyle w:val="BodyText"/>
        <w:spacing w:before="6"/>
        <w:rPr>
          <w:sz w:val="13"/>
        </w:rPr>
      </w:pPr>
    </w:p>
    <w:p>
      <w:pPr>
        <w:pStyle w:val="BodyText"/>
        <w:spacing w:before="4"/>
        <w:rPr>
          <w:sz w:val="13"/>
        </w:rPr>
      </w:pPr>
    </w:p>
    <w:p>
      <w:pPr>
        <w:pStyle w:val="BodyText"/>
        <w:spacing w:before="4"/>
        <w:rPr>
          <w:sz w:val="13"/>
        </w:rPr>
      </w:pPr>
    </w:p>
    <w:p>
      <w:pPr>
        <w:pStyle w:val="BodyText"/>
        <w:spacing w:before="7"/>
        <w:rPr>
          <w:sz w:val="5"/>
        </w:rPr>
      </w:pPr>
    </w:p>
    <w:p>
      <w:pPr>
        <w:pStyle w:val="BodyText"/>
        <w:spacing w:before="10"/>
        <w:rPr>
          <w:sz w:val="9"/>
        </w:rPr>
      </w:pPr>
    </w:p>
    <w:p>
      <w:pPr>
        <w:spacing w:after="0"/>
        <w:rPr>
          <w:sz w:val="9"/>
        </w:rPr>
        <w:sectPr>
          <w:headerReference w:type="even" r:id="rId513"/>
          <w:footerReference w:type="even" r:id="rId514"/>
          <w:footerReference w:type="default" r:id="rId515"/>
          <w:pgSz w:w="11910" w:h="16840"/>
          <w:pgMar w:header="0" w:footer="647" w:top="0" w:bottom="840" w:left="420" w:right="380"/>
        </w:sectPr>
      </w:pPr>
    </w:p>
    <w:p>
      <w:pPr>
        <w:spacing w:before="94"/>
        <w:ind w:left="0" w:right="865" w:firstLine="0"/>
        <w:jc w:val="right"/>
        <w:rPr>
          <w:sz w:val="26"/>
        </w:rPr>
      </w:pPr>
      <w:r>
        <w:rPr/>
        <w:pict>
          <v:group style="position:absolute;margin-left:82.221001pt;margin-top:218.741013pt;width:463.45pt;height:84.6pt;mso-position-horizontal-relative:page;mso-position-vertical-relative:page;z-index:-267086848" coordorigin="1644,4375" coordsize="9269,1692">
            <v:rect style="position:absolute;left:1654;top:4384;width:9249;height:1672" filled="false" stroked="true" strokeweight="1pt" strokecolor="#000000">
              <v:stroke dashstyle="solid"/>
            </v:rect>
            <v:shape style="position:absolute;left:1984;top:5338;width:8364;height:480" type="#_x0000_t202" filled="false" stroked="false">
              <v:textbox inset="0,0,0,0">
                <w:txbxContent>
                  <w:p>
                    <w:pPr>
                      <w:spacing w:line="235" w:lineRule="auto" w:before="3"/>
                      <w:ind w:left="0" w:right="0" w:firstLine="0"/>
                      <w:jc w:val="left"/>
                      <w:rPr>
                        <w:sz w:val="20"/>
                      </w:rPr>
                    </w:pPr>
                    <w:r>
                      <w:rPr>
                        <w:w w:val="120"/>
                        <w:sz w:val="20"/>
                      </w:rPr>
                      <w:t>General Assembly notes the closures, with praise to God for the worship and witness offered by these fellowships across the years</w:t>
                    </w:r>
                  </w:p>
                </w:txbxContent>
              </v:textbox>
              <w10:wrap type="none"/>
            </v:shape>
            <v:shape style="position:absolute;left:9904;top:5098;width:633;height:240" type="#_x0000_t202" filled="false" stroked="false">
              <v:textbox inset="0,0,0,0">
                <w:txbxContent>
                  <w:p>
                    <w:pPr>
                      <w:spacing w:line="240" w:lineRule="exact" w:before="0"/>
                      <w:ind w:left="0" w:right="0" w:firstLine="0"/>
                      <w:jc w:val="left"/>
                      <w:rPr>
                        <w:sz w:val="20"/>
                      </w:rPr>
                    </w:pPr>
                    <w:r>
                      <w:rPr>
                        <w:w w:val="130"/>
                        <w:sz w:val="20"/>
                      </w:rPr>
                      <w:t>(p.77)</w:t>
                    </w:r>
                  </w:p>
                </w:txbxContent>
              </v:textbox>
              <w10:wrap type="none"/>
            </v:shape>
            <v:shape style="position:absolute;left:1984;top:4472;width:4885;height:86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20</w:t>
                    </w:r>
                  </w:p>
                  <w:p>
                    <w:pPr>
                      <w:spacing w:line="248" w:lineRule="exact" w:before="0"/>
                      <w:ind w:left="0" w:right="0" w:firstLine="0"/>
                      <w:jc w:val="left"/>
                      <w:rPr>
                        <w:rFonts w:ascii="Stone Sans II ITC Std Bk"/>
                        <w:b/>
                        <w:sz w:val="20"/>
                      </w:rPr>
                    </w:pPr>
                    <w:r>
                      <w:rPr>
                        <w:rFonts w:ascii="Stone Sans II ITC Std Bk"/>
                        <w:b/>
                        <w:w w:val="110"/>
                        <w:sz w:val="20"/>
                      </w:rPr>
                      <w:t>Church Changes: Report to General Assembly</w:t>
                    </w:r>
                  </w:p>
                </w:txbxContent>
              </v:textbox>
              <w10:wrap type="none"/>
            </v:shape>
            <w10:wrap type="none"/>
          </v:group>
        </w:pict>
      </w:r>
      <w:r>
        <w:rPr/>
        <w:pict>
          <v:group style="position:absolute;margin-left:65.180000pt;margin-top:.000015pt;width:530.1pt;height:841.9pt;mso-position-horizontal-relative:page;mso-position-vertical-relative:page;z-index:-267085824" coordorigin="1304,0" coordsize="10602,16838">
            <v:shape style="position:absolute;left:1676;top:9931;width:9329;height:3665" coordorigin="1677,9931" coordsize="9329,3665" path="m1689,11494l11006,11494,11006,9931,1689,9931,1689,11494xm1677,13596l10994,13596,10994,11749,1677,11749,1677,13596xe" filled="false" stroked="true" strokeweight="1pt" strokecolor="#000000">
              <v:path arrowok="t"/>
              <v:stroke dashstyle="solid"/>
            </v:shape>
            <v:shape style="position:absolute;left:10984;top:0;width:922;height:16838" type="#_x0000_t75" stroked="false">
              <v:imagedata r:id="rId507" o:title=""/>
            </v:shape>
            <v:rect style="position:absolute;left:1303;top:912;width:9667;height:199" filled="true" fillcolor="#ffffff" stroked="false">
              <v:fill type="solid"/>
            </v:rect>
            <v:shape style="position:absolute;left:1648;top:1120;width:9317;height:6711" coordorigin="1649,1120" coordsize="9317,6711" path="m1649,4228l10966,4228,10966,1120,1649,1120,1649,4228xm1654,7830l10903,7830,10903,6268,1654,6268,1654,7830xe" filled="false" stroked="true" strokeweight="1pt" strokecolor="#000000">
              <v:path arrowok="t"/>
              <v:stroke dashstyle="solid"/>
            </v:shape>
            <w10:wrap type="none"/>
          </v:group>
        </w:pict>
      </w:r>
      <w:r>
        <w:rPr/>
        <w:pict>
          <v:shape style="position:absolute;margin-left:99.212601pt;margin-top:88.340042pt;width:423.35pt;height:84pt;mso-position-horizontal-relative:page;mso-position-vertical-relative:paragraph;z-index:252198912" type="#_x0000_t202" filled="false" stroked="false">
            <v:textbox inset="0,0,0,0">
              <w:txbxContent>
                <w:p>
                  <w:pPr>
                    <w:pStyle w:val="BodyText"/>
                    <w:numPr>
                      <w:ilvl w:val="0"/>
                      <w:numId w:val="131"/>
                    </w:numPr>
                    <w:tabs>
                      <w:tab w:pos="680" w:val="left" w:leader="none"/>
                      <w:tab w:pos="681" w:val="left" w:leader="none"/>
                    </w:tabs>
                    <w:spacing w:line="235" w:lineRule="auto" w:before="3" w:after="0"/>
                    <w:ind w:left="680" w:right="131" w:hanging="681"/>
                    <w:jc w:val="left"/>
                  </w:pPr>
                  <w:r>
                    <w:rPr>
                      <w:w w:val="120"/>
                    </w:rPr>
                    <w:t>further extends the remit of the task group on the future of General Assembly to consider changes to Mission Council in the light of decisions made by the General</w:t>
                  </w:r>
                  <w:r>
                    <w:rPr>
                      <w:spacing w:val="1"/>
                      <w:w w:val="120"/>
                    </w:rPr>
                    <w:t> </w:t>
                  </w:r>
                  <w:r>
                    <w:rPr>
                      <w:w w:val="120"/>
                    </w:rPr>
                    <w:t>Assembly,</w:t>
                  </w:r>
                </w:p>
                <w:p>
                  <w:pPr>
                    <w:pStyle w:val="BodyText"/>
                    <w:numPr>
                      <w:ilvl w:val="0"/>
                      <w:numId w:val="131"/>
                    </w:numPr>
                    <w:tabs>
                      <w:tab w:pos="680" w:val="left" w:leader="none"/>
                      <w:tab w:pos="681" w:val="left" w:leader="none"/>
                    </w:tabs>
                    <w:spacing w:line="240" w:lineRule="exact" w:before="0" w:after="0"/>
                    <w:ind w:left="680" w:right="0" w:hanging="681"/>
                    <w:jc w:val="left"/>
                  </w:pPr>
                  <w:r>
                    <w:rPr>
                      <w:w w:val="120"/>
                    </w:rPr>
                    <w:t>instructs the task group to </w:t>
                  </w:r>
                  <w:r>
                    <w:rPr>
                      <w:spacing w:val="2"/>
                      <w:w w:val="120"/>
                    </w:rPr>
                    <w:t>report </w:t>
                  </w:r>
                  <w:r>
                    <w:rPr>
                      <w:w w:val="120"/>
                    </w:rPr>
                    <w:t>to each meeting of Mission Council,</w:t>
                  </w:r>
                  <w:r>
                    <w:rPr>
                      <w:spacing w:val="46"/>
                      <w:w w:val="120"/>
                    </w:rPr>
                    <w:t> </w:t>
                  </w:r>
                  <w:r>
                    <w:rPr>
                      <w:w w:val="120"/>
                    </w:rPr>
                    <w:t>and</w:t>
                  </w:r>
                </w:p>
                <w:p>
                  <w:pPr>
                    <w:pStyle w:val="BodyText"/>
                    <w:numPr>
                      <w:ilvl w:val="0"/>
                      <w:numId w:val="131"/>
                    </w:numPr>
                    <w:tabs>
                      <w:tab w:pos="680" w:val="left" w:leader="none"/>
                      <w:tab w:pos="681" w:val="left" w:leader="none"/>
                    </w:tabs>
                    <w:spacing w:line="235" w:lineRule="auto" w:before="2" w:after="0"/>
                    <w:ind w:left="680" w:right="18" w:hanging="681"/>
                    <w:jc w:val="left"/>
                  </w:pPr>
                  <w:r>
                    <w:rPr>
                      <w:w w:val="120"/>
                    </w:rPr>
                    <w:t>instructs Mission Council to make appropriate changes to its size, composition, and meeting pattern if these are ready to be made before the next meeting of General</w:t>
                  </w:r>
                  <w:r>
                    <w:rPr>
                      <w:spacing w:val="1"/>
                      <w:w w:val="120"/>
                    </w:rPr>
                    <w:t> </w:t>
                  </w:r>
                  <w:r>
                    <w:rPr>
                      <w:w w:val="120"/>
                    </w:rPr>
                    <w:t>Assembly.</w:t>
                  </w:r>
                </w:p>
              </w:txbxContent>
            </v:textbox>
            <w10:wrap type="none"/>
          </v:shape>
        </w:pict>
      </w:r>
      <w:r>
        <w:rPr/>
        <w:pict>
          <v:shape style="position:absolute;margin-left:495.223602pt;margin-top:64.342445pt;width:30.8pt;height:12pt;mso-position-horizontal-relative:page;mso-position-vertical-relative:paragraph;z-index:252199936" type="#_x0000_t202" filled="false" stroked="false">
            <v:textbox inset="0,0,0,0">
              <w:txbxContent>
                <w:p>
                  <w:pPr>
                    <w:pStyle w:val="BodyText"/>
                    <w:spacing w:line="240" w:lineRule="exact"/>
                  </w:pPr>
                  <w:r>
                    <w:rPr>
                      <w:spacing w:val="-7"/>
                      <w:w w:val="130"/>
                    </w:rPr>
                    <w:t>(p.52)</w:t>
                  </w:r>
                </w:p>
              </w:txbxContent>
            </v:textbox>
            <w10:wrap type="none"/>
          </v:shape>
        </w:pict>
      </w:r>
      <w:r>
        <w:rPr/>
        <w:pict>
          <v:shape style="position:absolute;margin-left:99.212601pt;margin-top:33.067844pt;width:249pt;height:55.3pt;mso-position-horizontal-relative:page;mso-position-vertical-relative:paragraph;z-index:25220096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19</w:t>
                  </w:r>
                </w:p>
                <w:p>
                  <w:pPr>
                    <w:spacing w:line="257" w:lineRule="exact" w:before="0"/>
                    <w:ind w:left="0" w:right="0" w:firstLine="0"/>
                    <w:jc w:val="left"/>
                    <w:rPr>
                      <w:rFonts w:ascii="Stone Sans II ITC Std Bk"/>
                      <w:b/>
                      <w:sz w:val="20"/>
                    </w:rPr>
                  </w:pPr>
                  <w:r>
                    <w:rPr>
                      <w:rFonts w:ascii="Stone Sans II ITC Std Bk"/>
                      <w:b/>
                      <w:w w:val="110"/>
                      <w:sz w:val="20"/>
                    </w:rPr>
                    <w:t>Task group on the future of General Assembly:</w:t>
                  </w:r>
                </w:p>
                <w:p>
                  <w:pPr>
                    <w:pStyle w:val="BodyText"/>
                    <w:spacing w:line="231" w:lineRule="exact"/>
                  </w:pPr>
                  <w:r>
                    <w:rPr>
                      <w:w w:val="120"/>
                    </w:rPr>
                    <w:t>General Assembly:</w:t>
                  </w:r>
                </w:p>
              </w:txbxContent>
            </v:textbox>
            <w10:wrap type="none"/>
          </v:shape>
        </w:pict>
      </w:r>
      <w:r>
        <w:rPr/>
        <w:pict>
          <v:shape style="position:absolute;margin-left:554.141174pt;margin-top:21.993946pt;width:26pt;height:187pt;mso-position-horizontal-relative:page;mso-position-vertical-relative:paragraph;z-index:252201984" type="#_x0000_t202" filled="false" stroked="false">
            <v:textbox inset="0,0,0,0" style="layout-flow:vertical">
              <w:txbxContent>
                <w:p>
                  <w:pPr>
                    <w:spacing w:before="29"/>
                    <w:ind w:left="20" w:right="0" w:firstLine="0"/>
                    <w:jc w:val="left"/>
                    <w:rPr>
                      <w:sz w:val="39"/>
                    </w:rPr>
                  </w:pPr>
                  <w:r>
                    <w:rPr>
                      <w:color w:val="FFFFFF"/>
                      <w:w w:val="125"/>
                      <w:sz w:val="39"/>
                    </w:rPr>
                    <w:t>Resolutions 19-24</w:t>
                  </w:r>
                </w:p>
              </w:txbxContent>
            </v:textbox>
            <w10:wrap type="none"/>
          </v:shape>
        </w:pict>
      </w:r>
      <w:r>
        <w:rPr>
          <w:color w:val="7EAABF"/>
          <w:w w:val="115"/>
          <w:sz w:val="26"/>
        </w:rPr>
        <w:t>Resolutions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6"/>
        </w:rPr>
      </w:pPr>
      <w:r>
        <w:rPr/>
        <w:pict>
          <v:shape style="position:absolute;margin-left:99.212601pt;margin-top:11.495704pt;width:319.05pt;height:43.3pt;mso-position-horizontal-relative:page;mso-position-vertical-relative:paragraph;z-index:-251128832;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21</w:t>
                  </w:r>
                </w:p>
                <w:p>
                  <w:pPr>
                    <w:spacing w:line="248" w:lineRule="exact" w:before="0"/>
                    <w:ind w:left="0" w:right="0" w:firstLine="0"/>
                    <w:jc w:val="left"/>
                    <w:rPr>
                      <w:rFonts w:ascii="Stone Sans II ITC Std Bk"/>
                      <w:b/>
                      <w:sz w:val="20"/>
                    </w:rPr>
                  </w:pPr>
                  <w:r>
                    <w:rPr>
                      <w:rFonts w:ascii="Stone Sans II ITC Std Bk"/>
                      <w:b/>
                      <w:w w:val="110"/>
                      <w:sz w:val="20"/>
                    </w:rPr>
                    <w:t>Assembly arrangements committee: Report and resolution.</w:t>
                  </w:r>
                </w:p>
              </w:txbxContent>
            </v:textbox>
            <w10:wrap type="topAndBottom"/>
          </v:shape>
        </w:pict>
      </w:r>
      <w:r>
        <w:rPr/>
        <w:pict>
          <v:shape style="position:absolute;margin-left:495.212585pt;margin-top:42.770302pt;width:31.7pt;height:12pt;mso-position-horizontal-relative:page;mso-position-vertical-relative:paragraph;z-index:-251127808;mso-wrap-distance-left:0;mso-wrap-distance-right:0" type="#_x0000_t202" filled="false" stroked="false">
            <v:textbox inset="0,0,0,0">
              <w:txbxContent>
                <w:p>
                  <w:pPr>
                    <w:pStyle w:val="BodyText"/>
                    <w:spacing w:line="240" w:lineRule="exact"/>
                  </w:pPr>
                  <w:r>
                    <w:rPr>
                      <w:w w:val="130"/>
                    </w:rPr>
                    <w:t>(p.80)</w:t>
                  </w:r>
                </w:p>
              </w:txbxContent>
            </v:textbox>
            <w10:wrap type="topAndBottom"/>
          </v:shape>
        </w:pict>
      </w:r>
    </w:p>
    <w:p>
      <w:pPr>
        <w:pStyle w:val="BodyText"/>
        <w:ind w:left="1564"/>
      </w:pPr>
      <w:r>
        <w:rPr/>
        <w:pict>
          <v:shape style="width:402.15pt;height:24pt;mso-position-horizontal-relative:char;mso-position-vertical-relative:line" type="#_x0000_t202" filled="false" stroked="false">
            <w10:anchorlock/>
            <v:textbox inset="0,0,0,0">
              <w:txbxContent>
                <w:p>
                  <w:pPr>
                    <w:pStyle w:val="BodyText"/>
                    <w:spacing w:line="235" w:lineRule="auto" w:before="3"/>
                  </w:pPr>
                  <w:r>
                    <w:rPr>
                      <w:w w:val="120"/>
                    </w:rPr>
                    <w:t>General Assembly resolves to meet in Birmingham at the University of Aston from 3 July to 6 July 2020 or at such other time and place as may be duly determined.</w:t>
                  </w:r>
                </w:p>
              </w:txbxContent>
            </v:textbox>
          </v:shape>
        </w:pict>
      </w:r>
      <w:r>
        <w:rPr/>
      </w:r>
    </w:p>
    <w:p>
      <w:pPr>
        <w:pStyle w:val="BodyText"/>
        <w:spacing w:before="9"/>
        <w:rPr>
          <w:sz w:val="29"/>
        </w:rPr>
      </w:pPr>
      <w:r>
        <w:rPr/>
        <w:pict>
          <v:shape style="position:absolute;margin-left:84.138pt;margin-top:20.642099pt;width:462.45pt;height:83.6pt;mso-position-horizontal-relative:page;mso-position-vertical-relative:paragraph;z-index:-251125760;mso-wrap-distance-left:0;mso-wrap-distance-right:0" type="#_x0000_t202" filled="false" stroked="true" strokeweight="1pt" strokecolor="#000000">
            <v:textbox inset="0,0,0,0">
              <w:txbxContent>
                <w:p>
                  <w:pPr>
                    <w:spacing w:line="631" w:lineRule="exact" w:before="35"/>
                    <w:ind w:left="291" w:right="0" w:firstLine="0"/>
                    <w:jc w:val="left"/>
                    <w:rPr>
                      <w:rFonts w:ascii="Stone Sans II ITC Std Bk"/>
                      <w:b/>
                      <w:sz w:val="47"/>
                    </w:rPr>
                  </w:pPr>
                  <w:r>
                    <w:rPr>
                      <w:color w:val="7B4290"/>
                      <w:w w:val="120"/>
                      <w:sz w:val="39"/>
                    </w:rPr>
                    <w:t>Resolution </w:t>
                  </w:r>
                  <w:r>
                    <w:rPr>
                      <w:rFonts w:ascii="Stone Sans II ITC Std Bk"/>
                      <w:b/>
                      <w:color w:val="7B4290"/>
                      <w:w w:val="120"/>
                      <w:sz w:val="47"/>
                    </w:rPr>
                    <w:t>22</w:t>
                  </w:r>
                </w:p>
                <w:p>
                  <w:pPr>
                    <w:tabs>
                      <w:tab w:pos="8211" w:val="left" w:leader="none"/>
                    </w:tabs>
                    <w:spacing w:line="223" w:lineRule="auto" w:before="10"/>
                    <w:ind w:left="291" w:right="416" w:firstLine="0"/>
                    <w:jc w:val="left"/>
                    <w:rPr>
                      <w:sz w:val="20"/>
                    </w:rPr>
                  </w:pPr>
                  <w:r>
                    <w:rPr>
                      <w:rFonts w:ascii="Stone Sans II ITC Std Bk" w:hAnsi="Stone Sans II ITC Std Bk"/>
                      <w:b/>
                      <w:w w:val="115"/>
                      <w:sz w:val="20"/>
                    </w:rPr>
                    <w:t>Children’s</w:t>
                  </w:r>
                  <w:r>
                    <w:rPr>
                      <w:rFonts w:ascii="Stone Sans II ITC Std Bk" w:hAnsi="Stone Sans II ITC Std Bk"/>
                      <w:b/>
                      <w:spacing w:val="-34"/>
                      <w:w w:val="115"/>
                      <w:sz w:val="20"/>
                    </w:rPr>
                    <w:t> </w:t>
                  </w:r>
                  <w:r>
                    <w:rPr>
                      <w:rFonts w:ascii="Stone Sans II ITC Std Bk" w:hAnsi="Stone Sans II ITC Std Bk"/>
                      <w:b/>
                      <w:w w:val="115"/>
                      <w:sz w:val="20"/>
                    </w:rPr>
                    <w:t>and</w:t>
                  </w:r>
                  <w:r>
                    <w:rPr>
                      <w:rFonts w:ascii="Stone Sans II ITC Std Bk" w:hAnsi="Stone Sans II ITC Std Bk"/>
                      <w:b/>
                      <w:spacing w:val="-34"/>
                      <w:w w:val="115"/>
                      <w:sz w:val="20"/>
                    </w:rPr>
                    <w:t> </w:t>
                  </w:r>
                  <w:r>
                    <w:rPr>
                      <w:rFonts w:ascii="Stone Sans II ITC Std Bk" w:hAnsi="Stone Sans II ITC Std Bk"/>
                      <w:b/>
                      <w:w w:val="115"/>
                      <w:sz w:val="20"/>
                    </w:rPr>
                    <w:t>Youth</w:t>
                  </w:r>
                  <w:r>
                    <w:rPr>
                      <w:rFonts w:ascii="Stone Sans II ITC Std Bk" w:hAnsi="Stone Sans II ITC Std Bk"/>
                      <w:b/>
                      <w:spacing w:val="-34"/>
                      <w:w w:val="115"/>
                      <w:sz w:val="20"/>
                    </w:rPr>
                    <w:t> </w:t>
                  </w:r>
                  <w:r>
                    <w:rPr>
                      <w:rFonts w:ascii="Stone Sans II ITC Std Bk" w:hAnsi="Stone Sans II ITC Std Bk"/>
                      <w:b/>
                      <w:w w:val="115"/>
                      <w:sz w:val="20"/>
                    </w:rPr>
                    <w:t>committee:</w:t>
                  </w:r>
                  <w:r>
                    <w:rPr>
                      <w:rFonts w:ascii="Stone Sans II ITC Std Bk" w:hAnsi="Stone Sans II ITC Std Bk"/>
                      <w:b/>
                      <w:spacing w:val="-33"/>
                      <w:w w:val="115"/>
                      <w:sz w:val="20"/>
                    </w:rPr>
                    <w:t> </w:t>
                  </w:r>
                  <w:r>
                    <w:rPr>
                      <w:rFonts w:ascii="Stone Sans II ITC Std Bk" w:hAnsi="Stone Sans II ITC Std Bk"/>
                      <w:b/>
                      <w:w w:val="115"/>
                      <w:sz w:val="20"/>
                    </w:rPr>
                    <w:t>General</w:t>
                  </w:r>
                  <w:r>
                    <w:rPr>
                      <w:rFonts w:ascii="Stone Sans II ITC Std Bk" w:hAnsi="Stone Sans II ITC Std Bk"/>
                      <w:b/>
                      <w:spacing w:val="-34"/>
                      <w:w w:val="115"/>
                      <w:sz w:val="20"/>
                    </w:rPr>
                    <w:t> </w:t>
                  </w:r>
                  <w:r>
                    <w:rPr>
                      <w:rFonts w:ascii="Stone Sans II ITC Std Bk" w:hAnsi="Stone Sans II ITC Std Bk"/>
                      <w:b/>
                      <w:w w:val="115"/>
                      <w:sz w:val="20"/>
                    </w:rPr>
                    <w:t>Report</w:t>
                    <w:tab/>
                  </w:r>
                  <w:r>
                    <w:rPr>
                      <w:spacing w:val="-9"/>
                      <w:w w:val="115"/>
                      <w:sz w:val="20"/>
                    </w:rPr>
                    <w:t>(p.82) </w:t>
                  </w:r>
                  <w:r>
                    <w:rPr>
                      <w:w w:val="115"/>
                      <w:sz w:val="20"/>
                    </w:rPr>
                    <w:t>General</w:t>
                  </w:r>
                  <w:r>
                    <w:rPr>
                      <w:spacing w:val="15"/>
                      <w:w w:val="115"/>
                      <w:sz w:val="20"/>
                    </w:rPr>
                    <w:t> </w:t>
                  </w:r>
                  <w:r>
                    <w:rPr>
                      <w:w w:val="115"/>
                      <w:sz w:val="20"/>
                    </w:rPr>
                    <w:t>Assembly</w:t>
                  </w:r>
                  <w:r>
                    <w:rPr>
                      <w:spacing w:val="16"/>
                      <w:w w:val="115"/>
                      <w:sz w:val="20"/>
                    </w:rPr>
                    <w:t> </w:t>
                  </w:r>
                  <w:r>
                    <w:rPr>
                      <w:w w:val="115"/>
                      <w:sz w:val="20"/>
                    </w:rPr>
                    <w:t>recommits</w:t>
                  </w:r>
                  <w:r>
                    <w:rPr>
                      <w:spacing w:val="16"/>
                      <w:w w:val="115"/>
                      <w:sz w:val="20"/>
                    </w:rPr>
                    <w:t> </w:t>
                  </w:r>
                  <w:r>
                    <w:rPr>
                      <w:w w:val="115"/>
                      <w:sz w:val="20"/>
                    </w:rPr>
                    <w:t>the</w:t>
                  </w:r>
                  <w:r>
                    <w:rPr>
                      <w:spacing w:val="15"/>
                      <w:w w:val="115"/>
                      <w:sz w:val="20"/>
                    </w:rPr>
                    <w:t> </w:t>
                  </w:r>
                  <w:r>
                    <w:rPr>
                      <w:w w:val="115"/>
                      <w:sz w:val="20"/>
                    </w:rPr>
                    <w:t>United</w:t>
                  </w:r>
                  <w:r>
                    <w:rPr>
                      <w:spacing w:val="16"/>
                      <w:w w:val="115"/>
                      <w:sz w:val="20"/>
                    </w:rPr>
                    <w:t> </w:t>
                  </w:r>
                  <w:r>
                    <w:rPr>
                      <w:w w:val="115"/>
                      <w:sz w:val="20"/>
                    </w:rPr>
                    <w:t>Reformed</w:t>
                  </w:r>
                  <w:r>
                    <w:rPr>
                      <w:spacing w:val="16"/>
                      <w:w w:val="115"/>
                      <w:sz w:val="20"/>
                    </w:rPr>
                    <w:t> </w:t>
                  </w:r>
                  <w:r>
                    <w:rPr>
                      <w:w w:val="115"/>
                      <w:sz w:val="20"/>
                    </w:rPr>
                    <w:t>Church</w:t>
                  </w:r>
                  <w:r>
                    <w:rPr>
                      <w:spacing w:val="15"/>
                      <w:w w:val="115"/>
                      <w:sz w:val="20"/>
                    </w:rPr>
                    <w:t> </w:t>
                  </w:r>
                  <w:r>
                    <w:rPr>
                      <w:w w:val="115"/>
                      <w:sz w:val="20"/>
                    </w:rPr>
                    <w:t>to</w:t>
                  </w:r>
                  <w:r>
                    <w:rPr>
                      <w:spacing w:val="16"/>
                      <w:w w:val="115"/>
                      <w:sz w:val="20"/>
                    </w:rPr>
                    <w:t> </w:t>
                  </w:r>
                  <w:r>
                    <w:rPr>
                      <w:w w:val="115"/>
                      <w:sz w:val="20"/>
                    </w:rPr>
                    <w:t>the</w:t>
                  </w:r>
                  <w:r>
                    <w:rPr>
                      <w:spacing w:val="16"/>
                      <w:w w:val="115"/>
                      <w:sz w:val="20"/>
                    </w:rPr>
                    <w:t> </w:t>
                  </w:r>
                  <w:r>
                    <w:rPr>
                      <w:w w:val="115"/>
                      <w:sz w:val="20"/>
                    </w:rPr>
                    <w:t>Charter</w:t>
                  </w:r>
                  <w:r>
                    <w:rPr>
                      <w:spacing w:val="16"/>
                      <w:w w:val="115"/>
                      <w:sz w:val="20"/>
                    </w:rPr>
                    <w:t> </w:t>
                  </w:r>
                  <w:r>
                    <w:rPr>
                      <w:w w:val="115"/>
                      <w:sz w:val="20"/>
                    </w:rPr>
                    <w:t>for</w:t>
                  </w:r>
                </w:p>
                <w:p>
                  <w:pPr>
                    <w:pStyle w:val="BodyText"/>
                    <w:ind w:left="291"/>
                  </w:pPr>
                  <w:r>
                    <w:rPr>
                      <w:w w:val="120"/>
                    </w:rPr>
                    <w:t>Children and its implementation in this 21st century world.</w:t>
                  </w:r>
                </w:p>
              </w:txbxContent>
            </v:textbox>
            <v:stroke dashstyle="solid"/>
            <w10:wrap type="topAndBottom"/>
          </v:shape>
        </w:pict>
      </w:r>
    </w:p>
    <w:p>
      <w:pPr>
        <w:pStyle w:val="BodyText"/>
        <w:spacing w:before="9"/>
        <w:rPr>
          <w:sz w:val="6"/>
        </w:rPr>
      </w:pPr>
    </w:p>
    <w:p>
      <w:pPr>
        <w:spacing w:line="631" w:lineRule="exact" w:before="86"/>
        <w:ind w:left="1564" w:right="0" w:firstLine="0"/>
        <w:jc w:val="left"/>
        <w:rPr>
          <w:rFonts w:ascii="Stone Sans II ITC Std Bk"/>
          <w:b/>
          <w:sz w:val="47"/>
        </w:rPr>
      </w:pPr>
      <w:r>
        <w:rPr>
          <w:color w:val="7B4290"/>
          <w:w w:val="120"/>
          <w:sz w:val="39"/>
        </w:rPr>
        <w:t>Resolution </w:t>
      </w:r>
      <w:r>
        <w:rPr>
          <w:rFonts w:ascii="Stone Sans II ITC Std Bk"/>
          <w:b/>
          <w:color w:val="7B4290"/>
          <w:w w:val="120"/>
          <w:sz w:val="47"/>
        </w:rPr>
        <w:t>23</w:t>
      </w:r>
    </w:p>
    <w:p>
      <w:pPr>
        <w:pStyle w:val="Heading8"/>
        <w:tabs>
          <w:tab w:pos="9484" w:val="left" w:leader="none"/>
        </w:tabs>
        <w:spacing w:line="257" w:lineRule="exact"/>
        <w:ind w:left="1564" w:firstLine="0"/>
        <w:rPr>
          <w:rFonts w:ascii="Calibri"/>
          <w:b w:val="0"/>
        </w:rPr>
      </w:pPr>
      <w:r>
        <w:rPr>
          <w:w w:val="110"/>
        </w:rPr>
        <w:t>Equalities committee: Encouraging equality,</w:t>
      </w:r>
      <w:r>
        <w:rPr>
          <w:spacing w:val="4"/>
          <w:w w:val="110"/>
        </w:rPr>
        <w:t> </w:t>
      </w:r>
      <w:r>
        <w:rPr>
          <w:w w:val="110"/>
        </w:rPr>
        <w:t>cherishing</w:t>
      </w:r>
      <w:r>
        <w:rPr>
          <w:spacing w:val="2"/>
          <w:w w:val="110"/>
        </w:rPr>
        <w:t> </w:t>
      </w:r>
      <w:r>
        <w:rPr>
          <w:w w:val="110"/>
        </w:rPr>
        <w:t>diversity</w:t>
        <w:tab/>
      </w:r>
      <w:r>
        <w:rPr>
          <w:rFonts w:ascii="Calibri"/>
          <w:b w:val="0"/>
          <w:spacing w:val="-7"/>
          <w:w w:val="110"/>
        </w:rPr>
        <w:t>(p.105)</w:t>
      </w:r>
    </w:p>
    <w:p>
      <w:pPr>
        <w:pStyle w:val="BodyText"/>
        <w:spacing w:line="235" w:lineRule="auto"/>
        <w:ind w:left="1564" w:right="1428"/>
      </w:pPr>
      <w:r>
        <w:rPr>
          <w:w w:val="120"/>
        </w:rPr>
        <w:t>General Assembly extends the membership of the equalities committee to include a nominee of URC Youth.</w:t>
      </w:r>
    </w:p>
    <w:p>
      <w:pPr>
        <w:pStyle w:val="BodyText"/>
      </w:pPr>
    </w:p>
    <w:p>
      <w:pPr>
        <w:pStyle w:val="BodyText"/>
        <w:spacing w:before="5"/>
        <w:rPr>
          <w:sz w:val="17"/>
        </w:rPr>
      </w:pPr>
      <w:r>
        <w:rPr/>
        <w:pict>
          <v:shape style="position:absolute;margin-left:99.212601pt;margin-top:11.838928pt;width:376.8pt;height:79.3pt;mso-position-horizontal-relative:page;mso-position-vertical-relative:paragraph;z-index:-251124736;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24</w:t>
                  </w:r>
                </w:p>
                <w:p>
                  <w:pPr>
                    <w:spacing w:line="232" w:lineRule="auto" w:before="2"/>
                    <w:ind w:left="0" w:right="4" w:firstLine="0"/>
                    <w:jc w:val="left"/>
                    <w:rPr>
                      <w:sz w:val="20"/>
                    </w:rPr>
                  </w:pPr>
                  <w:r>
                    <w:rPr>
                      <w:rFonts w:ascii="Stone Sans II ITC Std Bk"/>
                      <w:b/>
                      <w:w w:val="120"/>
                      <w:sz w:val="20"/>
                    </w:rPr>
                    <w:t>Equalities committee: Encouraging equality, cherishing diversity </w:t>
                  </w:r>
                  <w:r>
                    <w:rPr>
                      <w:w w:val="120"/>
                      <w:sz w:val="20"/>
                    </w:rPr>
                    <w:t>General Assembly welcomes the attention already given to diversity by the nominations committee and invites the equalities committee to seek ways of supporting the nominations committee in this aspect of its work.</w:t>
                  </w:r>
                </w:p>
              </w:txbxContent>
            </v:textbox>
            <w10:wrap type="topAndBottom"/>
          </v:shape>
        </w:pict>
      </w:r>
      <w:r>
        <w:rPr/>
        <w:pict>
          <v:shape style="position:absolute;margin-left:495.212585pt;margin-top:43.113529pt;width:36.65pt;height:12pt;mso-position-horizontal-relative:page;mso-position-vertical-relative:paragraph;z-index:-251123712;mso-wrap-distance-left:0;mso-wrap-distance-right:0" type="#_x0000_t202" filled="false" stroked="false">
            <v:textbox inset="0,0,0,0">
              <w:txbxContent>
                <w:p>
                  <w:pPr>
                    <w:pStyle w:val="BodyText"/>
                    <w:spacing w:line="240" w:lineRule="exact"/>
                  </w:pPr>
                  <w:r>
                    <w:rPr>
                      <w:spacing w:val="-7"/>
                      <w:w w:val="130"/>
                    </w:rPr>
                    <w:t>(p.105)</w:t>
                  </w:r>
                </w:p>
              </w:txbxContent>
            </v:textbox>
            <w10:wrap type="topAndBottom"/>
          </v:shape>
        </w:pict>
      </w:r>
    </w:p>
    <w:p>
      <w:pPr>
        <w:spacing w:after="0"/>
        <w:rPr>
          <w:sz w:val="17"/>
        </w:rPr>
        <w:sectPr>
          <w:headerReference w:type="default" r:id="rId516"/>
          <w:pgSz w:w="11910" w:h="16840"/>
          <w:pgMar w:header="0" w:footer="647" w:top="520" w:bottom="840" w:left="420" w:right="380"/>
        </w:sectPr>
      </w:pPr>
    </w:p>
    <w:p>
      <w:pPr>
        <w:pStyle w:val="BodyText"/>
      </w:pPr>
      <w:r>
        <w:rPr/>
        <w:drawing>
          <wp:anchor distT="0" distB="0" distL="0" distR="0" allowOverlap="1" layoutInCell="1" locked="0" behindDoc="1" simplePos="0" relativeHeight="236251136">
            <wp:simplePos x="0" y="0"/>
            <wp:positionH relativeFrom="page">
              <wp:posOffset>0</wp:posOffset>
            </wp:positionH>
            <wp:positionV relativeFrom="page">
              <wp:posOffset>0</wp:posOffset>
            </wp:positionV>
            <wp:extent cx="594067" cy="10692003"/>
            <wp:effectExtent l="0" t="0" r="0" b="0"/>
            <wp:wrapNone/>
            <wp:docPr id="367" name="image84.png"/>
            <wp:cNvGraphicFramePr>
              <a:graphicFrameLocks noChangeAspect="1"/>
            </wp:cNvGraphicFramePr>
            <a:graphic>
              <a:graphicData uri="http://schemas.openxmlformats.org/drawingml/2006/picture">
                <pic:pic>
                  <pic:nvPicPr>
                    <pic:cNvPr id="368" name="image84.png"/>
                    <pic:cNvPicPr/>
                  </pic:nvPicPr>
                  <pic:blipFill>
                    <a:blip r:embed="rId511"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87pt;mso-position-horizontal-relative:page;mso-position-vertical-relative:paragraph;z-index:252219392" type="#_x0000_t202" filled="false" stroked="false">
            <v:textbox inset="0,0,0,0" style="layout-flow:vertical">
              <w:txbxContent>
                <w:p>
                  <w:pPr>
                    <w:spacing w:before="29"/>
                    <w:ind w:left="20" w:right="0" w:firstLine="0"/>
                    <w:jc w:val="left"/>
                    <w:rPr>
                      <w:sz w:val="39"/>
                    </w:rPr>
                  </w:pPr>
                  <w:r>
                    <w:rPr>
                      <w:color w:val="FFFFFF"/>
                      <w:w w:val="125"/>
                      <w:sz w:val="39"/>
                    </w:rPr>
                    <w:t>Resolutions 25-30</w:t>
                  </w:r>
                </w:p>
              </w:txbxContent>
            </v:textbox>
            <w10:wrap type="none"/>
          </v:shape>
        </w:pict>
      </w:r>
      <w:r>
        <w:rPr>
          <w:color w:val="7EAABF"/>
          <w:w w:val="115"/>
        </w:rPr>
        <w:t>Resolutions</w:t>
      </w:r>
    </w:p>
    <w:p>
      <w:pPr>
        <w:pStyle w:val="BodyText"/>
        <w:spacing w:before="3"/>
        <w:rPr>
          <w:sz w:val="14"/>
        </w:rPr>
      </w:pPr>
      <w:r>
        <w:rPr/>
        <w:pict>
          <v:group style="position:absolute;margin-left:55.709pt;margin-top:10.675446pt;width:466.85pt;height:178.6pt;mso-position-horizontal-relative:page;mso-position-vertical-relative:paragraph;z-index:-251110400;mso-wrap-distance-left:0;mso-wrap-distance-right:0" coordorigin="1114,214" coordsize="9337,3572">
            <v:rect style="position:absolute;left:1124;top:223;width:9317;height:3552" filled="false" stroked="true" strokeweight="1pt" strokecolor="#000000">
              <v:stroke dashstyle="solid"/>
            </v:rect>
            <v:shape style="position:absolute;left:1374;top:1172;width:8899;height:2400" type="#_x0000_t202" filled="false" stroked="false">
              <v:textbox inset="0,0,0,0">
                <w:txbxContent>
                  <w:p>
                    <w:pPr>
                      <w:spacing w:line="235" w:lineRule="auto" w:before="3"/>
                      <w:ind w:left="0" w:right="0" w:firstLine="0"/>
                      <w:jc w:val="left"/>
                      <w:rPr>
                        <w:sz w:val="20"/>
                      </w:rPr>
                    </w:pPr>
                    <w:r>
                      <w:rPr>
                        <w:w w:val="120"/>
                        <w:sz w:val="20"/>
                      </w:rPr>
                      <w:t>General Assembly recognises that some people who wish to continue as members of the United Reformed Church are unable to do so in the normal way, often because they live at a great distance from any local church of the URC, or their circumstances require a greater degree of mobility than enables them to be church members in the normal way. General Assembly requests each synod to consider whether they can identify one or more local churches which have a vocation to hold the membership of such people, who could be received onto the roll of that local church simply by resolution of the Church Meeting.</w:t>
                    </w:r>
                  </w:p>
                  <w:p>
                    <w:pPr>
                      <w:spacing w:line="235" w:lineRule="auto" w:before="5"/>
                      <w:ind w:left="0" w:right="0" w:firstLine="0"/>
                      <w:jc w:val="left"/>
                      <w:rPr>
                        <w:sz w:val="20"/>
                      </w:rPr>
                    </w:pPr>
                    <w:r>
                      <w:rPr>
                        <w:w w:val="120"/>
                        <w:sz w:val="20"/>
                      </w:rPr>
                      <w:t>General Assembly further requests that synods continue to treat such a local church fairly and justly in regard both to scoping and requested contributions to the ministry and mission fund.</w:t>
                    </w:r>
                  </w:p>
                </w:txbxContent>
              </v:textbox>
              <w10:wrap type="none"/>
            </v:shape>
            <v:shape style="position:absolute;left:9294;top:932;width:689;height:240" type="#_x0000_t202" filled="false" stroked="false">
              <v:textbox inset="0,0,0,0">
                <w:txbxContent>
                  <w:p>
                    <w:pPr>
                      <w:spacing w:line="240" w:lineRule="exact" w:before="0"/>
                      <w:ind w:left="0" w:right="0" w:firstLine="0"/>
                      <w:jc w:val="left"/>
                      <w:rPr>
                        <w:sz w:val="20"/>
                      </w:rPr>
                    </w:pPr>
                    <w:r>
                      <w:rPr>
                        <w:spacing w:val="-13"/>
                        <w:w w:val="130"/>
                        <w:sz w:val="20"/>
                      </w:rPr>
                      <w:t>(p.111)</w:t>
                    </w:r>
                  </w:p>
                </w:txbxContent>
              </v:textbox>
              <w10:wrap type="none"/>
            </v:shape>
            <v:shape style="position:absolute;left:1374;top:307;width:5592;height:86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25</w:t>
                    </w:r>
                  </w:p>
                  <w:p>
                    <w:pPr>
                      <w:spacing w:line="248" w:lineRule="exact" w:before="0"/>
                      <w:ind w:left="0" w:right="0" w:firstLine="0"/>
                      <w:jc w:val="left"/>
                      <w:rPr>
                        <w:rFonts w:ascii="Stone Sans II ITC Std Bk"/>
                        <w:b/>
                        <w:sz w:val="20"/>
                      </w:rPr>
                    </w:pPr>
                    <w:r>
                      <w:rPr>
                        <w:rFonts w:ascii="Stone Sans II ITC Std Bk"/>
                        <w:b/>
                        <w:w w:val="110"/>
                        <w:sz w:val="20"/>
                      </w:rPr>
                      <w:t>Faith and order committee: Report of ongoing work</w:t>
                    </w:r>
                  </w:p>
                </w:txbxContent>
              </v:textbox>
              <w10:wrap type="none"/>
            </v:shape>
            <w10:wrap type="topAndBottom"/>
          </v:group>
        </w:pict>
      </w:r>
      <w:r>
        <w:rPr/>
        <w:pict>
          <v:group style="position:absolute;margin-left:55.709pt;margin-top:199.183441pt;width:466.85pt;height:79.150pt;mso-position-horizontal-relative:page;mso-position-vertical-relative:paragraph;z-index:-251106304;mso-wrap-distance-left:0;mso-wrap-distance-right:0" coordorigin="1114,3984" coordsize="9337,1583">
            <v:rect style="position:absolute;left:1124;top:3993;width:9317;height:1563" filled="false" stroked="true" strokeweight="1pt" strokecolor="#000000">
              <v:stroke dashstyle="solid"/>
            </v:rect>
            <v:shape style="position:absolute;left:1374;top:4926;width:8815;height:480" type="#_x0000_t202" filled="false" stroked="false">
              <v:textbox inset="0,0,0,0">
                <w:txbxContent>
                  <w:p>
                    <w:pPr>
                      <w:spacing w:line="235" w:lineRule="auto" w:before="3"/>
                      <w:ind w:left="0" w:right="17" w:firstLine="0"/>
                      <w:jc w:val="left"/>
                      <w:rPr>
                        <w:sz w:val="20"/>
                      </w:rPr>
                    </w:pPr>
                    <w:r>
                      <w:rPr>
                        <w:w w:val="120"/>
                        <w:sz w:val="20"/>
                      </w:rPr>
                      <w:t>General Assembly notes the Trustees’ Report and Financial Statements for the year ended 31 December 2017.</w:t>
                    </w:r>
                  </w:p>
                </w:txbxContent>
              </v:textbox>
              <w10:wrap type="none"/>
            </v:shape>
            <v:shape style="position:absolute;left:9295;top:4686;width:691;height:240" type="#_x0000_t202" filled="false" stroked="false">
              <v:textbox inset="0,0,0,0">
                <w:txbxContent>
                  <w:p>
                    <w:pPr>
                      <w:spacing w:line="240" w:lineRule="exact" w:before="0"/>
                      <w:ind w:left="0" w:right="0" w:firstLine="0"/>
                      <w:jc w:val="left"/>
                      <w:rPr>
                        <w:sz w:val="20"/>
                      </w:rPr>
                    </w:pPr>
                    <w:r>
                      <w:rPr>
                        <w:spacing w:val="-13"/>
                        <w:w w:val="130"/>
                        <w:sz w:val="20"/>
                      </w:rPr>
                      <w:t>(p.121)</w:t>
                    </w:r>
                  </w:p>
                </w:txbxContent>
              </v:textbox>
              <w10:wrap type="none"/>
            </v:shape>
            <v:shape style="position:absolute;left:1374;top:4060;width:3956;height:86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26</w:t>
                    </w:r>
                  </w:p>
                  <w:p>
                    <w:pPr>
                      <w:spacing w:line="248" w:lineRule="exact" w:before="0"/>
                      <w:ind w:left="0" w:right="0" w:firstLine="0"/>
                      <w:jc w:val="left"/>
                      <w:rPr>
                        <w:rFonts w:ascii="Stone Sans II ITC Std Bk"/>
                        <w:b/>
                        <w:sz w:val="20"/>
                      </w:rPr>
                    </w:pPr>
                    <w:r>
                      <w:rPr>
                        <w:rFonts w:ascii="Stone Sans II ITC Std Bk"/>
                        <w:b/>
                        <w:w w:val="110"/>
                        <w:sz w:val="20"/>
                      </w:rPr>
                      <w:t>Finance committee: Annual accounts</w:t>
                    </w:r>
                  </w:p>
                </w:txbxContent>
              </v:textbox>
              <w10:wrap type="none"/>
            </v:shape>
            <w10:wrap type="topAndBottom"/>
          </v:group>
        </w:pict>
      </w:r>
      <w:r>
        <w:rPr/>
        <w:pict>
          <v:group style="position:absolute;margin-left:56.709pt;margin-top:288.691437pt;width:466.85pt;height:84.85pt;mso-position-horizontal-relative:page;mso-position-vertical-relative:paragraph;z-index:-251102208;mso-wrap-distance-left:0;mso-wrap-distance-right:0" coordorigin="1134,5774" coordsize="9337,1697">
            <v:rect style="position:absolute;left:1144;top:5783;width:9317;height:1677" filled="false" stroked="true" strokeweight="1pt" strokecolor="#000000">
              <v:stroke dashstyle="solid"/>
            </v:rect>
            <v:shape style="position:absolute;left:1374;top:6759;width:8302;height:481" type="#_x0000_t202" filled="false" stroked="false">
              <v:textbox inset="0,0,0,0">
                <w:txbxContent>
                  <w:p>
                    <w:pPr>
                      <w:spacing w:line="235" w:lineRule="auto" w:before="3"/>
                      <w:ind w:left="0" w:right="0" w:firstLine="0"/>
                      <w:jc w:val="left"/>
                      <w:rPr>
                        <w:sz w:val="20"/>
                      </w:rPr>
                    </w:pPr>
                    <w:r>
                      <w:rPr>
                        <w:w w:val="120"/>
                        <w:sz w:val="20"/>
                      </w:rPr>
                      <w:t>General Assembly adopts the definition of an active Minister contained on page 134 of the </w:t>
                    </w:r>
                    <w:r>
                      <w:rPr>
                        <w:i/>
                        <w:w w:val="120"/>
                        <w:sz w:val="20"/>
                      </w:rPr>
                      <w:t>Book of Reports</w:t>
                    </w:r>
                    <w:r>
                      <w:rPr>
                        <w:w w:val="120"/>
                        <w:sz w:val="20"/>
                      </w:rPr>
                      <w:t>.</w:t>
                    </w:r>
                  </w:p>
                </w:txbxContent>
              </v:textbox>
              <w10:wrap type="none"/>
            </v:shape>
            <v:shape style="position:absolute;left:9294;top:6519;width:705;height:240" type="#_x0000_t202" filled="false" stroked="false">
              <v:textbox inset="0,0,0,0">
                <w:txbxContent>
                  <w:p>
                    <w:pPr>
                      <w:spacing w:line="240" w:lineRule="exact" w:before="0"/>
                      <w:ind w:left="0" w:right="0" w:firstLine="0"/>
                      <w:jc w:val="left"/>
                      <w:rPr>
                        <w:sz w:val="20"/>
                      </w:rPr>
                    </w:pPr>
                    <w:r>
                      <w:rPr>
                        <w:spacing w:val="-11"/>
                        <w:w w:val="130"/>
                        <w:sz w:val="20"/>
                      </w:rPr>
                      <w:t>(p.133)</w:t>
                    </w:r>
                  </w:p>
                </w:txbxContent>
              </v:textbox>
              <w10:wrap type="none"/>
            </v:shape>
            <v:shape style="position:absolute;left:1374;top:5894;width:5718;height:866"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27</w:t>
                    </w:r>
                  </w:p>
                  <w:p>
                    <w:pPr>
                      <w:spacing w:line="248" w:lineRule="exact" w:before="0"/>
                      <w:ind w:left="0" w:right="0" w:firstLine="0"/>
                      <w:jc w:val="left"/>
                      <w:rPr>
                        <w:rFonts w:ascii="Stone Sans II ITC Std Bk"/>
                        <w:b/>
                        <w:sz w:val="20"/>
                      </w:rPr>
                    </w:pPr>
                    <w:r>
                      <w:rPr>
                        <w:rFonts w:ascii="Stone Sans II ITC Std Bk"/>
                        <w:b/>
                        <w:w w:val="110"/>
                        <w:sz w:val="20"/>
                      </w:rPr>
                      <w:t>Ministries committee: Definition of an active Minister</w:t>
                    </w:r>
                  </w:p>
                </w:txbxContent>
              </v:textbox>
              <w10:wrap type="none"/>
            </v:shape>
            <w10:wrap type="topAndBottom"/>
          </v:group>
        </w:pict>
      </w:r>
      <w:r>
        <w:rPr/>
        <w:pict>
          <v:shape style="position:absolute;margin-left:57.209pt;margin-top:382.097443pt;width:465.85pt;height:105.95pt;mso-position-horizontal-relative:page;mso-position-vertical-relative:paragraph;z-index:-251101184;mso-wrap-distance-left:0;mso-wrap-distance-right:0" type="#_x0000_t202" filled="false" stroked="true" strokeweight="1pt" strokecolor="#000000">
            <v:textbox inset="0,0,0,0">
              <w:txbxContent>
                <w:p>
                  <w:pPr>
                    <w:spacing w:line="631" w:lineRule="exact" w:before="61"/>
                    <w:ind w:left="220" w:right="0" w:firstLine="0"/>
                    <w:jc w:val="left"/>
                    <w:rPr>
                      <w:rFonts w:ascii="Stone Sans II ITC Std Bk"/>
                      <w:b/>
                      <w:sz w:val="47"/>
                    </w:rPr>
                  </w:pPr>
                  <w:r>
                    <w:rPr>
                      <w:color w:val="7B4290"/>
                      <w:w w:val="120"/>
                      <w:sz w:val="39"/>
                    </w:rPr>
                    <w:t>Resolution </w:t>
                  </w:r>
                  <w:r>
                    <w:rPr>
                      <w:rFonts w:ascii="Stone Sans II ITC Std Bk"/>
                      <w:b/>
                      <w:color w:val="7B4290"/>
                      <w:w w:val="120"/>
                      <w:sz w:val="47"/>
                    </w:rPr>
                    <w:t>28</w:t>
                  </w:r>
                </w:p>
                <w:p>
                  <w:pPr>
                    <w:tabs>
                      <w:tab w:pos="8141" w:val="left" w:leader="none"/>
                    </w:tabs>
                    <w:spacing w:line="213" w:lineRule="auto" w:before="18"/>
                    <w:ind w:left="220" w:right="538" w:firstLine="0"/>
                    <w:jc w:val="left"/>
                    <w:rPr>
                      <w:sz w:val="20"/>
                    </w:rPr>
                  </w:pPr>
                  <w:r>
                    <w:rPr>
                      <w:rFonts w:ascii="Stone Sans II ITC Std Bk" w:hAnsi="Stone Sans II ITC Std Bk"/>
                      <w:b/>
                      <w:w w:val="110"/>
                      <w:sz w:val="20"/>
                    </w:rPr>
                    <w:t>Ministries committee: Discerning God’s call to URC Ministers of Word and Sacraments</w:t>
                    <w:tab/>
                  </w:r>
                  <w:r>
                    <w:rPr>
                      <w:spacing w:val="-12"/>
                      <w:w w:val="110"/>
                      <w:sz w:val="20"/>
                    </w:rPr>
                    <w:t>(p.135)</w:t>
                  </w:r>
                </w:p>
                <w:p>
                  <w:pPr>
                    <w:pStyle w:val="BodyText"/>
                    <w:spacing w:line="235" w:lineRule="auto"/>
                    <w:ind w:left="220"/>
                  </w:pPr>
                  <w:r>
                    <w:rPr>
                      <w:w w:val="120"/>
                    </w:rPr>
                    <w:t>General Assembly encourages a flexible approach to how ministerial calls are issued and concurred, noting the variety of existing practice and the provisions of sections 1(1)(b), 1(1)(c), 2(1)(vii), 2(4)(A)(iii) and 2(4)(A)(vii) of the Structure of the URC.</w:t>
                  </w:r>
                </w:p>
              </w:txbxContent>
            </v:textbox>
            <v:stroke dashstyle="solid"/>
            <w10:wrap type="topAndBottom"/>
          </v:shape>
        </w:pict>
      </w:r>
      <w:r>
        <w:rPr/>
        <w:pict>
          <v:shape style="position:absolute;margin-left:57.209pt;margin-top:498.456451pt;width:465.85pt;height:128.15pt;mso-position-horizontal-relative:page;mso-position-vertical-relative:paragraph;z-index:-251100160;mso-wrap-distance-left:0;mso-wrap-distance-right:0" type="#_x0000_t202" filled="false" stroked="true" strokeweight="1pt" strokecolor="#000000">
            <v:textbox inset="0,0,0,0">
              <w:txbxContent>
                <w:p>
                  <w:pPr>
                    <w:spacing w:line="631" w:lineRule="exact" w:before="47"/>
                    <w:ind w:left="220" w:right="0" w:firstLine="0"/>
                    <w:jc w:val="left"/>
                    <w:rPr>
                      <w:rFonts w:ascii="Stone Sans II ITC Std Bk"/>
                      <w:b/>
                      <w:sz w:val="47"/>
                    </w:rPr>
                  </w:pPr>
                  <w:r>
                    <w:rPr>
                      <w:color w:val="7B4290"/>
                      <w:w w:val="120"/>
                      <w:sz w:val="39"/>
                    </w:rPr>
                    <w:t>Resolution </w:t>
                  </w:r>
                  <w:r>
                    <w:rPr>
                      <w:rFonts w:ascii="Stone Sans II ITC Std Bk"/>
                      <w:b/>
                      <w:color w:val="7B4290"/>
                      <w:w w:val="120"/>
                      <w:sz w:val="47"/>
                    </w:rPr>
                    <w:t>29</w:t>
                  </w:r>
                </w:p>
                <w:p>
                  <w:pPr>
                    <w:pStyle w:val="BodyText"/>
                    <w:spacing w:line="230" w:lineRule="auto" w:before="4"/>
                    <w:ind w:left="220" w:right="222"/>
                  </w:pPr>
                  <w:r>
                    <w:rPr>
                      <w:rFonts w:ascii="Stone Sans II ITC Std Bk"/>
                      <w:b/>
                      <w:w w:val="115"/>
                    </w:rPr>
                    <w:t>Ministries committee: Non-stipendiary ministry of Word and Sacraments </w:t>
                  </w:r>
                  <w:r>
                    <w:rPr>
                      <w:spacing w:val="-9"/>
                      <w:w w:val="115"/>
                    </w:rPr>
                    <w:t>(p.137) </w:t>
                  </w:r>
                  <w:r>
                    <w:rPr>
                      <w:w w:val="120"/>
                    </w:rPr>
                    <w:t>General Assembly authorises a model four non-stipendiary ministry which will provide    for locally ordained ministers, taking account of how that fits with the other ministries of the</w:t>
                  </w:r>
                  <w:r>
                    <w:rPr>
                      <w:spacing w:val="8"/>
                      <w:w w:val="120"/>
                    </w:rPr>
                    <w:t> </w:t>
                  </w:r>
                  <w:r>
                    <w:rPr>
                      <w:w w:val="120"/>
                    </w:rPr>
                    <w:t>church,</w:t>
                  </w:r>
                  <w:r>
                    <w:rPr>
                      <w:spacing w:val="9"/>
                      <w:w w:val="120"/>
                    </w:rPr>
                    <w:t> </w:t>
                  </w:r>
                  <w:r>
                    <w:rPr>
                      <w:w w:val="120"/>
                    </w:rPr>
                    <w:t>including</w:t>
                  </w:r>
                  <w:r>
                    <w:rPr>
                      <w:spacing w:val="9"/>
                      <w:w w:val="120"/>
                    </w:rPr>
                    <w:t> </w:t>
                  </w:r>
                  <w:r>
                    <w:rPr>
                      <w:w w:val="120"/>
                    </w:rPr>
                    <w:t>stipendiary</w:t>
                  </w:r>
                  <w:r>
                    <w:rPr>
                      <w:spacing w:val="9"/>
                      <w:w w:val="120"/>
                    </w:rPr>
                    <w:t> </w:t>
                  </w:r>
                  <w:r>
                    <w:rPr>
                      <w:w w:val="120"/>
                    </w:rPr>
                    <w:t>ministry,</w:t>
                  </w:r>
                  <w:r>
                    <w:rPr>
                      <w:spacing w:val="9"/>
                      <w:w w:val="120"/>
                    </w:rPr>
                    <w:t> </w:t>
                  </w:r>
                  <w:r>
                    <w:rPr>
                      <w:w w:val="120"/>
                    </w:rPr>
                    <w:t>non-stipendiary</w:t>
                  </w:r>
                  <w:r>
                    <w:rPr>
                      <w:spacing w:val="9"/>
                      <w:w w:val="120"/>
                    </w:rPr>
                    <w:t> </w:t>
                  </w:r>
                  <w:r>
                    <w:rPr>
                      <w:w w:val="120"/>
                    </w:rPr>
                    <w:t>ministry</w:t>
                  </w:r>
                  <w:r>
                    <w:rPr>
                      <w:spacing w:val="9"/>
                      <w:w w:val="120"/>
                    </w:rPr>
                    <w:t> </w:t>
                  </w:r>
                  <w:r>
                    <w:rPr>
                      <w:w w:val="120"/>
                    </w:rPr>
                    <w:t>as</w:t>
                  </w:r>
                  <w:r>
                    <w:rPr>
                      <w:spacing w:val="9"/>
                      <w:w w:val="120"/>
                    </w:rPr>
                    <w:t> </w:t>
                  </w:r>
                  <w:r>
                    <w:rPr>
                      <w:w w:val="120"/>
                    </w:rPr>
                    <w:t>it</w:t>
                  </w:r>
                  <w:r>
                    <w:rPr>
                      <w:spacing w:val="9"/>
                      <w:w w:val="120"/>
                    </w:rPr>
                    <w:t> </w:t>
                  </w:r>
                  <w:r>
                    <w:rPr>
                      <w:w w:val="120"/>
                    </w:rPr>
                    <w:t>currently</w:t>
                  </w:r>
                  <w:r>
                    <w:rPr>
                      <w:spacing w:val="9"/>
                      <w:w w:val="120"/>
                    </w:rPr>
                    <w:t> </w:t>
                  </w:r>
                  <w:r>
                    <w:rPr>
                      <w:w w:val="120"/>
                    </w:rPr>
                    <w:t>is,</w:t>
                  </w:r>
                  <w:r>
                    <w:rPr>
                      <w:spacing w:val="8"/>
                      <w:w w:val="120"/>
                    </w:rPr>
                    <w:t> </w:t>
                  </w:r>
                  <w:r>
                    <w:rPr>
                      <w:w w:val="120"/>
                    </w:rPr>
                    <w:t>local</w:t>
                  </w:r>
                </w:p>
                <w:p>
                  <w:pPr>
                    <w:pStyle w:val="BodyText"/>
                    <w:spacing w:line="235" w:lineRule="auto" w:before="5"/>
                    <w:ind w:left="220"/>
                  </w:pPr>
                  <w:r>
                    <w:rPr>
                      <w:w w:val="120"/>
                    </w:rPr>
                    <w:t>leadership (recognising that there is no denominational scheme as such) and the eldership, including the specific role of authorised elders, this model to be as outlined on pages</w:t>
                  </w:r>
                </w:p>
                <w:p>
                  <w:pPr>
                    <w:spacing w:line="242" w:lineRule="exact" w:before="0"/>
                    <w:ind w:left="220" w:right="0" w:firstLine="0"/>
                    <w:jc w:val="left"/>
                    <w:rPr>
                      <w:sz w:val="20"/>
                    </w:rPr>
                  </w:pPr>
                  <w:r>
                    <w:rPr>
                      <w:w w:val="115"/>
                      <w:sz w:val="20"/>
                    </w:rPr>
                    <w:t>138 to 139 of the </w:t>
                  </w:r>
                  <w:r>
                    <w:rPr>
                      <w:i/>
                      <w:w w:val="115"/>
                      <w:sz w:val="20"/>
                    </w:rPr>
                    <w:t>Book of Reports</w:t>
                  </w:r>
                  <w:r>
                    <w:rPr>
                      <w:w w:val="115"/>
                      <w:sz w:val="20"/>
                    </w:rPr>
                    <w:t>.</w:t>
                  </w:r>
                </w:p>
              </w:txbxContent>
            </v:textbox>
            <v:stroke dashstyle="solid"/>
            <w10:wrap type="topAndBottom"/>
          </v:shape>
        </w:pict>
      </w:r>
      <w:r>
        <w:rPr/>
        <w:pict>
          <v:shape style="position:absolute;margin-left:58.209pt;margin-top:635.980469pt;width:465.85pt;height:94.2pt;mso-position-horizontal-relative:page;mso-position-vertical-relative:paragraph;z-index:-251099136;mso-wrap-distance-left:0;mso-wrap-distance-right:0" type="#_x0000_t202" filled="false" stroked="true" strokeweight="1pt" strokecolor="#000000">
            <v:textbox inset="0,0,0,0">
              <w:txbxContent>
                <w:p>
                  <w:pPr>
                    <w:spacing w:line="631" w:lineRule="exact" w:before="90"/>
                    <w:ind w:left="200" w:right="0" w:firstLine="0"/>
                    <w:jc w:val="left"/>
                    <w:rPr>
                      <w:rFonts w:ascii="Stone Sans II ITC Std Bk"/>
                      <w:b/>
                      <w:sz w:val="47"/>
                    </w:rPr>
                  </w:pPr>
                  <w:r>
                    <w:rPr>
                      <w:color w:val="7B4290"/>
                      <w:w w:val="120"/>
                      <w:sz w:val="39"/>
                    </w:rPr>
                    <w:t>Resolution </w:t>
                  </w:r>
                  <w:r>
                    <w:rPr>
                      <w:rFonts w:ascii="Stone Sans II ITC Std Bk"/>
                      <w:b/>
                      <w:color w:val="7B4290"/>
                      <w:w w:val="120"/>
                      <w:sz w:val="47"/>
                    </w:rPr>
                    <w:t>30</w:t>
                  </w:r>
                </w:p>
                <w:p>
                  <w:pPr>
                    <w:spacing w:line="230" w:lineRule="auto" w:before="4"/>
                    <w:ind w:left="200" w:right="477" w:firstLine="0"/>
                    <w:jc w:val="left"/>
                    <w:rPr>
                      <w:sz w:val="20"/>
                    </w:rPr>
                  </w:pPr>
                  <w:r>
                    <w:rPr>
                      <w:rFonts w:ascii="Stone Sans II ITC Std Bk"/>
                      <w:b/>
                      <w:w w:val="115"/>
                      <w:sz w:val="20"/>
                    </w:rPr>
                    <w:t>Ministries</w:t>
                  </w:r>
                  <w:r>
                    <w:rPr>
                      <w:rFonts w:ascii="Stone Sans II ITC Std Bk"/>
                      <w:b/>
                      <w:spacing w:val="-23"/>
                      <w:w w:val="115"/>
                      <w:sz w:val="20"/>
                    </w:rPr>
                    <w:t> </w:t>
                  </w:r>
                  <w:r>
                    <w:rPr>
                      <w:rFonts w:ascii="Stone Sans II ITC Std Bk"/>
                      <w:b/>
                      <w:w w:val="115"/>
                      <w:sz w:val="20"/>
                    </w:rPr>
                    <w:t>committee:</w:t>
                  </w:r>
                  <w:r>
                    <w:rPr>
                      <w:rFonts w:ascii="Stone Sans II ITC Std Bk"/>
                      <w:b/>
                      <w:spacing w:val="-23"/>
                      <w:w w:val="115"/>
                      <w:sz w:val="20"/>
                    </w:rPr>
                    <w:t> </w:t>
                  </w:r>
                  <w:r>
                    <w:rPr>
                      <w:rFonts w:ascii="Stone Sans II ITC Std Bk"/>
                      <w:b/>
                      <w:w w:val="115"/>
                      <w:sz w:val="20"/>
                    </w:rPr>
                    <w:t>Non-stipendiary</w:t>
                  </w:r>
                  <w:r>
                    <w:rPr>
                      <w:rFonts w:ascii="Stone Sans II ITC Std Bk"/>
                      <w:b/>
                      <w:spacing w:val="-23"/>
                      <w:w w:val="115"/>
                      <w:sz w:val="20"/>
                    </w:rPr>
                    <w:t> </w:t>
                  </w:r>
                  <w:r>
                    <w:rPr>
                      <w:rFonts w:ascii="Stone Sans II ITC Std Bk"/>
                      <w:b/>
                      <w:w w:val="115"/>
                      <w:sz w:val="20"/>
                    </w:rPr>
                    <w:t>ministry</w:t>
                  </w:r>
                  <w:r>
                    <w:rPr>
                      <w:rFonts w:ascii="Stone Sans II ITC Std Bk"/>
                      <w:b/>
                      <w:spacing w:val="-23"/>
                      <w:w w:val="115"/>
                      <w:sz w:val="20"/>
                    </w:rPr>
                    <w:t> </w:t>
                  </w:r>
                  <w:r>
                    <w:rPr>
                      <w:rFonts w:ascii="Stone Sans II ITC Std Bk"/>
                      <w:b/>
                      <w:w w:val="115"/>
                      <w:sz w:val="20"/>
                    </w:rPr>
                    <w:t>of</w:t>
                  </w:r>
                  <w:r>
                    <w:rPr>
                      <w:rFonts w:ascii="Stone Sans II ITC Std Bk"/>
                      <w:b/>
                      <w:spacing w:val="-22"/>
                      <w:w w:val="115"/>
                      <w:sz w:val="20"/>
                    </w:rPr>
                    <w:t> </w:t>
                  </w:r>
                  <w:r>
                    <w:rPr>
                      <w:rFonts w:ascii="Stone Sans II ITC Std Bk"/>
                      <w:b/>
                      <w:w w:val="115"/>
                      <w:sz w:val="20"/>
                    </w:rPr>
                    <w:t>Word</w:t>
                  </w:r>
                  <w:r>
                    <w:rPr>
                      <w:rFonts w:ascii="Stone Sans II ITC Std Bk"/>
                      <w:b/>
                      <w:spacing w:val="-23"/>
                      <w:w w:val="115"/>
                      <w:sz w:val="20"/>
                    </w:rPr>
                    <w:t> </w:t>
                  </w:r>
                  <w:r>
                    <w:rPr>
                      <w:rFonts w:ascii="Stone Sans II ITC Std Bk"/>
                      <w:b/>
                      <w:w w:val="115"/>
                      <w:sz w:val="20"/>
                    </w:rPr>
                    <w:t>and</w:t>
                  </w:r>
                  <w:r>
                    <w:rPr>
                      <w:rFonts w:ascii="Stone Sans II ITC Std Bk"/>
                      <w:b/>
                      <w:spacing w:val="-23"/>
                      <w:w w:val="115"/>
                      <w:sz w:val="20"/>
                    </w:rPr>
                    <w:t> </w:t>
                  </w:r>
                  <w:r>
                    <w:rPr>
                      <w:rFonts w:ascii="Stone Sans II ITC Std Bk"/>
                      <w:b/>
                      <w:w w:val="115"/>
                      <w:sz w:val="20"/>
                    </w:rPr>
                    <w:t>Sacraments</w:t>
                  </w:r>
                  <w:r>
                    <w:rPr>
                      <w:rFonts w:ascii="Stone Sans II ITC Std Bk"/>
                      <w:b/>
                      <w:spacing w:val="33"/>
                      <w:w w:val="115"/>
                      <w:sz w:val="20"/>
                    </w:rPr>
                    <w:t> </w:t>
                  </w:r>
                  <w:r>
                    <w:rPr>
                      <w:spacing w:val="-9"/>
                      <w:w w:val="115"/>
                      <w:sz w:val="20"/>
                    </w:rPr>
                    <w:t>(p.137) </w:t>
                  </w:r>
                  <w:r>
                    <w:rPr>
                      <w:w w:val="115"/>
                      <w:sz w:val="20"/>
                    </w:rPr>
                    <w:t>General Assembly instructs the ministries committee and education and learning committee</w:t>
                  </w:r>
                  <w:r>
                    <w:rPr>
                      <w:spacing w:val="23"/>
                      <w:w w:val="115"/>
                      <w:sz w:val="20"/>
                    </w:rPr>
                    <w:t> </w:t>
                  </w:r>
                  <w:r>
                    <w:rPr>
                      <w:w w:val="115"/>
                      <w:sz w:val="20"/>
                    </w:rPr>
                    <w:t>to</w:t>
                  </w:r>
                  <w:r>
                    <w:rPr>
                      <w:spacing w:val="23"/>
                      <w:w w:val="115"/>
                      <w:sz w:val="20"/>
                    </w:rPr>
                    <w:t> </w:t>
                  </w:r>
                  <w:r>
                    <w:rPr>
                      <w:w w:val="115"/>
                      <w:sz w:val="20"/>
                    </w:rPr>
                    <w:t>implement</w:t>
                  </w:r>
                  <w:r>
                    <w:rPr>
                      <w:spacing w:val="23"/>
                      <w:w w:val="115"/>
                      <w:sz w:val="20"/>
                    </w:rPr>
                    <w:t> </w:t>
                  </w:r>
                  <w:r>
                    <w:rPr>
                      <w:w w:val="115"/>
                      <w:sz w:val="20"/>
                    </w:rPr>
                    <w:t>model</w:t>
                  </w:r>
                  <w:r>
                    <w:rPr>
                      <w:spacing w:val="24"/>
                      <w:w w:val="115"/>
                      <w:sz w:val="20"/>
                    </w:rPr>
                    <w:t> </w:t>
                  </w:r>
                  <w:r>
                    <w:rPr>
                      <w:w w:val="115"/>
                      <w:sz w:val="20"/>
                    </w:rPr>
                    <w:t>four</w:t>
                  </w:r>
                  <w:r>
                    <w:rPr>
                      <w:spacing w:val="23"/>
                      <w:w w:val="115"/>
                      <w:sz w:val="20"/>
                    </w:rPr>
                    <w:t> </w:t>
                  </w:r>
                  <w:r>
                    <w:rPr>
                      <w:w w:val="115"/>
                      <w:sz w:val="20"/>
                    </w:rPr>
                    <w:t>non-stipendiary</w:t>
                  </w:r>
                  <w:r>
                    <w:rPr>
                      <w:spacing w:val="23"/>
                      <w:w w:val="115"/>
                      <w:sz w:val="20"/>
                    </w:rPr>
                    <w:t> </w:t>
                  </w:r>
                  <w:r>
                    <w:rPr>
                      <w:w w:val="115"/>
                      <w:sz w:val="20"/>
                    </w:rPr>
                    <w:t>ministry</w:t>
                  </w:r>
                  <w:r>
                    <w:rPr>
                      <w:spacing w:val="24"/>
                      <w:w w:val="115"/>
                      <w:sz w:val="20"/>
                    </w:rPr>
                    <w:t> </w:t>
                  </w:r>
                  <w:r>
                    <w:rPr>
                      <w:w w:val="115"/>
                      <w:sz w:val="20"/>
                    </w:rPr>
                    <w:t>in</w:t>
                  </w:r>
                  <w:r>
                    <w:rPr>
                      <w:spacing w:val="23"/>
                      <w:w w:val="115"/>
                      <w:sz w:val="20"/>
                    </w:rPr>
                    <w:t> </w:t>
                  </w:r>
                  <w:r>
                    <w:rPr>
                      <w:w w:val="115"/>
                      <w:sz w:val="20"/>
                    </w:rPr>
                    <w:t>consultation</w:t>
                  </w:r>
                  <w:r>
                    <w:rPr>
                      <w:spacing w:val="23"/>
                      <w:w w:val="115"/>
                      <w:sz w:val="20"/>
                    </w:rPr>
                    <w:t> </w:t>
                  </w:r>
                  <w:r>
                    <w:rPr>
                      <w:w w:val="115"/>
                      <w:sz w:val="20"/>
                    </w:rPr>
                    <w:t>with</w:t>
                  </w:r>
                </w:p>
                <w:p>
                  <w:pPr>
                    <w:pStyle w:val="BodyText"/>
                    <w:spacing w:line="240" w:lineRule="exact"/>
                    <w:ind w:left="200"/>
                  </w:pPr>
                  <w:r>
                    <w:rPr>
                      <w:w w:val="120"/>
                    </w:rPr>
                    <w:t>the assessment board and the Resource Centres for Learning.</w:t>
                  </w:r>
                </w:p>
              </w:txbxContent>
            </v:textbox>
            <v:stroke dashstyle="solid"/>
            <w10:wrap type="topAndBottom"/>
          </v:shape>
        </w:pict>
      </w:r>
    </w:p>
    <w:p>
      <w:pPr>
        <w:pStyle w:val="BodyText"/>
        <w:spacing w:before="8"/>
        <w:rPr>
          <w:sz w:val="10"/>
        </w:rPr>
      </w:pPr>
    </w:p>
    <w:p>
      <w:pPr>
        <w:pStyle w:val="BodyText"/>
        <w:spacing w:before="4"/>
        <w:rPr>
          <w:sz w:val="11"/>
        </w:rPr>
      </w:pPr>
    </w:p>
    <w:p>
      <w:pPr>
        <w:pStyle w:val="BodyText"/>
        <w:spacing w:before="8"/>
        <w:rPr>
          <w:sz w:val="7"/>
        </w:rPr>
      </w:pPr>
    </w:p>
    <w:p>
      <w:pPr>
        <w:pStyle w:val="BodyText"/>
        <w:spacing w:before="11"/>
        <w:rPr>
          <w:sz w:val="9"/>
        </w:rPr>
      </w:pPr>
    </w:p>
    <w:p>
      <w:pPr>
        <w:pStyle w:val="BodyText"/>
        <w:spacing w:before="2"/>
        <w:rPr>
          <w:sz w:val="8"/>
        </w:rPr>
      </w:pPr>
    </w:p>
    <w:p>
      <w:pPr>
        <w:spacing w:after="0"/>
        <w:rPr>
          <w:sz w:val="8"/>
        </w:rPr>
        <w:sectPr>
          <w:headerReference w:type="even" r:id="rId517"/>
          <w:footerReference w:type="even" r:id="rId518"/>
          <w:footerReference w:type="default" r:id="rId519"/>
          <w:pgSz w:w="11910" w:h="16840"/>
          <w:pgMar w:header="0" w:footer="647" w:top="0" w:bottom="840" w:left="420" w:right="380"/>
          <w:pgNumType w:start="192"/>
        </w:sectPr>
      </w:pPr>
    </w:p>
    <w:p>
      <w:pPr>
        <w:spacing w:before="94"/>
        <w:ind w:left="0" w:right="865" w:firstLine="0"/>
        <w:jc w:val="right"/>
        <w:rPr>
          <w:sz w:val="26"/>
        </w:rPr>
      </w:pPr>
      <w:r>
        <w:rPr/>
        <w:pict>
          <v:group style="position:absolute;margin-left:82.638pt;margin-top:.000015pt;width:512.65pt;height:841.9pt;mso-position-horizontal-relative:page;mso-position-vertical-relative:page;z-index:-267059200" coordorigin="1653,0" coordsize="10253,16838">
            <v:rect style="position:absolute;left:1662;top:5358;width:9317;height:1884" filled="false" stroked="true" strokeweight="1pt" strokecolor="#000000">
              <v:stroke dashstyle="solid"/>
            </v:rect>
            <v:shape style="position:absolute;left:10984;top:0;width:922;height:16838" type="#_x0000_t75" stroked="false">
              <v:imagedata r:id="rId507" o:title=""/>
            </v:shape>
            <w10:wrap type="none"/>
          </v:group>
        </w:pict>
      </w:r>
      <w:r>
        <w:rPr/>
        <w:pict>
          <v:shape style="position:absolute;margin-left:554.141174pt;margin-top:21.993946pt;width:26pt;height:187pt;mso-position-horizontal-relative:page;mso-position-vertical-relative:paragraph;z-index:252225536" type="#_x0000_t202" filled="false" stroked="false">
            <v:textbox inset="0,0,0,0" style="layout-flow:vertical">
              <w:txbxContent>
                <w:p>
                  <w:pPr>
                    <w:spacing w:before="29"/>
                    <w:ind w:left="20" w:right="0" w:firstLine="0"/>
                    <w:jc w:val="left"/>
                    <w:rPr>
                      <w:sz w:val="39"/>
                    </w:rPr>
                  </w:pPr>
                  <w:r>
                    <w:rPr>
                      <w:color w:val="FFFFFF"/>
                      <w:w w:val="125"/>
                      <w:sz w:val="39"/>
                    </w:rPr>
                    <w:t>Resolutions 31-32</w:t>
                  </w:r>
                </w:p>
              </w:txbxContent>
            </v:textbox>
            <w10:wrap type="none"/>
          </v:shape>
        </w:pict>
      </w:r>
      <w:r>
        <w:rPr>
          <w:color w:val="7EAABF"/>
          <w:w w:val="115"/>
          <w:sz w:val="26"/>
        </w:rPr>
        <w:t>Resolutions</w:t>
      </w:r>
    </w:p>
    <w:p>
      <w:pPr>
        <w:pStyle w:val="BodyText"/>
        <w:spacing w:before="1"/>
        <w:rPr>
          <w:sz w:val="13"/>
        </w:rPr>
      </w:pPr>
      <w:r>
        <w:rPr/>
        <w:pict>
          <v:shape style="position:absolute;margin-left:81.760002pt;margin-top:10.446859pt;width:465.85pt;height:199.55pt;mso-position-horizontal-relative:page;mso-position-vertical-relative:paragraph;z-index:-251096064;mso-wrap-distance-left:0;mso-wrap-distance-right:0" type="#_x0000_t202" filled="false" stroked="true" strokeweight="1pt" strokecolor="#000000">
            <v:textbox inset="0,0,0,0">
              <w:txbxContent>
                <w:p>
                  <w:pPr>
                    <w:spacing w:line="631" w:lineRule="exact" w:before="45"/>
                    <w:ind w:left="339" w:right="0" w:firstLine="0"/>
                    <w:jc w:val="left"/>
                    <w:rPr>
                      <w:rFonts w:ascii="Stone Sans II ITC Std Bk"/>
                      <w:b/>
                      <w:sz w:val="47"/>
                    </w:rPr>
                  </w:pPr>
                  <w:r>
                    <w:rPr>
                      <w:color w:val="7B4290"/>
                      <w:w w:val="120"/>
                      <w:sz w:val="39"/>
                    </w:rPr>
                    <w:t>Resolution </w:t>
                  </w:r>
                  <w:r>
                    <w:rPr>
                      <w:rFonts w:ascii="Stone Sans II ITC Std Bk"/>
                      <w:b/>
                      <w:color w:val="7B4290"/>
                      <w:w w:val="120"/>
                      <w:sz w:val="47"/>
                    </w:rPr>
                    <w:t>31</w:t>
                  </w:r>
                </w:p>
                <w:p>
                  <w:pPr>
                    <w:tabs>
                      <w:tab w:pos="8259" w:val="left" w:leader="none"/>
                    </w:tabs>
                    <w:spacing w:line="213" w:lineRule="auto" w:before="18"/>
                    <w:ind w:left="339" w:right="343" w:firstLine="0"/>
                    <w:jc w:val="left"/>
                    <w:rPr>
                      <w:sz w:val="20"/>
                    </w:rPr>
                  </w:pPr>
                  <w:r>
                    <w:rPr>
                      <w:rFonts w:ascii="Stone Sans II ITC Std Bk"/>
                      <w:b/>
                      <w:w w:val="110"/>
                      <w:sz w:val="20"/>
                    </w:rPr>
                    <w:t>Mission committee: Expressing commitment to global and intercultural ministries</w:t>
                    <w:tab/>
                  </w:r>
                  <w:r>
                    <w:rPr>
                      <w:spacing w:val="-12"/>
                      <w:w w:val="110"/>
                      <w:sz w:val="20"/>
                    </w:rPr>
                    <w:t>(p.159)</w:t>
                  </w:r>
                </w:p>
                <w:p>
                  <w:pPr>
                    <w:pStyle w:val="BodyText"/>
                    <w:spacing w:line="231" w:lineRule="exact"/>
                    <w:ind w:left="339"/>
                  </w:pPr>
                  <w:r>
                    <w:rPr>
                      <w:w w:val="120"/>
                    </w:rPr>
                    <w:t>General Assembly:</w:t>
                  </w:r>
                </w:p>
                <w:p>
                  <w:pPr>
                    <w:pStyle w:val="BodyText"/>
                    <w:numPr>
                      <w:ilvl w:val="0"/>
                      <w:numId w:val="132"/>
                    </w:numPr>
                    <w:tabs>
                      <w:tab w:pos="1019" w:val="left" w:leader="none"/>
                      <w:tab w:pos="1020" w:val="left" w:leader="none"/>
                    </w:tabs>
                    <w:spacing w:line="235" w:lineRule="auto" w:before="2" w:after="0"/>
                    <w:ind w:left="1019" w:right="288" w:hanging="681"/>
                    <w:jc w:val="left"/>
                  </w:pPr>
                  <w:r>
                    <w:rPr>
                      <w:w w:val="120"/>
                    </w:rPr>
                    <w:t>reaffirms its longstanding commitment to engage with global and intercultural themes (including justice, peace, partnerships, mutuality in giving and receiving, solidarity and discipleship) and its desire to make this engagement integral to   the whole life of the United Reformed</w:t>
                  </w:r>
                  <w:r>
                    <w:rPr>
                      <w:spacing w:val="14"/>
                      <w:w w:val="120"/>
                    </w:rPr>
                    <w:t> </w:t>
                  </w:r>
                  <w:r>
                    <w:rPr>
                      <w:w w:val="120"/>
                    </w:rPr>
                    <w:t>Church;</w:t>
                  </w:r>
                </w:p>
                <w:p>
                  <w:pPr>
                    <w:pStyle w:val="BodyText"/>
                    <w:numPr>
                      <w:ilvl w:val="0"/>
                      <w:numId w:val="132"/>
                    </w:numPr>
                    <w:tabs>
                      <w:tab w:pos="1019" w:val="left" w:leader="none"/>
                      <w:tab w:pos="1020" w:val="left" w:leader="none"/>
                    </w:tabs>
                    <w:spacing w:line="235" w:lineRule="auto" w:before="2" w:after="0"/>
                    <w:ind w:left="1019" w:right="312" w:hanging="681"/>
                    <w:jc w:val="left"/>
                  </w:pPr>
                  <w:r>
                    <w:rPr>
                      <w:w w:val="120"/>
                    </w:rPr>
                    <w:t>encourages synods in their mission and ministry to recommit to give appropriate time </w:t>
                  </w:r>
                  <w:r>
                    <w:rPr>
                      <w:spacing w:val="-3"/>
                      <w:w w:val="120"/>
                    </w:rPr>
                    <w:t>for, </w:t>
                  </w:r>
                  <w:r>
                    <w:rPr>
                      <w:w w:val="120"/>
                    </w:rPr>
                    <w:t>and attention and intention </w:t>
                  </w:r>
                  <w:r>
                    <w:rPr>
                      <w:spacing w:val="-3"/>
                      <w:w w:val="120"/>
                    </w:rPr>
                    <w:t>to, </w:t>
                  </w:r>
                  <w:r>
                    <w:rPr>
                      <w:w w:val="120"/>
                    </w:rPr>
                    <w:t>the sharing and development of these themes;</w:t>
                  </w:r>
                </w:p>
                <w:p>
                  <w:pPr>
                    <w:pStyle w:val="BodyText"/>
                    <w:numPr>
                      <w:ilvl w:val="0"/>
                      <w:numId w:val="132"/>
                    </w:numPr>
                    <w:tabs>
                      <w:tab w:pos="1019" w:val="left" w:leader="none"/>
                      <w:tab w:pos="1020" w:val="left" w:leader="none"/>
                    </w:tabs>
                    <w:spacing w:line="235" w:lineRule="auto" w:before="3" w:after="0"/>
                    <w:ind w:left="1019" w:right="540" w:hanging="681"/>
                    <w:jc w:val="both"/>
                  </w:pPr>
                  <w:r>
                    <w:rPr>
                      <w:w w:val="120"/>
                    </w:rPr>
                    <w:t>directs Mission Council to reflect and </w:t>
                  </w:r>
                  <w:r>
                    <w:rPr>
                      <w:spacing w:val="2"/>
                      <w:w w:val="120"/>
                    </w:rPr>
                    <w:t>report </w:t>
                  </w:r>
                  <w:r>
                    <w:rPr>
                      <w:w w:val="120"/>
                    </w:rPr>
                    <w:t>to Assembly on how the </w:t>
                  </w:r>
                  <w:r>
                    <w:rPr>
                      <w:spacing w:val="-3"/>
                      <w:w w:val="120"/>
                    </w:rPr>
                    <w:t>Church’s </w:t>
                  </w:r>
                  <w:r>
                    <w:rPr>
                      <w:w w:val="120"/>
                    </w:rPr>
                    <w:t>agenda and resources (spiritual, human and financial) are deployed to support its global and intercultural</w:t>
                  </w:r>
                  <w:r>
                    <w:rPr>
                      <w:spacing w:val="9"/>
                      <w:w w:val="120"/>
                    </w:rPr>
                    <w:t> </w:t>
                  </w:r>
                  <w:r>
                    <w:rPr>
                      <w:w w:val="120"/>
                    </w:rPr>
                    <w:t>commitment.</w:t>
                  </w:r>
                </w:p>
              </w:txbxContent>
            </v:textbox>
            <v:stroke dashstyle="solid"/>
            <w10:wrap type="topAndBottom"/>
          </v:shape>
        </w:pict>
      </w:r>
      <w:r>
        <w:rPr/>
        <w:pict>
          <v:shape style="position:absolute;margin-left:99.212601pt;margin-top:225.589554pt;width:216.85pt;height:43.3pt;mso-position-horizontal-relative:page;mso-position-vertical-relative:paragraph;z-index:-251095040;mso-wrap-distance-left:0;mso-wrap-distance-right:0" type="#_x0000_t202" filled="false" stroked="false">
            <v:textbox inset="0,0,0,0">
              <w:txbxContent>
                <w:p>
                  <w:pPr>
                    <w:spacing w:line="617" w:lineRule="exact" w:before="0"/>
                    <w:ind w:left="0" w:right="0" w:firstLine="0"/>
                    <w:jc w:val="left"/>
                    <w:rPr>
                      <w:rFonts w:ascii="Stone Sans II ITC Std Bk"/>
                      <w:b/>
                      <w:sz w:val="47"/>
                    </w:rPr>
                  </w:pPr>
                  <w:r>
                    <w:rPr>
                      <w:color w:val="7B4290"/>
                      <w:w w:val="120"/>
                      <w:sz w:val="39"/>
                    </w:rPr>
                    <w:t>Resolution </w:t>
                  </w:r>
                  <w:r>
                    <w:rPr>
                      <w:rFonts w:ascii="Stone Sans II ITC Std Bk"/>
                      <w:b/>
                      <w:color w:val="7B4290"/>
                      <w:w w:val="120"/>
                      <w:sz w:val="47"/>
                    </w:rPr>
                    <w:t>32</w:t>
                  </w:r>
                </w:p>
                <w:p>
                  <w:pPr>
                    <w:spacing w:line="248" w:lineRule="exact" w:before="0"/>
                    <w:ind w:left="0" w:right="0" w:firstLine="0"/>
                    <w:jc w:val="left"/>
                    <w:rPr>
                      <w:rFonts w:ascii="Stone Sans II ITC Std Bk"/>
                      <w:b/>
                      <w:sz w:val="20"/>
                    </w:rPr>
                  </w:pPr>
                  <w:r>
                    <w:rPr>
                      <w:rFonts w:ascii="Stone Sans II ITC Std Bk"/>
                      <w:b/>
                      <w:w w:val="110"/>
                      <w:sz w:val="20"/>
                    </w:rPr>
                    <w:t>Nominations committee: General report</w:t>
                  </w:r>
                </w:p>
              </w:txbxContent>
            </v:textbox>
            <w10:wrap type="topAndBottom"/>
          </v:shape>
        </w:pict>
      </w:r>
      <w:r>
        <w:rPr/>
        <w:pict>
          <v:shape style="position:absolute;margin-left:495.226898pt;margin-top:256.864166pt;width:34.5pt;height:12pt;mso-position-horizontal-relative:page;mso-position-vertical-relative:paragraph;z-index:-251094016;mso-wrap-distance-left:0;mso-wrap-distance-right:0" type="#_x0000_t202" filled="false" stroked="false">
            <v:textbox inset="0,0,0,0">
              <w:txbxContent>
                <w:p>
                  <w:pPr>
                    <w:pStyle w:val="BodyText"/>
                    <w:spacing w:line="240" w:lineRule="exact"/>
                  </w:pPr>
                  <w:r>
                    <w:rPr>
                      <w:spacing w:val="-13"/>
                      <w:w w:val="130"/>
                    </w:rPr>
                    <w:t>(p.161)</w:t>
                  </w:r>
                </w:p>
              </w:txbxContent>
            </v:textbox>
            <w10:wrap type="topAndBottom"/>
          </v:shape>
        </w:pict>
      </w:r>
    </w:p>
    <w:p>
      <w:pPr>
        <w:pStyle w:val="BodyText"/>
        <w:spacing w:before="4"/>
      </w:pPr>
    </w:p>
    <w:p>
      <w:pPr>
        <w:pStyle w:val="BodyText"/>
        <w:ind w:left="1564"/>
      </w:pPr>
      <w:r>
        <w:rPr/>
        <w:pict>
          <v:shape style="width:416.25pt;height:36pt;mso-position-horizontal-relative:char;mso-position-vertical-relative:line" type="#_x0000_t202" filled="false" stroked="false">
            <w10:anchorlock/>
            <v:textbox inset="0,0,0,0">
              <w:txbxContent>
                <w:p>
                  <w:pPr>
                    <w:pStyle w:val="BodyText"/>
                    <w:spacing w:line="235" w:lineRule="auto" w:before="3"/>
                  </w:pPr>
                  <w:r>
                    <w:rPr>
                      <w:w w:val="120"/>
                    </w:rPr>
                    <w:t>General Assembly appoints committees and representatives of the Church as set out on pages 163 to 178 of the </w:t>
                  </w:r>
                  <w:r>
                    <w:rPr>
                      <w:i/>
                      <w:w w:val="120"/>
                    </w:rPr>
                    <w:t>Book of Reports</w:t>
                  </w:r>
                  <w:r>
                    <w:rPr>
                      <w:w w:val="120"/>
                    </w:rPr>
                    <w:t>, subject to the additions and corrections contained in the supplementary report to Assembly.</w:t>
                  </w:r>
                </w:p>
              </w:txbxContent>
            </v:textbox>
          </v:shape>
        </w:pict>
      </w:r>
      <w:r>
        <w:rPr/>
      </w:r>
    </w:p>
    <w:p>
      <w:pPr>
        <w:spacing w:after="0"/>
        <w:sectPr>
          <w:headerReference w:type="default" r:id="rId520"/>
          <w:pgSz w:w="11910" w:h="16840"/>
          <w:pgMar w:header="0" w:footer="647" w:top="520" w:bottom="840" w:left="420" w:right="380"/>
        </w:sectPr>
      </w:pPr>
    </w:p>
    <w:p>
      <w:pPr>
        <w:pStyle w:val="BodyText"/>
      </w:pPr>
      <w:r>
        <w:rPr/>
        <w:drawing>
          <wp:anchor distT="0" distB="0" distL="0" distR="0" allowOverlap="1" layoutInCell="1" locked="0" behindDoc="1" simplePos="0" relativeHeight="236259328">
            <wp:simplePos x="0" y="0"/>
            <wp:positionH relativeFrom="page">
              <wp:posOffset>0</wp:posOffset>
            </wp:positionH>
            <wp:positionV relativeFrom="page">
              <wp:posOffset>0</wp:posOffset>
            </wp:positionV>
            <wp:extent cx="594067" cy="10692003"/>
            <wp:effectExtent l="0" t="0" r="0" b="0"/>
            <wp:wrapNone/>
            <wp:docPr id="369" name="image84.png"/>
            <wp:cNvGraphicFramePr>
              <a:graphicFrameLocks noChangeAspect="1"/>
            </wp:cNvGraphicFramePr>
            <a:graphic>
              <a:graphicData uri="http://schemas.openxmlformats.org/drawingml/2006/picture">
                <pic:pic>
                  <pic:nvPicPr>
                    <pic:cNvPr id="370" name="image84.png"/>
                    <pic:cNvPicPr/>
                  </pic:nvPicPr>
                  <pic:blipFill>
                    <a:blip r:embed="rId511"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spacing w:before="108"/>
        <w:ind w:left="827" w:right="0" w:firstLine="0"/>
        <w:jc w:val="left"/>
        <w:rPr>
          <w:sz w:val="26"/>
        </w:rPr>
      </w:pPr>
      <w:r>
        <w:rPr>
          <w:color w:val="7EAABF"/>
          <w:w w:val="115"/>
          <w:sz w:val="26"/>
        </w:rPr>
        <w:t>Resolutions</w:t>
      </w:r>
    </w:p>
    <w:p>
      <w:pPr>
        <w:spacing w:after="0"/>
        <w:jc w:val="left"/>
        <w:rPr>
          <w:sz w:val="26"/>
        </w:rPr>
        <w:sectPr>
          <w:headerReference w:type="even" r:id="rId521"/>
          <w:footerReference w:type="even" r:id="rId522"/>
          <w:footerReference w:type="default" r:id="rId523"/>
          <w:pgSz w:w="11910" w:h="16840"/>
          <w:pgMar w:header="0" w:footer="647" w:top="0" w:bottom="840" w:left="420" w:right="380"/>
          <w:pgNumType w:start="194"/>
        </w:sectPr>
      </w:pPr>
    </w:p>
    <w:p>
      <w:pPr>
        <w:pStyle w:val="BodyText"/>
      </w:pPr>
      <w:r>
        <w:rPr/>
        <w:drawing>
          <wp:anchor distT="0" distB="0" distL="0" distR="0" allowOverlap="1" layoutInCell="1" locked="0" behindDoc="0" simplePos="0" relativeHeight="252227584">
            <wp:simplePos x="0" y="0"/>
            <wp:positionH relativeFrom="page">
              <wp:posOffset>6974928</wp:posOffset>
            </wp:positionH>
            <wp:positionV relativeFrom="page">
              <wp:posOffset>0</wp:posOffset>
            </wp:positionV>
            <wp:extent cx="585063" cy="10692003"/>
            <wp:effectExtent l="0" t="0" r="0" b="0"/>
            <wp:wrapNone/>
            <wp:docPr id="371" name="image85.png"/>
            <wp:cNvGraphicFramePr>
              <a:graphicFrameLocks noChangeAspect="1"/>
            </wp:cNvGraphicFramePr>
            <a:graphic>
              <a:graphicData uri="http://schemas.openxmlformats.org/drawingml/2006/picture">
                <pic:pic>
                  <pic:nvPicPr>
                    <pic:cNvPr id="372" name="image85.png"/>
                    <pic:cNvPicPr/>
                  </pic:nvPicPr>
                  <pic:blipFill>
                    <a:blip r:embed="rId525" cstate="print"/>
                    <a:stretch>
                      <a:fillRect/>
                    </a:stretch>
                  </pic:blipFill>
                  <pic:spPr>
                    <a:xfrm>
                      <a:off x="0" y="0"/>
                      <a:ext cx="585063" cy="10692003"/>
                    </a:xfrm>
                    <a:prstGeom prst="rect">
                      <a:avLst/>
                    </a:prstGeom>
                  </pic:spPr>
                </pic:pic>
              </a:graphicData>
            </a:graphic>
          </wp:anchor>
        </w:drawing>
      </w:r>
    </w:p>
    <w:p>
      <w:pPr>
        <w:pStyle w:val="BodyText"/>
      </w:pPr>
    </w:p>
    <w:p>
      <w:pPr>
        <w:pStyle w:val="BodyText"/>
      </w:pPr>
    </w:p>
    <w:p>
      <w:pPr>
        <w:pStyle w:val="BodyText"/>
        <w:spacing w:before="5"/>
        <w:rPr>
          <w:sz w:val="28"/>
        </w:rPr>
      </w:pPr>
    </w:p>
    <w:p>
      <w:pPr>
        <w:spacing w:line="213" w:lineRule="auto" w:before="153"/>
        <w:ind w:left="1564" w:right="1988" w:firstLine="0"/>
        <w:jc w:val="left"/>
        <w:rPr>
          <w:rFonts w:ascii="Stone Sans II ITC Std X Bd"/>
          <w:b/>
          <w:sz w:val="50"/>
        </w:rPr>
      </w:pPr>
      <w:r>
        <w:rPr/>
        <w:pict>
          <v:shape style="position:absolute;margin-left:554.141174pt;margin-top:-5.989334pt;width:26pt;height:171.3pt;mso-position-horizontal-relative:page;mso-position-vertical-relative:paragraph;z-index:252228608"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bookmarkStart w:name="_bookmark37" w:id="48"/>
      <w:bookmarkEnd w:id="48"/>
      <w:r>
        <w:rPr/>
      </w:r>
      <w:r>
        <w:rPr>
          <w:rFonts w:ascii="Stone Sans II ITC Std X Bd"/>
          <w:b/>
          <w:w w:val="110"/>
          <w:sz w:val="50"/>
        </w:rPr>
        <w:t>Standing Orders of General Assembly of the United Reformed Church</w:t>
      </w:r>
    </w:p>
    <w:p>
      <w:pPr>
        <w:pStyle w:val="ListParagraph"/>
        <w:numPr>
          <w:ilvl w:val="0"/>
          <w:numId w:val="133"/>
        </w:numPr>
        <w:tabs>
          <w:tab w:pos="2244" w:val="left" w:leader="none"/>
          <w:tab w:pos="2245" w:val="left" w:leader="none"/>
        </w:tabs>
        <w:spacing w:line="240" w:lineRule="auto" w:before="409" w:after="0"/>
        <w:ind w:left="2244" w:right="0" w:hanging="681"/>
        <w:jc w:val="left"/>
        <w:rPr>
          <w:rFonts w:ascii="Stone Sans II ITC Std Bk"/>
          <w:b/>
          <w:sz w:val="29"/>
        </w:rPr>
      </w:pPr>
      <w:r>
        <w:rPr>
          <w:rFonts w:ascii="Stone Sans II ITC Std Bk"/>
          <w:b/>
          <w:spacing w:val="4"/>
          <w:w w:val="110"/>
          <w:sz w:val="29"/>
        </w:rPr>
        <w:t>The agenda </w:t>
      </w:r>
      <w:r>
        <w:rPr>
          <w:rFonts w:ascii="Stone Sans II ITC Std Bk"/>
          <w:b/>
          <w:w w:val="110"/>
          <w:sz w:val="29"/>
        </w:rPr>
        <w:t>of </w:t>
      </w:r>
      <w:r>
        <w:rPr>
          <w:rFonts w:ascii="Stone Sans II ITC Std Bk"/>
          <w:b/>
          <w:spacing w:val="2"/>
          <w:w w:val="110"/>
          <w:sz w:val="29"/>
        </w:rPr>
        <w:t>the</w:t>
      </w:r>
      <w:r>
        <w:rPr>
          <w:rFonts w:ascii="Stone Sans II ITC Std Bk"/>
          <w:b/>
          <w:spacing w:val="43"/>
          <w:w w:val="110"/>
          <w:sz w:val="29"/>
        </w:rPr>
        <w:t> </w:t>
      </w:r>
      <w:r>
        <w:rPr>
          <w:rFonts w:ascii="Stone Sans II ITC Std Bk"/>
          <w:b/>
          <w:spacing w:val="4"/>
          <w:w w:val="110"/>
          <w:sz w:val="29"/>
        </w:rPr>
        <w:t>Assembly</w:t>
      </w:r>
    </w:p>
    <w:p>
      <w:pPr>
        <w:pStyle w:val="ListParagraph"/>
        <w:numPr>
          <w:ilvl w:val="1"/>
          <w:numId w:val="133"/>
        </w:numPr>
        <w:tabs>
          <w:tab w:pos="2244" w:val="left" w:leader="none"/>
          <w:tab w:pos="2245" w:val="left" w:leader="none"/>
        </w:tabs>
        <w:spacing w:line="235" w:lineRule="auto" w:before="69" w:after="0"/>
        <w:ind w:left="1564" w:right="1039" w:firstLine="0"/>
        <w:jc w:val="left"/>
        <w:rPr>
          <w:sz w:val="20"/>
        </w:rPr>
      </w:pPr>
      <w:r>
        <w:rPr>
          <w:w w:val="120"/>
          <w:sz w:val="20"/>
        </w:rPr>
        <w:t>At its meetings the Assembly shall consider </w:t>
      </w:r>
      <w:r>
        <w:rPr>
          <w:spacing w:val="2"/>
          <w:w w:val="120"/>
          <w:sz w:val="20"/>
        </w:rPr>
        <w:t>reports </w:t>
      </w:r>
      <w:r>
        <w:rPr>
          <w:w w:val="120"/>
          <w:sz w:val="20"/>
        </w:rPr>
        <w:t>and </w:t>
      </w:r>
      <w:r>
        <w:rPr>
          <w:spacing w:val="2"/>
          <w:w w:val="120"/>
          <w:sz w:val="20"/>
        </w:rPr>
        <w:t>draft </w:t>
      </w:r>
      <w:r>
        <w:rPr>
          <w:w w:val="120"/>
          <w:sz w:val="20"/>
        </w:rPr>
        <w:t>motions prepared by its committees, which include the Mission Council or by synods, and motions and amendments of which due notice has been given submitted by individual members of the</w:t>
      </w:r>
      <w:r>
        <w:rPr>
          <w:spacing w:val="1"/>
          <w:w w:val="120"/>
          <w:sz w:val="20"/>
        </w:rPr>
        <w:t> </w:t>
      </w:r>
      <w:r>
        <w:rPr>
          <w:w w:val="120"/>
          <w:sz w:val="20"/>
        </w:rPr>
        <w:t>Assembly.</w:t>
      </w:r>
    </w:p>
    <w:p>
      <w:pPr>
        <w:pStyle w:val="BodyText"/>
        <w:spacing w:before="11"/>
        <w:rPr>
          <w:sz w:val="19"/>
        </w:rPr>
      </w:pPr>
    </w:p>
    <w:p>
      <w:pPr>
        <w:pStyle w:val="ListParagraph"/>
        <w:numPr>
          <w:ilvl w:val="1"/>
          <w:numId w:val="133"/>
        </w:numPr>
        <w:tabs>
          <w:tab w:pos="2244" w:val="left" w:leader="none"/>
          <w:tab w:pos="2245" w:val="left" w:leader="none"/>
        </w:tabs>
        <w:spacing w:line="235" w:lineRule="auto" w:before="0" w:after="0"/>
        <w:ind w:left="1564" w:right="1139" w:firstLine="0"/>
        <w:jc w:val="left"/>
        <w:rPr>
          <w:sz w:val="20"/>
        </w:rPr>
      </w:pPr>
      <w:r>
        <w:rPr>
          <w:w w:val="120"/>
          <w:sz w:val="20"/>
        </w:rPr>
        <w:t>For the good ordering of General Assembly’s time, the Moderators for that Assembly, in consultation with the General Secretary and the Clerk, shall group the </w:t>
      </w:r>
      <w:r>
        <w:rPr>
          <w:spacing w:val="2"/>
          <w:w w:val="120"/>
          <w:sz w:val="20"/>
        </w:rPr>
        <w:t>draft </w:t>
      </w:r>
      <w:r>
        <w:rPr>
          <w:w w:val="120"/>
          <w:sz w:val="20"/>
        </w:rPr>
        <w:t>motions into three groups which shall determine the manner in which the Assembly shall consider them: A – en bloc, B – majority voting, and C – consensus.    All matters covered by paragraphs </w:t>
      </w:r>
      <w:r>
        <w:rPr>
          <w:spacing w:val="-9"/>
          <w:w w:val="120"/>
          <w:sz w:val="20"/>
        </w:rPr>
        <w:t>3(1) </w:t>
      </w:r>
      <w:r>
        <w:rPr>
          <w:w w:val="120"/>
          <w:sz w:val="20"/>
        </w:rPr>
        <w:t>&amp; </w:t>
      </w:r>
      <w:r>
        <w:rPr>
          <w:spacing w:val="-8"/>
          <w:w w:val="120"/>
          <w:sz w:val="20"/>
        </w:rPr>
        <w:t>(2) </w:t>
      </w:r>
      <w:r>
        <w:rPr>
          <w:w w:val="120"/>
          <w:sz w:val="20"/>
        </w:rPr>
        <w:t>of the Structure of the United</w:t>
      </w:r>
      <w:r>
        <w:rPr>
          <w:spacing w:val="41"/>
          <w:w w:val="120"/>
          <w:sz w:val="20"/>
        </w:rPr>
        <w:t> </w:t>
      </w:r>
      <w:r>
        <w:rPr>
          <w:w w:val="120"/>
          <w:sz w:val="20"/>
        </w:rPr>
        <w:t>Reformed</w:t>
      </w:r>
    </w:p>
    <w:p>
      <w:pPr>
        <w:pStyle w:val="BodyText"/>
        <w:spacing w:line="235" w:lineRule="auto" w:before="4"/>
        <w:ind w:left="1564" w:right="923"/>
      </w:pPr>
      <w:r>
        <w:rPr>
          <w:w w:val="120"/>
        </w:rPr>
        <w:t>Church shall be placed in Group B. In the case of any other matter the Moderator may rule at any time that a motion be taken from Group B and placed in Group C. At the same time the grouping of draft motions is published any matters already known to be urgent under Standing Order 2.3 shall also be published, with reasons given.</w:t>
      </w:r>
    </w:p>
    <w:p>
      <w:pPr>
        <w:pStyle w:val="BodyText"/>
        <w:spacing w:before="7"/>
        <w:rPr>
          <w:sz w:val="19"/>
        </w:rPr>
      </w:pPr>
    </w:p>
    <w:p>
      <w:pPr>
        <w:pStyle w:val="ListParagraph"/>
        <w:numPr>
          <w:ilvl w:val="1"/>
          <w:numId w:val="133"/>
        </w:numPr>
        <w:tabs>
          <w:tab w:pos="2244" w:val="left" w:leader="none"/>
          <w:tab w:pos="2245" w:val="left" w:leader="none"/>
        </w:tabs>
        <w:spacing w:line="240" w:lineRule="auto" w:before="0" w:after="0"/>
        <w:ind w:left="2244" w:right="0" w:hanging="681"/>
        <w:jc w:val="left"/>
        <w:rPr>
          <w:sz w:val="20"/>
        </w:rPr>
      </w:pPr>
      <w:r>
        <w:rPr>
          <w:w w:val="120"/>
          <w:sz w:val="20"/>
        </w:rPr>
        <w:t>The motions in Group A shall be taken en bloc, following Standing Order</w:t>
      </w:r>
      <w:r>
        <w:rPr>
          <w:spacing w:val="9"/>
          <w:w w:val="120"/>
          <w:sz w:val="20"/>
        </w:rPr>
        <w:t> </w:t>
      </w:r>
      <w:r>
        <w:rPr>
          <w:w w:val="120"/>
          <w:sz w:val="20"/>
        </w:rPr>
        <w:t>2.</w:t>
      </w:r>
    </w:p>
    <w:p>
      <w:pPr>
        <w:pStyle w:val="BodyText"/>
        <w:spacing w:before="8"/>
        <w:rPr>
          <w:sz w:val="19"/>
        </w:rPr>
      </w:pPr>
    </w:p>
    <w:p>
      <w:pPr>
        <w:pStyle w:val="ListParagraph"/>
        <w:numPr>
          <w:ilvl w:val="1"/>
          <w:numId w:val="133"/>
        </w:numPr>
        <w:tabs>
          <w:tab w:pos="2244" w:val="left" w:leader="none"/>
          <w:tab w:pos="2245" w:val="left" w:leader="none"/>
        </w:tabs>
        <w:spacing w:line="235" w:lineRule="auto" w:before="0" w:after="0"/>
        <w:ind w:left="1564" w:right="1773" w:firstLine="0"/>
        <w:jc w:val="left"/>
        <w:rPr>
          <w:sz w:val="20"/>
        </w:rPr>
      </w:pPr>
      <w:r>
        <w:rPr>
          <w:w w:val="120"/>
          <w:sz w:val="20"/>
        </w:rPr>
        <w:t>The motions in Group B shall be determined by majority vote, following Standing Order</w:t>
      </w:r>
      <w:r>
        <w:rPr>
          <w:spacing w:val="4"/>
          <w:w w:val="120"/>
          <w:sz w:val="20"/>
        </w:rPr>
        <w:t> </w:t>
      </w:r>
      <w:r>
        <w:rPr>
          <w:w w:val="120"/>
          <w:sz w:val="20"/>
        </w:rPr>
        <w:t>3.</w:t>
      </w:r>
    </w:p>
    <w:p>
      <w:pPr>
        <w:pStyle w:val="BodyText"/>
        <w:spacing w:before="9"/>
        <w:rPr>
          <w:sz w:val="19"/>
        </w:rPr>
      </w:pPr>
    </w:p>
    <w:p>
      <w:pPr>
        <w:pStyle w:val="ListParagraph"/>
        <w:numPr>
          <w:ilvl w:val="1"/>
          <w:numId w:val="133"/>
        </w:numPr>
        <w:tabs>
          <w:tab w:pos="2244" w:val="left" w:leader="none"/>
          <w:tab w:pos="2245" w:val="left" w:leader="none"/>
        </w:tabs>
        <w:spacing w:line="235" w:lineRule="auto" w:before="0" w:after="0"/>
        <w:ind w:left="1564" w:right="1510" w:firstLine="0"/>
        <w:jc w:val="left"/>
        <w:rPr>
          <w:sz w:val="20"/>
        </w:rPr>
      </w:pPr>
      <w:r>
        <w:rPr>
          <w:w w:val="120"/>
          <w:sz w:val="20"/>
        </w:rPr>
        <w:t>The motions in Group C shall be considered by consensus decision making process, following Standing Order</w:t>
      </w:r>
      <w:r>
        <w:rPr>
          <w:spacing w:val="11"/>
          <w:w w:val="120"/>
          <w:sz w:val="20"/>
        </w:rPr>
        <w:t> </w:t>
      </w:r>
      <w:r>
        <w:rPr>
          <w:w w:val="120"/>
          <w:sz w:val="20"/>
        </w:rPr>
        <w:t>4.</w:t>
      </w:r>
    </w:p>
    <w:p>
      <w:pPr>
        <w:pStyle w:val="BodyText"/>
        <w:spacing w:before="9"/>
        <w:rPr>
          <w:sz w:val="19"/>
        </w:rPr>
      </w:pPr>
    </w:p>
    <w:p>
      <w:pPr>
        <w:pStyle w:val="ListParagraph"/>
        <w:numPr>
          <w:ilvl w:val="1"/>
          <w:numId w:val="133"/>
        </w:numPr>
        <w:tabs>
          <w:tab w:pos="2244" w:val="left" w:leader="none"/>
          <w:tab w:pos="2245" w:val="left" w:leader="none"/>
        </w:tabs>
        <w:spacing w:line="235" w:lineRule="auto" w:before="1" w:after="0"/>
        <w:ind w:left="1564" w:right="1634" w:firstLine="0"/>
        <w:jc w:val="left"/>
        <w:rPr>
          <w:sz w:val="20"/>
        </w:rPr>
      </w:pPr>
      <w:r>
        <w:rPr>
          <w:w w:val="120"/>
          <w:sz w:val="20"/>
        </w:rPr>
        <w:t>Standing Orders 5 to </w:t>
      </w:r>
      <w:r>
        <w:rPr>
          <w:spacing w:val="-9"/>
          <w:w w:val="120"/>
          <w:sz w:val="20"/>
        </w:rPr>
        <w:t>15 </w:t>
      </w:r>
      <w:r>
        <w:rPr>
          <w:w w:val="120"/>
          <w:sz w:val="20"/>
        </w:rPr>
        <w:t>shall apply at all times, regardless of the mode of decision-making in</w:t>
      </w:r>
      <w:r>
        <w:rPr>
          <w:spacing w:val="4"/>
          <w:w w:val="120"/>
          <w:sz w:val="20"/>
        </w:rPr>
        <w:t> </w:t>
      </w:r>
      <w:r>
        <w:rPr>
          <w:w w:val="120"/>
          <w:sz w:val="20"/>
        </w:rPr>
        <w:t>use.</w:t>
      </w:r>
    </w:p>
    <w:p>
      <w:pPr>
        <w:pStyle w:val="BodyText"/>
        <w:spacing w:before="9"/>
        <w:rPr>
          <w:sz w:val="19"/>
        </w:rPr>
      </w:pPr>
    </w:p>
    <w:p>
      <w:pPr>
        <w:pStyle w:val="ListParagraph"/>
        <w:numPr>
          <w:ilvl w:val="1"/>
          <w:numId w:val="133"/>
        </w:numPr>
        <w:tabs>
          <w:tab w:pos="2245" w:val="left" w:leader="none"/>
        </w:tabs>
        <w:spacing w:line="235" w:lineRule="auto" w:before="0" w:after="0"/>
        <w:ind w:left="1564" w:right="865" w:firstLine="0"/>
        <w:jc w:val="both"/>
        <w:rPr>
          <w:sz w:val="20"/>
        </w:rPr>
      </w:pPr>
      <w:r>
        <w:rPr>
          <w:w w:val="120"/>
          <w:sz w:val="20"/>
        </w:rPr>
        <w:t>The Assembly arrangements committee shall prepare before each meeting of the Assembly a </w:t>
      </w:r>
      <w:r>
        <w:rPr>
          <w:spacing w:val="2"/>
          <w:w w:val="120"/>
          <w:sz w:val="20"/>
        </w:rPr>
        <w:t>draft </w:t>
      </w:r>
      <w:r>
        <w:rPr>
          <w:w w:val="120"/>
          <w:sz w:val="20"/>
        </w:rPr>
        <w:t>order of business, and submit it to the Assembly as early as convenient in the</w:t>
      </w:r>
      <w:r>
        <w:rPr>
          <w:spacing w:val="4"/>
          <w:w w:val="120"/>
          <w:sz w:val="20"/>
        </w:rPr>
        <w:t> </w:t>
      </w:r>
      <w:r>
        <w:rPr>
          <w:w w:val="120"/>
          <w:sz w:val="20"/>
        </w:rPr>
        <w:t>programme.</w:t>
      </w:r>
    </w:p>
    <w:p>
      <w:pPr>
        <w:pStyle w:val="BodyText"/>
        <w:spacing w:before="10"/>
        <w:rPr>
          <w:sz w:val="19"/>
        </w:rPr>
      </w:pPr>
    </w:p>
    <w:p>
      <w:pPr>
        <w:pStyle w:val="ListParagraph"/>
        <w:numPr>
          <w:ilvl w:val="1"/>
          <w:numId w:val="133"/>
        </w:numPr>
        <w:tabs>
          <w:tab w:pos="2244" w:val="left" w:leader="none"/>
          <w:tab w:pos="2245" w:val="left" w:leader="none"/>
        </w:tabs>
        <w:spacing w:line="235" w:lineRule="auto" w:before="0" w:after="0"/>
        <w:ind w:left="1564" w:right="1023" w:firstLine="0"/>
        <w:jc w:val="left"/>
        <w:rPr>
          <w:sz w:val="20"/>
        </w:rPr>
      </w:pPr>
      <w:r>
        <w:rPr>
          <w:w w:val="120"/>
          <w:sz w:val="20"/>
        </w:rPr>
        <w:t>Motions arising from a </w:t>
      </w:r>
      <w:r>
        <w:rPr>
          <w:spacing w:val="2"/>
          <w:w w:val="120"/>
          <w:sz w:val="20"/>
        </w:rPr>
        <w:t>report </w:t>
      </w:r>
      <w:r>
        <w:rPr>
          <w:w w:val="120"/>
          <w:sz w:val="20"/>
        </w:rPr>
        <w:t>which have been duly seconded and submitted  by individual members of Assembly under Standing Order 3.2 shall be taken at a point in the business determined by the Moderator on the advice of the convenor of the Assembly arrangements</w:t>
      </w:r>
      <w:r>
        <w:rPr>
          <w:spacing w:val="4"/>
          <w:w w:val="120"/>
          <w:sz w:val="20"/>
        </w:rPr>
        <w:t> </w:t>
      </w:r>
      <w:r>
        <w:rPr>
          <w:w w:val="120"/>
          <w:sz w:val="20"/>
        </w:rPr>
        <w:t>committee.</w:t>
      </w:r>
    </w:p>
    <w:p>
      <w:pPr>
        <w:pStyle w:val="BodyText"/>
        <w:spacing w:before="11"/>
        <w:rPr>
          <w:sz w:val="19"/>
        </w:rPr>
      </w:pPr>
    </w:p>
    <w:p>
      <w:pPr>
        <w:pStyle w:val="ListParagraph"/>
        <w:numPr>
          <w:ilvl w:val="1"/>
          <w:numId w:val="133"/>
        </w:numPr>
        <w:tabs>
          <w:tab w:pos="2244" w:val="left" w:leader="none"/>
          <w:tab w:pos="2245" w:val="left" w:leader="none"/>
        </w:tabs>
        <w:spacing w:line="235" w:lineRule="auto" w:before="0" w:after="0"/>
        <w:ind w:left="1564" w:right="1041" w:firstLine="0"/>
        <w:jc w:val="left"/>
        <w:rPr>
          <w:sz w:val="20"/>
        </w:rPr>
      </w:pPr>
      <w:r>
        <w:rPr>
          <w:w w:val="120"/>
          <w:sz w:val="20"/>
        </w:rPr>
        <w:t>If notice has been given of two or more motions on the same subject, or two or more amendments to the same motion, these shall be taken in the order decided by the Moderator on the advice of the</w:t>
      </w:r>
      <w:r>
        <w:rPr>
          <w:spacing w:val="14"/>
          <w:w w:val="120"/>
          <w:sz w:val="20"/>
        </w:rPr>
        <w:t> </w:t>
      </w:r>
      <w:r>
        <w:rPr>
          <w:w w:val="120"/>
          <w:sz w:val="20"/>
        </w:rPr>
        <w:t>Clerk.</w:t>
      </w:r>
    </w:p>
    <w:p>
      <w:pPr>
        <w:pStyle w:val="BodyText"/>
        <w:spacing w:before="10"/>
        <w:rPr>
          <w:sz w:val="19"/>
        </w:rPr>
      </w:pPr>
    </w:p>
    <w:p>
      <w:pPr>
        <w:pStyle w:val="ListParagraph"/>
        <w:numPr>
          <w:ilvl w:val="1"/>
          <w:numId w:val="133"/>
        </w:numPr>
        <w:tabs>
          <w:tab w:pos="2244" w:val="left" w:leader="none"/>
          <w:tab w:pos="2245" w:val="left" w:leader="none"/>
        </w:tabs>
        <w:spacing w:line="235" w:lineRule="auto" w:before="0" w:after="0"/>
        <w:ind w:left="1564" w:right="1694" w:firstLine="0"/>
        <w:jc w:val="left"/>
        <w:rPr>
          <w:sz w:val="20"/>
        </w:rPr>
      </w:pPr>
      <w:r>
        <w:rPr>
          <w:w w:val="120"/>
          <w:sz w:val="20"/>
        </w:rPr>
        <w:t>The convenor of the Assembly arrangements committee </w:t>
      </w:r>
      <w:r>
        <w:rPr>
          <w:spacing w:val="-4"/>
          <w:w w:val="120"/>
          <w:sz w:val="20"/>
        </w:rPr>
        <w:t>may, </w:t>
      </w:r>
      <w:r>
        <w:rPr>
          <w:w w:val="120"/>
          <w:sz w:val="20"/>
        </w:rPr>
        <w:t>during the meeting of the Assembly, propose that the order of business be</w:t>
      </w:r>
      <w:r>
        <w:rPr>
          <w:spacing w:val="41"/>
          <w:w w:val="120"/>
          <w:sz w:val="20"/>
        </w:rPr>
        <w:t> </w:t>
      </w:r>
      <w:r>
        <w:rPr>
          <w:w w:val="120"/>
          <w:sz w:val="20"/>
        </w:rPr>
        <w:t>changed.</w:t>
      </w:r>
    </w:p>
    <w:p>
      <w:pPr>
        <w:pStyle w:val="BodyText"/>
        <w:spacing w:before="3"/>
        <w:rPr>
          <w:sz w:val="22"/>
        </w:rPr>
      </w:pPr>
    </w:p>
    <w:p>
      <w:pPr>
        <w:pStyle w:val="ListParagraph"/>
        <w:numPr>
          <w:ilvl w:val="0"/>
          <w:numId w:val="133"/>
        </w:numPr>
        <w:tabs>
          <w:tab w:pos="2245" w:val="left" w:leader="none"/>
        </w:tabs>
        <w:spacing w:line="240" w:lineRule="auto" w:before="0" w:after="0"/>
        <w:ind w:left="2244" w:right="0" w:hanging="681"/>
        <w:jc w:val="both"/>
        <w:rPr>
          <w:rFonts w:ascii="Stone Sans II ITC Std Bk"/>
          <w:b/>
          <w:sz w:val="29"/>
        </w:rPr>
      </w:pPr>
      <w:r>
        <w:rPr>
          <w:rFonts w:ascii="Stone Sans II ITC Std Bk"/>
          <w:b/>
          <w:spacing w:val="3"/>
          <w:w w:val="110"/>
          <w:sz w:val="29"/>
        </w:rPr>
        <w:t>En </w:t>
      </w:r>
      <w:r>
        <w:rPr>
          <w:rFonts w:ascii="Stone Sans II ITC Std Bk"/>
          <w:b/>
          <w:spacing w:val="4"/>
          <w:w w:val="110"/>
          <w:sz w:val="29"/>
        </w:rPr>
        <w:t>bloc</w:t>
      </w:r>
      <w:r>
        <w:rPr>
          <w:rFonts w:ascii="Stone Sans II ITC Std Bk"/>
          <w:b/>
          <w:spacing w:val="22"/>
          <w:w w:val="110"/>
          <w:sz w:val="29"/>
        </w:rPr>
        <w:t> </w:t>
      </w:r>
      <w:r>
        <w:rPr>
          <w:rFonts w:ascii="Stone Sans II ITC Std Bk"/>
          <w:b/>
          <w:spacing w:val="3"/>
          <w:w w:val="110"/>
          <w:sz w:val="29"/>
        </w:rPr>
        <w:t>business</w:t>
      </w:r>
    </w:p>
    <w:p>
      <w:pPr>
        <w:pStyle w:val="ListParagraph"/>
        <w:numPr>
          <w:ilvl w:val="1"/>
          <w:numId w:val="133"/>
        </w:numPr>
        <w:tabs>
          <w:tab w:pos="2244" w:val="left" w:leader="none"/>
          <w:tab w:pos="2245" w:val="left" w:leader="none"/>
        </w:tabs>
        <w:spacing w:line="235" w:lineRule="auto" w:before="69" w:after="0"/>
        <w:ind w:left="1564" w:right="1509" w:firstLine="0"/>
        <w:jc w:val="left"/>
        <w:rPr>
          <w:sz w:val="20"/>
        </w:rPr>
      </w:pPr>
      <w:r>
        <w:rPr>
          <w:w w:val="120"/>
          <w:sz w:val="20"/>
        </w:rPr>
        <w:t>The proposal from the Moderators of items of business to be taken en bloc should be notified to Assembly members in advance of their</w:t>
      </w:r>
      <w:r>
        <w:rPr>
          <w:spacing w:val="34"/>
          <w:w w:val="120"/>
          <w:sz w:val="20"/>
        </w:rPr>
        <w:t> </w:t>
      </w:r>
      <w:r>
        <w:rPr>
          <w:w w:val="120"/>
          <w:sz w:val="20"/>
        </w:rPr>
        <w:t>meeting.</w:t>
      </w:r>
    </w:p>
    <w:p>
      <w:pPr>
        <w:spacing w:after="0" w:line="235" w:lineRule="auto"/>
        <w:jc w:val="left"/>
        <w:rPr>
          <w:sz w:val="20"/>
        </w:rPr>
        <w:sectPr>
          <w:headerReference w:type="default" r:id="rId524"/>
          <w:pgSz w:w="11910" w:h="16840"/>
          <w:pgMar w:header="0" w:footer="647" w:top="0" w:bottom="840" w:left="420" w:right="380"/>
        </w:sectPr>
      </w:pPr>
    </w:p>
    <w:p>
      <w:pPr>
        <w:pStyle w:val="BodyText"/>
      </w:pPr>
      <w:r>
        <w:rPr/>
        <w:drawing>
          <wp:anchor distT="0" distB="0" distL="0" distR="0" allowOverlap="1" layoutInCell="1" locked="0" behindDoc="1" simplePos="0" relativeHeight="236262400">
            <wp:simplePos x="0" y="0"/>
            <wp:positionH relativeFrom="page">
              <wp:posOffset>0</wp:posOffset>
            </wp:positionH>
            <wp:positionV relativeFrom="page">
              <wp:posOffset>0</wp:posOffset>
            </wp:positionV>
            <wp:extent cx="594067" cy="10692003"/>
            <wp:effectExtent l="0" t="0" r="0" b="0"/>
            <wp:wrapNone/>
            <wp:docPr id="373" name="image86.png"/>
            <wp:cNvGraphicFramePr>
              <a:graphicFrameLocks noChangeAspect="1"/>
            </wp:cNvGraphicFramePr>
            <a:graphic>
              <a:graphicData uri="http://schemas.openxmlformats.org/drawingml/2006/picture">
                <pic:pic>
                  <pic:nvPicPr>
                    <pic:cNvPr id="374" name="image86.png"/>
                    <pic:cNvPicPr/>
                  </pic:nvPicPr>
                  <pic:blipFill>
                    <a:blip r:embed="rId529"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71.3pt;mso-position-horizontal-relative:page;mso-position-vertical-relative:paragraph;z-index:252230656"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3"/>
        </w:numPr>
        <w:tabs>
          <w:tab w:pos="1507" w:val="left" w:leader="none"/>
          <w:tab w:pos="1508" w:val="left" w:leader="none"/>
        </w:tabs>
        <w:spacing w:line="235" w:lineRule="auto" w:before="222" w:after="0"/>
        <w:ind w:left="827" w:right="2049" w:firstLine="0"/>
        <w:jc w:val="left"/>
        <w:rPr>
          <w:sz w:val="20"/>
        </w:rPr>
      </w:pPr>
      <w:r>
        <w:rPr>
          <w:w w:val="120"/>
          <w:sz w:val="20"/>
        </w:rPr>
        <w:t>Notice in writing to the effect that one or more of the motions included in Group A should be considered separately may be given to the General Secretary by the close of business on the first day of the meeting of the Assembly. If such notice, which must be signed by at least six members of the Assembly, is duly received, then the </w:t>
      </w:r>
      <w:r>
        <w:rPr>
          <w:spacing w:val="-4"/>
          <w:w w:val="120"/>
          <w:sz w:val="20"/>
        </w:rPr>
        <w:t>motion(s) </w:t>
      </w:r>
      <w:r>
        <w:rPr>
          <w:w w:val="120"/>
          <w:sz w:val="20"/>
        </w:rPr>
        <w:t>in question shall be removed from Group </w:t>
      </w:r>
      <w:r>
        <w:rPr>
          <w:spacing w:val="3"/>
          <w:w w:val="120"/>
          <w:sz w:val="20"/>
        </w:rPr>
        <w:t>A. </w:t>
      </w:r>
      <w:r>
        <w:rPr>
          <w:w w:val="120"/>
          <w:sz w:val="20"/>
        </w:rPr>
        <w:t>It shall be for the Moderators, in consultation with the General Secretary and the Clerk, to determine in which of Groups B and C any such separated motions should be</w:t>
      </w:r>
      <w:r>
        <w:rPr>
          <w:spacing w:val="4"/>
          <w:w w:val="120"/>
          <w:sz w:val="20"/>
        </w:rPr>
        <w:t> </w:t>
      </w:r>
      <w:r>
        <w:rPr>
          <w:w w:val="120"/>
          <w:sz w:val="20"/>
        </w:rPr>
        <w:t>placed.</w:t>
      </w:r>
    </w:p>
    <w:p>
      <w:pPr>
        <w:pStyle w:val="BodyText"/>
      </w:pPr>
    </w:p>
    <w:p>
      <w:pPr>
        <w:pStyle w:val="ListParagraph"/>
        <w:numPr>
          <w:ilvl w:val="1"/>
          <w:numId w:val="133"/>
        </w:numPr>
        <w:tabs>
          <w:tab w:pos="1508" w:val="left" w:leader="none"/>
        </w:tabs>
        <w:spacing w:line="235" w:lineRule="auto" w:before="1" w:after="0"/>
        <w:ind w:left="827" w:right="2053" w:firstLine="0"/>
        <w:jc w:val="both"/>
        <w:rPr>
          <w:sz w:val="20"/>
        </w:rPr>
      </w:pPr>
      <w:r>
        <w:rPr>
          <w:w w:val="120"/>
          <w:sz w:val="20"/>
        </w:rPr>
        <w:t>When the single motion to approve en bloc business is before the Assembly, the vote shall be taken immediately, the motion being determined by a majority of the votes of members of the Assembly present and voting as indicated by a show of voting</w:t>
      </w:r>
      <w:r>
        <w:rPr>
          <w:spacing w:val="2"/>
          <w:w w:val="120"/>
          <w:sz w:val="20"/>
        </w:rPr>
        <w:t> </w:t>
      </w:r>
      <w:r>
        <w:rPr>
          <w:w w:val="120"/>
          <w:sz w:val="20"/>
        </w:rPr>
        <w:t>cards.</w:t>
      </w:r>
    </w:p>
    <w:p>
      <w:pPr>
        <w:pStyle w:val="BodyText"/>
        <w:spacing w:before="3"/>
        <w:rPr>
          <w:sz w:val="22"/>
        </w:rPr>
      </w:pPr>
    </w:p>
    <w:p>
      <w:pPr>
        <w:pStyle w:val="Heading4"/>
        <w:numPr>
          <w:ilvl w:val="0"/>
          <w:numId w:val="133"/>
        </w:numPr>
        <w:tabs>
          <w:tab w:pos="1508" w:val="left" w:leader="none"/>
        </w:tabs>
        <w:spacing w:line="240" w:lineRule="auto" w:before="0" w:after="0"/>
        <w:ind w:left="1507" w:right="0" w:hanging="681"/>
        <w:jc w:val="both"/>
      </w:pPr>
      <w:r>
        <w:rPr>
          <w:spacing w:val="4"/>
          <w:w w:val="110"/>
        </w:rPr>
        <w:t>Majority</w:t>
      </w:r>
      <w:r>
        <w:rPr>
          <w:spacing w:val="12"/>
          <w:w w:val="110"/>
        </w:rPr>
        <w:t> </w:t>
      </w:r>
      <w:r>
        <w:rPr>
          <w:spacing w:val="2"/>
          <w:w w:val="110"/>
        </w:rPr>
        <w:t>voting</w:t>
      </w:r>
    </w:p>
    <w:p>
      <w:pPr>
        <w:pStyle w:val="ListParagraph"/>
        <w:numPr>
          <w:ilvl w:val="1"/>
          <w:numId w:val="133"/>
        </w:numPr>
        <w:tabs>
          <w:tab w:pos="1507" w:val="left" w:leader="none"/>
          <w:tab w:pos="1508" w:val="left" w:leader="none"/>
        </w:tabs>
        <w:spacing w:line="223" w:lineRule="auto" w:before="79" w:after="0"/>
        <w:ind w:left="827" w:right="1913" w:firstLine="0"/>
        <w:jc w:val="left"/>
        <w:rPr>
          <w:sz w:val="20"/>
        </w:rPr>
      </w:pPr>
      <w:r>
        <w:rPr>
          <w:w w:val="120"/>
          <w:sz w:val="20"/>
        </w:rPr>
        <w:t>A </w:t>
      </w:r>
      <w:r>
        <w:rPr>
          <w:spacing w:val="2"/>
          <w:w w:val="120"/>
          <w:sz w:val="20"/>
        </w:rPr>
        <w:t>report </w:t>
      </w:r>
      <w:r>
        <w:rPr>
          <w:w w:val="120"/>
          <w:sz w:val="20"/>
        </w:rPr>
        <w:t>presented to the Assembly by a committee or synod, under Standing Order </w:t>
      </w:r>
      <w:r>
        <w:rPr>
          <w:spacing w:val="-12"/>
          <w:w w:val="120"/>
          <w:sz w:val="20"/>
        </w:rPr>
        <w:t>1.1, </w:t>
      </w:r>
      <w:r>
        <w:rPr>
          <w:w w:val="120"/>
          <w:sz w:val="20"/>
        </w:rPr>
        <w:t>shall be </w:t>
      </w:r>
      <w:r>
        <w:rPr>
          <w:rFonts w:ascii="Stone Sans II ITC Std Bk"/>
          <w:b/>
          <w:w w:val="120"/>
          <w:sz w:val="20"/>
        </w:rPr>
        <w:t>received for debate</w:t>
      </w:r>
      <w:r>
        <w:rPr>
          <w:w w:val="120"/>
          <w:sz w:val="20"/>
        </w:rPr>
        <w:t>, unless notice has been duly given under Standing</w:t>
      </w:r>
      <w:r>
        <w:rPr>
          <w:spacing w:val="4"/>
          <w:w w:val="120"/>
          <w:sz w:val="20"/>
        </w:rPr>
        <w:t> </w:t>
      </w:r>
      <w:r>
        <w:rPr>
          <w:w w:val="120"/>
          <w:sz w:val="20"/>
        </w:rPr>
        <w:t>Order</w:t>
      </w:r>
      <w:r>
        <w:rPr>
          <w:spacing w:val="4"/>
          <w:w w:val="120"/>
          <w:sz w:val="20"/>
        </w:rPr>
        <w:t> </w:t>
      </w:r>
      <w:r>
        <w:rPr>
          <w:spacing w:val="-4"/>
          <w:w w:val="120"/>
          <w:sz w:val="20"/>
        </w:rPr>
        <w:t>5.4</w:t>
      </w:r>
      <w:r>
        <w:rPr>
          <w:spacing w:val="4"/>
          <w:w w:val="120"/>
          <w:sz w:val="20"/>
        </w:rPr>
        <w:t> </w:t>
      </w:r>
      <w:r>
        <w:rPr>
          <w:w w:val="120"/>
          <w:sz w:val="20"/>
        </w:rPr>
        <w:t>of</w:t>
      </w:r>
      <w:r>
        <w:rPr>
          <w:spacing w:val="5"/>
          <w:w w:val="120"/>
          <w:sz w:val="20"/>
        </w:rPr>
        <w:t> </w:t>
      </w:r>
      <w:r>
        <w:rPr>
          <w:w w:val="120"/>
          <w:sz w:val="20"/>
        </w:rPr>
        <w:t>a</w:t>
      </w:r>
      <w:r>
        <w:rPr>
          <w:spacing w:val="4"/>
          <w:w w:val="120"/>
          <w:sz w:val="20"/>
        </w:rPr>
        <w:t> </w:t>
      </w:r>
      <w:r>
        <w:rPr>
          <w:w w:val="120"/>
          <w:sz w:val="20"/>
        </w:rPr>
        <w:t>motion</w:t>
      </w:r>
      <w:r>
        <w:rPr>
          <w:spacing w:val="4"/>
          <w:w w:val="120"/>
          <w:sz w:val="20"/>
        </w:rPr>
        <w:t> </w:t>
      </w:r>
      <w:r>
        <w:rPr>
          <w:w w:val="120"/>
          <w:sz w:val="20"/>
        </w:rPr>
        <w:t>to</w:t>
      </w:r>
      <w:r>
        <w:rPr>
          <w:spacing w:val="4"/>
          <w:w w:val="120"/>
          <w:sz w:val="20"/>
        </w:rPr>
        <w:t> </w:t>
      </w:r>
      <w:r>
        <w:rPr>
          <w:w w:val="120"/>
          <w:sz w:val="20"/>
        </w:rPr>
        <w:t>refer</w:t>
      </w:r>
      <w:r>
        <w:rPr>
          <w:spacing w:val="5"/>
          <w:w w:val="120"/>
          <w:sz w:val="20"/>
        </w:rPr>
        <w:t> </w:t>
      </w:r>
      <w:r>
        <w:rPr>
          <w:w w:val="120"/>
          <w:sz w:val="20"/>
        </w:rPr>
        <w:t>back</w:t>
      </w:r>
      <w:r>
        <w:rPr>
          <w:spacing w:val="4"/>
          <w:w w:val="120"/>
          <w:sz w:val="20"/>
        </w:rPr>
        <w:t> </w:t>
      </w:r>
      <w:r>
        <w:rPr>
          <w:w w:val="120"/>
          <w:sz w:val="20"/>
        </w:rPr>
        <w:t>to</w:t>
      </w:r>
      <w:r>
        <w:rPr>
          <w:spacing w:val="4"/>
          <w:w w:val="120"/>
          <w:sz w:val="20"/>
        </w:rPr>
        <w:t> </w:t>
      </w:r>
      <w:r>
        <w:rPr>
          <w:w w:val="120"/>
          <w:sz w:val="20"/>
        </w:rPr>
        <w:t>that</w:t>
      </w:r>
      <w:r>
        <w:rPr>
          <w:spacing w:val="4"/>
          <w:w w:val="120"/>
          <w:sz w:val="20"/>
        </w:rPr>
        <w:t> </w:t>
      </w:r>
      <w:r>
        <w:rPr>
          <w:w w:val="120"/>
          <w:sz w:val="20"/>
        </w:rPr>
        <w:t>committee</w:t>
      </w:r>
      <w:r>
        <w:rPr>
          <w:spacing w:val="5"/>
          <w:w w:val="120"/>
          <w:sz w:val="20"/>
        </w:rPr>
        <w:t> </w:t>
      </w:r>
      <w:r>
        <w:rPr>
          <w:w w:val="120"/>
          <w:sz w:val="20"/>
        </w:rPr>
        <w:t>or</w:t>
      </w:r>
      <w:r>
        <w:rPr>
          <w:spacing w:val="4"/>
          <w:w w:val="120"/>
          <w:sz w:val="20"/>
        </w:rPr>
        <w:t> </w:t>
      </w:r>
      <w:r>
        <w:rPr>
          <w:w w:val="120"/>
          <w:sz w:val="20"/>
        </w:rPr>
        <w:t>synod</w:t>
      </w:r>
      <w:r>
        <w:rPr>
          <w:spacing w:val="4"/>
          <w:w w:val="120"/>
          <w:sz w:val="20"/>
        </w:rPr>
        <w:t> </w:t>
      </w:r>
      <w:r>
        <w:rPr>
          <w:w w:val="120"/>
          <w:sz w:val="20"/>
        </w:rPr>
        <w:t>the</w:t>
      </w:r>
      <w:r>
        <w:rPr>
          <w:spacing w:val="4"/>
          <w:w w:val="120"/>
          <w:sz w:val="20"/>
        </w:rPr>
        <w:t> </w:t>
      </w:r>
      <w:r>
        <w:rPr>
          <w:w w:val="120"/>
          <w:sz w:val="20"/>
        </w:rPr>
        <w:t>whole</w:t>
      </w:r>
    </w:p>
    <w:p>
      <w:pPr>
        <w:pStyle w:val="BodyText"/>
        <w:spacing w:line="235" w:lineRule="auto" w:before="4"/>
        <w:ind w:left="827" w:right="1810"/>
      </w:pPr>
      <w:r>
        <w:rPr>
          <w:w w:val="120"/>
        </w:rPr>
        <w:t>or </w:t>
      </w:r>
      <w:r>
        <w:rPr>
          <w:spacing w:val="2"/>
          <w:w w:val="120"/>
        </w:rPr>
        <w:t>part </w:t>
      </w:r>
      <w:r>
        <w:rPr>
          <w:w w:val="120"/>
        </w:rPr>
        <w:t>of the </w:t>
      </w:r>
      <w:r>
        <w:rPr>
          <w:spacing w:val="2"/>
          <w:w w:val="120"/>
        </w:rPr>
        <w:t>report </w:t>
      </w:r>
      <w:r>
        <w:rPr>
          <w:w w:val="120"/>
        </w:rPr>
        <w:t>and its attached </w:t>
      </w:r>
      <w:r>
        <w:rPr>
          <w:spacing w:val="-4"/>
          <w:w w:val="120"/>
        </w:rPr>
        <w:t>motion(s). </w:t>
      </w:r>
      <w:r>
        <w:rPr>
          <w:w w:val="120"/>
        </w:rPr>
        <w:t>Such a motion for reference back shall be debated and voted upon before the relevant </w:t>
      </w:r>
      <w:r>
        <w:rPr>
          <w:spacing w:val="2"/>
          <w:w w:val="120"/>
        </w:rPr>
        <w:t>report </w:t>
      </w:r>
      <w:r>
        <w:rPr>
          <w:w w:val="120"/>
        </w:rPr>
        <w:t>is itself debated. </w:t>
      </w:r>
      <w:r>
        <w:rPr>
          <w:spacing w:val="-7"/>
          <w:w w:val="120"/>
        </w:rPr>
        <w:t>To </w:t>
      </w:r>
      <w:r>
        <w:rPr>
          <w:spacing w:val="2"/>
          <w:w w:val="120"/>
        </w:rPr>
        <w:t>carry </w:t>
      </w:r>
      <w:r>
        <w:rPr>
          <w:w w:val="120"/>
        </w:rPr>
        <w:t>such  a motion two-thirds of the votes cast must be given in its favour. When a </w:t>
      </w:r>
      <w:r>
        <w:rPr>
          <w:spacing w:val="2"/>
          <w:w w:val="120"/>
        </w:rPr>
        <w:t>report </w:t>
      </w:r>
      <w:r>
        <w:rPr>
          <w:w w:val="120"/>
        </w:rPr>
        <w:t>has been received for debate, and before any motions consequent upon it are proposed, any member may speak to a matter arising from the </w:t>
      </w:r>
      <w:r>
        <w:rPr>
          <w:spacing w:val="2"/>
          <w:w w:val="120"/>
        </w:rPr>
        <w:t>report </w:t>
      </w:r>
      <w:r>
        <w:rPr>
          <w:w w:val="120"/>
        </w:rPr>
        <w:t>which is not the subject of a</w:t>
      </w:r>
      <w:r>
        <w:rPr>
          <w:spacing w:val="1"/>
          <w:w w:val="120"/>
        </w:rPr>
        <w:t> </w:t>
      </w:r>
      <w:r>
        <w:rPr>
          <w:w w:val="120"/>
        </w:rPr>
        <w:t>motion.</w:t>
      </w:r>
    </w:p>
    <w:p>
      <w:pPr>
        <w:pStyle w:val="BodyText"/>
        <w:spacing w:before="1"/>
      </w:pPr>
    </w:p>
    <w:p>
      <w:pPr>
        <w:pStyle w:val="ListParagraph"/>
        <w:numPr>
          <w:ilvl w:val="1"/>
          <w:numId w:val="133"/>
        </w:numPr>
        <w:tabs>
          <w:tab w:pos="1507" w:val="left" w:leader="none"/>
          <w:tab w:pos="1508" w:val="left" w:leader="none"/>
        </w:tabs>
        <w:spacing w:line="235" w:lineRule="auto" w:before="0" w:after="0"/>
        <w:ind w:left="827" w:right="1873" w:firstLine="0"/>
        <w:jc w:val="left"/>
        <w:rPr>
          <w:sz w:val="20"/>
        </w:rPr>
      </w:pPr>
      <w:r>
        <w:rPr>
          <w:w w:val="120"/>
          <w:sz w:val="20"/>
        </w:rPr>
        <w:t>During the meeting of the Assembly and on the </w:t>
      </w:r>
      <w:r>
        <w:rPr>
          <w:spacing w:val="2"/>
          <w:w w:val="120"/>
          <w:sz w:val="20"/>
        </w:rPr>
        <w:t>report </w:t>
      </w:r>
      <w:r>
        <w:rPr>
          <w:w w:val="120"/>
          <w:sz w:val="20"/>
        </w:rPr>
        <w:t>of a committee, notice (including the names of proposer and seconder) shall be given to the Clerk of any  new motions which arise from the material of the report, and of any amendments which affect the substance of motions already presented. The Moderator shall decide whether such motion or amendment requires to be circulated in writing to members before it is discussed by the Assembly. During the course of the debate a new motion or amendment may be stated orally without supporting speech in order to ascertain whether a member is willing to second</w:t>
      </w:r>
      <w:r>
        <w:rPr>
          <w:spacing w:val="16"/>
          <w:w w:val="120"/>
          <w:sz w:val="20"/>
        </w:rPr>
        <w:t> </w:t>
      </w:r>
      <w:r>
        <w:rPr>
          <w:w w:val="120"/>
          <w:sz w:val="20"/>
        </w:rPr>
        <w:t>it.</w:t>
      </w:r>
    </w:p>
    <w:p>
      <w:pPr>
        <w:pStyle w:val="BodyText"/>
        <w:spacing w:before="1"/>
      </w:pPr>
    </w:p>
    <w:p>
      <w:pPr>
        <w:pStyle w:val="ListParagraph"/>
        <w:numPr>
          <w:ilvl w:val="1"/>
          <w:numId w:val="133"/>
        </w:numPr>
        <w:tabs>
          <w:tab w:pos="1507" w:val="left" w:leader="none"/>
          <w:tab w:pos="1508" w:val="left" w:leader="none"/>
        </w:tabs>
        <w:spacing w:line="235" w:lineRule="auto" w:before="0" w:after="0"/>
        <w:ind w:left="827" w:right="1711" w:firstLine="0"/>
        <w:jc w:val="left"/>
        <w:rPr>
          <w:sz w:val="20"/>
        </w:rPr>
      </w:pPr>
      <w:r>
        <w:rPr>
          <w:w w:val="120"/>
          <w:sz w:val="20"/>
        </w:rPr>
        <w:t>No motion or amendment shall be spoken to by its proposer, debated, or put to the Assembly unless it is known that there is a seconder. The only exception to this are motions presented on behalf of a committee, of which printed notice has been given.</w:t>
      </w:r>
    </w:p>
    <w:p>
      <w:pPr>
        <w:pStyle w:val="BodyText"/>
        <w:spacing w:before="10"/>
        <w:rPr>
          <w:sz w:val="19"/>
        </w:rPr>
      </w:pPr>
    </w:p>
    <w:p>
      <w:pPr>
        <w:pStyle w:val="ListParagraph"/>
        <w:numPr>
          <w:ilvl w:val="1"/>
          <w:numId w:val="133"/>
        </w:numPr>
        <w:tabs>
          <w:tab w:pos="1508" w:val="left" w:leader="none"/>
        </w:tabs>
        <w:spacing w:line="235" w:lineRule="auto" w:before="1" w:after="0"/>
        <w:ind w:left="827" w:right="2131" w:firstLine="0"/>
        <w:jc w:val="both"/>
        <w:rPr>
          <w:sz w:val="20"/>
        </w:rPr>
      </w:pPr>
      <w:r>
        <w:rPr>
          <w:w w:val="120"/>
          <w:sz w:val="20"/>
        </w:rPr>
        <w:t>A seconder may second without speaking and, by declaring the intention of doing so, reserve the right of speaking until a later period in the</w:t>
      </w:r>
      <w:r>
        <w:rPr>
          <w:spacing w:val="47"/>
          <w:w w:val="120"/>
          <w:sz w:val="20"/>
        </w:rPr>
        <w:t> </w:t>
      </w:r>
      <w:r>
        <w:rPr>
          <w:w w:val="120"/>
          <w:sz w:val="20"/>
        </w:rPr>
        <w:t>debate.</w:t>
      </w:r>
    </w:p>
    <w:p>
      <w:pPr>
        <w:pStyle w:val="BodyText"/>
        <w:spacing w:before="9"/>
        <w:rPr>
          <w:sz w:val="19"/>
        </w:rPr>
      </w:pPr>
    </w:p>
    <w:p>
      <w:pPr>
        <w:pStyle w:val="ListParagraph"/>
        <w:numPr>
          <w:ilvl w:val="1"/>
          <w:numId w:val="133"/>
        </w:numPr>
        <w:tabs>
          <w:tab w:pos="1507" w:val="left" w:leader="none"/>
          <w:tab w:pos="1508" w:val="left" w:leader="none"/>
        </w:tabs>
        <w:spacing w:line="235" w:lineRule="auto" w:before="0" w:after="0"/>
        <w:ind w:left="827" w:right="1919" w:firstLine="0"/>
        <w:jc w:val="left"/>
        <w:rPr>
          <w:sz w:val="20"/>
        </w:rPr>
      </w:pPr>
      <w:r>
        <w:rPr>
          <w:w w:val="120"/>
          <w:sz w:val="20"/>
        </w:rPr>
        <w:t>An amendment shall be either to omit words or to insert words or to do both, but no amendment shall be in order which has the effect of introducing an irrelevant proposal or of negating the motion. The Moderator may rule that a proposed amendment should be treated as an alternative motion under Standing Order</w:t>
      </w:r>
      <w:r>
        <w:rPr>
          <w:spacing w:val="9"/>
          <w:w w:val="120"/>
          <w:sz w:val="20"/>
        </w:rPr>
        <w:t> </w:t>
      </w:r>
      <w:r>
        <w:rPr>
          <w:spacing w:val="-8"/>
          <w:w w:val="120"/>
          <w:sz w:val="20"/>
        </w:rPr>
        <w:t>3.10.</w:t>
      </w:r>
    </w:p>
    <w:p>
      <w:pPr>
        <w:pStyle w:val="BodyText"/>
        <w:spacing w:before="11"/>
        <w:rPr>
          <w:sz w:val="19"/>
        </w:rPr>
      </w:pPr>
    </w:p>
    <w:p>
      <w:pPr>
        <w:pStyle w:val="ListParagraph"/>
        <w:numPr>
          <w:ilvl w:val="1"/>
          <w:numId w:val="133"/>
        </w:numPr>
        <w:tabs>
          <w:tab w:pos="1507" w:val="left" w:leader="none"/>
          <w:tab w:pos="1508" w:val="left" w:leader="none"/>
        </w:tabs>
        <w:spacing w:line="235" w:lineRule="auto" w:before="0" w:after="0"/>
        <w:ind w:left="827" w:right="1782" w:firstLine="0"/>
        <w:jc w:val="left"/>
        <w:rPr>
          <w:sz w:val="20"/>
        </w:rPr>
      </w:pPr>
      <w:r>
        <w:rPr>
          <w:w w:val="120"/>
          <w:sz w:val="20"/>
        </w:rPr>
        <w:t>If an amendment is carried, the motion as amended shall take the place of the original motion and shall become the substantive motion upon which any further amendment may be moved. If an amendment is rejected, a further amendment with a different outcome may be</w:t>
      </w:r>
      <w:r>
        <w:rPr>
          <w:spacing w:val="7"/>
          <w:w w:val="120"/>
          <w:sz w:val="20"/>
        </w:rPr>
        <w:t> </w:t>
      </w:r>
      <w:r>
        <w:rPr>
          <w:w w:val="120"/>
          <w:sz w:val="20"/>
        </w:rPr>
        <w:t>moved.</w:t>
      </w:r>
    </w:p>
    <w:p>
      <w:pPr>
        <w:pStyle w:val="BodyText"/>
        <w:spacing w:before="11"/>
        <w:rPr>
          <w:sz w:val="19"/>
        </w:rPr>
      </w:pPr>
    </w:p>
    <w:p>
      <w:pPr>
        <w:pStyle w:val="ListParagraph"/>
        <w:numPr>
          <w:ilvl w:val="1"/>
          <w:numId w:val="133"/>
        </w:numPr>
        <w:tabs>
          <w:tab w:pos="1507" w:val="left" w:leader="none"/>
          <w:tab w:pos="1508" w:val="left" w:leader="none"/>
        </w:tabs>
        <w:spacing w:line="235" w:lineRule="auto" w:before="0" w:after="0"/>
        <w:ind w:left="827" w:right="1718" w:firstLine="0"/>
        <w:jc w:val="left"/>
        <w:rPr>
          <w:sz w:val="20"/>
        </w:rPr>
      </w:pPr>
      <w:r>
        <w:rPr>
          <w:w w:val="120"/>
          <w:sz w:val="20"/>
        </w:rPr>
        <w:t>An amendment which has been moved and seconded shall be disposed of before any further amendment may be moved, but notice may be given of intention to move a further amendment should the one before the Assembly be</w:t>
      </w:r>
      <w:r>
        <w:rPr>
          <w:spacing w:val="31"/>
          <w:w w:val="120"/>
          <w:sz w:val="20"/>
        </w:rPr>
        <w:t> </w:t>
      </w:r>
      <w:r>
        <w:rPr>
          <w:w w:val="120"/>
          <w:sz w:val="20"/>
        </w:rPr>
        <w:t>rejected.</w:t>
      </w:r>
    </w:p>
    <w:p>
      <w:pPr>
        <w:pStyle w:val="BodyText"/>
        <w:spacing w:before="10"/>
        <w:rPr>
          <w:sz w:val="19"/>
        </w:rPr>
      </w:pPr>
    </w:p>
    <w:p>
      <w:pPr>
        <w:pStyle w:val="ListParagraph"/>
        <w:numPr>
          <w:ilvl w:val="1"/>
          <w:numId w:val="133"/>
        </w:numPr>
        <w:tabs>
          <w:tab w:pos="1508" w:val="left" w:leader="none"/>
        </w:tabs>
        <w:spacing w:line="235" w:lineRule="auto" w:before="0" w:after="0"/>
        <w:ind w:left="827" w:right="1986" w:firstLine="0"/>
        <w:jc w:val="both"/>
        <w:rPr>
          <w:sz w:val="20"/>
        </w:rPr>
      </w:pPr>
      <w:r>
        <w:rPr>
          <w:w w:val="120"/>
          <w:sz w:val="20"/>
        </w:rPr>
        <w:t>The mover </w:t>
      </w:r>
      <w:r>
        <w:rPr>
          <w:spacing w:val="-4"/>
          <w:w w:val="120"/>
          <w:sz w:val="20"/>
        </w:rPr>
        <w:t>may, </w:t>
      </w:r>
      <w:r>
        <w:rPr>
          <w:w w:val="120"/>
          <w:sz w:val="20"/>
        </w:rPr>
        <w:t>with the concurrence of the seconder and the consent of the Assembly, alter the motion or amendment</w:t>
      </w:r>
      <w:r>
        <w:rPr>
          <w:spacing w:val="12"/>
          <w:w w:val="120"/>
          <w:sz w:val="20"/>
        </w:rPr>
        <w:t> </w:t>
      </w:r>
      <w:r>
        <w:rPr>
          <w:w w:val="120"/>
          <w:sz w:val="20"/>
        </w:rPr>
        <w:t>proposed.</w:t>
      </w:r>
    </w:p>
    <w:p>
      <w:pPr>
        <w:spacing w:after="0" w:line="235" w:lineRule="auto"/>
        <w:jc w:val="both"/>
        <w:rPr>
          <w:sz w:val="20"/>
        </w:rPr>
        <w:sectPr>
          <w:headerReference w:type="even" r:id="rId526"/>
          <w:footerReference w:type="even" r:id="rId527"/>
          <w:footerReference w:type="default" r:id="rId528"/>
          <w:pgSz w:w="11910" w:h="16840"/>
          <w:pgMar w:header="0" w:footer="647" w:top="0" w:bottom="840" w:left="420" w:right="380"/>
          <w:pgNumType w:start="196"/>
        </w:sectPr>
      </w:pPr>
    </w:p>
    <w:p>
      <w:pPr>
        <w:pStyle w:val="BodyText"/>
      </w:pPr>
      <w:r>
        <w:rPr/>
        <w:drawing>
          <wp:anchor distT="0" distB="0" distL="0" distR="0" allowOverlap="1" layoutInCell="1" locked="0" behindDoc="0" simplePos="0" relativeHeight="252231680">
            <wp:simplePos x="0" y="0"/>
            <wp:positionH relativeFrom="page">
              <wp:posOffset>6974928</wp:posOffset>
            </wp:positionH>
            <wp:positionV relativeFrom="page">
              <wp:posOffset>0</wp:posOffset>
            </wp:positionV>
            <wp:extent cx="585076" cy="10692003"/>
            <wp:effectExtent l="0" t="0" r="0" b="0"/>
            <wp:wrapNone/>
            <wp:docPr id="375" name="image87.png"/>
            <wp:cNvGraphicFramePr>
              <a:graphicFrameLocks noChangeAspect="1"/>
            </wp:cNvGraphicFramePr>
            <a:graphic>
              <a:graphicData uri="http://schemas.openxmlformats.org/drawingml/2006/picture">
                <pic:pic>
                  <pic:nvPicPr>
                    <pic:cNvPr id="376" name="image87.png"/>
                    <pic:cNvPicPr/>
                  </pic:nvPicPr>
                  <pic:blipFill>
                    <a:blip r:embed="rId531"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71.3pt;mso-position-horizontal-relative:page;mso-position-vertical-relative:paragraph;z-index:252232704"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3"/>
        </w:numPr>
        <w:tabs>
          <w:tab w:pos="2244" w:val="left" w:leader="none"/>
          <w:tab w:pos="2245" w:val="left" w:leader="none"/>
        </w:tabs>
        <w:spacing w:line="235" w:lineRule="auto" w:before="222" w:after="0"/>
        <w:ind w:left="1564" w:right="921" w:firstLine="0"/>
        <w:jc w:val="left"/>
        <w:rPr>
          <w:sz w:val="20"/>
        </w:rPr>
      </w:pPr>
      <w:r>
        <w:rPr>
          <w:w w:val="120"/>
          <w:sz w:val="20"/>
        </w:rPr>
        <w:t>A motion or amendment may be withdrawn by the proposer with the concurrence of the seconder and the consent of the Assembly. Any such consent shall be signified without discussion. It shall not be in order for any member to speak upon it after the proposer has asked permission to withdraw unless such permission shall have been</w:t>
      </w:r>
      <w:r>
        <w:rPr>
          <w:spacing w:val="1"/>
          <w:w w:val="120"/>
          <w:sz w:val="20"/>
        </w:rPr>
        <w:t> </w:t>
      </w:r>
      <w:r>
        <w:rPr>
          <w:w w:val="120"/>
          <w:sz w:val="20"/>
        </w:rPr>
        <w:t>refused.</w:t>
      </w:r>
    </w:p>
    <w:p>
      <w:pPr>
        <w:pStyle w:val="BodyText"/>
        <w:spacing w:before="11"/>
        <w:rPr>
          <w:sz w:val="19"/>
        </w:rPr>
      </w:pPr>
    </w:p>
    <w:p>
      <w:pPr>
        <w:pStyle w:val="ListParagraph"/>
        <w:numPr>
          <w:ilvl w:val="1"/>
          <w:numId w:val="133"/>
        </w:numPr>
        <w:tabs>
          <w:tab w:pos="2244" w:val="left" w:leader="none"/>
          <w:tab w:pos="2245" w:val="left" w:leader="none"/>
        </w:tabs>
        <w:spacing w:line="235" w:lineRule="auto" w:before="0" w:after="0"/>
        <w:ind w:left="1564" w:right="1033" w:firstLine="0"/>
        <w:jc w:val="left"/>
        <w:rPr>
          <w:sz w:val="20"/>
        </w:rPr>
      </w:pPr>
      <w:r>
        <w:rPr>
          <w:w w:val="120"/>
          <w:sz w:val="20"/>
        </w:rPr>
        <w:t>Alternative (but not directly negative) motions may be moved and seconded in competition with a motion before the Assembly. It shall be for the Moderator, on the advice of the Clerk, to rule when motions shall be considered as alternatives under the terms of this Standing</w:t>
      </w:r>
      <w:r>
        <w:rPr>
          <w:spacing w:val="8"/>
          <w:w w:val="120"/>
          <w:sz w:val="20"/>
        </w:rPr>
        <w:t> </w:t>
      </w:r>
      <w:r>
        <w:rPr>
          <w:w w:val="120"/>
          <w:sz w:val="20"/>
        </w:rPr>
        <w:t>Order.</w:t>
      </w:r>
    </w:p>
    <w:p>
      <w:pPr>
        <w:pStyle w:val="BodyText"/>
        <w:spacing w:before="11"/>
        <w:rPr>
          <w:sz w:val="19"/>
        </w:rPr>
      </w:pPr>
    </w:p>
    <w:p>
      <w:pPr>
        <w:pStyle w:val="ListParagraph"/>
        <w:numPr>
          <w:ilvl w:val="2"/>
          <w:numId w:val="133"/>
        </w:numPr>
        <w:tabs>
          <w:tab w:pos="2245" w:val="left" w:leader="none"/>
        </w:tabs>
        <w:spacing w:line="235" w:lineRule="auto" w:before="0" w:after="0"/>
        <w:ind w:left="2244" w:right="957" w:hanging="681"/>
        <w:jc w:val="left"/>
        <w:rPr>
          <w:sz w:val="20"/>
        </w:rPr>
      </w:pPr>
      <w:r>
        <w:rPr>
          <w:w w:val="120"/>
          <w:sz w:val="20"/>
        </w:rPr>
        <w:t>When such </w:t>
      </w:r>
      <w:r>
        <w:rPr>
          <w:spacing w:val="2"/>
          <w:w w:val="120"/>
          <w:sz w:val="20"/>
        </w:rPr>
        <w:t>draft </w:t>
      </w:r>
      <w:r>
        <w:rPr>
          <w:w w:val="120"/>
          <w:sz w:val="20"/>
        </w:rPr>
        <w:t>alternative motions have been received by the General Secretary, the Moderators may ask the General Secretary to convene a meeting (physical or electronic) of the proposers, to ascertain if it may be possible to agree on a single </w:t>
      </w:r>
      <w:r>
        <w:rPr>
          <w:spacing w:val="2"/>
          <w:w w:val="120"/>
          <w:sz w:val="20"/>
        </w:rPr>
        <w:t>draft </w:t>
      </w:r>
      <w:r>
        <w:rPr>
          <w:w w:val="120"/>
          <w:sz w:val="20"/>
        </w:rPr>
        <w:t>motion to put before the Assembly, or to clarify the areas of</w:t>
      </w:r>
      <w:r>
        <w:rPr>
          <w:spacing w:val="2"/>
          <w:w w:val="120"/>
          <w:sz w:val="20"/>
        </w:rPr>
        <w:t> </w:t>
      </w:r>
      <w:r>
        <w:rPr>
          <w:w w:val="120"/>
          <w:sz w:val="20"/>
        </w:rPr>
        <w:t>disagreement.</w:t>
      </w:r>
    </w:p>
    <w:p>
      <w:pPr>
        <w:pStyle w:val="BodyText"/>
        <w:spacing w:before="12"/>
        <w:rPr>
          <w:sz w:val="19"/>
        </w:rPr>
      </w:pPr>
    </w:p>
    <w:p>
      <w:pPr>
        <w:pStyle w:val="ListParagraph"/>
        <w:numPr>
          <w:ilvl w:val="2"/>
          <w:numId w:val="133"/>
        </w:numPr>
        <w:tabs>
          <w:tab w:pos="2245" w:val="left" w:leader="none"/>
        </w:tabs>
        <w:spacing w:line="235" w:lineRule="auto" w:before="0" w:after="0"/>
        <w:ind w:left="2244" w:right="1066" w:hanging="681"/>
        <w:jc w:val="left"/>
        <w:rPr>
          <w:sz w:val="20"/>
        </w:rPr>
      </w:pPr>
      <w:r>
        <w:rPr>
          <w:w w:val="120"/>
          <w:sz w:val="20"/>
        </w:rPr>
        <w:t>If the Assembly has alternative motions before it, each proposer shall be given the</w:t>
      </w:r>
      <w:r>
        <w:rPr>
          <w:spacing w:val="5"/>
          <w:w w:val="120"/>
          <w:sz w:val="20"/>
        </w:rPr>
        <w:t> </w:t>
      </w:r>
      <w:r>
        <w:rPr>
          <w:w w:val="120"/>
          <w:sz w:val="20"/>
        </w:rPr>
        <w:t>opportunity</w:t>
      </w:r>
      <w:r>
        <w:rPr>
          <w:spacing w:val="6"/>
          <w:w w:val="120"/>
          <w:sz w:val="20"/>
        </w:rPr>
        <w:t> </w:t>
      </w:r>
      <w:r>
        <w:rPr>
          <w:w w:val="120"/>
          <w:sz w:val="20"/>
        </w:rPr>
        <w:t>to</w:t>
      </w:r>
      <w:r>
        <w:rPr>
          <w:spacing w:val="5"/>
          <w:w w:val="120"/>
          <w:sz w:val="20"/>
        </w:rPr>
        <w:t> </w:t>
      </w:r>
      <w:r>
        <w:rPr>
          <w:w w:val="120"/>
          <w:sz w:val="20"/>
        </w:rPr>
        <w:t>present</w:t>
      </w:r>
      <w:r>
        <w:rPr>
          <w:spacing w:val="6"/>
          <w:w w:val="120"/>
          <w:sz w:val="20"/>
        </w:rPr>
        <w:t> </w:t>
      </w:r>
      <w:r>
        <w:rPr>
          <w:w w:val="120"/>
          <w:sz w:val="20"/>
        </w:rPr>
        <w:t>their</w:t>
      </w:r>
      <w:r>
        <w:rPr>
          <w:spacing w:val="6"/>
          <w:w w:val="120"/>
          <w:sz w:val="20"/>
        </w:rPr>
        <w:t> </w:t>
      </w:r>
      <w:r>
        <w:rPr>
          <w:w w:val="120"/>
          <w:sz w:val="20"/>
        </w:rPr>
        <w:t>motion</w:t>
      </w:r>
      <w:r>
        <w:rPr>
          <w:spacing w:val="5"/>
          <w:w w:val="120"/>
          <w:sz w:val="20"/>
        </w:rPr>
        <w:t> </w:t>
      </w:r>
      <w:r>
        <w:rPr>
          <w:w w:val="120"/>
          <w:sz w:val="20"/>
        </w:rPr>
        <w:t>in</w:t>
      </w:r>
      <w:r>
        <w:rPr>
          <w:spacing w:val="6"/>
          <w:w w:val="120"/>
          <w:sz w:val="20"/>
        </w:rPr>
        <w:t> </w:t>
      </w:r>
      <w:r>
        <w:rPr>
          <w:w w:val="120"/>
          <w:sz w:val="20"/>
        </w:rPr>
        <w:t>an</w:t>
      </w:r>
      <w:r>
        <w:rPr>
          <w:spacing w:val="6"/>
          <w:w w:val="120"/>
          <w:sz w:val="20"/>
        </w:rPr>
        <w:t> </w:t>
      </w:r>
      <w:r>
        <w:rPr>
          <w:w w:val="120"/>
          <w:sz w:val="20"/>
        </w:rPr>
        <w:t>order</w:t>
      </w:r>
      <w:r>
        <w:rPr>
          <w:spacing w:val="5"/>
          <w:w w:val="120"/>
          <w:sz w:val="20"/>
        </w:rPr>
        <w:t> </w:t>
      </w:r>
      <w:r>
        <w:rPr>
          <w:w w:val="120"/>
          <w:sz w:val="20"/>
        </w:rPr>
        <w:t>decided</w:t>
      </w:r>
      <w:r>
        <w:rPr>
          <w:spacing w:val="6"/>
          <w:w w:val="120"/>
          <w:sz w:val="20"/>
        </w:rPr>
        <w:t> </w:t>
      </w:r>
      <w:r>
        <w:rPr>
          <w:w w:val="120"/>
          <w:sz w:val="20"/>
        </w:rPr>
        <w:t>by</w:t>
      </w:r>
      <w:r>
        <w:rPr>
          <w:spacing w:val="6"/>
          <w:w w:val="120"/>
          <w:sz w:val="20"/>
        </w:rPr>
        <w:t> </w:t>
      </w:r>
      <w:r>
        <w:rPr>
          <w:w w:val="120"/>
          <w:sz w:val="20"/>
        </w:rPr>
        <w:t>the</w:t>
      </w:r>
      <w:r>
        <w:rPr>
          <w:spacing w:val="5"/>
          <w:w w:val="120"/>
          <w:sz w:val="20"/>
        </w:rPr>
        <w:t> </w:t>
      </w:r>
      <w:r>
        <w:rPr>
          <w:w w:val="120"/>
          <w:sz w:val="20"/>
        </w:rPr>
        <w:t>Moderator.</w:t>
      </w:r>
    </w:p>
    <w:p>
      <w:pPr>
        <w:pStyle w:val="BodyText"/>
        <w:spacing w:before="9"/>
        <w:rPr>
          <w:sz w:val="19"/>
        </w:rPr>
      </w:pPr>
    </w:p>
    <w:p>
      <w:pPr>
        <w:pStyle w:val="ListParagraph"/>
        <w:numPr>
          <w:ilvl w:val="2"/>
          <w:numId w:val="133"/>
        </w:numPr>
        <w:tabs>
          <w:tab w:pos="2245" w:val="left" w:leader="none"/>
        </w:tabs>
        <w:spacing w:line="235" w:lineRule="auto" w:before="0" w:after="0"/>
        <w:ind w:left="2244" w:right="945" w:hanging="681"/>
        <w:jc w:val="left"/>
        <w:rPr>
          <w:sz w:val="20"/>
        </w:rPr>
      </w:pPr>
      <w:r>
        <w:rPr>
          <w:w w:val="120"/>
          <w:sz w:val="20"/>
        </w:rPr>
        <w:t>After any amendments duly moved under Standing Orders 3.5, </w:t>
      </w:r>
      <w:r>
        <w:rPr>
          <w:spacing w:val="-2"/>
          <w:w w:val="120"/>
          <w:sz w:val="20"/>
        </w:rPr>
        <w:t>3.6 </w:t>
      </w:r>
      <w:r>
        <w:rPr>
          <w:w w:val="120"/>
          <w:sz w:val="20"/>
        </w:rPr>
        <w:t>and </w:t>
      </w:r>
      <w:r>
        <w:rPr>
          <w:spacing w:val="-4"/>
          <w:w w:val="120"/>
          <w:sz w:val="20"/>
        </w:rPr>
        <w:t>3.7 </w:t>
      </w:r>
      <w:r>
        <w:rPr>
          <w:w w:val="120"/>
          <w:sz w:val="20"/>
        </w:rPr>
        <w:t>have been dealt with and debate on the alternative motions has ended, the movers shall reply to the debate in reverse order to that in which they spoke</w:t>
      </w:r>
      <w:r>
        <w:rPr>
          <w:spacing w:val="6"/>
          <w:w w:val="120"/>
          <w:sz w:val="20"/>
        </w:rPr>
        <w:t> </w:t>
      </w:r>
      <w:r>
        <w:rPr>
          <w:w w:val="120"/>
          <w:sz w:val="20"/>
        </w:rPr>
        <w:t>initially.</w:t>
      </w:r>
    </w:p>
    <w:p>
      <w:pPr>
        <w:pStyle w:val="BodyText"/>
        <w:spacing w:line="235" w:lineRule="auto" w:before="2"/>
        <w:ind w:left="2244" w:right="1096"/>
      </w:pPr>
      <w:r>
        <w:rPr>
          <w:w w:val="120"/>
        </w:rPr>
        <w:t>The first vote shall be a vote in favour of each of the motions, put in the order in which they were proposed, the result not being announced for one until it is announced for all. If any of them obtains a majority of those voting, it</w:t>
      </w:r>
      <w:r>
        <w:rPr>
          <w:spacing w:val="21"/>
          <w:w w:val="120"/>
        </w:rPr>
        <w:t> </w:t>
      </w:r>
      <w:r>
        <w:rPr>
          <w:w w:val="120"/>
        </w:rPr>
        <w:t>becomes</w:t>
      </w:r>
    </w:p>
    <w:p>
      <w:pPr>
        <w:pStyle w:val="BodyText"/>
        <w:spacing w:line="235" w:lineRule="auto" w:before="3"/>
        <w:ind w:left="2244" w:right="881"/>
      </w:pPr>
      <w:r>
        <w:rPr>
          <w:w w:val="120"/>
        </w:rPr>
        <w:t>the sole motion before the Assembly. If none of them does so, the motion having the fewest votes is discarded. Should the lowest two be equal, the Moderator gives a casting vote. The voting process is repeated until one motion achieves a majority of those voting.</w:t>
      </w:r>
    </w:p>
    <w:p>
      <w:pPr>
        <w:pStyle w:val="BodyText"/>
        <w:spacing w:before="10"/>
        <w:rPr>
          <w:sz w:val="19"/>
        </w:rPr>
      </w:pPr>
    </w:p>
    <w:p>
      <w:pPr>
        <w:pStyle w:val="ListParagraph"/>
        <w:numPr>
          <w:ilvl w:val="2"/>
          <w:numId w:val="133"/>
        </w:numPr>
        <w:tabs>
          <w:tab w:pos="2245" w:val="left" w:leader="none"/>
        </w:tabs>
        <w:spacing w:line="235" w:lineRule="auto" w:before="0" w:after="0"/>
        <w:ind w:left="2244" w:right="1086" w:hanging="681"/>
        <w:jc w:val="left"/>
        <w:rPr>
          <w:sz w:val="20"/>
        </w:rPr>
      </w:pPr>
      <w:r>
        <w:rPr>
          <w:w w:val="120"/>
          <w:sz w:val="20"/>
        </w:rPr>
        <w:t>Once a sole motion remains, further discussion is permissible and votes for and against that motion shall be taken in the normal way and in accordance with Standing Order</w:t>
      </w:r>
      <w:r>
        <w:rPr>
          <w:spacing w:val="4"/>
          <w:w w:val="120"/>
          <w:sz w:val="20"/>
        </w:rPr>
        <w:t> </w:t>
      </w:r>
      <w:r>
        <w:rPr>
          <w:spacing w:val="-13"/>
          <w:w w:val="120"/>
          <w:sz w:val="20"/>
        </w:rPr>
        <w:t>7.</w:t>
      </w:r>
    </w:p>
    <w:p>
      <w:pPr>
        <w:pStyle w:val="BodyText"/>
        <w:spacing w:before="2"/>
        <w:rPr>
          <w:sz w:val="19"/>
        </w:rPr>
      </w:pPr>
    </w:p>
    <w:p>
      <w:pPr>
        <w:pStyle w:val="ListParagraph"/>
        <w:numPr>
          <w:ilvl w:val="1"/>
          <w:numId w:val="133"/>
        </w:numPr>
        <w:tabs>
          <w:tab w:pos="2244" w:val="left" w:leader="none"/>
          <w:tab w:pos="2245" w:val="left" w:leader="none"/>
        </w:tabs>
        <w:spacing w:line="230" w:lineRule="auto" w:before="0" w:after="0"/>
        <w:ind w:left="1564" w:right="867" w:firstLine="0"/>
        <w:jc w:val="left"/>
        <w:rPr>
          <w:sz w:val="20"/>
        </w:rPr>
      </w:pPr>
      <w:r>
        <w:rPr>
          <w:w w:val="120"/>
          <w:sz w:val="20"/>
        </w:rPr>
        <w:t>In the course of the business any member may move that the </w:t>
      </w:r>
      <w:r>
        <w:rPr>
          <w:rFonts w:ascii="Stone Sans II ITC Std Bk"/>
          <w:b/>
          <w:w w:val="120"/>
          <w:sz w:val="20"/>
        </w:rPr>
        <w:t>question under consideration be not put</w:t>
      </w:r>
      <w:r>
        <w:rPr>
          <w:w w:val="120"/>
          <w:sz w:val="20"/>
        </w:rPr>
        <w:t>. This motion takes precedence over every motion before the Assembly. </w:t>
      </w:r>
      <w:r>
        <w:rPr>
          <w:spacing w:val="3"/>
          <w:w w:val="120"/>
          <w:sz w:val="20"/>
        </w:rPr>
        <w:t>As </w:t>
      </w:r>
      <w:r>
        <w:rPr>
          <w:w w:val="120"/>
          <w:sz w:val="20"/>
        </w:rPr>
        <w:t>soon as the member has given reasons for proposing it and it has been seconded and the proposer of the motion or amendment under consideration has been allowed opportunity to comment on the reasons put forward, the vote upon it shall be taken, unless it appears to the Moderator that an unfair use is being made of this rule. Should the motion be carried, the business shall immediately end and the Assembly  shall proceed to the next</w:t>
      </w:r>
      <w:r>
        <w:rPr>
          <w:spacing w:val="10"/>
          <w:w w:val="120"/>
          <w:sz w:val="20"/>
        </w:rPr>
        <w:t> </w:t>
      </w:r>
      <w:r>
        <w:rPr>
          <w:w w:val="120"/>
          <w:sz w:val="20"/>
        </w:rPr>
        <w:t>business.</w:t>
      </w:r>
    </w:p>
    <w:p>
      <w:pPr>
        <w:pStyle w:val="BodyText"/>
        <w:spacing w:before="1"/>
        <w:rPr>
          <w:sz w:val="19"/>
        </w:rPr>
      </w:pPr>
    </w:p>
    <w:p>
      <w:pPr>
        <w:pStyle w:val="ListParagraph"/>
        <w:numPr>
          <w:ilvl w:val="1"/>
          <w:numId w:val="133"/>
        </w:numPr>
        <w:tabs>
          <w:tab w:pos="2244" w:val="left" w:leader="none"/>
          <w:tab w:pos="2245" w:val="left" w:leader="none"/>
        </w:tabs>
        <w:spacing w:line="232" w:lineRule="auto" w:before="0" w:after="0"/>
        <w:ind w:left="1564" w:right="934" w:firstLine="0"/>
        <w:jc w:val="left"/>
        <w:rPr>
          <w:sz w:val="20"/>
        </w:rPr>
      </w:pPr>
      <w:r>
        <w:rPr>
          <w:w w:val="120"/>
          <w:sz w:val="20"/>
        </w:rPr>
        <w:t>In the course of any discussion, any member may move that the </w:t>
      </w:r>
      <w:r>
        <w:rPr>
          <w:rFonts w:ascii="Stone Sans II ITC Std Bk" w:hAnsi="Stone Sans II ITC Std Bk"/>
          <w:b/>
          <w:w w:val="120"/>
          <w:sz w:val="20"/>
        </w:rPr>
        <w:t>question be now put</w:t>
      </w:r>
      <w:r>
        <w:rPr>
          <w:w w:val="120"/>
          <w:sz w:val="20"/>
        </w:rPr>
        <w:t>. This is sometimes described as ‘the closure </w:t>
      </w:r>
      <w:r>
        <w:rPr>
          <w:spacing w:val="-4"/>
          <w:w w:val="120"/>
          <w:sz w:val="20"/>
        </w:rPr>
        <w:t>motion’. </w:t>
      </w:r>
      <w:r>
        <w:rPr>
          <w:w w:val="120"/>
          <w:sz w:val="20"/>
        </w:rPr>
        <w:t>If the Moderator senses that there is a wish or need to close a debate, the Moderator may ask whether any member wishes so to move; the Moderator may not simply declare a debate closed. Provided that it appears to the Moderator that the motion is a fair use of this rule, the vote shall be taken upon it immediately it has been seconded. When an amendment is under discussion, this motion shall apply only to that amendment. </w:t>
      </w:r>
      <w:r>
        <w:rPr>
          <w:spacing w:val="-7"/>
          <w:w w:val="120"/>
          <w:sz w:val="20"/>
        </w:rPr>
        <w:t>To </w:t>
      </w:r>
      <w:r>
        <w:rPr>
          <w:spacing w:val="2"/>
          <w:w w:val="120"/>
          <w:sz w:val="20"/>
        </w:rPr>
        <w:t>carry </w:t>
      </w:r>
      <w:r>
        <w:rPr>
          <w:w w:val="120"/>
          <w:sz w:val="20"/>
        </w:rPr>
        <w:t>this motion, two-thirds of the votes cast must be given in its favour. The mover of the original motion or amendment, as the case may be, retains the right of reply before the vote is taken on the motion or</w:t>
      </w:r>
      <w:r>
        <w:rPr>
          <w:spacing w:val="10"/>
          <w:w w:val="120"/>
          <w:sz w:val="20"/>
        </w:rPr>
        <w:t> </w:t>
      </w:r>
      <w:r>
        <w:rPr>
          <w:w w:val="120"/>
          <w:sz w:val="20"/>
        </w:rPr>
        <w:t>amendment.</w:t>
      </w:r>
    </w:p>
    <w:p>
      <w:pPr>
        <w:pStyle w:val="BodyText"/>
        <w:spacing w:before="2"/>
        <w:rPr>
          <w:sz w:val="19"/>
        </w:rPr>
      </w:pPr>
    </w:p>
    <w:p>
      <w:pPr>
        <w:pStyle w:val="ListParagraph"/>
        <w:numPr>
          <w:ilvl w:val="1"/>
          <w:numId w:val="133"/>
        </w:numPr>
        <w:tabs>
          <w:tab w:pos="2244" w:val="left" w:leader="none"/>
          <w:tab w:pos="2245" w:val="left" w:leader="none"/>
        </w:tabs>
        <w:spacing w:line="230" w:lineRule="auto" w:before="1" w:after="0"/>
        <w:ind w:left="1564" w:right="961" w:firstLine="0"/>
        <w:jc w:val="left"/>
        <w:rPr>
          <w:sz w:val="20"/>
        </w:rPr>
      </w:pPr>
      <w:r>
        <w:rPr>
          <w:w w:val="120"/>
          <w:sz w:val="20"/>
        </w:rPr>
        <w:t>During the course of a debate on a motion any member may move that decision on</w:t>
      </w:r>
      <w:r>
        <w:rPr>
          <w:spacing w:val="-8"/>
          <w:w w:val="120"/>
          <w:sz w:val="20"/>
        </w:rPr>
        <w:t> </w:t>
      </w:r>
      <w:r>
        <w:rPr>
          <w:w w:val="120"/>
          <w:sz w:val="20"/>
        </w:rPr>
        <w:t>this</w:t>
      </w:r>
      <w:r>
        <w:rPr>
          <w:spacing w:val="-7"/>
          <w:w w:val="120"/>
          <w:sz w:val="20"/>
        </w:rPr>
        <w:t> </w:t>
      </w:r>
      <w:r>
        <w:rPr>
          <w:rFonts w:ascii="Stone Sans II ITC Std Bk"/>
          <w:b/>
          <w:w w:val="120"/>
          <w:sz w:val="20"/>
        </w:rPr>
        <w:t>motion</w:t>
      </w:r>
      <w:r>
        <w:rPr>
          <w:rFonts w:ascii="Stone Sans II ITC Std Bk"/>
          <w:b/>
          <w:spacing w:val="-15"/>
          <w:w w:val="120"/>
          <w:sz w:val="20"/>
        </w:rPr>
        <w:t> </w:t>
      </w:r>
      <w:r>
        <w:rPr>
          <w:rFonts w:ascii="Stone Sans II ITC Std Bk"/>
          <w:b/>
          <w:w w:val="120"/>
          <w:sz w:val="20"/>
        </w:rPr>
        <w:t>be</w:t>
      </w:r>
      <w:r>
        <w:rPr>
          <w:rFonts w:ascii="Stone Sans II ITC Std Bk"/>
          <w:b/>
          <w:spacing w:val="-15"/>
          <w:w w:val="120"/>
          <w:sz w:val="20"/>
        </w:rPr>
        <w:t> </w:t>
      </w:r>
      <w:r>
        <w:rPr>
          <w:rFonts w:ascii="Stone Sans II ITC Std Bk"/>
          <w:b/>
          <w:w w:val="120"/>
          <w:sz w:val="20"/>
        </w:rPr>
        <w:t>deferred</w:t>
      </w:r>
      <w:r>
        <w:rPr>
          <w:rFonts w:ascii="Stone Sans II ITC Std Bk"/>
          <w:b/>
          <w:spacing w:val="-16"/>
          <w:w w:val="120"/>
          <w:sz w:val="20"/>
        </w:rPr>
        <w:t> </w:t>
      </w:r>
      <w:r>
        <w:rPr>
          <w:w w:val="120"/>
          <w:sz w:val="20"/>
        </w:rPr>
        <w:t>to</w:t>
      </w:r>
      <w:r>
        <w:rPr>
          <w:spacing w:val="-8"/>
          <w:w w:val="120"/>
          <w:sz w:val="20"/>
        </w:rPr>
        <w:t> </w:t>
      </w:r>
      <w:r>
        <w:rPr>
          <w:w w:val="120"/>
          <w:sz w:val="20"/>
        </w:rPr>
        <w:t>the</w:t>
      </w:r>
      <w:r>
        <w:rPr>
          <w:spacing w:val="-7"/>
          <w:w w:val="120"/>
          <w:sz w:val="20"/>
        </w:rPr>
        <w:t> </w:t>
      </w:r>
      <w:r>
        <w:rPr>
          <w:w w:val="120"/>
          <w:sz w:val="20"/>
        </w:rPr>
        <w:t>next</w:t>
      </w:r>
      <w:r>
        <w:rPr>
          <w:spacing w:val="-7"/>
          <w:w w:val="120"/>
          <w:sz w:val="20"/>
        </w:rPr>
        <w:t> </w:t>
      </w:r>
      <w:r>
        <w:rPr>
          <w:w w:val="120"/>
          <w:sz w:val="20"/>
        </w:rPr>
        <w:t>Assembly.</w:t>
      </w:r>
      <w:r>
        <w:rPr>
          <w:spacing w:val="-7"/>
          <w:w w:val="120"/>
          <w:sz w:val="20"/>
        </w:rPr>
        <w:t> </w:t>
      </w:r>
      <w:r>
        <w:rPr>
          <w:w w:val="120"/>
          <w:sz w:val="20"/>
        </w:rPr>
        <w:t>This</w:t>
      </w:r>
      <w:r>
        <w:rPr>
          <w:spacing w:val="-7"/>
          <w:w w:val="120"/>
          <w:sz w:val="20"/>
        </w:rPr>
        <w:t> </w:t>
      </w:r>
      <w:r>
        <w:rPr>
          <w:w w:val="120"/>
          <w:sz w:val="20"/>
        </w:rPr>
        <w:t>rule</w:t>
      </w:r>
      <w:r>
        <w:rPr>
          <w:spacing w:val="-8"/>
          <w:w w:val="120"/>
          <w:sz w:val="20"/>
        </w:rPr>
        <w:t> </w:t>
      </w:r>
      <w:r>
        <w:rPr>
          <w:w w:val="120"/>
          <w:sz w:val="20"/>
        </w:rPr>
        <w:t>does</w:t>
      </w:r>
      <w:r>
        <w:rPr>
          <w:spacing w:val="-7"/>
          <w:w w:val="120"/>
          <w:sz w:val="20"/>
        </w:rPr>
        <w:t> </w:t>
      </w:r>
      <w:r>
        <w:rPr>
          <w:w w:val="120"/>
          <w:sz w:val="20"/>
        </w:rPr>
        <w:t>not</w:t>
      </w:r>
      <w:r>
        <w:rPr>
          <w:spacing w:val="-7"/>
          <w:w w:val="120"/>
          <w:sz w:val="20"/>
        </w:rPr>
        <w:t> </w:t>
      </w:r>
      <w:r>
        <w:rPr>
          <w:w w:val="120"/>
          <w:sz w:val="20"/>
        </w:rPr>
        <w:t>apply</w:t>
      </w:r>
      <w:r>
        <w:rPr>
          <w:spacing w:val="-7"/>
          <w:w w:val="120"/>
          <w:sz w:val="20"/>
        </w:rPr>
        <w:t> </w:t>
      </w:r>
      <w:r>
        <w:rPr>
          <w:w w:val="120"/>
          <w:sz w:val="20"/>
        </w:rPr>
        <w:t>to</w:t>
      </w:r>
      <w:r>
        <w:rPr>
          <w:spacing w:val="-7"/>
          <w:w w:val="120"/>
          <w:sz w:val="20"/>
        </w:rPr>
        <w:t> </w:t>
      </w:r>
      <w:r>
        <w:rPr>
          <w:w w:val="120"/>
          <w:sz w:val="20"/>
        </w:rPr>
        <w:t>debates on amendments since the Assembly needs to decide the final form of a motion before  it can responsibly vote on deferral. The motion then takes precedence over other business. </w:t>
      </w:r>
      <w:r>
        <w:rPr>
          <w:spacing w:val="3"/>
          <w:w w:val="120"/>
          <w:sz w:val="20"/>
        </w:rPr>
        <w:t>As </w:t>
      </w:r>
      <w:r>
        <w:rPr>
          <w:w w:val="120"/>
          <w:sz w:val="20"/>
        </w:rPr>
        <w:t>soon as the member has given reasons for proposing it and it has</w:t>
      </w:r>
      <w:r>
        <w:rPr>
          <w:spacing w:val="33"/>
          <w:w w:val="120"/>
          <w:sz w:val="20"/>
        </w:rPr>
        <w:t> </w:t>
      </w:r>
      <w:r>
        <w:rPr>
          <w:w w:val="120"/>
          <w:sz w:val="20"/>
        </w:rPr>
        <w:t>been</w:t>
      </w:r>
    </w:p>
    <w:p>
      <w:pPr>
        <w:spacing w:after="0" w:line="230" w:lineRule="auto"/>
        <w:jc w:val="left"/>
        <w:rPr>
          <w:sz w:val="20"/>
        </w:rPr>
        <w:sectPr>
          <w:headerReference w:type="default" r:id="rId530"/>
          <w:pgSz w:w="11910" w:h="16840"/>
          <w:pgMar w:header="0" w:footer="647" w:top="0" w:bottom="840" w:left="420" w:right="380"/>
        </w:sectPr>
      </w:pPr>
    </w:p>
    <w:p>
      <w:pPr>
        <w:pStyle w:val="BodyText"/>
      </w:pPr>
      <w:r>
        <w:rPr/>
        <w:drawing>
          <wp:anchor distT="0" distB="0" distL="0" distR="0" allowOverlap="1" layoutInCell="1" locked="0" behindDoc="1" simplePos="0" relativeHeight="236267520">
            <wp:simplePos x="0" y="0"/>
            <wp:positionH relativeFrom="page">
              <wp:posOffset>0</wp:posOffset>
            </wp:positionH>
            <wp:positionV relativeFrom="page">
              <wp:posOffset>0</wp:posOffset>
            </wp:positionV>
            <wp:extent cx="594067" cy="10692003"/>
            <wp:effectExtent l="0" t="0" r="0" b="0"/>
            <wp:wrapNone/>
            <wp:docPr id="377" name="image86.png"/>
            <wp:cNvGraphicFramePr>
              <a:graphicFrameLocks noChangeAspect="1"/>
            </wp:cNvGraphicFramePr>
            <a:graphic>
              <a:graphicData uri="http://schemas.openxmlformats.org/drawingml/2006/picture">
                <pic:pic>
                  <pic:nvPicPr>
                    <pic:cNvPr id="378" name="image86.png"/>
                    <pic:cNvPicPr/>
                  </pic:nvPicPr>
                  <pic:blipFill>
                    <a:blip r:embed="rId529"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71.3pt;mso-position-horizontal-relative:page;mso-position-vertical-relative:paragraph;z-index:252235776"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BodyText"/>
        <w:spacing w:line="235" w:lineRule="auto" w:before="222"/>
        <w:ind w:left="827" w:right="1620"/>
      </w:pPr>
      <w:r>
        <w:rPr>
          <w:w w:val="120"/>
        </w:rPr>
        <w:t>seconded and the proposer of the motion under consideration has been allowed opportunity to comment on the reasons put forward, the vote upon it shall be taken, unless it appears to the Moderator that an unfair use is being made of this rule or that deferral would have the effect of annulling the motion. To carry this motion, two-thirds of the votes cast must be given in its favour. At the discretion of the Moderator, the General Secretary may be instructed by a further motion, duly seconded, to refer the matter for consideration by other councils and/or by one or more committees of the Assembly. The General Secretary shall provide for the deferred motion to be presented again at the next meeting of the General Assembly.</w:t>
      </w:r>
    </w:p>
    <w:p>
      <w:pPr>
        <w:pStyle w:val="BodyText"/>
        <w:spacing w:before="2"/>
      </w:pPr>
    </w:p>
    <w:p>
      <w:pPr>
        <w:pStyle w:val="ListParagraph"/>
        <w:numPr>
          <w:ilvl w:val="1"/>
          <w:numId w:val="133"/>
        </w:numPr>
        <w:tabs>
          <w:tab w:pos="1507" w:val="left" w:leader="none"/>
          <w:tab w:pos="1508" w:val="left" w:leader="none"/>
        </w:tabs>
        <w:spacing w:line="235" w:lineRule="auto" w:before="0" w:after="0"/>
        <w:ind w:left="827" w:right="1679" w:firstLine="0"/>
        <w:jc w:val="left"/>
        <w:rPr>
          <w:sz w:val="20"/>
        </w:rPr>
      </w:pPr>
      <w:r>
        <w:rPr>
          <w:w w:val="120"/>
          <w:sz w:val="20"/>
        </w:rPr>
        <w:t>The motions described in Standing Orders </w:t>
      </w:r>
      <w:r>
        <w:rPr>
          <w:spacing w:val="-12"/>
          <w:w w:val="120"/>
          <w:sz w:val="20"/>
        </w:rPr>
        <w:t>3.11, </w:t>
      </w:r>
      <w:r>
        <w:rPr>
          <w:spacing w:val="-10"/>
          <w:w w:val="120"/>
          <w:sz w:val="20"/>
        </w:rPr>
        <w:t>3.12 </w:t>
      </w:r>
      <w:r>
        <w:rPr>
          <w:w w:val="120"/>
          <w:sz w:val="20"/>
        </w:rPr>
        <w:t>and </w:t>
      </w:r>
      <w:r>
        <w:rPr>
          <w:spacing w:val="-11"/>
          <w:w w:val="120"/>
          <w:sz w:val="20"/>
        </w:rPr>
        <w:t>3.13 </w:t>
      </w:r>
      <w:r>
        <w:rPr>
          <w:w w:val="120"/>
          <w:sz w:val="20"/>
        </w:rPr>
        <w:t>above are exceptions to Standing Order </w:t>
      </w:r>
      <w:r>
        <w:rPr>
          <w:spacing w:val="-3"/>
          <w:w w:val="120"/>
          <w:sz w:val="20"/>
        </w:rPr>
        <w:t>3.3, </w:t>
      </w:r>
      <w:r>
        <w:rPr>
          <w:w w:val="120"/>
          <w:sz w:val="20"/>
        </w:rPr>
        <w:t>in that they may be moved and spoken to without  the proposer having first obtained and announced the consent of a seconder. They must, </w:t>
      </w:r>
      <w:r>
        <w:rPr>
          <w:spacing w:val="-3"/>
          <w:w w:val="120"/>
          <w:sz w:val="20"/>
        </w:rPr>
        <w:t>however, </w:t>
      </w:r>
      <w:r>
        <w:rPr>
          <w:w w:val="120"/>
          <w:sz w:val="20"/>
        </w:rPr>
        <w:t>be seconded before being put to the vote. Precedence as between motions under </w:t>
      </w:r>
      <w:r>
        <w:rPr>
          <w:spacing w:val="-12"/>
          <w:w w:val="120"/>
          <w:sz w:val="20"/>
        </w:rPr>
        <w:t>3.11, </w:t>
      </w:r>
      <w:r>
        <w:rPr>
          <w:spacing w:val="-9"/>
          <w:w w:val="120"/>
          <w:sz w:val="20"/>
        </w:rPr>
        <w:t>3.12, </w:t>
      </w:r>
      <w:r>
        <w:rPr>
          <w:w w:val="120"/>
          <w:sz w:val="20"/>
        </w:rPr>
        <w:t>and </w:t>
      </w:r>
      <w:r>
        <w:rPr>
          <w:spacing w:val="-11"/>
          <w:w w:val="120"/>
          <w:sz w:val="20"/>
        </w:rPr>
        <w:t>3.13 </w:t>
      </w:r>
      <w:r>
        <w:rPr>
          <w:w w:val="120"/>
          <w:sz w:val="20"/>
        </w:rPr>
        <w:t>is determined by the </w:t>
      </w:r>
      <w:r>
        <w:rPr>
          <w:spacing w:val="2"/>
          <w:w w:val="120"/>
          <w:sz w:val="20"/>
        </w:rPr>
        <w:t>fact </w:t>
      </w:r>
      <w:r>
        <w:rPr>
          <w:w w:val="120"/>
          <w:sz w:val="20"/>
        </w:rPr>
        <w:t>that after one of them is before the Assembly no other motion can be moved until that one has been dealt</w:t>
      </w:r>
      <w:r>
        <w:rPr>
          <w:spacing w:val="4"/>
          <w:w w:val="120"/>
          <w:sz w:val="20"/>
        </w:rPr>
        <w:t> </w:t>
      </w:r>
      <w:r>
        <w:rPr>
          <w:w w:val="120"/>
          <w:sz w:val="20"/>
        </w:rPr>
        <w:t>with.</w:t>
      </w:r>
    </w:p>
    <w:p>
      <w:pPr>
        <w:pStyle w:val="BodyText"/>
      </w:pPr>
    </w:p>
    <w:p>
      <w:pPr>
        <w:pStyle w:val="ListParagraph"/>
        <w:numPr>
          <w:ilvl w:val="1"/>
          <w:numId w:val="133"/>
        </w:numPr>
        <w:tabs>
          <w:tab w:pos="1508" w:val="left" w:leader="none"/>
        </w:tabs>
        <w:spacing w:line="235" w:lineRule="auto" w:before="0" w:after="0"/>
        <w:ind w:left="827" w:right="1753" w:firstLine="0"/>
        <w:jc w:val="both"/>
        <w:rPr>
          <w:sz w:val="20"/>
        </w:rPr>
      </w:pPr>
      <w:r>
        <w:rPr>
          <w:w w:val="120"/>
          <w:sz w:val="20"/>
        </w:rPr>
        <w:t>Motions before the Assembly under Standing Order 3 shall be determined by a majority of the votes of members of the Assembly present and voting as indicated by a show of voting cards,</w:t>
      </w:r>
      <w:r>
        <w:rPr>
          <w:spacing w:val="8"/>
          <w:w w:val="120"/>
          <w:sz w:val="20"/>
        </w:rPr>
        <w:t> </w:t>
      </w:r>
      <w:r>
        <w:rPr>
          <w:w w:val="120"/>
          <w:sz w:val="20"/>
        </w:rPr>
        <w:t>except:</w:t>
      </w:r>
    </w:p>
    <w:p>
      <w:pPr>
        <w:pStyle w:val="BodyText"/>
        <w:spacing w:before="10"/>
        <w:rPr>
          <w:sz w:val="19"/>
        </w:rPr>
      </w:pPr>
    </w:p>
    <w:p>
      <w:pPr>
        <w:pStyle w:val="ListParagraph"/>
        <w:numPr>
          <w:ilvl w:val="2"/>
          <w:numId w:val="133"/>
        </w:numPr>
        <w:tabs>
          <w:tab w:pos="1508" w:val="left" w:leader="none"/>
        </w:tabs>
        <w:spacing w:line="235" w:lineRule="auto" w:before="0" w:after="0"/>
        <w:ind w:left="1507" w:right="2049" w:hanging="681"/>
        <w:jc w:val="left"/>
        <w:rPr>
          <w:sz w:val="20"/>
        </w:rPr>
      </w:pPr>
      <w:r>
        <w:rPr>
          <w:w w:val="120"/>
          <w:sz w:val="20"/>
        </w:rPr>
        <w:t>if the Assembly decides before the vote that a paper ballot be the method of voting,</w:t>
      </w:r>
      <w:r>
        <w:rPr>
          <w:spacing w:val="2"/>
          <w:w w:val="120"/>
          <w:sz w:val="20"/>
        </w:rPr>
        <w:t> </w:t>
      </w:r>
      <w:r>
        <w:rPr>
          <w:w w:val="120"/>
          <w:sz w:val="20"/>
        </w:rPr>
        <w:t>or</w:t>
      </w:r>
    </w:p>
    <w:p>
      <w:pPr>
        <w:pStyle w:val="BodyText"/>
        <w:spacing w:before="9"/>
        <w:rPr>
          <w:sz w:val="19"/>
        </w:rPr>
      </w:pPr>
    </w:p>
    <w:p>
      <w:pPr>
        <w:pStyle w:val="ListParagraph"/>
        <w:numPr>
          <w:ilvl w:val="2"/>
          <w:numId w:val="133"/>
        </w:numPr>
        <w:tabs>
          <w:tab w:pos="1508" w:val="left" w:leader="none"/>
        </w:tabs>
        <w:spacing w:line="235" w:lineRule="auto" w:before="1" w:after="0"/>
        <w:ind w:left="1507" w:right="1602" w:hanging="681"/>
        <w:jc w:val="left"/>
        <w:rPr>
          <w:sz w:val="20"/>
        </w:rPr>
      </w:pPr>
      <w:r>
        <w:rPr>
          <w:w w:val="120"/>
          <w:sz w:val="20"/>
        </w:rPr>
        <w:t>if the show of cards indicates a very close vote, and the Moderator decides, or a member of Assembly proposes and the Assembly agrees, that a paper ballot shall be the method of</w:t>
      </w:r>
      <w:r>
        <w:rPr>
          <w:spacing w:val="9"/>
          <w:w w:val="120"/>
          <w:sz w:val="20"/>
        </w:rPr>
        <w:t> </w:t>
      </w:r>
      <w:r>
        <w:rPr>
          <w:w w:val="120"/>
          <w:sz w:val="20"/>
        </w:rPr>
        <w:t>voting.</w:t>
      </w:r>
    </w:p>
    <w:p>
      <w:pPr>
        <w:pStyle w:val="BodyText"/>
        <w:rPr>
          <w:sz w:val="24"/>
        </w:rPr>
      </w:pPr>
    </w:p>
    <w:p>
      <w:pPr>
        <w:pStyle w:val="BodyText"/>
        <w:spacing w:before="11"/>
        <w:rPr>
          <w:sz w:val="17"/>
        </w:rPr>
      </w:pPr>
    </w:p>
    <w:p>
      <w:pPr>
        <w:pStyle w:val="Heading4"/>
        <w:numPr>
          <w:ilvl w:val="0"/>
          <w:numId w:val="134"/>
        </w:numPr>
        <w:tabs>
          <w:tab w:pos="1508" w:val="left" w:leader="none"/>
        </w:tabs>
        <w:spacing w:line="240" w:lineRule="auto" w:before="0" w:after="0"/>
        <w:ind w:left="1507" w:right="0" w:hanging="681"/>
        <w:jc w:val="both"/>
        <w:rPr>
          <w:sz w:val="16"/>
        </w:rPr>
      </w:pPr>
      <w:r>
        <w:rPr>
          <w:spacing w:val="3"/>
          <w:w w:val="110"/>
        </w:rPr>
        <w:t>Consensus decision</w:t>
      </w:r>
      <w:r>
        <w:rPr>
          <w:spacing w:val="22"/>
          <w:w w:val="110"/>
        </w:rPr>
        <w:t> </w:t>
      </w:r>
      <w:r>
        <w:rPr>
          <w:w w:val="110"/>
        </w:rPr>
        <w:t>making</w:t>
      </w:r>
      <w:r>
        <w:rPr>
          <w:w w:val="110"/>
          <w:position w:val="10"/>
          <w:sz w:val="16"/>
        </w:rPr>
        <w:t>1</w:t>
      </w:r>
    </w:p>
    <w:p>
      <w:pPr>
        <w:pStyle w:val="ListParagraph"/>
        <w:numPr>
          <w:ilvl w:val="1"/>
          <w:numId w:val="134"/>
        </w:numPr>
        <w:tabs>
          <w:tab w:pos="1508" w:val="left" w:leader="none"/>
        </w:tabs>
        <w:spacing w:line="240" w:lineRule="auto" w:before="65" w:after="0"/>
        <w:ind w:left="1507" w:right="0" w:hanging="681"/>
        <w:jc w:val="both"/>
        <w:rPr>
          <w:sz w:val="20"/>
        </w:rPr>
      </w:pPr>
      <w:r>
        <w:rPr>
          <w:w w:val="120"/>
          <w:sz w:val="20"/>
        </w:rPr>
        <w:t>Those motions in Group C shall be determined using this Standing</w:t>
      </w:r>
      <w:r>
        <w:rPr>
          <w:spacing w:val="42"/>
          <w:w w:val="120"/>
          <w:sz w:val="20"/>
        </w:rPr>
        <w:t> </w:t>
      </w:r>
      <w:r>
        <w:rPr>
          <w:w w:val="120"/>
          <w:sz w:val="20"/>
        </w:rPr>
        <w:t>Order.</w:t>
      </w:r>
    </w:p>
    <w:p>
      <w:pPr>
        <w:pStyle w:val="BodyText"/>
        <w:spacing w:before="3"/>
        <w:rPr>
          <w:sz w:val="19"/>
        </w:rPr>
      </w:pPr>
    </w:p>
    <w:p>
      <w:pPr>
        <w:pStyle w:val="ListParagraph"/>
        <w:numPr>
          <w:ilvl w:val="1"/>
          <w:numId w:val="134"/>
        </w:numPr>
        <w:tabs>
          <w:tab w:pos="1507" w:val="left" w:leader="none"/>
          <w:tab w:pos="1508" w:val="left" w:leader="none"/>
        </w:tabs>
        <w:spacing w:line="225" w:lineRule="auto" w:before="1" w:after="0"/>
        <w:ind w:left="827" w:right="1675" w:firstLine="0"/>
        <w:jc w:val="left"/>
        <w:rPr>
          <w:sz w:val="20"/>
        </w:rPr>
      </w:pPr>
      <w:r>
        <w:rPr>
          <w:w w:val="120"/>
          <w:sz w:val="20"/>
        </w:rPr>
        <w:t>The first stage of the consensus decision making procedure is the </w:t>
      </w:r>
      <w:r>
        <w:rPr>
          <w:rFonts w:ascii="Stone Sans II ITC Std Bk"/>
          <w:b/>
          <w:w w:val="120"/>
          <w:sz w:val="20"/>
        </w:rPr>
        <w:t>information session</w:t>
      </w:r>
      <w:r>
        <w:rPr>
          <w:w w:val="120"/>
          <w:sz w:val="20"/>
        </w:rPr>
        <w:t>. At the </w:t>
      </w:r>
      <w:r>
        <w:rPr>
          <w:spacing w:val="2"/>
          <w:w w:val="120"/>
          <w:sz w:val="20"/>
        </w:rPr>
        <w:t>start </w:t>
      </w:r>
      <w:r>
        <w:rPr>
          <w:w w:val="120"/>
          <w:sz w:val="20"/>
        </w:rPr>
        <w:t>of this session, if the Moderator judges that the matter before the Assembly is urgent, requiring decision during the current meeting of the Assembly, the Moderator shall inform the Assembly that this is the case and advise that if following the Consensus procedures results in continuing disagreement it may be</w:t>
      </w:r>
      <w:r>
        <w:rPr>
          <w:spacing w:val="37"/>
          <w:w w:val="120"/>
          <w:sz w:val="20"/>
        </w:rPr>
        <w:t> </w:t>
      </w:r>
      <w:r>
        <w:rPr>
          <w:w w:val="120"/>
          <w:sz w:val="20"/>
        </w:rPr>
        <w:t>necessary</w:t>
      </w:r>
    </w:p>
    <w:p>
      <w:pPr>
        <w:pStyle w:val="BodyText"/>
        <w:spacing w:line="235" w:lineRule="auto" w:before="7"/>
        <w:ind w:left="827" w:right="1528"/>
      </w:pPr>
      <w:r>
        <w:rPr>
          <w:w w:val="120"/>
        </w:rPr>
        <w:t>to move to a majority decision under Standing Order 4.4.4. During the Information Session, Members of Assembly may ask questions only to seek clarification or further information.</w:t>
      </w:r>
    </w:p>
    <w:p>
      <w:pPr>
        <w:pStyle w:val="BodyText"/>
        <w:spacing w:before="7"/>
      </w:pPr>
    </w:p>
    <w:p>
      <w:pPr>
        <w:pStyle w:val="ListParagraph"/>
        <w:numPr>
          <w:ilvl w:val="1"/>
          <w:numId w:val="134"/>
        </w:numPr>
        <w:tabs>
          <w:tab w:pos="1507" w:val="left" w:leader="none"/>
          <w:tab w:pos="1508" w:val="left" w:leader="none"/>
        </w:tabs>
        <w:spacing w:line="223" w:lineRule="auto" w:before="0" w:after="0"/>
        <w:ind w:left="827" w:right="1674" w:firstLine="0"/>
        <w:jc w:val="left"/>
        <w:rPr>
          <w:sz w:val="20"/>
        </w:rPr>
      </w:pPr>
      <w:r>
        <w:rPr>
          <w:w w:val="120"/>
          <w:sz w:val="20"/>
        </w:rPr>
        <w:t>Once the Moderator decides that the information session has ended, the Assembly</w:t>
      </w:r>
      <w:r>
        <w:rPr>
          <w:spacing w:val="-12"/>
          <w:w w:val="120"/>
          <w:sz w:val="20"/>
        </w:rPr>
        <w:t> </w:t>
      </w:r>
      <w:r>
        <w:rPr>
          <w:w w:val="120"/>
          <w:sz w:val="20"/>
        </w:rPr>
        <w:t>moves</w:t>
      </w:r>
      <w:r>
        <w:rPr>
          <w:spacing w:val="-12"/>
          <w:w w:val="120"/>
          <w:sz w:val="20"/>
        </w:rPr>
        <w:t> </w:t>
      </w:r>
      <w:r>
        <w:rPr>
          <w:w w:val="120"/>
          <w:sz w:val="20"/>
        </w:rPr>
        <w:t>into</w:t>
      </w:r>
      <w:r>
        <w:rPr>
          <w:spacing w:val="-12"/>
          <w:w w:val="120"/>
          <w:sz w:val="20"/>
        </w:rPr>
        <w:t> </w:t>
      </w:r>
      <w:r>
        <w:rPr>
          <w:w w:val="120"/>
          <w:sz w:val="20"/>
        </w:rPr>
        <w:t>the</w:t>
      </w:r>
      <w:r>
        <w:rPr>
          <w:spacing w:val="-11"/>
          <w:w w:val="120"/>
          <w:sz w:val="20"/>
        </w:rPr>
        <w:t> </w:t>
      </w:r>
      <w:r>
        <w:rPr>
          <w:rFonts w:ascii="Stone Sans II ITC Std Bk"/>
          <w:b/>
          <w:w w:val="120"/>
          <w:sz w:val="20"/>
        </w:rPr>
        <w:t>discussion</w:t>
      </w:r>
      <w:r>
        <w:rPr>
          <w:rFonts w:ascii="Stone Sans II ITC Std Bk"/>
          <w:b/>
          <w:spacing w:val="-20"/>
          <w:w w:val="120"/>
          <w:sz w:val="20"/>
        </w:rPr>
        <w:t> </w:t>
      </w:r>
      <w:r>
        <w:rPr>
          <w:rFonts w:ascii="Stone Sans II ITC Std Bk"/>
          <w:b/>
          <w:w w:val="120"/>
          <w:sz w:val="20"/>
        </w:rPr>
        <w:t>session</w:t>
      </w:r>
      <w:r>
        <w:rPr>
          <w:w w:val="120"/>
          <w:sz w:val="20"/>
        </w:rPr>
        <w:t>,</w:t>
      </w:r>
      <w:r>
        <w:rPr>
          <w:spacing w:val="-12"/>
          <w:w w:val="120"/>
          <w:sz w:val="20"/>
        </w:rPr>
        <w:t> </w:t>
      </w:r>
      <w:r>
        <w:rPr>
          <w:w w:val="120"/>
          <w:sz w:val="20"/>
        </w:rPr>
        <w:t>in</w:t>
      </w:r>
      <w:r>
        <w:rPr>
          <w:spacing w:val="-12"/>
          <w:w w:val="120"/>
          <w:sz w:val="20"/>
        </w:rPr>
        <w:t> </w:t>
      </w:r>
      <w:r>
        <w:rPr>
          <w:w w:val="120"/>
          <w:sz w:val="20"/>
        </w:rPr>
        <w:t>which</w:t>
      </w:r>
      <w:r>
        <w:rPr>
          <w:spacing w:val="-11"/>
          <w:w w:val="120"/>
          <w:sz w:val="20"/>
        </w:rPr>
        <w:t> </w:t>
      </w:r>
      <w:r>
        <w:rPr>
          <w:w w:val="120"/>
          <w:sz w:val="20"/>
        </w:rPr>
        <w:t>the</w:t>
      </w:r>
      <w:r>
        <w:rPr>
          <w:spacing w:val="-12"/>
          <w:w w:val="120"/>
          <w:sz w:val="20"/>
        </w:rPr>
        <w:t> </w:t>
      </w:r>
      <w:r>
        <w:rPr>
          <w:w w:val="120"/>
          <w:sz w:val="20"/>
        </w:rPr>
        <w:t>substance</w:t>
      </w:r>
      <w:r>
        <w:rPr>
          <w:spacing w:val="-12"/>
          <w:w w:val="120"/>
          <w:sz w:val="20"/>
        </w:rPr>
        <w:t> </w:t>
      </w:r>
      <w:r>
        <w:rPr>
          <w:w w:val="120"/>
          <w:sz w:val="20"/>
        </w:rPr>
        <w:t>of</w:t>
      </w:r>
      <w:r>
        <w:rPr>
          <w:spacing w:val="-12"/>
          <w:w w:val="120"/>
          <w:sz w:val="20"/>
        </w:rPr>
        <w:t> </w:t>
      </w:r>
      <w:r>
        <w:rPr>
          <w:w w:val="120"/>
          <w:sz w:val="20"/>
        </w:rPr>
        <w:t>the</w:t>
      </w:r>
      <w:r>
        <w:rPr>
          <w:spacing w:val="-11"/>
          <w:w w:val="120"/>
          <w:sz w:val="20"/>
        </w:rPr>
        <w:t> </w:t>
      </w:r>
      <w:r>
        <w:rPr>
          <w:w w:val="120"/>
          <w:sz w:val="20"/>
        </w:rPr>
        <w:t>matter</w:t>
      </w:r>
      <w:r>
        <w:rPr>
          <w:spacing w:val="-12"/>
          <w:w w:val="120"/>
          <w:sz w:val="20"/>
        </w:rPr>
        <w:t> </w:t>
      </w:r>
      <w:r>
        <w:rPr>
          <w:w w:val="120"/>
          <w:sz w:val="20"/>
        </w:rPr>
        <w:t>may be</w:t>
      </w:r>
      <w:r>
        <w:rPr>
          <w:spacing w:val="2"/>
          <w:w w:val="120"/>
          <w:sz w:val="20"/>
        </w:rPr>
        <w:t> </w:t>
      </w:r>
      <w:r>
        <w:rPr>
          <w:w w:val="120"/>
          <w:sz w:val="20"/>
        </w:rPr>
        <w:t>discussed.</w:t>
      </w:r>
    </w:p>
    <w:p>
      <w:pPr>
        <w:pStyle w:val="BodyText"/>
        <w:spacing w:before="1"/>
      </w:pPr>
    </w:p>
    <w:p>
      <w:pPr>
        <w:pStyle w:val="ListParagraph"/>
        <w:numPr>
          <w:ilvl w:val="2"/>
          <w:numId w:val="134"/>
        </w:numPr>
        <w:tabs>
          <w:tab w:pos="1507" w:val="left" w:leader="none"/>
          <w:tab w:pos="1508" w:val="left" w:leader="none"/>
        </w:tabs>
        <w:spacing w:line="235" w:lineRule="auto" w:before="0" w:after="0"/>
        <w:ind w:left="1507" w:right="1623" w:hanging="681"/>
        <w:jc w:val="left"/>
        <w:rPr>
          <w:sz w:val="20"/>
        </w:rPr>
      </w:pPr>
      <w:r>
        <w:rPr>
          <w:w w:val="120"/>
          <w:sz w:val="20"/>
        </w:rPr>
        <w:t>The methods used may include prayer, buzz  groups,  group  discussions, speeches to the whole Assembly, time for thinking during a break, etc. The Moderator may invite Assembly to indicate opinions by the use of coloured cards at this stage, and shall ensure that the full ranges of voices are given opportunity to</w:t>
      </w:r>
      <w:r>
        <w:rPr>
          <w:spacing w:val="1"/>
          <w:w w:val="120"/>
          <w:sz w:val="20"/>
        </w:rPr>
        <w:t> </w:t>
      </w:r>
      <w:r>
        <w:rPr>
          <w:w w:val="120"/>
          <w:sz w:val="20"/>
        </w:rPr>
        <w:t>contribute.</w:t>
      </w:r>
    </w:p>
    <w:p>
      <w:pPr>
        <w:pStyle w:val="BodyText"/>
        <w:spacing w:before="12"/>
        <w:rPr>
          <w:sz w:val="19"/>
        </w:rPr>
      </w:pPr>
    </w:p>
    <w:p>
      <w:pPr>
        <w:pStyle w:val="ListParagraph"/>
        <w:numPr>
          <w:ilvl w:val="2"/>
          <w:numId w:val="134"/>
        </w:numPr>
        <w:tabs>
          <w:tab w:pos="1508" w:val="left" w:leader="none"/>
        </w:tabs>
        <w:spacing w:line="235" w:lineRule="auto" w:before="0" w:after="0"/>
        <w:ind w:left="1507" w:right="2112" w:hanging="681"/>
        <w:jc w:val="left"/>
        <w:rPr>
          <w:sz w:val="20"/>
        </w:rPr>
      </w:pPr>
      <w:r>
        <w:rPr>
          <w:w w:val="120"/>
          <w:sz w:val="20"/>
        </w:rPr>
        <w:t>Minor changes of wording may be agreed as the discussion proceeds. If a proposed change is, in the opinion of the Moderator upon the advice of the Clerk, a major change, then a proposer and seconder are</w:t>
      </w:r>
      <w:r>
        <w:rPr>
          <w:spacing w:val="37"/>
          <w:w w:val="120"/>
          <w:sz w:val="20"/>
        </w:rPr>
        <w:t> </w:t>
      </w:r>
      <w:r>
        <w:rPr>
          <w:w w:val="120"/>
          <w:sz w:val="20"/>
        </w:rPr>
        <w:t>required.</w:t>
      </w:r>
    </w:p>
    <w:p>
      <w:pPr>
        <w:pStyle w:val="BodyText"/>
        <w:spacing w:before="11"/>
        <w:rPr>
          <w:sz w:val="25"/>
        </w:rPr>
      </w:pPr>
      <w:r>
        <w:rPr/>
        <w:pict>
          <v:shape style="position:absolute;margin-left:62.362202pt;margin-top:18.304869pt;width:72pt;height:.1pt;mso-position-horizontal-relative:page;mso-position-vertical-relative:paragraph;z-index:-251082752;mso-wrap-distance-left:0;mso-wrap-distance-right:0" coordorigin="1247,366" coordsize="1440,0" path="m1247,366l2687,366e" filled="false" stroked="true" strokeweight="1pt" strokecolor="#000000">
            <v:path arrowok="t"/>
            <v:stroke dashstyle="solid"/>
            <w10:wrap type="topAndBottom"/>
          </v:shape>
        </w:pict>
      </w:r>
    </w:p>
    <w:p>
      <w:pPr>
        <w:tabs>
          <w:tab w:pos="1559" w:val="left" w:leader="none"/>
        </w:tabs>
        <w:spacing w:line="261" w:lineRule="auto" w:before="29"/>
        <w:ind w:left="827" w:right="1670" w:firstLine="0"/>
        <w:jc w:val="left"/>
        <w:rPr>
          <w:sz w:val="18"/>
        </w:rPr>
      </w:pPr>
      <w:r>
        <w:rPr>
          <w:w w:val="125"/>
          <w:sz w:val="18"/>
        </w:rPr>
        <w:t>1</w:t>
        <w:tab/>
        <w:t>More</w:t>
      </w:r>
      <w:r>
        <w:rPr>
          <w:spacing w:val="-12"/>
          <w:w w:val="125"/>
          <w:sz w:val="18"/>
        </w:rPr>
        <w:t> </w:t>
      </w:r>
      <w:r>
        <w:rPr>
          <w:w w:val="125"/>
          <w:sz w:val="18"/>
        </w:rPr>
        <w:t>information</w:t>
      </w:r>
      <w:r>
        <w:rPr>
          <w:spacing w:val="-12"/>
          <w:w w:val="125"/>
          <w:sz w:val="18"/>
        </w:rPr>
        <w:t> </w:t>
      </w:r>
      <w:r>
        <w:rPr>
          <w:w w:val="125"/>
          <w:sz w:val="18"/>
        </w:rPr>
        <w:t>on</w:t>
      </w:r>
      <w:r>
        <w:rPr>
          <w:spacing w:val="-11"/>
          <w:w w:val="125"/>
          <w:sz w:val="18"/>
        </w:rPr>
        <w:t> </w:t>
      </w:r>
      <w:r>
        <w:rPr>
          <w:w w:val="125"/>
          <w:sz w:val="18"/>
        </w:rPr>
        <w:t>Consensus</w:t>
      </w:r>
      <w:r>
        <w:rPr>
          <w:spacing w:val="-12"/>
          <w:w w:val="125"/>
          <w:sz w:val="18"/>
        </w:rPr>
        <w:t> </w:t>
      </w:r>
      <w:r>
        <w:rPr>
          <w:w w:val="125"/>
          <w:sz w:val="18"/>
        </w:rPr>
        <w:t>Decision</w:t>
      </w:r>
      <w:r>
        <w:rPr>
          <w:spacing w:val="-12"/>
          <w:w w:val="125"/>
          <w:sz w:val="18"/>
        </w:rPr>
        <w:t> </w:t>
      </w:r>
      <w:r>
        <w:rPr>
          <w:w w:val="125"/>
          <w:sz w:val="18"/>
        </w:rPr>
        <w:t>Making,</w:t>
      </w:r>
      <w:r>
        <w:rPr>
          <w:spacing w:val="-11"/>
          <w:w w:val="125"/>
          <w:sz w:val="18"/>
        </w:rPr>
        <w:t> </w:t>
      </w:r>
      <w:r>
        <w:rPr>
          <w:w w:val="125"/>
          <w:sz w:val="18"/>
        </w:rPr>
        <w:t>and</w:t>
      </w:r>
      <w:r>
        <w:rPr>
          <w:spacing w:val="-12"/>
          <w:w w:val="125"/>
          <w:sz w:val="18"/>
        </w:rPr>
        <w:t> </w:t>
      </w:r>
      <w:r>
        <w:rPr>
          <w:w w:val="125"/>
          <w:sz w:val="18"/>
        </w:rPr>
        <w:t>its</w:t>
      </w:r>
      <w:r>
        <w:rPr>
          <w:spacing w:val="-11"/>
          <w:w w:val="125"/>
          <w:sz w:val="18"/>
        </w:rPr>
        <w:t> </w:t>
      </w:r>
      <w:r>
        <w:rPr>
          <w:w w:val="125"/>
          <w:sz w:val="18"/>
        </w:rPr>
        <w:t>ethos,</w:t>
      </w:r>
      <w:r>
        <w:rPr>
          <w:spacing w:val="-12"/>
          <w:w w:val="125"/>
          <w:sz w:val="18"/>
        </w:rPr>
        <w:t> </w:t>
      </w:r>
      <w:r>
        <w:rPr>
          <w:w w:val="125"/>
          <w:sz w:val="18"/>
        </w:rPr>
        <w:t>detailed</w:t>
      </w:r>
      <w:r>
        <w:rPr>
          <w:spacing w:val="-12"/>
          <w:w w:val="125"/>
          <w:sz w:val="18"/>
        </w:rPr>
        <w:t> </w:t>
      </w:r>
      <w:r>
        <w:rPr>
          <w:w w:val="125"/>
          <w:sz w:val="18"/>
        </w:rPr>
        <w:t>methodology, and practice, can be found in the book </w:t>
      </w:r>
      <w:r>
        <w:rPr>
          <w:i/>
          <w:w w:val="125"/>
          <w:sz w:val="18"/>
        </w:rPr>
        <w:t>The Church Guide for Making Decisions Together </w:t>
      </w:r>
      <w:r>
        <w:rPr>
          <w:w w:val="125"/>
          <w:sz w:val="18"/>
        </w:rPr>
        <w:t>by Terence Corkin and Julia Kuhn Wallace, Abingdon Press </w:t>
      </w:r>
      <w:r>
        <w:rPr>
          <w:spacing w:val="-5"/>
          <w:w w:val="125"/>
          <w:sz w:val="18"/>
        </w:rPr>
        <w:t>(2 </w:t>
      </w:r>
      <w:r>
        <w:rPr>
          <w:w w:val="125"/>
          <w:sz w:val="18"/>
        </w:rPr>
        <w:t>May </w:t>
      </w:r>
      <w:r>
        <w:rPr>
          <w:spacing w:val="-6"/>
          <w:w w:val="125"/>
          <w:sz w:val="18"/>
        </w:rPr>
        <w:t>2017), </w:t>
      </w:r>
      <w:r>
        <w:rPr>
          <w:w w:val="125"/>
          <w:sz w:val="18"/>
        </w:rPr>
        <w:t>ISBN </w:t>
      </w:r>
      <w:r>
        <w:rPr>
          <w:spacing w:val="-5"/>
          <w:w w:val="125"/>
          <w:sz w:val="18"/>
        </w:rPr>
        <w:t>978-1501838071. </w:t>
      </w:r>
      <w:r>
        <w:rPr>
          <w:w w:val="125"/>
          <w:sz w:val="18"/>
        </w:rPr>
        <w:t>These</w:t>
      </w:r>
      <w:r>
        <w:rPr>
          <w:spacing w:val="-6"/>
          <w:w w:val="125"/>
          <w:sz w:val="18"/>
        </w:rPr>
        <w:t> </w:t>
      </w:r>
      <w:r>
        <w:rPr>
          <w:w w:val="125"/>
          <w:sz w:val="18"/>
        </w:rPr>
        <w:t>Standing</w:t>
      </w:r>
      <w:r>
        <w:rPr>
          <w:spacing w:val="-5"/>
          <w:w w:val="125"/>
          <w:sz w:val="18"/>
        </w:rPr>
        <w:t> </w:t>
      </w:r>
      <w:r>
        <w:rPr>
          <w:w w:val="125"/>
          <w:sz w:val="18"/>
        </w:rPr>
        <w:t>Orders</w:t>
      </w:r>
      <w:r>
        <w:rPr>
          <w:spacing w:val="-5"/>
          <w:w w:val="125"/>
          <w:sz w:val="18"/>
        </w:rPr>
        <w:t> </w:t>
      </w:r>
      <w:r>
        <w:rPr>
          <w:w w:val="125"/>
          <w:sz w:val="18"/>
        </w:rPr>
        <w:t>remain</w:t>
      </w:r>
      <w:r>
        <w:rPr>
          <w:spacing w:val="-5"/>
          <w:w w:val="125"/>
          <w:sz w:val="18"/>
        </w:rPr>
        <w:t> </w:t>
      </w:r>
      <w:r>
        <w:rPr>
          <w:w w:val="125"/>
          <w:sz w:val="18"/>
        </w:rPr>
        <w:t>the</w:t>
      </w:r>
      <w:r>
        <w:rPr>
          <w:spacing w:val="-5"/>
          <w:w w:val="125"/>
          <w:sz w:val="18"/>
        </w:rPr>
        <w:t> </w:t>
      </w:r>
      <w:r>
        <w:rPr>
          <w:w w:val="125"/>
          <w:sz w:val="18"/>
        </w:rPr>
        <w:t>definitive</w:t>
      </w:r>
      <w:r>
        <w:rPr>
          <w:spacing w:val="-5"/>
          <w:w w:val="125"/>
          <w:sz w:val="18"/>
        </w:rPr>
        <w:t> </w:t>
      </w:r>
      <w:r>
        <w:rPr>
          <w:w w:val="125"/>
          <w:sz w:val="18"/>
        </w:rPr>
        <w:t>guide</w:t>
      </w:r>
      <w:r>
        <w:rPr>
          <w:spacing w:val="-5"/>
          <w:w w:val="125"/>
          <w:sz w:val="18"/>
        </w:rPr>
        <w:t> </w:t>
      </w:r>
      <w:r>
        <w:rPr>
          <w:w w:val="125"/>
          <w:sz w:val="18"/>
        </w:rPr>
        <w:t>for</w:t>
      </w:r>
      <w:r>
        <w:rPr>
          <w:spacing w:val="-5"/>
          <w:w w:val="125"/>
          <w:sz w:val="18"/>
        </w:rPr>
        <w:t> </w:t>
      </w:r>
      <w:r>
        <w:rPr>
          <w:w w:val="125"/>
          <w:sz w:val="18"/>
        </w:rPr>
        <w:t>United</w:t>
      </w:r>
      <w:r>
        <w:rPr>
          <w:spacing w:val="-5"/>
          <w:w w:val="125"/>
          <w:sz w:val="18"/>
        </w:rPr>
        <w:t> </w:t>
      </w:r>
      <w:r>
        <w:rPr>
          <w:w w:val="125"/>
          <w:sz w:val="18"/>
        </w:rPr>
        <w:t>Reformed</w:t>
      </w:r>
      <w:r>
        <w:rPr>
          <w:spacing w:val="-5"/>
          <w:w w:val="125"/>
          <w:sz w:val="18"/>
        </w:rPr>
        <w:t> </w:t>
      </w:r>
      <w:r>
        <w:rPr>
          <w:w w:val="125"/>
          <w:sz w:val="18"/>
        </w:rPr>
        <w:t>Church</w:t>
      </w:r>
      <w:r>
        <w:rPr>
          <w:spacing w:val="-5"/>
          <w:w w:val="125"/>
          <w:sz w:val="18"/>
        </w:rPr>
        <w:t> </w:t>
      </w:r>
      <w:r>
        <w:rPr>
          <w:w w:val="125"/>
          <w:sz w:val="18"/>
        </w:rPr>
        <w:t>purposes.</w:t>
      </w:r>
    </w:p>
    <w:p>
      <w:pPr>
        <w:spacing w:after="0" w:line="261" w:lineRule="auto"/>
        <w:jc w:val="left"/>
        <w:rPr>
          <w:sz w:val="18"/>
        </w:rPr>
        <w:sectPr>
          <w:headerReference w:type="even" r:id="rId532"/>
          <w:footerReference w:type="even" r:id="rId533"/>
          <w:footerReference w:type="default" r:id="rId534"/>
          <w:pgSz w:w="11910" w:h="16840"/>
          <w:pgMar w:header="0" w:footer="647" w:top="0" w:bottom="840" w:left="420" w:right="380"/>
          <w:pgNumType w:start="198"/>
        </w:sectPr>
      </w:pPr>
    </w:p>
    <w:p>
      <w:pPr>
        <w:pStyle w:val="BodyText"/>
      </w:pPr>
      <w:r>
        <w:rPr/>
        <w:drawing>
          <wp:anchor distT="0" distB="0" distL="0" distR="0" allowOverlap="1" layoutInCell="1" locked="0" behindDoc="0" simplePos="0" relativeHeight="252236800">
            <wp:simplePos x="0" y="0"/>
            <wp:positionH relativeFrom="page">
              <wp:posOffset>6974928</wp:posOffset>
            </wp:positionH>
            <wp:positionV relativeFrom="page">
              <wp:posOffset>0</wp:posOffset>
            </wp:positionV>
            <wp:extent cx="585076" cy="10692003"/>
            <wp:effectExtent l="0" t="0" r="0" b="0"/>
            <wp:wrapNone/>
            <wp:docPr id="379" name="image87.png"/>
            <wp:cNvGraphicFramePr>
              <a:graphicFrameLocks noChangeAspect="1"/>
            </wp:cNvGraphicFramePr>
            <a:graphic>
              <a:graphicData uri="http://schemas.openxmlformats.org/drawingml/2006/picture">
                <pic:pic>
                  <pic:nvPicPr>
                    <pic:cNvPr id="380" name="image87.png"/>
                    <pic:cNvPicPr/>
                  </pic:nvPicPr>
                  <pic:blipFill>
                    <a:blip r:embed="rId531"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71.3pt;mso-position-horizontal-relative:page;mso-position-vertical-relative:paragraph;z-index:252237824"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4"/>
        </w:numPr>
        <w:tabs>
          <w:tab w:pos="2244" w:val="left" w:leader="none"/>
          <w:tab w:pos="2245" w:val="left" w:leader="none"/>
        </w:tabs>
        <w:spacing w:line="223" w:lineRule="auto" w:before="231" w:after="0"/>
        <w:ind w:left="1564" w:right="912" w:firstLine="0"/>
        <w:jc w:val="left"/>
        <w:rPr>
          <w:sz w:val="20"/>
        </w:rPr>
      </w:pPr>
      <w:r>
        <w:rPr>
          <w:w w:val="120"/>
          <w:sz w:val="20"/>
        </w:rPr>
        <w:t>When the Moderator senses that the Assembly may be ready to reach a decision, the</w:t>
      </w:r>
      <w:r>
        <w:rPr>
          <w:spacing w:val="-5"/>
          <w:w w:val="120"/>
          <w:sz w:val="20"/>
        </w:rPr>
        <w:t> </w:t>
      </w:r>
      <w:r>
        <w:rPr>
          <w:w w:val="120"/>
          <w:sz w:val="20"/>
        </w:rPr>
        <w:t>Moderator</w:t>
      </w:r>
      <w:r>
        <w:rPr>
          <w:spacing w:val="-5"/>
          <w:w w:val="120"/>
          <w:sz w:val="20"/>
        </w:rPr>
        <w:t> </w:t>
      </w:r>
      <w:r>
        <w:rPr>
          <w:w w:val="120"/>
          <w:sz w:val="20"/>
        </w:rPr>
        <w:t>shall</w:t>
      </w:r>
      <w:r>
        <w:rPr>
          <w:spacing w:val="-5"/>
          <w:w w:val="120"/>
          <w:sz w:val="20"/>
        </w:rPr>
        <w:t> </w:t>
      </w:r>
      <w:r>
        <w:rPr>
          <w:w w:val="120"/>
          <w:sz w:val="20"/>
        </w:rPr>
        <w:t>state</w:t>
      </w:r>
      <w:r>
        <w:rPr>
          <w:spacing w:val="-5"/>
          <w:w w:val="120"/>
          <w:sz w:val="20"/>
        </w:rPr>
        <w:t> </w:t>
      </w:r>
      <w:r>
        <w:rPr>
          <w:w w:val="120"/>
          <w:sz w:val="20"/>
        </w:rPr>
        <w:t>that</w:t>
      </w:r>
      <w:r>
        <w:rPr>
          <w:spacing w:val="-5"/>
          <w:w w:val="120"/>
          <w:sz w:val="20"/>
        </w:rPr>
        <w:t> </w:t>
      </w:r>
      <w:r>
        <w:rPr>
          <w:w w:val="120"/>
          <w:sz w:val="20"/>
        </w:rPr>
        <w:t>Assembly</w:t>
      </w:r>
      <w:r>
        <w:rPr>
          <w:spacing w:val="-4"/>
          <w:w w:val="120"/>
          <w:sz w:val="20"/>
        </w:rPr>
        <w:t> </w:t>
      </w:r>
      <w:r>
        <w:rPr>
          <w:w w:val="120"/>
          <w:sz w:val="20"/>
        </w:rPr>
        <w:t>is</w:t>
      </w:r>
      <w:r>
        <w:rPr>
          <w:spacing w:val="-5"/>
          <w:w w:val="120"/>
          <w:sz w:val="20"/>
        </w:rPr>
        <w:t> </w:t>
      </w:r>
      <w:r>
        <w:rPr>
          <w:w w:val="120"/>
          <w:sz w:val="20"/>
        </w:rPr>
        <w:t>moving</w:t>
      </w:r>
      <w:r>
        <w:rPr>
          <w:spacing w:val="-5"/>
          <w:w w:val="120"/>
          <w:sz w:val="20"/>
        </w:rPr>
        <w:t> </w:t>
      </w:r>
      <w:r>
        <w:rPr>
          <w:w w:val="120"/>
          <w:sz w:val="20"/>
        </w:rPr>
        <w:t>into</w:t>
      </w:r>
      <w:r>
        <w:rPr>
          <w:spacing w:val="-5"/>
          <w:w w:val="120"/>
          <w:sz w:val="20"/>
        </w:rPr>
        <w:t> </w:t>
      </w:r>
      <w:r>
        <w:rPr>
          <w:w w:val="120"/>
          <w:sz w:val="20"/>
        </w:rPr>
        <w:t>the</w:t>
      </w:r>
      <w:r>
        <w:rPr>
          <w:spacing w:val="-5"/>
          <w:w w:val="120"/>
          <w:sz w:val="20"/>
        </w:rPr>
        <w:t> </w:t>
      </w:r>
      <w:r>
        <w:rPr>
          <w:rFonts w:ascii="Stone Sans II ITC Std Bk"/>
          <w:b/>
          <w:w w:val="120"/>
          <w:sz w:val="20"/>
        </w:rPr>
        <w:t>decision</w:t>
      </w:r>
      <w:r>
        <w:rPr>
          <w:rFonts w:ascii="Stone Sans II ITC Std Bk"/>
          <w:b/>
          <w:spacing w:val="-12"/>
          <w:w w:val="120"/>
          <w:sz w:val="20"/>
        </w:rPr>
        <w:t> </w:t>
      </w:r>
      <w:r>
        <w:rPr>
          <w:rFonts w:ascii="Stone Sans II ITC Std Bk"/>
          <w:b/>
          <w:w w:val="120"/>
          <w:sz w:val="20"/>
        </w:rPr>
        <w:t>session</w:t>
      </w:r>
      <w:r>
        <w:rPr>
          <w:w w:val="120"/>
          <w:sz w:val="20"/>
        </w:rPr>
        <w:t>,</w:t>
      </w:r>
      <w:r>
        <w:rPr>
          <w:spacing w:val="-5"/>
          <w:w w:val="120"/>
          <w:sz w:val="20"/>
        </w:rPr>
        <w:t> </w:t>
      </w:r>
      <w:r>
        <w:rPr>
          <w:w w:val="120"/>
          <w:sz w:val="20"/>
        </w:rPr>
        <w:t>and</w:t>
      </w:r>
    </w:p>
    <w:p>
      <w:pPr>
        <w:pStyle w:val="BodyText"/>
        <w:spacing w:line="235" w:lineRule="auto"/>
        <w:ind w:left="1564" w:right="923"/>
      </w:pPr>
      <w:r>
        <w:rPr>
          <w:w w:val="120"/>
        </w:rPr>
        <w:t>shall check whether the Assembly is nearing consensus. If during the Decision Session substantially new material or proposals emerge, the Moderator may rule that the Assembly shall return to the Discussion Session.</w:t>
      </w:r>
    </w:p>
    <w:p>
      <w:pPr>
        <w:pStyle w:val="BodyText"/>
        <w:spacing w:before="2"/>
        <w:rPr>
          <w:sz w:val="19"/>
        </w:rPr>
      </w:pPr>
    </w:p>
    <w:p>
      <w:pPr>
        <w:pStyle w:val="ListParagraph"/>
        <w:numPr>
          <w:ilvl w:val="2"/>
          <w:numId w:val="134"/>
        </w:numPr>
        <w:tabs>
          <w:tab w:pos="2244" w:val="left" w:leader="none"/>
          <w:tab w:pos="2245" w:val="left" w:leader="none"/>
        </w:tabs>
        <w:spacing w:line="235" w:lineRule="auto" w:before="0" w:after="0"/>
        <w:ind w:left="2244" w:right="1458" w:hanging="681"/>
        <w:jc w:val="left"/>
        <w:rPr>
          <w:sz w:val="20"/>
        </w:rPr>
      </w:pPr>
      <w:r>
        <w:rPr>
          <w:w w:val="120"/>
          <w:sz w:val="20"/>
        </w:rPr>
        <w:t>If there is unanimous support </w:t>
      </w:r>
      <w:r>
        <w:rPr>
          <w:spacing w:val="-3"/>
          <w:w w:val="120"/>
          <w:sz w:val="20"/>
        </w:rPr>
        <w:t>for, </w:t>
      </w:r>
      <w:r>
        <w:rPr>
          <w:w w:val="120"/>
          <w:sz w:val="20"/>
        </w:rPr>
        <w:t>or rejection of, the proposal it is declared passed or rejected by</w:t>
      </w:r>
      <w:r>
        <w:rPr>
          <w:spacing w:val="8"/>
          <w:w w:val="120"/>
          <w:sz w:val="20"/>
        </w:rPr>
        <w:t> </w:t>
      </w:r>
      <w:r>
        <w:rPr>
          <w:w w:val="120"/>
          <w:sz w:val="20"/>
        </w:rPr>
        <w:t>consensus.</w:t>
      </w:r>
    </w:p>
    <w:p>
      <w:pPr>
        <w:pStyle w:val="BodyText"/>
        <w:spacing w:before="9"/>
        <w:rPr>
          <w:sz w:val="19"/>
        </w:rPr>
      </w:pPr>
    </w:p>
    <w:p>
      <w:pPr>
        <w:pStyle w:val="ListParagraph"/>
        <w:numPr>
          <w:ilvl w:val="2"/>
          <w:numId w:val="134"/>
        </w:numPr>
        <w:tabs>
          <w:tab w:pos="2245" w:val="left" w:leader="none"/>
        </w:tabs>
        <w:spacing w:line="235" w:lineRule="auto" w:before="1" w:after="0"/>
        <w:ind w:left="2244" w:right="1068" w:hanging="681"/>
        <w:jc w:val="left"/>
        <w:rPr>
          <w:sz w:val="20"/>
        </w:rPr>
      </w:pPr>
      <w:r>
        <w:rPr>
          <w:w w:val="120"/>
          <w:sz w:val="20"/>
        </w:rPr>
        <w:t>If there is strong, but not unanimous, support, the Moderator shall ask if those who do not support the proposal as their first option are nonetheless prepared to accept the proposal. If so, the issue is declared resolved by</w:t>
      </w:r>
      <w:r>
        <w:rPr>
          <w:spacing w:val="20"/>
          <w:w w:val="120"/>
          <w:sz w:val="20"/>
        </w:rPr>
        <w:t> </w:t>
      </w:r>
      <w:r>
        <w:rPr>
          <w:w w:val="120"/>
          <w:sz w:val="20"/>
        </w:rPr>
        <w:t>consensus.</w:t>
      </w:r>
    </w:p>
    <w:p>
      <w:pPr>
        <w:pStyle w:val="BodyText"/>
        <w:spacing w:before="10"/>
        <w:rPr>
          <w:sz w:val="19"/>
        </w:rPr>
      </w:pPr>
    </w:p>
    <w:p>
      <w:pPr>
        <w:pStyle w:val="ListParagraph"/>
        <w:numPr>
          <w:ilvl w:val="2"/>
          <w:numId w:val="134"/>
        </w:numPr>
        <w:tabs>
          <w:tab w:pos="2245" w:val="left" w:leader="none"/>
        </w:tabs>
        <w:spacing w:line="235" w:lineRule="auto" w:before="0" w:after="0"/>
        <w:ind w:left="2244" w:right="1137" w:hanging="681"/>
        <w:jc w:val="left"/>
        <w:rPr>
          <w:sz w:val="20"/>
        </w:rPr>
      </w:pPr>
      <w:r>
        <w:rPr>
          <w:w w:val="120"/>
          <w:sz w:val="20"/>
        </w:rPr>
        <w:t>Where some members of Assembly indicate an unwillingness to accept a proposal there shall be further discussion and then the Moderator shall seek  to ascertain that they accept that they have been heard and agree to live with the outcome, by asking if they are prepared to have the issue declared</w:t>
      </w:r>
      <w:r>
        <w:rPr>
          <w:spacing w:val="30"/>
          <w:w w:val="120"/>
          <w:sz w:val="20"/>
        </w:rPr>
        <w:t> </w:t>
      </w:r>
      <w:r>
        <w:rPr>
          <w:w w:val="120"/>
          <w:sz w:val="20"/>
        </w:rPr>
        <w:t>passed,</w:t>
      </w:r>
    </w:p>
    <w:p>
      <w:pPr>
        <w:pStyle w:val="BodyText"/>
        <w:spacing w:line="235" w:lineRule="auto" w:before="3"/>
        <w:ind w:left="2244" w:right="923"/>
      </w:pPr>
      <w:r>
        <w:rPr>
          <w:w w:val="120"/>
        </w:rPr>
        <w:t>recognising disagreement. Subject to Standing Order 9.3, a member may ask to have their dissent recorded in the minutes.</w:t>
      </w:r>
    </w:p>
    <w:p>
      <w:pPr>
        <w:pStyle w:val="BodyText"/>
        <w:spacing w:before="9"/>
        <w:rPr>
          <w:sz w:val="19"/>
        </w:rPr>
      </w:pPr>
    </w:p>
    <w:p>
      <w:pPr>
        <w:pStyle w:val="ListParagraph"/>
        <w:numPr>
          <w:ilvl w:val="2"/>
          <w:numId w:val="134"/>
        </w:numPr>
        <w:tabs>
          <w:tab w:pos="2245" w:val="left" w:leader="none"/>
        </w:tabs>
        <w:spacing w:line="235" w:lineRule="auto" w:before="0" w:after="0"/>
        <w:ind w:left="2244" w:right="1163" w:hanging="681"/>
        <w:jc w:val="left"/>
        <w:rPr>
          <w:sz w:val="20"/>
        </w:rPr>
      </w:pPr>
      <w:r>
        <w:rPr>
          <w:w w:val="120"/>
          <w:sz w:val="20"/>
        </w:rPr>
        <w:t>If there is continuing disagreement, the Assembly </w:t>
      </w:r>
      <w:r>
        <w:rPr>
          <w:spacing w:val="-4"/>
          <w:w w:val="120"/>
          <w:sz w:val="20"/>
        </w:rPr>
        <w:t>may, </w:t>
      </w:r>
      <w:r>
        <w:rPr>
          <w:w w:val="120"/>
          <w:sz w:val="20"/>
        </w:rPr>
        <w:t>at the discretion of the Moderator, look for further possibilities including but not limited</w:t>
      </w:r>
      <w:r>
        <w:rPr>
          <w:spacing w:val="25"/>
          <w:w w:val="120"/>
          <w:sz w:val="20"/>
        </w:rPr>
        <w:t> </w:t>
      </w:r>
      <w:r>
        <w:rPr>
          <w:spacing w:val="-3"/>
          <w:w w:val="120"/>
          <w:sz w:val="20"/>
        </w:rPr>
        <w:t>to:</w:t>
      </w:r>
    </w:p>
    <w:p>
      <w:pPr>
        <w:pStyle w:val="ListParagraph"/>
        <w:numPr>
          <w:ilvl w:val="3"/>
          <w:numId w:val="134"/>
        </w:numPr>
        <w:tabs>
          <w:tab w:pos="3151" w:val="left" w:leader="none"/>
          <w:tab w:pos="3152" w:val="left" w:leader="none"/>
        </w:tabs>
        <w:spacing w:line="235" w:lineRule="auto" w:before="2" w:after="0"/>
        <w:ind w:left="3151" w:right="988" w:hanging="908"/>
        <w:jc w:val="left"/>
        <w:rPr>
          <w:sz w:val="20"/>
        </w:rPr>
      </w:pPr>
      <w:r>
        <w:rPr>
          <w:w w:val="120"/>
          <w:sz w:val="20"/>
        </w:rPr>
        <w:t>adjourning the discussion to another time or place, perhaps with more work before</w:t>
      </w:r>
      <w:r>
        <w:rPr>
          <w:spacing w:val="3"/>
          <w:w w:val="120"/>
          <w:sz w:val="20"/>
        </w:rPr>
        <w:t> </w:t>
      </w:r>
      <w:r>
        <w:rPr>
          <w:w w:val="120"/>
          <w:sz w:val="20"/>
        </w:rPr>
        <w:t>reconsideration;</w:t>
      </w:r>
    </w:p>
    <w:p>
      <w:pPr>
        <w:pStyle w:val="ListParagraph"/>
        <w:numPr>
          <w:ilvl w:val="3"/>
          <w:numId w:val="134"/>
        </w:numPr>
        <w:tabs>
          <w:tab w:pos="3151" w:val="left" w:leader="none"/>
          <w:tab w:pos="3152" w:val="left" w:leader="none"/>
        </w:tabs>
        <w:spacing w:line="235" w:lineRule="auto" w:before="1" w:after="0"/>
        <w:ind w:left="3151" w:right="1094" w:hanging="908"/>
        <w:jc w:val="left"/>
        <w:rPr>
          <w:sz w:val="20"/>
        </w:rPr>
      </w:pPr>
      <w:r>
        <w:rPr>
          <w:w w:val="120"/>
          <w:sz w:val="20"/>
        </w:rPr>
        <w:t>asking a named person to continue to work on the issue with relevant people until the next</w:t>
      </w:r>
      <w:r>
        <w:rPr>
          <w:spacing w:val="9"/>
          <w:w w:val="120"/>
          <w:sz w:val="20"/>
        </w:rPr>
        <w:t> </w:t>
      </w:r>
      <w:r>
        <w:rPr>
          <w:w w:val="120"/>
          <w:sz w:val="20"/>
        </w:rPr>
        <w:t>Assembly;</w:t>
      </w:r>
    </w:p>
    <w:p>
      <w:pPr>
        <w:pStyle w:val="ListParagraph"/>
        <w:numPr>
          <w:ilvl w:val="3"/>
          <w:numId w:val="134"/>
        </w:numPr>
        <w:tabs>
          <w:tab w:pos="3151" w:val="left" w:leader="none"/>
          <w:tab w:pos="3152" w:val="left" w:leader="none"/>
        </w:tabs>
        <w:spacing w:line="240" w:lineRule="exact" w:before="0" w:after="0"/>
        <w:ind w:left="3151" w:right="0" w:hanging="908"/>
        <w:jc w:val="left"/>
        <w:rPr>
          <w:sz w:val="20"/>
        </w:rPr>
      </w:pPr>
      <w:r>
        <w:rPr>
          <w:w w:val="120"/>
          <w:sz w:val="20"/>
        </w:rPr>
        <w:t>referring the issue to another council or group to deal</w:t>
      </w:r>
      <w:r>
        <w:rPr>
          <w:spacing w:val="24"/>
          <w:w w:val="120"/>
          <w:sz w:val="20"/>
        </w:rPr>
        <w:t> </w:t>
      </w:r>
      <w:r>
        <w:rPr>
          <w:w w:val="120"/>
          <w:sz w:val="20"/>
        </w:rPr>
        <w:t>with;</w:t>
      </w:r>
    </w:p>
    <w:p>
      <w:pPr>
        <w:pStyle w:val="ListParagraph"/>
        <w:numPr>
          <w:ilvl w:val="3"/>
          <w:numId w:val="134"/>
        </w:numPr>
        <w:tabs>
          <w:tab w:pos="3151" w:val="left" w:leader="none"/>
          <w:tab w:pos="3152" w:val="left" w:leader="none"/>
        </w:tabs>
        <w:spacing w:line="235" w:lineRule="auto" w:before="2" w:after="0"/>
        <w:ind w:left="3151" w:right="1281" w:hanging="908"/>
        <w:jc w:val="left"/>
        <w:rPr>
          <w:sz w:val="20"/>
        </w:rPr>
      </w:pPr>
      <w:r>
        <w:rPr>
          <w:w w:val="120"/>
          <w:sz w:val="20"/>
        </w:rPr>
        <w:t>deciding the issue is unnecessary/inappropriate to continue dealing with;</w:t>
      </w:r>
    </w:p>
    <w:p>
      <w:pPr>
        <w:pStyle w:val="ListParagraph"/>
        <w:numPr>
          <w:ilvl w:val="3"/>
          <w:numId w:val="134"/>
        </w:numPr>
        <w:tabs>
          <w:tab w:pos="3151" w:val="left" w:leader="none"/>
          <w:tab w:pos="3152" w:val="left" w:leader="none"/>
        </w:tabs>
        <w:spacing w:line="235" w:lineRule="auto" w:before="1" w:after="0"/>
        <w:ind w:left="3151" w:right="1108" w:hanging="908"/>
        <w:jc w:val="left"/>
        <w:rPr>
          <w:sz w:val="20"/>
        </w:rPr>
      </w:pPr>
      <w:r>
        <w:rPr>
          <w:w w:val="120"/>
          <w:sz w:val="20"/>
        </w:rPr>
        <w:t>declaring that there are diverse views which Christians may hold with equal</w:t>
      </w:r>
      <w:r>
        <w:rPr>
          <w:spacing w:val="2"/>
          <w:w w:val="120"/>
          <w:sz w:val="20"/>
        </w:rPr>
        <w:t> </w:t>
      </w:r>
      <w:r>
        <w:rPr>
          <w:w w:val="120"/>
          <w:sz w:val="20"/>
        </w:rPr>
        <w:t>integrity;</w:t>
      </w:r>
    </w:p>
    <w:p>
      <w:pPr>
        <w:pStyle w:val="ListParagraph"/>
        <w:numPr>
          <w:ilvl w:val="3"/>
          <w:numId w:val="134"/>
        </w:numPr>
        <w:tabs>
          <w:tab w:pos="3151" w:val="left" w:leader="none"/>
          <w:tab w:pos="3152" w:val="left" w:leader="none"/>
        </w:tabs>
        <w:spacing w:line="235" w:lineRule="auto" w:before="2" w:after="0"/>
        <w:ind w:left="3151" w:right="1083" w:hanging="908"/>
        <w:jc w:val="left"/>
        <w:rPr>
          <w:sz w:val="20"/>
        </w:rPr>
      </w:pPr>
      <w:r>
        <w:rPr>
          <w:w w:val="120"/>
          <w:sz w:val="20"/>
        </w:rPr>
        <w:t>if the issue has previously been notified as urgent, moving to majority decision;</w:t>
      </w:r>
    </w:p>
    <w:p>
      <w:pPr>
        <w:pStyle w:val="ListParagraph"/>
        <w:numPr>
          <w:ilvl w:val="3"/>
          <w:numId w:val="134"/>
        </w:numPr>
        <w:tabs>
          <w:tab w:pos="3151" w:val="left" w:leader="none"/>
          <w:tab w:pos="3152" w:val="left" w:leader="none"/>
        </w:tabs>
        <w:spacing w:line="235" w:lineRule="auto" w:before="1" w:after="0"/>
        <w:ind w:left="3151" w:right="1150" w:hanging="908"/>
        <w:jc w:val="left"/>
        <w:rPr>
          <w:sz w:val="20"/>
        </w:rPr>
      </w:pPr>
      <w:r>
        <w:rPr>
          <w:w w:val="120"/>
          <w:sz w:val="20"/>
        </w:rPr>
        <w:t>in the event of urgency not previously notified, moving to majority decision; in that event, the Moderator shall give reasons, and test the mind of Assembly in forming that</w:t>
      </w:r>
      <w:r>
        <w:rPr>
          <w:spacing w:val="18"/>
          <w:w w:val="120"/>
          <w:sz w:val="20"/>
        </w:rPr>
        <w:t> </w:t>
      </w:r>
      <w:r>
        <w:rPr>
          <w:w w:val="120"/>
          <w:sz w:val="20"/>
        </w:rPr>
        <w:t>judgement.</w:t>
      </w:r>
    </w:p>
    <w:p>
      <w:pPr>
        <w:pStyle w:val="BodyText"/>
        <w:spacing w:before="10"/>
        <w:rPr>
          <w:sz w:val="19"/>
        </w:rPr>
      </w:pPr>
    </w:p>
    <w:p>
      <w:pPr>
        <w:pStyle w:val="ListParagraph"/>
        <w:numPr>
          <w:ilvl w:val="1"/>
          <w:numId w:val="134"/>
        </w:numPr>
        <w:tabs>
          <w:tab w:pos="2244" w:val="left" w:leader="none"/>
          <w:tab w:pos="2245" w:val="left" w:leader="none"/>
        </w:tabs>
        <w:spacing w:line="235" w:lineRule="auto" w:before="0" w:after="0"/>
        <w:ind w:left="1564" w:right="920" w:firstLine="0"/>
        <w:jc w:val="left"/>
        <w:rPr>
          <w:sz w:val="20"/>
        </w:rPr>
      </w:pPr>
      <w:r>
        <w:rPr>
          <w:w w:val="120"/>
          <w:sz w:val="20"/>
        </w:rPr>
        <w:t>The Assembly and Moderator may be assisted by a facilitation group, which shall be appointed at the beginning of each Assembly by the</w:t>
      </w:r>
      <w:r>
        <w:rPr>
          <w:spacing w:val="35"/>
          <w:w w:val="120"/>
          <w:sz w:val="20"/>
        </w:rPr>
        <w:t> </w:t>
      </w:r>
      <w:r>
        <w:rPr>
          <w:w w:val="120"/>
          <w:sz w:val="20"/>
        </w:rPr>
        <w:t>Assembly.</w:t>
      </w:r>
    </w:p>
    <w:p>
      <w:pPr>
        <w:pStyle w:val="BodyText"/>
        <w:spacing w:before="10"/>
        <w:rPr>
          <w:sz w:val="19"/>
        </w:rPr>
      </w:pPr>
    </w:p>
    <w:p>
      <w:pPr>
        <w:pStyle w:val="ListParagraph"/>
        <w:numPr>
          <w:ilvl w:val="1"/>
          <w:numId w:val="134"/>
        </w:numPr>
        <w:tabs>
          <w:tab w:pos="2245" w:val="left" w:leader="none"/>
        </w:tabs>
        <w:spacing w:line="235" w:lineRule="auto" w:before="0" w:after="0"/>
        <w:ind w:left="1564" w:right="1417" w:firstLine="0"/>
        <w:jc w:val="both"/>
        <w:rPr>
          <w:sz w:val="20"/>
        </w:rPr>
      </w:pPr>
      <w:r>
        <w:rPr>
          <w:w w:val="120"/>
          <w:sz w:val="20"/>
        </w:rPr>
        <w:t>Coloured cards are not essential in consensus decision making but they can be helpful. Orange cards, shown at the request of the Moderator, indicate</w:t>
      </w:r>
      <w:r>
        <w:rPr>
          <w:spacing w:val="39"/>
          <w:w w:val="120"/>
          <w:sz w:val="20"/>
        </w:rPr>
        <w:t> </w:t>
      </w:r>
      <w:r>
        <w:rPr>
          <w:w w:val="120"/>
          <w:sz w:val="20"/>
        </w:rPr>
        <w:t>warmth</w:t>
      </w:r>
    </w:p>
    <w:p>
      <w:pPr>
        <w:pStyle w:val="BodyText"/>
        <w:spacing w:line="235" w:lineRule="auto" w:before="1"/>
        <w:ind w:left="1564" w:right="947"/>
        <w:jc w:val="both"/>
      </w:pPr>
      <w:r>
        <w:rPr>
          <w:w w:val="120"/>
        </w:rPr>
        <w:t>towards a point of view or approval of a proposal. Blue cards, held at the request of the Moderator, indicate coolness about what has been heard or the need for greater clarity or disapproval of a proposal.</w:t>
      </w:r>
    </w:p>
    <w:p>
      <w:pPr>
        <w:pStyle w:val="BodyText"/>
        <w:spacing w:before="4"/>
        <w:rPr>
          <w:sz w:val="22"/>
        </w:rPr>
      </w:pPr>
    </w:p>
    <w:p>
      <w:pPr>
        <w:pStyle w:val="Heading4"/>
        <w:numPr>
          <w:ilvl w:val="0"/>
          <w:numId w:val="135"/>
        </w:numPr>
        <w:tabs>
          <w:tab w:pos="2245" w:val="left" w:leader="none"/>
        </w:tabs>
        <w:spacing w:line="240" w:lineRule="auto" w:before="0" w:after="0"/>
        <w:ind w:left="2244" w:right="0" w:hanging="681"/>
        <w:jc w:val="both"/>
      </w:pPr>
      <w:r>
        <w:rPr>
          <w:spacing w:val="3"/>
          <w:w w:val="110"/>
        </w:rPr>
        <w:t>Presentation </w:t>
      </w:r>
      <w:r>
        <w:rPr>
          <w:w w:val="110"/>
        </w:rPr>
        <w:t>of</w:t>
      </w:r>
      <w:r>
        <w:rPr>
          <w:spacing w:val="22"/>
          <w:w w:val="110"/>
        </w:rPr>
        <w:t> </w:t>
      </w:r>
      <w:r>
        <w:rPr>
          <w:spacing w:val="3"/>
          <w:w w:val="110"/>
        </w:rPr>
        <w:t>business</w:t>
      </w:r>
    </w:p>
    <w:p>
      <w:pPr>
        <w:pStyle w:val="ListParagraph"/>
        <w:numPr>
          <w:ilvl w:val="1"/>
          <w:numId w:val="135"/>
        </w:numPr>
        <w:tabs>
          <w:tab w:pos="2244" w:val="left" w:leader="none"/>
          <w:tab w:pos="2245" w:val="left" w:leader="none"/>
        </w:tabs>
        <w:spacing w:line="235" w:lineRule="auto" w:before="69" w:after="0"/>
        <w:ind w:left="1564" w:right="1013" w:firstLine="0"/>
        <w:jc w:val="left"/>
        <w:rPr>
          <w:sz w:val="20"/>
        </w:rPr>
      </w:pPr>
      <w:r>
        <w:rPr>
          <w:w w:val="120"/>
          <w:sz w:val="20"/>
        </w:rPr>
        <w:t>All </w:t>
      </w:r>
      <w:r>
        <w:rPr>
          <w:spacing w:val="2"/>
          <w:w w:val="120"/>
          <w:sz w:val="20"/>
        </w:rPr>
        <w:t>reports </w:t>
      </w:r>
      <w:r>
        <w:rPr>
          <w:w w:val="120"/>
          <w:sz w:val="20"/>
        </w:rPr>
        <w:t>of committees, together with the </w:t>
      </w:r>
      <w:r>
        <w:rPr>
          <w:spacing w:val="2"/>
          <w:w w:val="120"/>
          <w:sz w:val="20"/>
        </w:rPr>
        <w:t>draft </w:t>
      </w:r>
      <w:r>
        <w:rPr>
          <w:w w:val="120"/>
          <w:sz w:val="20"/>
        </w:rPr>
        <w:t>motions arising therefrom, shall be delivered to the General Secretary by a date to be determined, so that they may be printed and circulated to members in time for consideration before the date of the Assembly</w:t>
      </w:r>
      <w:r>
        <w:rPr>
          <w:spacing w:val="4"/>
          <w:w w:val="120"/>
          <w:sz w:val="20"/>
        </w:rPr>
        <w:t> </w:t>
      </w:r>
      <w:r>
        <w:rPr>
          <w:w w:val="120"/>
          <w:sz w:val="20"/>
        </w:rPr>
        <w:t>meeting.</w:t>
      </w:r>
    </w:p>
    <w:p>
      <w:pPr>
        <w:pStyle w:val="BodyText"/>
        <w:spacing w:before="11"/>
        <w:rPr>
          <w:sz w:val="19"/>
        </w:rPr>
      </w:pPr>
    </w:p>
    <w:p>
      <w:pPr>
        <w:pStyle w:val="ListParagraph"/>
        <w:numPr>
          <w:ilvl w:val="1"/>
          <w:numId w:val="135"/>
        </w:numPr>
        <w:tabs>
          <w:tab w:pos="2244" w:val="left" w:leader="none"/>
          <w:tab w:pos="2245" w:val="left" w:leader="none"/>
        </w:tabs>
        <w:spacing w:line="235" w:lineRule="auto" w:before="0" w:after="0"/>
        <w:ind w:left="1564" w:right="1011" w:firstLine="0"/>
        <w:jc w:val="left"/>
        <w:rPr>
          <w:sz w:val="20"/>
        </w:rPr>
      </w:pPr>
      <w:r>
        <w:rPr>
          <w:w w:val="120"/>
          <w:sz w:val="20"/>
        </w:rPr>
        <w:t>A synod may deliver to the General Secretary not less than twelve weeks before the commencement of the meeting of the Assembly, notice in writing of a motion for consideration at the Assembly. This notice shall include the names of those appointed to propose and second the motion at the</w:t>
      </w:r>
      <w:r>
        <w:rPr>
          <w:spacing w:val="17"/>
          <w:w w:val="120"/>
          <w:sz w:val="20"/>
        </w:rPr>
        <w:t> </w:t>
      </w:r>
      <w:r>
        <w:rPr>
          <w:w w:val="120"/>
          <w:sz w:val="20"/>
        </w:rPr>
        <w:t>Assembly.</w:t>
      </w:r>
    </w:p>
    <w:p>
      <w:pPr>
        <w:spacing w:after="0" w:line="235" w:lineRule="auto"/>
        <w:jc w:val="left"/>
        <w:rPr>
          <w:sz w:val="20"/>
        </w:rPr>
        <w:sectPr>
          <w:headerReference w:type="default" r:id="rId535"/>
          <w:pgSz w:w="11910" w:h="16840"/>
          <w:pgMar w:header="0" w:footer="647" w:top="0" w:bottom="840" w:left="420" w:right="380"/>
        </w:sectPr>
      </w:pPr>
    </w:p>
    <w:p>
      <w:pPr>
        <w:pStyle w:val="BodyText"/>
      </w:pPr>
      <w:r>
        <w:rPr/>
        <w:drawing>
          <wp:anchor distT="0" distB="0" distL="0" distR="0" allowOverlap="1" layoutInCell="1" locked="0" behindDoc="1" simplePos="0" relativeHeight="236271616">
            <wp:simplePos x="0" y="0"/>
            <wp:positionH relativeFrom="page">
              <wp:posOffset>0</wp:posOffset>
            </wp:positionH>
            <wp:positionV relativeFrom="page">
              <wp:posOffset>0</wp:posOffset>
            </wp:positionV>
            <wp:extent cx="594067" cy="10692003"/>
            <wp:effectExtent l="0" t="0" r="0" b="0"/>
            <wp:wrapNone/>
            <wp:docPr id="381" name="image86.png"/>
            <wp:cNvGraphicFramePr>
              <a:graphicFrameLocks noChangeAspect="1"/>
            </wp:cNvGraphicFramePr>
            <a:graphic>
              <a:graphicData uri="http://schemas.openxmlformats.org/drawingml/2006/picture">
                <pic:pic>
                  <pic:nvPicPr>
                    <pic:cNvPr id="382" name="image86.png"/>
                    <pic:cNvPicPr/>
                  </pic:nvPicPr>
                  <pic:blipFill>
                    <a:blip r:embed="rId529"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pPr>
      <w:r>
        <w:rPr/>
        <w:pict>
          <v:shape style="position:absolute;margin-left:20.519100pt;margin-top:22.693945pt;width:26pt;height:171.3pt;mso-position-horizontal-relative:page;mso-position-vertical-relative:paragraph;z-index:252239872"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5"/>
        </w:numPr>
        <w:tabs>
          <w:tab w:pos="1507" w:val="left" w:leader="none"/>
          <w:tab w:pos="1508" w:val="left" w:leader="none"/>
        </w:tabs>
        <w:spacing w:line="235" w:lineRule="auto" w:before="222" w:after="0"/>
        <w:ind w:left="827" w:right="1601" w:firstLine="0"/>
        <w:jc w:val="left"/>
        <w:rPr>
          <w:sz w:val="20"/>
        </w:rPr>
      </w:pPr>
      <w:r>
        <w:rPr>
          <w:w w:val="120"/>
          <w:sz w:val="20"/>
        </w:rPr>
        <w:t>A Local Church wishing to put forward a motion for consideration by the General Assembly shall submit the motion to its synod for consideration and, if the synod so decides, transmission to the Assembly, at such time as will enable the synod to comply with Standing Order 3.2</w:t>
      </w:r>
      <w:r>
        <w:rPr>
          <w:spacing w:val="10"/>
          <w:w w:val="120"/>
          <w:sz w:val="20"/>
        </w:rPr>
        <w:t> </w:t>
      </w:r>
      <w:r>
        <w:rPr>
          <w:w w:val="120"/>
          <w:sz w:val="20"/>
        </w:rPr>
        <w:t>above.</w:t>
      </w:r>
    </w:p>
    <w:p>
      <w:pPr>
        <w:pStyle w:val="BodyText"/>
        <w:spacing w:before="10"/>
        <w:rPr>
          <w:sz w:val="19"/>
        </w:rPr>
      </w:pPr>
    </w:p>
    <w:p>
      <w:pPr>
        <w:pStyle w:val="ListParagraph"/>
        <w:numPr>
          <w:ilvl w:val="1"/>
          <w:numId w:val="135"/>
        </w:numPr>
        <w:tabs>
          <w:tab w:pos="1507" w:val="left" w:leader="none"/>
          <w:tab w:pos="1508" w:val="left" w:leader="none"/>
        </w:tabs>
        <w:spacing w:line="235" w:lineRule="auto" w:before="0" w:after="0"/>
        <w:ind w:left="827" w:right="1710" w:firstLine="0"/>
        <w:jc w:val="left"/>
        <w:rPr>
          <w:sz w:val="20"/>
        </w:rPr>
      </w:pPr>
      <w:r>
        <w:rPr>
          <w:w w:val="120"/>
          <w:sz w:val="20"/>
        </w:rPr>
        <w:t>A member of the Assembly may deliver to the General Secretary not less than  </w:t>
      </w:r>
      <w:r>
        <w:rPr>
          <w:spacing w:val="-4"/>
          <w:w w:val="120"/>
          <w:sz w:val="20"/>
        </w:rPr>
        <w:t>21 </w:t>
      </w:r>
      <w:r>
        <w:rPr>
          <w:w w:val="120"/>
          <w:sz w:val="20"/>
        </w:rPr>
        <w:t>days before the date of the meeting of the Assembly a notice in writing of a motion </w:t>
      </w:r>
      <w:r>
        <w:rPr>
          <w:spacing w:val="-3"/>
          <w:w w:val="120"/>
          <w:sz w:val="20"/>
        </w:rPr>
        <w:t>(which </w:t>
      </w:r>
      <w:r>
        <w:rPr>
          <w:w w:val="120"/>
          <w:sz w:val="20"/>
        </w:rPr>
        <w:t>notice must include the name of a seconder) to be included in the Assembly agenda. If the subject matter of such a notice of motion appears to the General Secretary to be an infringement of the rights of a synod through which the matter  could properly have been raised, the General Secretary shall inform the member accordingly and bring the matter before the Assembly arrangements committee which shall advise the Assembly as to the procedure to be</w:t>
      </w:r>
      <w:r>
        <w:rPr>
          <w:spacing w:val="20"/>
          <w:w w:val="120"/>
          <w:sz w:val="20"/>
        </w:rPr>
        <w:t> </w:t>
      </w:r>
      <w:r>
        <w:rPr>
          <w:w w:val="120"/>
          <w:sz w:val="20"/>
        </w:rPr>
        <w:t>followed.</w:t>
      </w:r>
    </w:p>
    <w:p>
      <w:pPr>
        <w:pStyle w:val="BodyText"/>
        <w:spacing w:before="2"/>
      </w:pPr>
    </w:p>
    <w:p>
      <w:pPr>
        <w:pStyle w:val="ListParagraph"/>
        <w:numPr>
          <w:ilvl w:val="1"/>
          <w:numId w:val="135"/>
        </w:numPr>
        <w:tabs>
          <w:tab w:pos="1507" w:val="left" w:leader="none"/>
          <w:tab w:pos="1508" w:val="left" w:leader="none"/>
        </w:tabs>
        <w:spacing w:line="235" w:lineRule="auto" w:before="0" w:after="0"/>
        <w:ind w:left="827" w:right="1761" w:firstLine="0"/>
        <w:jc w:val="left"/>
        <w:rPr>
          <w:sz w:val="20"/>
        </w:rPr>
      </w:pPr>
      <w:r>
        <w:rPr>
          <w:w w:val="120"/>
          <w:sz w:val="20"/>
        </w:rPr>
        <w:t>Proposals for amendments to the Basis and Structure of the URC, which may be made by the Mission Council or a committee of the General Assembly or a synod, shall be in the hands of the General Secretary not later than </w:t>
      </w:r>
      <w:r>
        <w:rPr>
          <w:spacing w:val="-9"/>
          <w:w w:val="120"/>
          <w:sz w:val="20"/>
        </w:rPr>
        <w:t>12  </w:t>
      </w:r>
      <w:r>
        <w:rPr>
          <w:w w:val="120"/>
          <w:sz w:val="20"/>
        </w:rPr>
        <w:t>weeks before the opening  of the Assembly. The General Secretary, in addition to the normal advice to members of the Assembly, shall, as quickly as possible, inform all synod clerks of the proposed amendment.</w:t>
      </w:r>
    </w:p>
    <w:p>
      <w:pPr>
        <w:pStyle w:val="BodyText"/>
      </w:pPr>
    </w:p>
    <w:p>
      <w:pPr>
        <w:pStyle w:val="ListParagraph"/>
        <w:numPr>
          <w:ilvl w:val="1"/>
          <w:numId w:val="135"/>
        </w:numPr>
        <w:tabs>
          <w:tab w:pos="1507" w:val="left" w:leader="none"/>
          <w:tab w:pos="1508" w:val="left" w:leader="none"/>
        </w:tabs>
        <w:spacing w:line="235" w:lineRule="auto" w:before="0" w:after="0"/>
        <w:ind w:left="827" w:right="2600" w:firstLine="0"/>
        <w:jc w:val="left"/>
        <w:rPr>
          <w:sz w:val="20"/>
        </w:rPr>
      </w:pPr>
      <w:r>
        <w:rPr>
          <w:w w:val="120"/>
          <w:sz w:val="20"/>
        </w:rPr>
        <w:t>It shall not be in order, whether in en bloc business, majority voting, or consensus decision-making, to move a motion or amendment</w:t>
      </w:r>
      <w:r>
        <w:rPr>
          <w:spacing w:val="27"/>
          <w:w w:val="120"/>
          <w:sz w:val="20"/>
        </w:rPr>
        <w:t> </w:t>
      </w:r>
      <w:r>
        <w:rPr>
          <w:w w:val="120"/>
          <w:sz w:val="20"/>
        </w:rPr>
        <w:t>which:</w:t>
      </w:r>
    </w:p>
    <w:p>
      <w:pPr>
        <w:pStyle w:val="BodyText"/>
        <w:spacing w:before="6"/>
        <w:rPr>
          <w:sz w:val="19"/>
        </w:rPr>
      </w:pPr>
    </w:p>
    <w:p>
      <w:pPr>
        <w:pStyle w:val="ListParagraph"/>
        <w:numPr>
          <w:ilvl w:val="2"/>
          <w:numId w:val="135"/>
        </w:numPr>
        <w:tabs>
          <w:tab w:pos="1508" w:val="left" w:leader="none"/>
        </w:tabs>
        <w:spacing w:line="240" w:lineRule="auto" w:before="0" w:after="0"/>
        <w:ind w:left="1507" w:right="0" w:hanging="681"/>
        <w:jc w:val="left"/>
        <w:rPr>
          <w:sz w:val="20"/>
        </w:rPr>
      </w:pPr>
      <w:r>
        <w:rPr>
          <w:w w:val="120"/>
          <w:sz w:val="20"/>
        </w:rPr>
        <w:t>contravenes any </w:t>
      </w:r>
      <w:r>
        <w:rPr>
          <w:spacing w:val="2"/>
          <w:w w:val="120"/>
          <w:sz w:val="20"/>
        </w:rPr>
        <w:t>part </w:t>
      </w:r>
      <w:r>
        <w:rPr>
          <w:w w:val="120"/>
          <w:sz w:val="20"/>
        </w:rPr>
        <w:t>of the Basis of Union,</w:t>
      </w:r>
      <w:r>
        <w:rPr>
          <w:spacing w:val="9"/>
          <w:w w:val="120"/>
          <w:sz w:val="20"/>
        </w:rPr>
        <w:t> </w:t>
      </w:r>
      <w:r>
        <w:rPr>
          <w:w w:val="120"/>
          <w:sz w:val="20"/>
        </w:rPr>
        <w:t>or</w:t>
      </w:r>
    </w:p>
    <w:p>
      <w:pPr>
        <w:pStyle w:val="BodyText"/>
        <w:spacing w:before="7"/>
        <w:rPr>
          <w:sz w:val="19"/>
        </w:rPr>
      </w:pPr>
    </w:p>
    <w:p>
      <w:pPr>
        <w:pStyle w:val="ListParagraph"/>
        <w:numPr>
          <w:ilvl w:val="2"/>
          <w:numId w:val="135"/>
        </w:numPr>
        <w:tabs>
          <w:tab w:pos="1508" w:val="left" w:leader="none"/>
        </w:tabs>
        <w:spacing w:line="235" w:lineRule="auto" w:before="1" w:after="0"/>
        <w:ind w:left="1507" w:right="2681" w:hanging="681"/>
        <w:jc w:val="left"/>
        <w:rPr>
          <w:sz w:val="20"/>
        </w:rPr>
      </w:pPr>
      <w:r>
        <w:rPr>
          <w:w w:val="120"/>
          <w:sz w:val="20"/>
        </w:rPr>
        <w:t>involves the Church in expenditure without prior consideration by the appropriate committee,</w:t>
      </w:r>
      <w:r>
        <w:rPr>
          <w:spacing w:val="4"/>
          <w:w w:val="120"/>
          <w:sz w:val="20"/>
        </w:rPr>
        <w:t> </w:t>
      </w:r>
      <w:r>
        <w:rPr>
          <w:w w:val="120"/>
          <w:sz w:val="20"/>
        </w:rPr>
        <w:t>or</w:t>
      </w:r>
    </w:p>
    <w:p>
      <w:pPr>
        <w:pStyle w:val="BodyText"/>
        <w:spacing w:before="5"/>
        <w:rPr>
          <w:sz w:val="19"/>
        </w:rPr>
      </w:pPr>
    </w:p>
    <w:p>
      <w:pPr>
        <w:pStyle w:val="ListParagraph"/>
        <w:numPr>
          <w:ilvl w:val="2"/>
          <w:numId w:val="135"/>
        </w:numPr>
        <w:tabs>
          <w:tab w:pos="1508" w:val="left" w:leader="none"/>
        </w:tabs>
        <w:spacing w:line="240" w:lineRule="auto" w:before="0" w:after="0"/>
        <w:ind w:left="1507" w:right="0" w:hanging="681"/>
        <w:jc w:val="left"/>
        <w:rPr>
          <w:sz w:val="20"/>
        </w:rPr>
      </w:pPr>
      <w:r>
        <w:rPr>
          <w:spacing w:val="2"/>
          <w:w w:val="120"/>
          <w:sz w:val="20"/>
        </w:rPr>
        <w:t>pre-empts </w:t>
      </w:r>
      <w:r>
        <w:rPr>
          <w:w w:val="120"/>
          <w:sz w:val="20"/>
        </w:rPr>
        <w:t>discussion of a matter to be considered later in the agenda,</w:t>
      </w:r>
      <w:r>
        <w:rPr>
          <w:spacing w:val="20"/>
          <w:w w:val="120"/>
          <w:sz w:val="20"/>
        </w:rPr>
        <w:t> </w:t>
      </w:r>
      <w:r>
        <w:rPr>
          <w:w w:val="120"/>
          <w:sz w:val="20"/>
        </w:rPr>
        <w:t>or</w:t>
      </w:r>
    </w:p>
    <w:p>
      <w:pPr>
        <w:pStyle w:val="BodyText"/>
        <w:spacing w:before="8"/>
        <w:rPr>
          <w:sz w:val="19"/>
        </w:rPr>
      </w:pPr>
    </w:p>
    <w:p>
      <w:pPr>
        <w:pStyle w:val="ListParagraph"/>
        <w:numPr>
          <w:ilvl w:val="2"/>
          <w:numId w:val="135"/>
        </w:numPr>
        <w:tabs>
          <w:tab w:pos="1508" w:val="left" w:leader="none"/>
        </w:tabs>
        <w:spacing w:line="235" w:lineRule="auto" w:before="0" w:after="0"/>
        <w:ind w:left="1507" w:right="1964" w:hanging="681"/>
        <w:jc w:val="left"/>
        <w:rPr>
          <w:sz w:val="20"/>
        </w:rPr>
      </w:pPr>
      <w:r>
        <w:rPr>
          <w:w w:val="120"/>
          <w:sz w:val="20"/>
        </w:rPr>
        <w:t>amends or reverses a decision reached by the Assembly at its preceding two meetings unless the Moderator, Clerk and General Secretary together decide that changed circumstances or new evidence justify earlier reconsideration of the matter,</w:t>
      </w:r>
      <w:r>
        <w:rPr>
          <w:spacing w:val="3"/>
          <w:w w:val="120"/>
          <w:sz w:val="20"/>
        </w:rPr>
        <w:t> </w:t>
      </w:r>
      <w:r>
        <w:rPr>
          <w:w w:val="120"/>
          <w:sz w:val="20"/>
        </w:rPr>
        <w:t>or</w:t>
      </w:r>
    </w:p>
    <w:p>
      <w:pPr>
        <w:pStyle w:val="BodyText"/>
        <w:spacing w:before="9"/>
        <w:rPr>
          <w:sz w:val="19"/>
        </w:rPr>
      </w:pPr>
    </w:p>
    <w:p>
      <w:pPr>
        <w:pStyle w:val="ListParagraph"/>
        <w:numPr>
          <w:ilvl w:val="2"/>
          <w:numId w:val="135"/>
        </w:numPr>
        <w:tabs>
          <w:tab w:pos="1508" w:val="left" w:leader="none"/>
        </w:tabs>
        <w:spacing w:line="237" w:lineRule="auto" w:before="0" w:after="0"/>
        <w:ind w:left="1507" w:right="2267" w:hanging="681"/>
        <w:jc w:val="left"/>
        <w:rPr>
          <w:sz w:val="20"/>
        </w:rPr>
      </w:pPr>
      <w:r>
        <w:rPr>
          <w:w w:val="120"/>
          <w:sz w:val="20"/>
        </w:rPr>
        <w:t>is not related to the </w:t>
      </w:r>
      <w:r>
        <w:rPr>
          <w:spacing w:val="2"/>
          <w:w w:val="120"/>
          <w:sz w:val="20"/>
        </w:rPr>
        <w:t>report </w:t>
      </w:r>
      <w:r>
        <w:rPr>
          <w:w w:val="120"/>
          <w:sz w:val="20"/>
        </w:rPr>
        <w:t>of a committee and has not been the subject of </w:t>
      </w:r>
      <w:r>
        <w:rPr>
          <w:spacing w:val="-4"/>
          <w:w w:val="120"/>
          <w:sz w:val="20"/>
        </w:rPr>
        <w:t>21 </w:t>
      </w:r>
      <w:r>
        <w:rPr>
          <w:w w:val="120"/>
          <w:sz w:val="20"/>
        </w:rPr>
        <w:t>days’ notice under Standing Order</w:t>
      </w:r>
      <w:r>
        <w:rPr>
          <w:spacing w:val="23"/>
          <w:w w:val="120"/>
          <w:sz w:val="20"/>
        </w:rPr>
        <w:t> </w:t>
      </w:r>
      <w:r>
        <w:rPr>
          <w:spacing w:val="-4"/>
          <w:w w:val="120"/>
          <w:sz w:val="20"/>
        </w:rPr>
        <w:t>5.4.</w:t>
      </w:r>
    </w:p>
    <w:p>
      <w:pPr>
        <w:pStyle w:val="BodyText"/>
        <w:spacing w:before="7"/>
        <w:rPr>
          <w:sz w:val="19"/>
        </w:rPr>
      </w:pPr>
    </w:p>
    <w:p>
      <w:pPr>
        <w:pStyle w:val="BodyText"/>
        <w:spacing w:line="235" w:lineRule="auto"/>
        <w:ind w:left="827" w:right="2067"/>
      </w:pPr>
      <w:r>
        <w:rPr>
          <w:w w:val="120"/>
        </w:rPr>
        <w:t>The decision of the Moderator (in the case of </w:t>
      </w:r>
      <w:r>
        <w:rPr>
          <w:spacing w:val="-7"/>
          <w:w w:val="120"/>
        </w:rPr>
        <w:t>5.6.1,  </w:t>
      </w:r>
      <w:r>
        <w:rPr>
          <w:w w:val="120"/>
        </w:rPr>
        <w:t>5.6.2, </w:t>
      </w:r>
      <w:r>
        <w:rPr>
          <w:spacing w:val="-3"/>
          <w:w w:val="120"/>
        </w:rPr>
        <w:t>5.6.3, </w:t>
      </w:r>
      <w:r>
        <w:rPr>
          <w:w w:val="120"/>
        </w:rPr>
        <w:t>and 5.6.5) and of  the Moderator with the Clerk and the General Secretary (in the case of </w:t>
      </w:r>
      <w:r>
        <w:rPr>
          <w:spacing w:val="-4"/>
          <w:w w:val="120"/>
        </w:rPr>
        <w:t>5.6.4) </w:t>
      </w:r>
      <w:r>
        <w:rPr>
          <w:w w:val="120"/>
        </w:rPr>
        <w:t>on the application of this Standing Order shall be</w:t>
      </w:r>
      <w:r>
        <w:rPr>
          <w:spacing w:val="17"/>
          <w:w w:val="120"/>
        </w:rPr>
        <w:t> </w:t>
      </w:r>
      <w:r>
        <w:rPr>
          <w:w w:val="120"/>
        </w:rPr>
        <w:t>final.</w:t>
      </w:r>
    </w:p>
    <w:p>
      <w:pPr>
        <w:pStyle w:val="BodyText"/>
        <w:spacing w:before="3"/>
        <w:rPr>
          <w:sz w:val="22"/>
        </w:rPr>
      </w:pPr>
    </w:p>
    <w:p>
      <w:pPr>
        <w:pStyle w:val="Heading4"/>
        <w:numPr>
          <w:ilvl w:val="0"/>
          <w:numId w:val="135"/>
        </w:numPr>
        <w:tabs>
          <w:tab w:pos="1507" w:val="left" w:leader="none"/>
          <w:tab w:pos="1508" w:val="left" w:leader="none"/>
        </w:tabs>
        <w:spacing w:line="240" w:lineRule="auto" w:before="0" w:after="0"/>
        <w:ind w:left="1507" w:right="0" w:hanging="681"/>
        <w:jc w:val="left"/>
      </w:pPr>
      <w:r>
        <w:rPr>
          <w:spacing w:val="4"/>
          <w:w w:val="110"/>
        </w:rPr>
        <w:t>Timing </w:t>
      </w:r>
      <w:r>
        <w:rPr>
          <w:w w:val="110"/>
        </w:rPr>
        <w:t>of </w:t>
      </w:r>
      <w:r>
        <w:rPr>
          <w:spacing w:val="4"/>
          <w:w w:val="110"/>
        </w:rPr>
        <w:t>speeches </w:t>
      </w:r>
      <w:r>
        <w:rPr>
          <w:spacing w:val="3"/>
          <w:w w:val="110"/>
        </w:rPr>
        <w:t>and </w:t>
      </w:r>
      <w:r>
        <w:rPr>
          <w:w w:val="110"/>
        </w:rPr>
        <w:t>of </w:t>
      </w:r>
      <w:r>
        <w:rPr>
          <w:spacing w:val="3"/>
          <w:w w:val="110"/>
        </w:rPr>
        <w:t>other</w:t>
      </w:r>
      <w:r>
        <w:rPr>
          <w:spacing w:val="68"/>
          <w:w w:val="110"/>
        </w:rPr>
        <w:t> </w:t>
      </w:r>
      <w:r>
        <w:rPr>
          <w:spacing w:val="3"/>
          <w:w w:val="110"/>
        </w:rPr>
        <w:t>business</w:t>
      </w:r>
    </w:p>
    <w:p>
      <w:pPr>
        <w:pStyle w:val="ListParagraph"/>
        <w:numPr>
          <w:ilvl w:val="1"/>
          <w:numId w:val="135"/>
        </w:numPr>
        <w:tabs>
          <w:tab w:pos="1507" w:val="left" w:leader="none"/>
          <w:tab w:pos="1508" w:val="left" w:leader="none"/>
        </w:tabs>
        <w:spacing w:line="235" w:lineRule="auto" w:before="69" w:after="0"/>
        <w:ind w:left="827" w:right="1750" w:firstLine="0"/>
        <w:jc w:val="left"/>
        <w:rPr>
          <w:sz w:val="20"/>
        </w:rPr>
      </w:pPr>
      <w:r>
        <w:rPr>
          <w:w w:val="120"/>
          <w:sz w:val="20"/>
        </w:rPr>
        <w:t>Save by prior agreement of the Officers of the Assembly, speeches made in the presentation of </w:t>
      </w:r>
      <w:r>
        <w:rPr>
          <w:spacing w:val="2"/>
          <w:w w:val="120"/>
          <w:sz w:val="20"/>
        </w:rPr>
        <w:t>reports </w:t>
      </w:r>
      <w:r>
        <w:rPr>
          <w:w w:val="120"/>
          <w:sz w:val="20"/>
        </w:rPr>
        <w:t>concerning past work of Assembly committees which are to be open to question, comment or discussion shall not exceed five</w:t>
      </w:r>
      <w:r>
        <w:rPr>
          <w:spacing w:val="22"/>
          <w:w w:val="120"/>
          <w:sz w:val="20"/>
        </w:rPr>
        <w:t> </w:t>
      </w:r>
      <w:r>
        <w:rPr>
          <w:w w:val="120"/>
          <w:sz w:val="20"/>
        </w:rPr>
        <w:t>minutes.</w:t>
      </w:r>
    </w:p>
    <w:p>
      <w:pPr>
        <w:pStyle w:val="BodyText"/>
        <w:spacing w:before="10"/>
        <w:rPr>
          <w:sz w:val="19"/>
        </w:rPr>
      </w:pPr>
    </w:p>
    <w:p>
      <w:pPr>
        <w:pStyle w:val="ListParagraph"/>
        <w:numPr>
          <w:ilvl w:val="1"/>
          <w:numId w:val="135"/>
        </w:numPr>
        <w:tabs>
          <w:tab w:pos="1507" w:val="left" w:leader="none"/>
          <w:tab w:pos="1508" w:val="left" w:leader="none"/>
        </w:tabs>
        <w:spacing w:line="235" w:lineRule="auto" w:before="0" w:after="0"/>
        <w:ind w:left="827" w:right="1604" w:firstLine="0"/>
        <w:jc w:val="left"/>
        <w:rPr>
          <w:sz w:val="20"/>
        </w:rPr>
      </w:pPr>
      <w:r>
        <w:rPr>
          <w:w w:val="120"/>
          <w:sz w:val="20"/>
        </w:rPr>
        <w:t>The Assembly may meet in parallel sessions to consider the past work of Assembly committees for questions and comments. Any </w:t>
      </w:r>
      <w:r>
        <w:rPr>
          <w:spacing w:val="2"/>
          <w:w w:val="120"/>
          <w:sz w:val="20"/>
        </w:rPr>
        <w:t>draft </w:t>
      </w:r>
      <w:r>
        <w:rPr>
          <w:w w:val="120"/>
          <w:sz w:val="20"/>
        </w:rPr>
        <w:t>motions arising therefrom must be dealt with in a plenary session of the</w:t>
      </w:r>
      <w:r>
        <w:rPr>
          <w:spacing w:val="18"/>
          <w:w w:val="120"/>
          <w:sz w:val="20"/>
        </w:rPr>
        <w:t> </w:t>
      </w:r>
      <w:r>
        <w:rPr>
          <w:w w:val="120"/>
          <w:sz w:val="20"/>
        </w:rPr>
        <w:t>Assembly.</w:t>
      </w:r>
    </w:p>
    <w:p>
      <w:pPr>
        <w:pStyle w:val="BodyText"/>
        <w:spacing w:before="10"/>
        <w:rPr>
          <w:sz w:val="19"/>
        </w:rPr>
      </w:pPr>
    </w:p>
    <w:p>
      <w:pPr>
        <w:pStyle w:val="ListParagraph"/>
        <w:numPr>
          <w:ilvl w:val="1"/>
          <w:numId w:val="135"/>
        </w:numPr>
        <w:tabs>
          <w:tab w:pos="1507" w:val="left" w:leader="none"/>
          <w:tab w:pos="1508" w:val="left" w:leader="none"/>
        </w:tabs>
        <w:spacing w:line="235" w:lineRule="auto" w:before="0" w:after="0"/>
        <w:ind w:left="827" w:right="1847" w:firstLine="0"/>
        <w:jc w:val="left"/>
        <w:rPr>
          <w:sz w:val="20"/>
        </w:rPr>
      </w:pPr>
      <w:r>
        <w:rPr>
          <w:w w:val="120"/>
          <w:sz w:val="20"/>
        </w:rPr>
        <w:t>Save by the prior agreement of the Officers of the Assembly, speeches made in support of the motions from any Assembly committee, including the Mission Council, or from any synod shall not in aggregate exceed </w:t>
      </w:r>
      <w:r>
        <w:rPr>
          <w:spacing w:val="-4"/>
          <w:w w:val="120"/>
          <w:sz w:val="20"/>
        </w:rPr>
        <w:t>45 </w:t>
      </w:r>
      <w:r>
        <w:rPr>
          <w:w w:val="120"/>
          <w:sz w:val="20"/>
        </w:rPr>
        <w:t>minutes, nor shall speeches in support of any particular committee or synod motion exceed </w:t>
      </w:r>
      <w:r>
        <w:rPr>
          <w:spacing w:val="-6"/>
          <w:w w:val="120"/>
          <w:sz w:val="20"/>
        </w:rPr>
        <w:t>10 </w:t>
      </w:r>
      <w:r>
        <w:rPr>
          <w:w w:val="120"/>
          <w:sz w:val="20"/>
        </w:rPr>
        <w:t>minutes, </w:t>
      </w:r>
      <w:r>
        <w:rPr>
          <w:spacing w:val="-5"/>
          <w:w w:val="120"/>
          <w:sz w:val="20"/>
        </w:rPr>
        <w:t>(e.g. </w:t>
      </w:r>
      <w:r>
        <w:rPr>
          <w:w w:val="120"/>
          <w:sz w:val="20"/>
        </w:rPr>
        <w:t>a committee with three motions may not exceed 30 </w:t>
      </w:r>
      <w:r>
        <w:rPr>
          <w:spacing w:val="-3"/>
          <w:w w:val="120"/>
          <w:sz w:val="20"/>
        </w:rPr>
        <w:t>minutes). </w:t>
      </w:r>
      <w:r>
        <w:rPr>
          <w:w w:val="120"/>
          <w:sz w:val="20"/>
        </w:rPr>
        <w:t>The proposers of any other motion of which due notice has been given shall be allowed an aggregate of </w:t>
      </w:r>
      <w:r>
        <w:rPr>
          <w:spacing w:val="-6"/>
          <w:w w:val="120"/>
          <w:sz w:val="20"/>
        </w:rPr>
        <w:t>10 </w:t>
      </w:r>
      <w:r>
        <w:rPr>
          <w:w w:val="120"/>
          <w:sz w:val="20"/>
        </w:rPr>
        <w:t>minutes, unless a longer period be recommended by the Officers of the Assembly or determined by the</w:t>
      </w:r>
      <w:r>
        <w:rPr>
          <w:spacing w:val="5"/>
          <w:w w:val="120"/>
          <w:sz w:val="20"/>
        </w:rPr>
        <w:t> </w:t>
      </w:r>
      <w:r>
        <w:rPr>
          <w:w w:val="120"/>
          <w:sz w:val="20"/>
        </w:rPr>
        <w:t>Moderator.</w:t>
      </w:r>
    </w:p>
    <w:p>
      <w:pPr>
        <w:spacing w:after="0" w:line="235" w:lineRule="auto"/>
        <w:jc w:val="left"/>
        <w:rPr>
          <w:sz w:val="20"/>
        </w:rPr>
        <w:sectPr>
          <w:headerReference w:type="even" r:id="rId536"/>
          <w:footerReference w:type="even" r:id="rId537"/>
          <w:footerReference w:type="default" r:id="rId538"/>
          <w:pgSz w:w="11910" w:h="16840"/>
          <w:pgMar w:header="0" w:footer="647" w:top="0" w:bottom="840" w:left="420" w:right="380"/>
          <w:pgNumType w:start="200"/>
        </w:sectPr>
      </w:pPr>
    </w:p>
    <w:p>
      <w:pPr>
        <w:pStyle w:val="BodyText"/>
      </w:pPr>
      <w:r>
        <w:rPr/>
        <w:drawing>
          <wp:anchor distT="0" distB="0" distL="0" distR="0" allowOverlap="1" layoutInCell="1" locked="0" behindDoc="0" simplePos="0" relativeHeight="252240896">
            <wp:simplePos x="0" y="0"/>
            <wp:positionH relativeFrom="page">
              <wp:posOffset>6974928</wp:posOffset>
            </wp:positionH>
            <wp:positionV relativeFrom="page">
              <wp:posOffset>0</wp:posOffset>
            </wp:positionV>
            <wp:extent cx="585076" cy="10692003"/>
            <wp:effectExtent l="0" t="0" r="0" b="0"/>
            <wp:wrapNone/>
            <wp:docPr id="383" name="image87.png"/>
            <wp:cNvGraphicFramePr>
              <a:graphicFrameLocks noChangeAspect="1"/>
            </wp:cNvGraphicFramePr>
            <a:graphic>
              <a:graphicData uri="http://schemas.openxmlformats.org/drawingml/2006/picture">
                <pic:pic>
                  <pic:nvPicPr>
                    <pic:cNvPr id="384" name="image87.png"/>
                    <pic:cNvPicPr/>
                  </pic:nvPicPr>
                  <pic:blipFill>
                    <a:blip r:embed="rId531"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71.3pt;mso-position-horizontal-relative:page;mso-position-vertical-relative:paragraph;z-index:252241920"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5"/>
        </w:numPr>
        <w:tabs>
          <w:tab w:pos="2244" w:val="left" w:leader="none"/>
          <w:tab w:pos="2245" w:val="left" w:leader="none"/>
        </w:tabs>
        <w:spacing w:line="235" w:lineRule="auto" w:before="222" w:after="0"/>
        <w:ind w:left="1564" w:right="899" w:firstLine="0"/>
        <w:jc w:val="left"/>
        <w:rPr>
          <w:sz w:val="20"/>
        </w:rPr>
      </w:pPr>
      <w:r>
        <w:rPr>
          <w:w w:val="120"/>
          <w:sz w:val="20"/>
        </w:rPr>
        <w:t>Each subsequent speaker in any debate shall be allowed five minutes unless the Moderator shall determine otherwise; it shall, in particular, be open to the Moderator to determine that all speeches in a debate or from a particular point in a debate shall be of not more than a different specified number of</w:t>
      </w:r>
      <w:r>
        <w:rPr>
          <w:spacing w:val="13"/>
          <w:w w:val="120"/>
          <w:sz w:val="20"/>
        </w:rPr>
        <w:t> </w:t>
      </w:r>
      <w:r>
        <w:rPr>
          <w:w w:val="120"/>
          <w:sz w:val="20"/>
        </w:rPr>
        <w:t>minutes.</w:t>
      </w:r>
    </w:p>
    <w:p>
      <w:pPr>
        <w:pStyle w:val="BodyText"/>
        <w:spacing w:before="10"/>
        <w:rPr>
          <w:sz w:val="19"/>
        </w:rPr>
      </w:pPr>
    </w:p>
    <w:p>
      <w:pPr>
        <w:pStyle w:val="ListParagraph"/>
        <w:numPr>
          <w:ilvl w:val="1"/>
          <w:numId w:val="135"/>
        </w:numPr>
        <w:tabs>
          <w:tab w:pos="2244" w:val="left" w:leader="none"/>
          <w:tab w:pos="2245" w:val="left" w:leader="none"/>
        </w:tabs>
        <w:spacing w:line="235" w:lineRule="auto" w:before="0" w:after="0"/>
        <w:ind w:left="1564" w:right="864" w:firstLine="0"/>
        <w:jc w:val="left"/>
        <w:rPr>
          <w:sz w:val="20"/>
        </w:rPr>
      </w:pPr>
      <w:r>
        <w:rPr>
          <w:w w:val="120"/>
          <w:sz w:val="20"/>
        </w:rPr>
        <w:t>When a speech is made on behalf of a committee, it shall be so stated. Otherwise a speaker shall begin by giving name and accreditation to the</w:t>
      </w:r>
      <w:r>
        <w:rPr>
          <w:spacing w:val="35"/>
          <w:w w:val="120"/>
          <w:sz w:val="20"/>
        </w:rPr>
        <w:t> </w:t>
      </w:r>
      <w:r>
        <w:rPr>
          <w:w w:val="120"/>
          <w:sz w:val="20"/>
        </w:rPr>
        <w:t>Assembly.</w:t>
      </w:r>
    </w:p>
    <w:p>
      <w:pPr>
        <w:pStyle w:val="BodyText"/>
        <w:spacing w:before="10"/>
        <w:rPr>
          <w:sz w:val="19"/>
        </w:rPr>
      </w:pPr>
    </w:p>
    <w:p>
      <w:pPr>
        <w:pStyle w:val="ListParagraph"/>
        <w:numPr>
          <w:ilvl w:val="1"/>
          <w:numId w:val="135"/>
        </w:numPr>
        <w:tabs>
          <w:tab w:pos="2244" w:val="left" w:leader="none"/>
          <w:tab w:pos="2245" w:val="left" w:leader="none"/>
        </w:tabs>
        <w:spacing w:line="235" w:lineRule="auto" w:before="0" w:after="0"/>
        <w:ind w:left="1564" w:right="1191" w:firstLine="0"/>
        <w:jc w:val="left"/>
        <w:rPr>
          <w:sz w:val="20"/>
        </w:rPr>
      </w:pPr>
      <w:r>
        <w:rPr>
          <w:w w:val="120"/>
          <w:sz w:val="20"/>
        </w:rPr>
        <w:t>Secretaries of committees and members of staff who are not members of Assembly may speak on the </w:t>
      </w:r>
      <w:r>
        <w:rPr>
          <w:spacing w:val="2"/>
          <w:w w:val="120"/>
          <w:sz w:val="20"/>
        </w:rPr>
        <w:t>report </w:t>
      </w:r>
      <w:r>
        <w:rPr>
          <w:w w:val="120"/>
          <w:sz w:val="20"/>
        </w:rPr>
        <w:t>of a committee for which they have responsibility at the request of the convenor concerned. They may speak on other </w:t>
      </w:r>
      <w:r>
        <w:rPr>
          <w:spacing w:val="2"/>
          <w:w w:val="120"/>
          <w:sz w:val="20"/>
        </w:rPr>
        <w:t>reports </w:t>
      </w:r>
      <w:r>
        <w:rPr>
          <w:w w:val="120"/>
          <w:sz w:val="20"/>
        </w:rPr>
        <w:t>with the consent of the</w:t>
      </w:r>
      <w:r>
        <w:rPr>
          <w:spacing w:val="4"/>
          <w:w w:val="120"/>
          <w:sz w:val="20"/>
        </w:rPr>
        <w:t> </w:t>
      </w:r>
      <w:r>
        <w:rPr>
          <w:w w:val="120"/>
          <w:sz w:val="20"/>
        </w:rPr>
        <w:t>Moderator.</w:t>
      </w:r>
    </w:p>
    <w:p>
      <w:pPr>
        <w:pStyle w:val="BodyText"/>
        <w:spacing w:before="11"/>
        <w:rPr>
          <w:sz w:val="19"/>
        </w:rPr>
      </w:pPr>
    </w:p>
    <w:p>
      <w:pPr>
        <w:pStyle w:val="ListParagraph"/>
        <w:numPr>
          <w:ilvl w:val="1"/>
          <w:numId w:val="135"/>
        </w:numPr>
        <w:tabs>
          <w:tab w:pos="2244" w:val="left" w:leader="none"/>
          <w:tab w:pos="2245" w:val="left" w:leader="none"/>
        </w:tabs>
        <w:spacing w:line="235" w:lineRule="auto" w:before="0" w:after="0"/>
        <w:ind w:left="1564" w:right="1023" w:firstLine="0"/>
        <w:jc w:val="left"/>
        <w:rPr>
          <w:sz w:val="20"/>
        </w:rPr>
      </w:pPr>
      <w:r>
        <w:rPr>
          <w:w w:val="120"/>
          <w:sz w:val="20"/>
        </w:rPr>
        <w:t>In each debate under Standing Order 3, whether on a motion or on an amendment, and in each Decision Session in debates under Standing Order </w:t>
      </w:r>
      <w:r>
        <w:rPr>
          <w:spacing w:val="-3"/>
          <w:w w:val="120"/>
          <w:sz w:val="20"/>
        </w:rPr>
        <w:t>4, </w:t>
      </w:r>
      <w:r>
        <w:rPr>
          <w:w w:val="120"/>
          <w:sz w:val="20"/>
        </w:rPr>
        <w:t>no one shall address the Assembly more than once without the permission of the Moderator, except that at the close of each debate the proposer of the motion or the amendment, as the case may be, shall have the right to reply, but must strictly confine the reply to answering previous speakers and must not introduce new matters. Such reply shall close the debate on the motion or the</w:t>
      </w:r>
      <w:r>
        <w:rPr>
          <w:spacing w:val="17"/>
          <w:w w:val="120"/>
          <w:sz w:val="20"/>
        </w:rPr>
        <w:t> </w:t>
      </w:r>
      <w:r>
        <w:rPr>
          <w:w w:val="120"/>
          <w:sz w:val="20"/>
        </w:rPr>
        <w:t>amendment.</w:t>
      </w:r>
    </w:p>
    <w:p>
      <w:pPr>
        <w:pStyle w:val="BodyText"/>
        <w:spacing w:before="1"/>
      </w:pPr>
    </w:p>
    <w:p>
      <w:pPr>
        <w:pStyle w:val="ListParagraph"/>
        <w:numPr>
          <w:ilvl w:val="1"/>
          <w:numId w:val="135"/>
        </w:numPr>
        <w:tabs>
          <w:tab w:pos="2245" w:val="left" w:leader="none"/>
        </w:tabs>
        <w:spacing w:line="235" w:lineRule="auto" w:before="0" w:after="0"/>
        <w:ind w:left="1564" w:right="966" w:firstLine="0"/>
        <w:jc w:val="both"/>
        <w:rPr>
          <w:sz w:val="20"/>
        </w:rPr>
      </w:pPr>
      <w:r>
        <w:rPr>
          <w:w w:val="120"/>
          <w:sz w:val="20"/>
        </w:rPr>
        <w:t>The foregoing Standing Order </w:t>
      </w:r>
      <w:r>
        <w:rPr>
          <w:spacing w:val="-5"/>
          <w:w w:val="120"/>
          <w:sz w:val="20"/>
        </w:rPr>
        <w:t>(6.7) </w:t>
      </w:r>
      <w:r>
        <w:rPr>
          <w:w w:val="120"/>
          <w:sz w:val="20"/>
        </w:rPr>
        <w:t>shall not prevent the asking or answering of  a question which arises from the matter before the Assembly or from a speech made in the debate upon</w:t>
      </w:r>
      <w:r>
        <w:rPr>
          <w:spacing w:val="6"/>
          <w:w w:val="120"/>
          <w:sz w:val="20"/>
        </w:rPr>
        <w:t> </w:t>
      </w:r>
      <w:r>
        <w:rPr>
          <w:w w:val="120"/>
          <w:sz w:val="20"/>
        </w:rPr>
        <w:t>it.</w:t>
      </w:r>
    </w:p>
    <w:p>
      <w:pPr>
        <w:pStyle w:val="BodyText"/>
        <w:spacing w:before="10"/>
        <w:rPr>
          <w:sz w:val="19"/>
        </w:rPr>
      </w:pPr>
    </w:p>
    <w:p>
      <w:pPr>
        <w:pStyle w:val="ListParagraph"/>
        <w:numPr>
          <w:ilvl w:val="1"/>
          <w:numId w:val="135"/>
        </w:numPr>
        <w:tabs>
          <w:tab w:pos="2244" w:val="left" w:leader="none"/>
          <w:tab w:pos="2245" w:val="left" w:leader="none"/>
        </w:tabs>
        <w:spacing w:line="235" w:lineRule="auto" w:before="0" w:after="0"/>
        <w:ind w:left="1564" w:right="1051" w:firstLine="0"/>
        <w:jc w:val="left"/>
        <w:rPr>
          <w:sz w:val="20"/>
        </w:rPr>
      </w:pPr>
      <w:r>
        <w:rPr>
          <w:w w:val="120"/>
          <w:sz w:val="20"/>
        </w:rPr>
        <w:t>An invited speaker, whether speaking to a </w:t>
      </w:r>
      <w:r>
        <w:rPr>
          <w:spacing w:val="2"/>
          <w:w w:val="120"/>
          <w:sz w:val="20"/>
        </w:rPr>
        <w:t>draft </w:t>
      </w:r>
      <w:r>
        <w:rPr>
          <w:w w:val="120"/>
          <w:sz w:val="20"/>
        </w:rPr>
        <w:t>motion or not, may address the Assembly for such period of time as may be agreed by the Assembly arrangements committee.</w:t>
      </w:r>
    </w:p>
    <w:p>
      <w:pPr>
        <w:pStyle w:val="BodyText"/>
        <w:spacing w:before="3"/>
        <w:rPr>
          <w:sz w:val="22"/>
        </w:rPr>
      </w:pPr>
    </w:p>
    <w:p>
      <w:pPr>
        <w:pStyle w:val="Heading4"/>
        <w:numPr>
          <w:ilvl w:val="0"/>
          <w:numId w:val="135"/>
        </w:numPr>
        <w:tabs>
          <w:tab w:pos="2245" w:val="left" w:leader="none"/>
        </w:tabs>
        <w:spacing w:line="240" w:lineRule="auto" w:before="0" w:after="0"/>
        <w:ind w:left="2244" w:right="0" w:hanging="681"/>
        <w:jc w:val="both"/>
      </w:pPr>
      <w:r>
        <w:rPr>
          <w:w w:val="110"/>
        </w:rPr>
        <w:t>Voting</w:t>
      </w:r>
    </w:p>
    <w:p>
      <w:pPr>
        <w:pStyle w:val="ListParagraph"/>
        <w:numPr>
          <w:ilvl w:val="1"/>
          <w:numId w:val="135"/>
        </w:numPr>
        <w:tabs>
          <w:tab w:pos="2244" w:val="left" w:leader="none"/>
          <w:tab w:pos="2245" w:val="left" w:leader="none"/>
        </w:tabs>
        <w:spacing w:line="235" w:lineRule="auto" w:before="69" w:after="0"/>
        <w:ind w:left="1564" w:right="1302" w:firstLine="0"/>
        <w:jc w:val="left"/>
        <w:rPr>
          <w:sz w:val="20"/>
        </w:rPr>
      </w:pPr>
      <w:r>
        <w:rPr>
          <w:w w:val="120"/>
          <w:sz w:val="20"/>
        </w:rPr>
        <w:t>Voting on any motion whose effect is to </w:t>
      </w:r>
      <w:r>
        <w:rPr>
          <w:spacing w:val="-3"/>
          <w:w w:val="120"/>
          <w:sz w:val="20"/>
        </w:rPr>
        <w:t>alter, </w:t>
      </w:r>
      <w:r>
        <w:rPr>
          <w:w w:val="120"/>
          <w:sz w:val="20"/>
        </w:rPr>
        <w:t>add </w:t>
      </w:r>
      <w:r>
        <w:rPr>
          <w:spacing w:val="-3"/>
          <w:w w:val="120"/>
          <w:sz w:val="20"/>
        </w:rPr>
        <w:t>to, </w:t>
      </w:r>
      <w:r>
        <w:rPr>
          <w:spacing w:val="2"/>
          <w:w w:val="120"/>
          <w:sz w:val="20"/>
        </w:rPr>
        <w:t>modify </w:t>
      </w:r>
      <w:r>
        <w:rPr>
          <w:w w:val="120"/>
          <w:sz w:val="20"/>
        </w:rPr>
        <w:t>or supersede the Basis, the Structure and any other form or expression of the polity and</w:t>
      </w:r>
      <w:r>
        <w:rPr>
          <w:spacing w:val="29"/>
          <w:w w:val="120"/>
          <w:sz w:val="20"/>
        </w:rPr>
        <w:t> </w:t>
      </w:r>
      <w:r>
        <w:rPr>
          <w:w w:val="120"/>
          <w:sz w:val="20"/>
        </w:rPr>
        <w:t>doctrinal</w:t>
      </w:r>
    </w:p>
    <w:p>
      <w:pPr>
        <w:pStyle w:val="BodyText"/>
        <w:spacing w:line="235" w:lineRule="auto" w:before="2"/>
        <w:ind w:left="1564" w:right="923"/>
      </w:pPr>
      <w:r>
        <w:rPr>
          <w:w w:val="120"/>
        </w:rPr>
        <w:t>formulations of the United Reformed Church, is governed by paragraph 3(1) and (2) of the Structure.</w:t>
      </w:r>
    </w:p>
    <w:p>
      <w:pPr>
        <w:pStyle w:val="BodyText"/>
        <w:spacing w:before="9"/>
        <w:rPr>
          <w:sz w:val="19"/>
        </w:rPr>
      </w:pPr>
    </w:p>
    <w:p>
      <w:pPr>
        <w:pStyle w:val="ListParagraph"/>
        <w:numPr>
          <w:ilvl w:val="1"/>
          <w:numId w:val="135"/>
        </w:numPr>
        <w:tabs>
          <w:tab w:pos="2244" w:val="left" w:leader="none"/>
          <w:tab w:pos="2245" w:val="left" w:leader="none"/>
        </w:tabs>
        <w:spacing w:line="235" w:lineRule="auto" w:before="0" w:after="0"/>
        <w:ind w:left="1564" w:right="974" w:firstLine="0"/>
        <w:jc w:val="left"/>
        <w:rPr>
          <w:sz w:val="20"/>
        </w:rPr>
      </w:pPr>
      <w:r>
        <w:rPr>
          <w:spacing w:val="-7"/>
          <w:w w:val="120"/>
          <w:sz w:val="20"/>
        </w:rPr>
        <w:t>To </w:t>
      </w:r>
      <w:r>
        <w:rPr>
          <w:w w:val="120"/>
          <w:sz w:val="20"/>
        </w:rPr>
        <w:t>provide for voting in the case of a paper ballot, and to assist in taking a count of votes when the Moderator decides this is necessary, the Assembly arrangements committee shall appoint tellers for each</w:t>
      </w:r>
      <w:r>
        <w:rPr>
          <w:spacing w:val="9"/>
          <w:w w:val="120"/>
          <w:sz w:val="20"/>
        </w:rPr>
        <w:t> </w:t>
      </w:r>
      <w:r>
        <w:rPr>
          <w:w w:val="120"/>
          <w:sz w:val="20"/>
        </w:rPr>
        <w:t>Assembly.</w:t>
      </w:r>
    </w:p>
    <w:p>
      <w:pPr>
        <w:pStyle w:val="BodyText"/>
        <w:spacing w:before="10"/>
        <w:rPr>
          <w:sz w:val="19"/>
        </w:rPr>
      </w:pPr>
    </w:p>
    <w:p>
      <w:pPr>
        <w:pStyle w:val="ListParagraph"/>
        <w:numPr>
          <w:ilvl w:val="1"/>
          <w:numId w:val="135"/>
        </w:numPr>
        <w:tabs>
          <w:tab w:pos="2244" w:val="left" w:leader="none"/>
          <w:tab w:pos="2245" w:val="left" w:leader="none"/>
        </w:tabs>
        <w:spacing w:line="235" w:lineRule="auto" w:before="0" w:after="0"/>
        <w:ind w:left="1564" w:right="1612" w:firstLine="0"/>
        <w:jc w:val="left"/>
        <w:rPr>
          <w:sz w:val="20"/>
        </w:rPr>
      </w:pPr>
      <w:r>
        <w:rPr>
          <w:w w:val="120"/>
          <w:sz w:val="20"/>
        </w:rPr>
        <w:t>Any electronic voting system approved by the Assembly arrangements committee shall be deemed to meet the requirements of these Standing</w:t>
      </w:r>
      <w:r>
        <w:rPr>
          <w:spacing w:val="51"/>
          <w:w w:val="120"/>
          <w:sz w:val="20"/>
        </w:rPr>
        <w:t> </w:t>
      </w:r>
      <w:r>
        <w:rPr>
          <w:w w:val="120"/>
          <w:sz w:val="20"/>
        </w:rPr>
        <w:t>Orders.</w:t>
      </w:r>
    </w:p>
    <w:p>
      <w:pPr>
        <w:pStyle w:val="BodyText"/>
        <w:spacing w:before="2"/>
        <w:rPr>
          <w:sz w:val="22"/>
        </w:rPr>
      </w:pPr>
    </w:p>
    <w:p>
      <w:pPr>
        <w:pStyle w:val="Heading4"/>
        <w:numPr>
          <w:ilvl w:val="0"/>
          <w:numId w:val="135"/>
        </w:numPr>
        <w:tabs>
          <w:tab w:pos="2245" w:val="left" w:leader="none"/>
        </w:tabs>
        <w:spacing w:line="240" w:lineRule="auto" w:before="0" w:after="0"/>
        <w:ind w:left="2244" w:right="0" w:hanging="681"/>
        <w:jc w:val="both"/>
      </w:pPr>
      <w:r>
        <w:rPr>
          <w:spacing w:val="3"/>
          <w:w w:val="110"/>
        </w:rPr>
        <w:t>Questions</w:t>
      </w:r>
    </w:p>
    <w:p>
      <w:pPr>
        <w:pStyle w:val="ListParagraph"/>
        <w:numPr>
          <w:ilvl w:val="1"/>
          <w:numId w:val="135"/>
        </w:numPr>
        <w:tabs>
          <w:tab w:pos="2244" w:val="left" w:leader="none"/>
          <w:tab w:pos="2245" w:val="left" w:leader="none"/>
        </w:tabs>
        <w:spacing w:line="235" w:lineRule="auto" w:before="69" w:after="0"/>
        <w:ind w:left="1564" w:right="1234" w:firstLine="0"/>
        <w:jc w:val="left"/>
        <w:rPr>
          <w:sz w:val="20"/>
        </w:rPr>
      </w:pPr>
      <w:r>
        <w:rPr>
          <w:w w:val="120"/>
          <w:sz w:val="20"/>
        </w:rPr>
        <w:t>A member </w:t>
      </w:r>
      <w:r>
        <w:rPr>
          <w:spacing w:val="-4"/>
          <w:w w:val="120"/>
          <w:sz w:val="20"/>
        </w:rPr>
        <w:t>may, </w:t>
      </w:r>
      <w:r>
        <w:rPr>
          <w:w w:val="120"/>
          <w:sz w:val="20"/>
        </w:rPr>
        <w:t>if two days’ notice in writing has been given to the General Secretary, ask the Moderator or the convenor of any committee any question on any matter relating to the business of the Assembly to which no reference is made in any </w:t>
      </w:r>
      <w:r>
        <w:rPr>
          <w:spacing w:val="2"/>
          <w:w w:val="120"/>
          <w:sz w:val="20"/>
        </w:rPr>
        <w:t>report </w:t>
      </w:r>
      <w:r>
        <w:rPr>
          <w:w w:val="120"/>
          <w:sz w:val="20"/>
        </w:rPr>
        <w:t>before the</w:t>
      </w:r>
      <w:r>
        <w:rPr>
          <w:spacing w:val="3"/>
          <w:w w:val="120"/>
          <w:sz w:val="20"/>
        </w:rPr>
        <w:t> </w:t>
      </w:r>
      <w:r>
        <w:rPr>
          <w:w w:val="120"/>
          <w:sz w:val="20"/>
        </w:rPr>
        <w:t>Assembly.</w:t>
      </w:r>
    </w:p>
    <w:p>
      <w:pPr>
        <w:pStyle w:val="BodyText"/>
        <w:spacing w:before="11"/>
        <w:rPr>
          <w:sz w:val="19"/>
        </w:rPr>
      </w:pPr>
    </w:p>
    <w:p>
      <w:pPr>
        <w:pStyle w:val="ListParagraph"/>
        <w:numPr>
          <w:ilvl w:val="1"/>
          <w:numId w:val="135"/>
        </w:numPr>
        <w:tabs>
          <w:tab w:pos="2244" w:val="left" w:leader="none"/>
          <w:tab w:pos="2245" w:val="left" w:leader="none"/>
        </w:tabs>
        <w:spacing w:line="235" w:lineRule="auto" w:before="0" w:after="0"/>
        <w:ind w:left="1564" w:right="1239" w:firstLine="0"/>
        <w:jc w:val="left"/>
        <w:rPr>
          <w:sz w:val="20"/>
        </w:rPr>
      </w:pPr>
      <w:r>
        <w:rPr>
          <w:w w:val="120"/>
          <w:sz w:val="20"/>
        </w:rPr>
        <w:t>A member </w:t>
      </w:r>
      <w:r>
        <w:rPr>
          <w:spacing w:val="-4"/>
          <w:w w:val="120"/>
          <w:sz w:val="20"/>
        </w:rPr>
        <w:t>may, </w:t>
      </w:r>
      <w:r>
        <w:rPr>
          <w:w w:val="120"/>
          <w:sz w:val="20"/>
        </w:rPr>
        <w:t>when given opportunity by the Moderator, ask the presenter of any </w:t>
      </w:r>
      <w:r>
        <w:rPr>
          <w:spacing w:val="2"/>
          <w:w w:val="120"/>
          <w:sz w:val="20"/>
        </w:rPr>
        <w:t>report </w:t>
      </w:r>
      <w:r>
        <w:rPr>
          <w:w w:val="120"/>
          <w:sz w:val="20"/>
        </w:rPr>
        <w:t>before the Assembly a question seeking additional information or explanation relating to matters contained within the</w:t>
      </w:r>
      <w:r>
        <w:rPr>
          <w:spacing w:val="16"/>
          <w:w w:val="120"/>
          <w:sz w:val="20"/>
        </w:rPr>
        <w:t> </w:t>
      </w:r>
      <w:r>
        <w:rPr>
          <w:w w:val="120"/>
          <w:sz w:val="20"/>
        </w:rPr>
        <w:t>report.</w:t>
      </w:r>
    </w:p>
    <w:p>
      <w:pPr>
        <w:pStyle w:val="BodyText"/>
        <w:spacing w:before="10"/>
        <w:rPr>
          <w:sz w:val="19"/>
        </w:rPr>
      </w:pPr>
    </w:p>
    <w:p>
      <w:pPr>
        <w:pStyle w:val="ListParagraph"/>
        <w:numPr>
          <w:ilvl w:val="1"/>
          <w:numId w:val="135"/>
        </w:numPr>
        <w:tabs>
          <w:tab w:pos="2244" w:val="left" w:leader="none"/>
          <w:tab w:pos="2245" w:val="left" w:leader="none"/>
        </w:tabs>
        <w:spacing w:line="235" w:lineRule="auto" w:before="1" w:after="0"/>
        <w:ind w:left="1564" w:right="1106" w:firstLine="0"/>
        <w:jc w:val="left"/>
        <w:rPr>
          <w:sz w:val="20"/>
        </w:rPr>
      </w:pPr>
      <w:r>
        <w:rPr>
          <w:w w:val="120"/>
          <w:sz w:val="20"/>
        </w:rPr>
        <w:t>Questions asked under Standing Orders </w:t>
      </w:r>
      <w:r>
        <w:rPr>
          <w:spacing w:val="-6"/>
          <w:w w:val="120"/>
          <w:sz w:val="20"/>
        </w:rPr>
        <w:t>8.1 </w:t>
      </w:r>
      <w:r>
        <w:rPr>
          <w:w w:val="120"/>
          <w:sz w:val="20"/>
        </w:rPr>
        <w:t>and 8.2 shall be put and answered without</w:t>
      </w:r>
      <w:r>
        <w:rPr>
          <w:spacing w:val="2"/>
          <w:w w:val="120"/>
          <w:sz w:val="20"/>
        </w:rPr>
        <w:t> </w:t>
      </w:r>
      <w:r>
        <w:rPr>
          <w:w w:val="120"/>
          <w:sz w:val="20"/>
        </w:rPr>
        <w:t>discussion.</w:t>
      </w:r>
    </w:p>
    <w:p>
      <w:pPr>
        <w:spacing w:after="0" w:line="235" w:lineRule="auto"/>
        <w:jc w:val="left"/>
        <w:rPr>
          <w:sz w:val="20"/>
        </w:rPr>
        <w:sectPr>
          <w:headerReference w:type="default" r:id="rId539"/>
          <w:pgSz w:w="11910" w:h="16840"/>
          <w:pgMar w:header="0" w:footer="647" w:top="0" w:bottom="840" w:left="420" w:right="380"/>
        </w:sectPr>
      </w:pPr>
    </w:p>
    <w:p>
      <w:pPr>
        <w:pStyle w:val="BodyText"/>
      </w:pPr>
      <w:r>
        <w:rPr/>
        <w:drawing>
          <wp:anchor distT="0" distB="0" distL="0" distR="0" allowOverlap="1" layoutInCell="1" locked="0" behindDoc="1" simplePos="0" relativeHeight="236275712">
            <wp:simplePos x="0" y="0"/>
            <wp:positionH relativeFrom="page">
              <wp:posOffset>0</wp:posOffset>
            </wp:positionH>
            <wp:positionV relativeFrom="page">
              <wp:posOffset>0</wp:posOffset>
            </wp:positionV>
            <wp:extent cx="594067" cy="10692003"/>
            <wp:effectExtent l="0" t="0" r="0" b="0"/>
            <wp:wrapNone/>
            <wp:docPr id="385" name="image86.png"/>
            <wp:cNvGraphicFramePr>
              <a:graphicFrameLocks noChangeAspect="1"/>
            </wp:cNvGraphicFramePr>
            <a:graphic>
              <a:graphicData uri="http://schemas.openxmlformats.org/drawingml/2006/picture">
                <pic:pic>
                  <pic:nvPicPr>
                    <pic:cNvPr id="386" name="image86.png"/>
                    <pic:cNvPicPr/>
                  </pic:nvPicPr>
                  <pic:blipFill>
                    <a:blip r:embed="rId529" cstate="print"/>
                    <a:stretch>
                      <a:fillRect/>
                    </a:stretch>
                  </pic:blipFill>
                  <pic:spPr>
                    <a:xfrm>
                      <a:off x="0" y="0"/>
                      <a:ext cx="594067" cy="10692003"/>
                    </a:xfrm>
                    <a:prstGeom prst="rect">
                      <a:avLst/>
                    </a:prstGeom>
                  </pic:spPr>
                </pic:pic>
              </a:graphicData>
            </a:graphic>
          </wp:anchor>
        </w:drawing>
      </w:r>
    </w:p>
    <w:p>
      <w:pPr>
        <w:pStyle w:val="BodyText"/>
        <w:spacing w:before="5"/>
        <w:rPr>
          <w:sz w:val="21"/>
        </w:rPr>
      </w:pPr>
    </w:p>
    <w:p>
      <w:pPr>
        <w:pStyle w:val="Heading5"/>
        <w:ind w:left="827"/>
        <w:jc w:val="both"/>
      </w:pPr>
      <w:r>
        <w:rPr/>
        <w:pict>
          <v:shape style="position:absolute;margin-left:20.519100pt;margin-top:22.693945pt;width:26pt;height:171.3pt;mso-position-horizontal-relative:page;mso-position-vertical-relative:paragraph;z-index:252243968"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0"/>
          <w:numId w:val="135"/>
        </w:numPr>
        <w:tabs>
          <w:tab w:pos="1507" w:val="left" w:leader="none"/>
          <w:tab w:pos="1508" w:val="left" w:leader="none"/>
        </w:tabs>
        <w:spacing w:line="240" w:lineRule="auto" w:before="215" w:after="0"/>
        <w:ind w:left="1507" w:right="0" w:hanging="681"/>
        <w:jc w:val="left"/>
        <w:rPr>
          <w:rFonts w:ascii="Stone Sans II ITC Std Bk"/>
          <w:b/>
          <w:sz w:val="29"/>
        </w:rPr>
      </w:pPr>
      <w:r>
        <w:rPr>
          <w:rFonts w:ascii="Stone Sans II ITC Std Bk"/>
          <w:b/>
          <w:spacing w:val="3"/>
          <w:w w:val="110"/>
          <w:sz w:val="29"/>
        </w:rPr>
        <w:t>Points </w:t>
      </w:r>
      <w:r>
        <w:rPr>
          <w:rFonts w:ascii="Stone Sans II ITC Std Bk"/>
          <w:b/>
          <w:w w:val="110"/>
          <w:sz w:val="29"/>
        </w:rPr>
        <w:t>of order, </w:t>
      </w:r>
      <w:r>
        <w:rPr>
          <w:rFonts w:ascii="Stone Sans II ITC Std Bk"/>
          <w:b/>
          <w:spacing w:val="4"/>
          <w:w w:val="110"/>
          <w:sz w:val="29"/>
        </w:rPr>
        <w:t>personal </w:t>
      </w:r>
      <w:r>
        <w:rPr>
          <w:rFonts w:ascii="Stone Sans II ITC Std Bk"/>
          <w:b/>
          <w:spacing w:val="3"/>
          <w:w w:val="110"/>
          <w:sz w:val="29"/>
        </w:rPr>
        <w:t>explanations,</w:t>
      </w:r>
      <w:r>
        <w:rPr>
          <w:rFonts w:ascii="Stone Sans II ITC Std Bk"/>
          <w:b/>
          <w:spacing w:val="62"/>
          <w:w w:val="110"/>
          <w:sz w:val="29"/>
        </w:rPr>
        <w:t> </w:t>
      </w:r>
      <w:r>
        <w:rPr>
          <w:rFonts w:ascii="Stone Sans II ITC Std Bk"/>
          <w:b/>
          <w:spacing w:val="2"/>
          <w:w w:val="110"/>
          <w:sz w:val="29"/>
        </w:rPr>
        <w:t>dissent</w:t>
      </w:r>
    </w:p>
    <w:p>
      <w:pPr>
        <w:pStyle w:val="ListParagraph"/>
        <w:numPr>
          <w:ilvl w:val="1"/>
          <w:numId w:val="135"/>
        </w:numPr>
        <w:tabs>
          <w:tab w:pos="1507" w:val="left" w:leader="none"/>
          <w:tab w:pos="1508" w:val="left" w:leader="none"/>
        </w:tabs>
        <w:spacing w:line="235" w:lineRule="auto" w:before="69" w:after="0"/>
        <w:ind w:left="827" w:right="1690" w:firstLine="0"/>
        <w:jc w:val="left"/>
        <w:rPr>
          <w:sz w:val="20"/>
        </w:rPr>
      </w:pPr>
      <w:r>
        <w:rPr>
          <w:w w:val="120"/>
          <w:sz w:val="20"/>
        </w:rPr>
        <w:t>A member shall have the right to rise and call attention to a point of order, and immediately on this being done any other member addressing the Assembly shall   cease speaking until the Moderator has determined the question of order. The decision on any point of order rests entirely with the Moderator. Any member calling to order unnecessarily is liable to censure of the</w:t>
      </w:r>
      <w:r>
        <w:rPr>
          <w:spacing w:val="10"/>
          <w:w w:val="120"/>
          <w:sz w:val="20"/>
        </w:rPr>
        <w:t> </w:t>
      </w:r>
      <w:r>
        <w:rPr>
          <w:w w:val="120"/>
          <w:sz w:val="20"/>
        </w:rPr>
        <w:t>Assembly.</w:t>
      </w:r>
    </w:p>
    <w:p>
      <w:pPr>
        <w:pStyle w:val="BodyText"/>
      </w:pPr>
    </w:p>
    <w:p>
      <w:pPr>
        <w:pStyle w:val="ListParagraph"/>
        <w:numPr>
          <w:ilvl w:val="1"/>
          <w:numId w:val="135"/>
        </w:numPr>
        <w:tabs>
          <w:tab w:pos="1508" w:val="left" w:leader="none"/>
        </w:tabs>
        <w:spacing w:line="235" w:lineRule="auto" w:before="0" w:after="0"/>
        <w:ind w:left="827" w:right="1860" w:firstLine="0"/>
        <w:jc w:val="both"/>
        <w:rPr>
          <w:sz w:val="20"/>
        </w:rPr>
      </w:pPr>
      <w:r>
        <w:rPr>
          <w:w w:val="120"/>
          <w:sz w:val="20"/>
        </w:rPr>
        <w:t>A member feeling that some material </w:t>
      </w:r>
      <w:r>
        <w:rPr>
          <w:spacing w:val="2"/>
          <w:w w:val="120"/>
          <w:sz w:val="20"/>
        </w:rPr>
        <w:t>part </w:t>
      </w:r>
      <w:r>
        <w:rPr>
          <w:w w:val="120"/>
          <w:sz w:val="20"/>
        </w:rPr>
        <w:t>of a former speech by such member at the same meeting has been misunderstood or is being grossly misinterpreted by</w:t>
      </w:r>
    </w:p>
    <w:p>
      <w:pPr>
        <w:pStyle w:val="BodyText"/>
        <w:spacing w:line="235" w:lineRule="auto" w:before="1"/>
        <w:ind w:left="827" w:right="2060"/>
        <w:jc w:val="both"/>
      </w:pPr>
      <w:r>
        <w:rPr>
          <w:w w:val="120"/>
        </w:rPr>
        <w:t>a</w:t>
      </w:r>
      <w:r>
        <w:rPr>
          <w:spacing w:val="-5"/>
          <w:w w:val="120"/>
        </w:rPr>
        <w:t> </w:t>
      </w:r>
      <w:r>
        <w:rPr>
          <w:w w:val="120"/>
        </w:rPr>
        <w:t>later</w:t>
      </w:r>
      <w:r>
        <w:rPr>
          <w:spacing w:val="-4"/>
          <w:w w:val="120"/>
        </w:rPr>
        <w:t> </w:t>
      </w:r>
      <w:r>
        <w:rPr>
          <w:w w:val="120"/>
        </w:rPr>
        <w:t>speaker</w:t>
      </w:r>
      <w:r>
        <w:rPr>
          <w:spacing w:val="-5"/>
          <w:w w:val="120"/>
        </w:rPr>
        <w:t> </w:t>
      </w:r>
      <w:r>
        <w:rPr>
          <w:w w:val="120"/>
        </w:rPr>
        <w:t>may</w:t>
      </w:r>
      <w:r>
        <w:rPr>
          <w:spacing w:val="-4"/>
          <w:w w:val="120"/>
        </w:rPr>
        <w:t> </w:t>
      </w:r>
      <w:r>
        <w:rPr>
          <w:w w:val="120"/>
        </w:rPr>
        <w:t>rise</w:t>
      </w:r>
      <w:r>
        <w:rPr>
          <w:spacing w:val="-4"/>
          <w:w w:val="120"/>
        </w:rPr>
        <w:t> </w:t>
      </w:r>
      <w:r>
        <w:rPr>
          <w:w w:val="120"/>
        </w:rPr>
        <w:t>and</w:t>
      </w:r>
      <w:r>
        <w:rPr>
          <w:spacing w:val="-5"/>
          <w:w w:val="120"/>
        </w:rPr>
        <w:t> </w:t>
      </w:r>
      <w:r>
        <w:rPr>
          <w:w w:val="120"/>
        </w:rPr>
        <w:t>request</w:t>
      </w:r>
      <w:r>
        <w:rPr>
          <w:spacing w:val="-4"/>
          <w:w w:val="120"/>
        </w:rPr>
        <w:t> </w:t>
      </w:r>
      <w:r>
        <w:rPr>
          <w:w w:val="120"/>
        </w:rPr>
        <w:t>the</w:t>
      </w:r>
      <w:r>
        <w:rPr>
          <w:spacing w:val="-4"/>
          <w:w w:val="120"/>
        </w:rPr>
        <w:t> </w:t>
      </w:r>
      <w:r>
        <w:rPr>
          <w:w w:val="120"/>
        </w:rPr>
        <w:t>Moderator’s</w:t>
      </w:r>
      <w:r>
        <w:rPr>
          <w:spacing w:val="-5"/>
          <w:w w:val="120"/>
        </w:rPr>
        <w:t> </w:t>
      </w:r>
      <w:r>
        <w:rPr>
          <w:w w:val="120"/>
        </w:rPr>
        <w:t>permission</w:t>
      </w:r>
      <w:r>
        <w:rPr>
          <w:spacing w:val="-4"/>
          <w:w w:val="120"/>
        </w:rPr>
        <w:t> </w:t>
      </w:r>
      <w:r>
        <w:rPr>
          <w:w w:val="120"/>
        </w:rPr>
        <w:t>to</w:t>
      </w:r>
      <w:r>
        <w:rPr>
          <w:spacing w:val="-5"/>
          <w:w w:val="120"/>
        </w:rPr>
        <w:t> </w:t>
      </w:r>
      <w:r>
        <w:rPr>
          <w:w w:val="120"/>
        </w:rPr>
        <w:t>make</w:t>
      </w:r>
      <w:r>
        <w:rPr>
          <w:spacing w:val="-4"/>
          <w:w w:val="120"/>
        </w:rPr>
        <w:t> </w:t>
      </w:r>
      <w:r>
        <w:rPr>
          <w:w w:val="120"/>
        </w:rPr>
        <w:t>a</w:t>
      </w:r>
      <w:r>
        <w:rPr>
          <w:spacing w:val="-4"/>
          <w:w w:val="120"/>
        </w:rPr>
        <w:t> </w:t>
      </w:r>
      <w:r>
        <w:rPr>
          <w:w w:val="120"/>
        </w:rPr>
        <w:t>personal explanation. If the Moderator so permits, a member so rising shall be entitled to be heard</w:t>
      </w:r>
      <w:r>
        <w:rPr>
          <w:spacing w:val="1"/>
          <w:w w:val="120"/>
        </w:rPr>
        <w:t> </w:t>
      </w:r>
      <w:r>
        <w:rPr>
          <w:w w:val="120"/>
        </w:rPr>
        <w:t>forthwith.</w:t>
      </w:r>
    </w:p>
    <w:p>
      <w:pPr>
        <w:pStyle w:val="BodyText"/>
        <w:spacing w:before="10"/>
        <w:rPr>
          <w:sz w:val="19"/>
        </w:rPr>
      </w:pPr>
    </w:p>
    <w:p>
      <w:pPr>
        <w:pStyle w:val="ListParagraph"/>
        <w:numPr>
          <w:ilvl w:val="1"/>
          <w:numId w:val="135"/>
        </w:numPr>
        <w:tabs>
          <w:tab w:pos="1507" w:val="left" w:leader="none"/>
          <w:tab w:pos="1508" w:val="left" w:leader="none"/>
        </w:tabs>
        <w:spacing w:line="235" w:lineRule="auto" w:before="0" w:after="0"/>
        <w:ind w:left="827" w:right="1609" w:firstLine="0"/>
        <w:jc w:val="left"/>
        <w:rPr>
          <w:sz w:val="20"/>
        </w:rPr>
      </w:pPr>
      <w:r>
        <w:rPr>
          <w:w w:val="120"/>
          <w:sz w:val="20"/>
        </w:rPr>
        <w:t>The right to record in the minutes a dissent from any decision of the Assembly shall only be granted to a member by the Moderator if the reason stated, either verbally at the time or later in writing, appears to the Moderator to fall within the provisions of paragraph </w:t>
      </w:r>
      <w:r>
        <w:rPr>
          <w:spacing w:val="-6"/>
          <w:w w:val="120"/>
          <w:sz w:val="20"/>
        </w:rPr>
        <w:t>10 </w:t>
      </w:r>
      <w:r>
        <w:rPr>
          <w:w w:val="120"/>
          <w:sz w:val="20"/>
        </w:rPr>
        <w:t>of the Basis of</w:t>
      </w:r>
      <w:r>
        <w:rPr>
          <w:spacing w:val="18"/>
          <w:w w:val="120"/>
          <w:sz w:val="20"/>
        </w:rPr>
        <w:t> </w:t>
      </w:r>
      <w:r>
        <w:rPr>
          <w:w w:val="120"/>
          <w:sz w:val="20"/>
        </w:rPr>
        <w:t>Union.</w:t>
      </w:r>
    </w:p>
    <w:p>
      <w:pPr>
        <w:pStyle w:val="BodyText"/>
        <w:spacing w:before="11"/>
        <w:rPr>
          <w:sz w:val="19"/>
        </w:rPr>
      </w:pPr>
    </w:p>
    <w:p>
      <w:pPr>
        <w:pStyle w:val="ListParagraph"/>
        <w:numPr>
          <w:ilvl w:val="1"/>
          <w:numId w:val="135"/>
        </w:numPr>
        <w:tabs>
          <w:tab w:pos="1507" w:val="left" w:leader="none"/>
          <w:tab w:pos="1508" w:val="left" w:leader="none"/>
        </w:tabs>
        <w:spacing w:line="235" w:lineRule="auto" w:before="0" w:after="0"/>
        <w:ind w:left="827" w:right="1905" w:firstLine="0"/>
        <w:jc w:val="left"/>
        <w:rPr>
          <w:sz w:val="20"/>
        </w:rPr>
      </w:pPr>
      <w:r>
        <w:rPr>
          <w:w w:val="120"/>
          <w:sz w:val="20"/>
        </w:rPr>
        <w:t>The decision of the Moderator on a point of order, or on the admissibility of a personal explanation, or on the right to have a dissent recorded, shall not be open to discussion.</w:t>
      </w:r>
    </w:p>
    <w:p>
      <w:pPr>
        <w:pStyle w:val="BodyText"/>
        <w:spacing w:before="3"/>
        <w:rPr>
          <w:sz w:val="22"/>
        </w:rPr>
      </w:pPr>
    </w:p>
    <w:p>
      <w:pPr>
        <w:pStyle w:val="Heading4"/>
        <w:numPr>
          <w:ilvl w:val="0"/>
          <w:numId w:val="135"/>
        </w:numPr>
        <w:tabs>
          <w:tab w:pos="1508" w:val="left" w:leader="none"/>
        </w:tabs>
        <w:spacing w:line="240" w:lineRule="auto" w:before="0" w:after="0"/>
        <w:ind w:left="1507" w:right="0" w:hanging="681"/>
        <w:jc w:val="left"/>
      </w:pPr>
      <w:r>
        <w:rPr>
          <w:spacing w:val="3"/>
          <w:w w:val="110"/>
        </w:rPr>
        <w:t>Admission </w:t>
      </w:r>
      <w:r>
        <w:rPr>
          <w:w w:val="110"/>
        </w:rPr>
        <w:t>of </w:t>
      </w:r>
      <w:r>
        <w:rPr>
          <w:spacing w:val="3"/>
          <w:w w:val="110"/>
        </w:rPr>
        <w:t>public and</w:t>
      </w:r>
      <w:r>
        <w:rPr>
          <w:spacing w:val="45"/>
          <w:w w:val="110"/>
        </w:rPr>
        <w:t> </w:t>
      </w:r>
      <w:r>
        <w:rPr>
          <w:spacing w:val="3"/>
          <w:w w:val="110"/>
        </w:rPr>
        <w:t>press</w:t>
      </w:r>
    </w:p>
    <w:p>
      <w:pPr>
        <w:pStyle w:val="ListParagraph"/>
        <w:numPr>
          <w:ilvl w:val="1"/>
          <w:numId w:val="135"/>
        </w:numPr>
        <w:tabs>
          <w:tab w:pos="1508" w:val="left" w:leader="none"/>
        </w:tabs>
        <w:spacing w:line="235" w:lineRule="auto" w:before="69" w:after="0"/>
        <w:ind w:left="827" w:right="1739" w:firstLine="0"/>
        <w:jc w:val="both"/>
        <w:rPr>
          <w:sz w:val="20"/>
        </w:rPr>
      </w:pPr>
      <w:r>
        <w:rPr>
          <w:w w:val="120"/>
          <w:sz w:val="20"/>
        </w:rPr>
        <w:t>Members of the public and representatives of the press shall be admitted to the Assembly unless the Assembly otherwise decides, and they shall occupy such places as are assigned to</w:t>
      </w:r>
      <w:r>
        <w:rPr>
          <w:spacing w:val="5"/>
          <w:w w:val="120"/>
          <w:sz w:val="20"/>
        </w:rPr>
        <w:t> </w:t>
      </w:r>
      <w:r>
        <w:rPr>
          <w:w w:val="120"/>
          <w:sz w:val="20"/>
        </w:rPr>
        <w:t>them.</w:t>
      </w:r>
    </w:p>
    <w:p>
      <w:pPr>
        <w:pStyle w:val="BodyText"/>
        <w:spacing w:before="3"/>
        <w:rPr>
          <w:sz w:val="22"/>
        </w:rPr>
      </w:pPr>
    </w:p>
    <w:p>
      <w:pPr>
        <w:pStyle w:val="Heading4"/>
        <w:numPr>
          <w:ilvl w:val="0"/>
          <w:numId w:val="135"/>
        </w:numPr>
        <w:tabs>
          <w:tab w:pos="1389" w:val="left" w:leader="none"/>
        </w:tabs>
        <w:spacing w:line="240" w:lineRule="auto" w:before="0" w:after="0"/>
        <w:ind w:left="1388" w:right="0" w:hanging="562"/>
        <w:jc w:val="left"/>
      </w:pPr>
      <w:r>
        <w:rPr>
          <w:spacing w:val="3"/>
          <w:w w:val="110"/>
        </w:rPr>
        <w:t>Circulation </w:t>
      </w:r>
      <w:r>
        <w:rPr>
          <w:w w:val="110"/>
        </w:rPr>
        <w:t>of</w:t>
      </w:r>
      <w:r>
        <w:rPr>
          <w:spacing w:val="22"/>
          <w:w w:val="110"/>
        </w:rPr>
        <w:t> </w:t>
      </w:r>
      <w:r>
        <w:rPr>
          <w:spacing w:val="4"/>
          <w:w w:val="110"/>
        </w:rPr>
        <w:t>documents</w:t>
      </w:r>
    </w:p>
    <w:p>
      <w:pPr>
        <w:pStyle w:val="ListParagraph"/>
        <w:numPr>
          <w:ilvl w:val="1"/>
          <w:numId w:val="135"/>
        </w:numPr>
        <w:tabs>
          <w:tab w:pos="1507" w:val="left" w:leader="none"/>
          <w:tab w:pos="1508" w:val="left" w:leader="none"/>
        </w:tabs>
        <w:spacing w:line="235" w:lineRule="auto" w:before="69" w:after="0"/>
        <w:ind w:left="827" w:right="1948" w:firstLine="0"/>
        <w:jc w:val="left"/>
        <w:rPr>
          <w:sz w:val="20"/>
        </w:rPr>
      </w:pPr>
      <w:r>
        <w:rPr>
          <w:w w:val="120"/>
          <w:sz w:val="20"/>
        </w:rPr>
        <w:t>Only documents authorised by the General Secretary in consultation with the convenor of the Assembly arrangements committee may be distributed within the building in which the Assembly is</w:t>
      </w:r>
      <w:r>
        <w:rPr>
          <w:spacing w:val="17"/>
          <w:w w:val="120"/>
          <w:sz w:val="20"/>
        </w:rPr>
        <w:t> </w:t>
      </w:r>
      <w:r>
        <w:rPr>
          <w:w w:val="120"/>
          <w:sz w:val="20"/>
        </w:rPr>
        <w:t>meeting.</w:t>
      </w:r>
    </w:p>
    <w:p>
      <w:pPr>
        <w:pStyle w:val="BodyText"/>
        <w:spacing w:before="3"/>
        <w:rPr>
          <w:sz w:val="22"/>
        </w:rPr>
      </w:pPr>
    </w:p>
    <w:p>
      <w:pPr>
        <w:pStyle w:val="Heading4"/>
        <w:numPr>
          <w:ilvl w:val="0"/>
          <w:numId w:val="135"/>
        </w:numPr>
        <w:tabs>
          <w:tab w:pos="1508" w:val="left" w:leader="none"/>
        </w:tabs>
        <w:spacing w:line="240" w:lineRule="auto" w:before="0" w:after="0"/>
        <w:ind w:left="1507" w:right="0" w:hanging="681"/>
        <w:jc w:val="left"/>
      </w:pPr>
      <w:r>
        <w:rPr>
          <w:spacing w:val="3"/>
          <w:w w:val="110"/>
        </w:rPr>
        <w:t>Closed</w:t>
      </w:r>
      <w:r>
        <w:rPr>
          <w:spacing w:val="12"/>
          <w:w w:val="110"/>
        </w:rPr>
        <w:t> </w:t>
      </w:r>
      <w:r>
        <w:rPr>
          <w:spacing w:val="3"/>
          <w:w w:val="110"/>
        </w:rPr>
        <w:t>session</w:t>
      </w:r>
    </w:p>
    <w:p>
      <w:pPr>
        <w:pStyle w:val="ListParagraph"/>
        <w:numPr>
          <w:ilvl w:val="1"/>
          <w:numId w:val="135"/>
        </w:numPr>
        <w:tabs>
          <w:tab w:pos="1507" w:val="left" w:leader="none"/>
          <w:tab w:pos="1508" w:val="left" w:leader="none"/>
        </w:tabs>
        <w:spacing w:line="235" w:lineRule="auto" w:before="69" w:after="0"/>
        <w:ind w:left="827" w:right="1639" w:firstLine="0"/>
        <w:jc w:val="left"/>
        <w:rPr>
          <w:sz w:val="20"/>
        </w:rPr>
      </w:pPr>
      <w:r>
        <w:rPr>
          <w:w w:val="120"/>
          <w:sz w:val="20"/>
        </w:rPr>
        <w:t>A closed session is one in which the business is highly sensitive. Only members   of Assembly, the Legal Adviser, and any technical or venue staff required to enable Assembly to meet safely may be present. Neither content nor process may be divulged to non-members, save specific information authorised by the Moderator in consultation with</w:t>
      </w:r>
      <w:r>
        <w:rPr>
          <w:spacing w:val="5"/>
          <w:w w:val="120"/>
          <w:sz w:val="20"/>
        </w:rPr>
        <w:t> </w:t>
      </w:r>
      <w:r>
        <w:rPr>
          <w:w w:val="120"/>
          <w:sz w:val="20"/>
        </w:rPr>
        <w:t>the</w:t>
      </w:r>
      <w:r>
        <w:rPr>
          <w:spacing w:val="6"/>
          <w:w w:val="120"/>
          <w:sz w:val="20"/>
        </w:rPr>
        <w:t> </w:t>
      </w:r>
      <w:r>
        <w:rPr>
          <w:w w:val="120"/>
          <w:sz w:val="20"/>
        </w:rPr>
        <w:t>Clerk</w:t>
      </w:r>
      <w:r>
        <w:rPr>
          <w:spacing w:val="6"/>
          <w:w w:val="120"/>
          <w:sz w:val="20"/>
        </w:rPr>
        <w:t> </w:t>
      </w:r>
      <w:r>
        <w:rPr>
          <w:w w:val="120"/>
          <w:sz w:val="20"/>
        </w:rPr>
        <w:t>and</w:t>
      </w:r>
      <w:r>
        <w:rPr>
          <w:spacing w:val="6"/>
          <w:w w:val="120"/>
          <w:sz w:val="20"/>
        </w:rPr>
        <w:t> </w:t>
      </w:r>
      <w:r>
        <w:rPr>
          <w:w w:val="120"/>
          <w:sz w:val="20"/>
        </w:rPr>
        <w:t>the</w:t>
      </w:r>
      <w:r>
        <w:rPr>
          <w:spacing w:val="6"/>
          <w:w w:val="120"/>
          <w:sz w:val="20"/>
        </w:rPr>
        <w:t> </w:t>
      </w:r>
      <w:r>
        <w:rPr>
          <w:w w:val="120"/>
          <w:sz w:val="20"/>
        </w:rPr>
        <w:t>Legal</w:t>
      </w:r>
      <w:r>
        <w:rPr>
          <w:spacing w:val="6"/>
          <w:w w:val="120"/>
          <w:sz w:val="20"/>
        </w:rPr>
        <w:t> </w:t>
      </w:r>
      <w:r>
        <w:rPr>
          <w:w w:val="120"/>
          <w:sz w:val="20"/>
        </w:rPr>
        <w:t>Adviser.</w:t>
      </w:r>
      <w:r>
        <w:rPr>
          <w:spacing w:val="5"/>
          <w:w w:val="120"/>
          <w:sz w:val="20"/>
        </w:rPr>
        <w:t> </w:t>
      </w:r>
      <w:r>
        <w:rPr>
          <w:w w:val="120"/>
          <w:sz w:val="20"/>
        </w:rPr>
        <w:t>No</w:t>
      </w:r>
      <w:r>
        <w:rPr>
          <w:spacing w:val="6"/>
          <w:w w:val="120"/>
          <w:sz w:val="20"/>
        </w:rPr>
        <w:t> </w:t>
      </w:r>
      <w:r>
        <w:rPr>
          <w:w w:val="120"/>
          <w:sz w:val="20"/>
        </w:rPr>
        <w:t>social</w:t>
      </w:r>
      <w:r>
        <w:rPr>
          <w:spacing w:val="6"/>
          <w:w w:val="120"/>
          <w:sz w:val="20"/>
        </w:rPr>
        <w:t> </w:t>
      </w:r>
      <w:r>
        <w:rPr>
          <w:w w:val="120"/>
          <w:sz w:val="20"/>
        </w:rPr>
        <w:t>media</w:t>
      </w:r>
      <w:r>
        <w:rPr>
          <w:spacing w:val="6"/>
          <w:w w:val="120"/>
          <w:sz w:val="20"/>
        </w:rPr>
        <w:t> </w:t>
      </w:r>
      <w:r>
        <w:rPr>
          <w:w w:val="120"/>
          <w:sz w:val="20"/>
        </w:rPr>
        <w:t>in</w:t>
      </w:r>
      <w:r>
        <w:rPr>
          <w:spacing w:val="6"/>
          <w:w w:val="120"/>
          <w:sz w:val="20"/>
        </w:rPr>
        <w:t> </w:t>
      </w:r>
      <w:r>
        <w:rPr>
          <w:w w:val="120"/>
          <w:sz w:val="20"/>
        </w:rPr>
        <w:t>any</w:t>
      </w:r>
      <w:r>
        <w:rPr>
          <w:spacing w:val="6"/>
          <w:w w:val="120"/>
          <w:sz w:val="20"/>
        </w:rPr>
        <w:t> </w:t>
      </w:r>
      <w:r>
        <w:rPr>
          <w:w w:val="120"/>
          <w:sz w:val="20"/>
        </w:rPr>
        <w:t>form</w:t>
      </w:r>
      <w:r>
        <w:rPr>
          <w:spacing w:val="6"/>
          <w:w w:val="120"/>
          <w:sz w:val="20"/>
        </w:rPr>
        <w:t> </w:t>
      </w:r>
      <w:r>
        <w:rPr>
          <w:w w:val="120"/>
          <w:sz w:val="20"/>
        </w:rPr>
        <w:t>may</w:t>
      </w:r>
      <w:r>
        <w:rPr>
          <w:spacing w:val="5"/>
          <w:w w:val="120"/>
          <w:sz w:val="20"/>
        </w:rPr>
        <w:t> </w:t>
      </w:r>
      <w:r>
        <w:rPr>
          <w:w w:val="120"/>
          <w:sz w:val="20"/>
        </w:rPr>
        <w:t>be</w:t>
      </w:r>
      <w:r>
        <w:rPr>
          <w:spacing w:val="6"/>
          <w:w w:val="120"/>
          <w:sz w:val="20"/>
        </w:rPr>
        <w:t> </w:t>
      </w:r>
      <w:r>
        <w:rPr>
          <w:w w:val="120"/>
          <w:sz w:val="20"/>
        </w:rPr>
        <w:t>used</w:t>
      </w:r>
      <w:r>
        <w:rPr>
          <w:spacing w:val="6"/>
          <w:w w:val="120"/>
          <w:sz w:val="20"/>
        </w:rPr>
        <w:t> </w:t>
      </w:r>
      <w:r>
        <w:rPr>
          <w:w w:val="120"/>
          <w:sz w:val="20"/>
        </w:rPr>
        <w:t>during</w:t>
      </w:r>
    </w:p>
    <w:p>
      <w:pPr>
        <w:pStyle w:val="BodyText"/>
        <w:spacing w:line="235" w:lineRule="auto" w:before="3"/>
        <w:ind w:left="827" w:right="1902"/>
      </w:pPr>
      <w:r>
        <w:rPr>
          <w:w w:val="120"/>
        </w:rPr>
        <w:t>a closed session, nor to report upon such closed session. Any live streaming must be switched off. Minutes will be taken, but these will be held </w:t>
      </w:r>
      <w:r>
        <w:rPr>
          <w:i/>
          <w:w w:val="120"/>
        </w:rPr>
        <w:t>in retentis </w:t>
      </w:r>
      <w:r>
        <w:rPr>
          <w:w w:val="120"/>
        </w:rPr>
        <w:t>by the Clerk, and shall not be made available to non-members.</w:t>
      </w:r>
    </w:p>
    <w:p>
      <w:pPr>
        <w:pStyle w:val="BodyText"/>
        <w:spacing w:before="10"/>
        <w:rPr>
          <w:sz w:val="19"/>
        </w:rPr>
      </w:pPr>
    </w:p>
    <w:p>
      <w:pPr>
        <w:pStyle w:val="ListParagraph"/>
        <w:numPr>
          <w:ilvl w:val="1"/>
          <w:numId w:val="135"/>
        </w:numPr>
        <w:tabs>
          <w:tab w:pos="1507" w:val="left" w:leader="none"/>
          <w:tab w:pos="1508" w:val="left" w:leader="none"/>
        </w:tabs>
        <w:spacing w:line="235" w:lineRule="auto" w:before="1" w:after="0"/>
        <w:ind w:left="827" w:right="1626" w:firstLine="0"/>
        <w:jc w:val="left"/>
        <w:rPr>
          <w:sz w:val="20"/>
        </w:rPr>
      </w:pPr>
      <w:r>
        <w:rPr>
          <w:w w:val="120"/>
          <w:sz w:val="20"/>
        </w:rPr>
        <w:t>A closed session may be called for at any time in any decision-making mode, and voted upon by the Assembly, requiring a simple majority. This motion takes precedence over every motion before the Assembly. </w:t>
      </w:r>
      <w:r>
        <w:rPr>
          <w:spacing w:val="3"/>
          <w:w w:val="120"/>
          <w:sz w:val="20"/>
        </w:rPr>
        <w:t>As </w:t>
      </w:r>
      <w:r>
        <w:rPr>
          <w:w w:val="120"/>
          <w:sz w:val="20"/>
        </w:rPr>
        <w:t>soon as the member has given reasons for proposing it and it has been seconded, and the proposer of the motion or amendment under consideration has been allowed opportunity to comment on the reasons put forward, the vote upon it shall be taken, unless it appears to the Moderator that an unfair use is being made of this rule. Should the motion be carried the business shall immediately pause while non-members leave the</w:t>
      </w:r>
      <w:r>
        <w:rPr>
          <w:spacing w:val="12"/>
          <w:w w:val="120"/>
          <w:sz w:val="20"/>
        </w:rPr>
        <w:t> </w:t>
      </w:r>
      <w:r>
        <w:rPr>
          <w:w w:val="120"/>
          <w:sz w:val="20"/>
        </w:rPr>
        <w:t>room.</w:t>
      </w:r>
    </w:p>
    <w:p>
      <w:pPr>
        <w:pStyle w:val="BodyText"/>
        <w:spacing w:before="1"/>
      </w:pPr>
    </w:p>
    <w:p>
      <w:pPr>
        <w:pStyle w:val="ListParagraph"/>
        <w:numPr>
          <w:ilvl w:val="1"/>
          <w:numId w:val="135"/>
        </w:numPr>
        <w:tabs>
          <w:tab w:pos="1507" w:val="left" w:leader="none"/>
          <w:tab w:pos="1508" w:val="left" w:leader="none"/>
        </w:tabs>
        <w:spacing w:line="235" w:lineRule="auto" w:before="0" w:after="0"/>
        <w:ind w:left="827" w:right="2110" w:firstLine="0"/>
        <w:jc w:val="left"/>
        <w:rPr>
          <w:sz w:val="20"/>
        </w:rPr>
      </w:pPr>
      <w:r>
        <w:rPr>
          <w:w w:val="120"/>
          <w:sz w:val="20"/>
        </w:rPr>
        <w:t>If a matter is known to be highly sensitive in advance, then the Assembly Officers, consulting the Legal Adviser if necessary, may announce in advance that a certain</w:t>
      </w:r>
      <w:r>
        <w:rPr>
          <w:spacing w:val="6"/>
          <w:w w:val="120"/>
          <w:sz w:val="20"/>
        </w:rPr>
        <w:t> </w:t>
      </w:r>
      <w:r>
        <w:rPr>
          <w:w w:val="120"/>
          <w:sz w:val="20"/>
        </w:rPr>
        <w:t>piece</w:t>
      </w:r>
      <w:r>
        <w:rPr>
          <w:spacing w:val="7"/>
          <w:w w:val="120"/>
          <w:sz w:val="20"/>
        </w:rPr>
        <w:t> </w:t>
      </w:r>
      <w:r>
        <w:rPr>
          <w:w w:val="120"/>
          <w:sz w:val="20"/>
        </w:rPr>
        <w:t>of</w:t>
      </w:r>
      <w:r>
        <w:rPr>
          <w:spacing w:val="7"/>
          <w:w w:val="120"/>
          <w:sz w:val="20"/>
        </w:rPr>
        <w:t> </w:t>
      </w:r>
      <w:r>
        <w:rPr>
          <w:w w:val="120"/>
          <w:sz w:val="20"/>
        </w:rPr>
        <w:t>business</w:t>
      </w:r>
      <w:r>
        <w:rPr>
          <w:spacing w:val="7"/>
          <w:w w:val="120"/>
          <w:sz w:val="20"/>
        </w:rPr>
        <w:t> </w:t>
      </w:r>
      <w:r>
        <w:rPr>
          <w:w w:val="120"/>
          <w:sz w:val="20"/>
        </w:rPr>
        <w:t>will</w:t>
      </w:r>
      <w:r>
        <w:rPr>
          <w:spacing w:val="6"/>
          <w:w w:val="120"/>
          <w:sz w:val="20"/>
        </w:rPr>
        <w:t> </w:t>
      </w:r>
      <w:r>
        <w:rPr>
          <w:w w:val="120"/>
          <w:sz w:val="20"/>
        </w:rPr>
        <w:t>be</w:t>
      </w:r>
      <w:r>
        <w:rPr>
          <w:spacing w:val="7"/>
          <w:w w:val="120"/>
          <w:sz w:val="20"/>
        </w:rPr>
        <w:t> </w:t>
      </w:r>
      <w:r>
        <w:rPr>
          <w:w w:val="120"/>
          <w:sz w:val="20"/>
        </w:rPr>
        <w:t>conducted</w:t>
      </w:r>
      <w:r>
        <w:rPr>
          <w:spacing w:val="7"/>
          <w:w w:val="120"/>
          <w:sz w:val="20"/>
        </w:rPr>
        <w:t> </w:t>
      </w:r>
      <w:r>
        <w:rPr>
          <w:w w:val="120"/>
          <w:sz w:val="20"/>
        </w:rPr>
        <w:t>in</w:t>
      </w:r>
      <w:r>
        <w:rPr>
          <w:spacing w:val="7"/>
          <w:w w:val="120"/>
          <w:sz w:val="20"/>
        </w:rPr>
        <w:t> </w:t>
      </w:r>
      <w:r>
        <w:rPr>
          <w:w w:val="120"/>
          <w:sz w:val="20"/>
        </w:rPr>
        <w:t>a</w:t>
      </w:r>
      <w:r>
        <w:rPr>
          <w:spacing w:val="6"/>
          <w:w w:val="120"/>
          <w:sz w:val="20"/>
        </w:rPr>
        <w:t> </w:t>
      </w:r>
      <w:r>
        <w:rPr>
          <w:w w:val="120"/>
          <w:sz w:val="20"/>
        </w:rPr>
        <w:t>closed</w:t>
      </w:r>
      <w:r>
        <w:rPr>
          <w:spacing w:val="7"/>
          <w:w w:val="120"/>
          <w:sz w:val="20"/>
        </w:rPr>
        <w:t> </w:t>
      </w:r>
      <w:r>
        <w:rPr>
          <w:w w:val="120"/>
          <w:sz w:val="20"/>
        </w:rPr>
        <w:t>session</w:t>
      </w:r>
      <w:r>
        <w:rPr>
          <w:spacing w:val="7"/>
          <w:w w:val="120"/>
          <w:sz w:val="20"/>
        </w:rPr>
        <w:t> </w:t>
      </w:r>
      <w:r>
        <w:rPr>
          <w:w w:val="120"/>
          <w:sz w:val="20"/>
        </w:rPr>
        <w:t>giving</w:t>
      </w:r>
      <w:r>
        <w:rPr>
          <w:spacing w:val="7"/>
          <w:w w:val="120"/>
          <w:sz w:val="20"/>
        </w:rPr>
        <w:t> </w:t>
      </w:r>
      <w:r>
        <w:rPr>
          <w:w w:val="120"/>
          <w:sz w:val="20"/>
        </w:rPr>
        <w:t>their</w:t>
      </w:r>
      <w:r>
        <w:rPr>
          <w:spacing w:val="7"/>
          <w:w w:val="120"/>
          <w:sz w:val="20"/>
        </w:rPr>
        <w:t> </w:t>
      </w:r>
      <w:r>
        <w:rPr>
          <w:w w:val="120"/>
          <w:sz w:val="20"/>
        </w:rPr>
        <w:t>reasons.</w:t>
      </w:r>
    </w:p>
    <w:p>
      <w:pPr>
        <w:spacing w:after="0" w:line="235" w:lineRule="auto"/>
        <w:jc w:val="left"/>
        <w:rPr>
          <w:sz w:val="20"/>
        </w:rPr>
        <w:sectPr>
          <w:headerReference w:type="even" r:id="rId540"/>
          <w:footerReference w:type="even" r:id="rId541"/>
          <w:footerReference w:type="default" r:id="rId542"/>
          <w:pgSz w:w="11910" w:h="16840"/>
          <w:pgMar w:header="0" w:footer="647" w:top="0" w:bottom="840" w:left="420" w:right="380"/>
          <w:pgNumType w:start="202"/>
        </w:sectPr>
      </w:pPr>
    </w:p>
    <w:p>
      <w:pPr>
        <w:pStyle w:val="BodyText"/>
      </w:pPr>
      <w:r>
        <w:rPr/>
        <w:drawing>
          <wp:anchor distT="0" distB="0" distL="0" distR="0" allowOverlap="1" layoutInCell="1" locked="0" behindDoc="0" simplePos="0" relativeHeight="252244992">
            <wp:simplePos x="0" y="0"/>
            <wp:positionH relativeFrom="page">
              <wp:posOffset>6974928</wp:posOffset>
            </wp:positionH>
            <wp:positionV relativeFrom="page">
              <wp:posOffset>0</wp:posOffset>
            </wp:positionV>
            <wp:extent cx="585076" cy="10692003"/>
            <wp:effectExtent l="0" t="0" r="0" b="0"/>
            <wp:wrapNone/>
            <wp:docPr id="387" name="image87.png"/>
            <wp:cNvGraphicFramePr>
              <a:graphicFrameLocks noChangeAspect="1"/>
            </wp:cNvGraphicFramePr>
            <a:graphic>
              <a:graphicData uri="http://schemas.openxmlformats.org/drawingml/2006/picture">
                <pic:pic>
                  <pic:nvPicPr>
                    <pic:cNvPr id="388" name="image87.png"/>
                    <pic:cNvPicPr/>
                  </pic:nvPicPr>
                  <pic:blipFill>
                    <a:blip r:embed="rId531" cstate="print"/>
                    <a:stretch>
                      <a:fillRect/>
                    </a:stretch>
                  </pic:blipFill>
                  <pic:spPr>
                    <a:xfrm>
                      <a:off x="0" y="0"/>
                      <a:ext cx="585076" cy="10692003"/>
                    </a:xfrm>
                    <a:prstGeom prst="rect">
                      <a:avLst/>
                    </a:prstGeom>
                  </pic:spPr>
                </pic:pic>
              </a:graphicData>
            </a:graphic>
          </wp:anchor>
        </w:drawing>
      </w:r>
    </w:p>
    <w:p>
      <w:pPr>
        <w:pStyle w:val="BodyText"/>
        <w:spacing w:before="5"/>
        <w:rPr>
          <w:sz w:val="21"/>
        </w:rPr>
      </w:pPr>
    </w:p>
    <w:p>
      <w:pPr>
        <w:pStyle w:val="Heading5"/>
        <w:ind w:right="865"/>
        <w:jc w:val="right"/>
      </w:pPr>
      <w:r>
        <w:rPr/>
        <w:pict>
          <v:shape style="position:absolute;margin-left:554.141174pt;margin-top:22.693945pt;width:26pt;height:171.3pt;mso-position-horizontal-relative:page;mso-position-vertical-relative:paragraph;z-index:252246016"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ListParagraph"/>
        <w:numPr>
          <w:ilvl w:val="1"/>
          <w:numId w:val="135"/>
        </w:numPr>
        <w:tabs>
          <w:tab w:pos="2244" w:val="left" w:leader="none"/>
          <w:tab w:pos="2245" w:val="left" w:leader="none"/>
        </w:tabs>
        <w:spacing w:line="235" w:lineRule="auto" w:before="222" w:after="0"/>
        <w:ind w:left="1564" w:right="870" w:firstLine="0"/>
        <w:jc w:val="left"/>
        <w:rPr>
          <w:sz w:val="20"/>
        </w:rPr>
      </w:pPr>
      <w:r>
        <w:rPr>
          <w:w w:val="120"/>
          <w:sz w:val="20"/>
        </w:rPr>
        <w:t>Where possible a closed session will begin after a break, in which event everyone must leave the hall. Once the hall is empty, only those entitled to be present shall be admitted. Members of Assembly may leave the hall during a closed session, but if they do so they may not be</w:t>
      </w:r>
      <w:r>
        <w:rPr>
          <w:spacing w:val="12"/>
          <w:w w:val="120"/>
          <w:sz w:val="20"/>
        </w:rPr>
        <w:t> </w:t>
      </w:r>
      <w:r>
        <w:rPr>
          <w:w w:val="120"/>
          <w:sz w:val="20"/>
        </w:rPr>
        <w:t>readmitted.</w:t>
      </w:r>
    </w:p>
    <w:p>
      <w:pPr>
        <w:pStyle w:val="BodyText"/>
        <w:spacing w:before="7"/>
        <w:rPr>
          <w:sz w:val="26"/>
        </w:rPr>
      </w:pPr>
    </w:p>
    <w:p>
      <w:pPr>
        <w:pStyle w:val="Heading4"/>
        <w:numPr>
          <w:ilvl w:val="0"/>
          <w:numId w:val="135"/>
        </w:numPr>
        <w:tabs>
          <w:tab w:pos="2245" w:val="left" w:leader="none"/>
        </w:tabs>
        <w:spacing w:line="196" w:lineRule="auto" w:before="0" w:after="0"/>
        <w:ind w:left="2244" w:right="1524" w:hanging="681"/>
        <w:jc w:val="left"/>
      </w:pPr>
      <w:r>
        <w:rPr>
          <w:spacing w:val="2"/>
          <w:w w:val="110"/>
        </w:rPr>
        <w:t>Use </w:t>
      </w:r>
      <w:r>
        <w:rPr>
          <w:w w:val="110"/>
        </w:rPr>
        <w:t>of </w:t>
      </w:r>
      <w:r>
        <w:rPr>
          <w:spacing w:val="4"/>
          <w:w w:val="110"/>
        </w:rPr>
        <w:t>Electronic </w:t>
      </w:r>
      <w:r>
        <w:rPr>
          <w:spacing w:val="2"/>
          <w:w w:val="110"/>
        </w:rPr>
        <w:t>devices </w:t>
      </w:r>
      <w:r>
        <w:rPr>
          <w:spacing w:val="3"/>
          <w:w w:val="110"/>
        </w:rPr>
        <w:t>and communications during </w:t>
      </w:r>
      <w:r>
        <w:rPr>
          <w:spacing w:val="2"/>
          <w:w w:val="110"/>
        </w:rPr>
        <w:t>the </w:t>
      </w:r>
      <w:r>
        <w:rPr>
          <w:spacing w:val="3"/>
          <w:w w:val="110"/>
        </w:rPr>
        <w:t>course </w:t>
      </w:r>
      <w:r>
        <w:rPr>
          <w:w w:val="110"/>
        </w:rPr>
        <w:t>of</w:t>
      </w:r>
      <w:r>
        <w:rPr>
          <w:spacing w:val="44"/>
          <w:w w:val="110"/>
        </w:rPr>
        <w:t> </w:t>
      </w:r>
      <w:r>
        <w:rPr>
          <w:spacing w:val="2"/>
          <w:w w:val="110"/>
        </w:rPr>
        <w:t>debate</w:t>
      </w:r>
    </w:p>
    <w:p>
      <w:pPr>
        <w:pStyle w:val="ListParagraph"/>
        <w:numPr>
          <w:ilvl w:val="1"/>
          <w:numId w:val="135"/>
        </w:numPr>
        <w:tabs>
          <w:tab w:pos="2244" w:val="left" w:leader="none"/>
          <w:tab w:pos="2245" w:val="left" w:leader="none"/>
        </w:tabs>
        <w:spacing w:line="235" w:lineRule="auto" w:before="85" w:after="0"/>
        <w:ind w:left="1564" w:right="938" w:firstLine="0"/>
        <w:jc w:val="left"/>
        <w:rPr>
          <w:sz w:val="20"/>
        </w:rPr>
      </w:pPr>
      <w:r>
        <w:rPr>
          <w:w w:val="120"/>
          <w:sz w:val="20"/>
        </w:rPr>
        <w:t>Although many meetings take place in wi-fi enabled rooms, and many attending will have access to systems of electronic communication and to social media sites during business sessions, their primary responsibility is to attend to the business and participate in the decision making. Those present must refrain both from</w:t>
      </w:r>
      <w:r>
        <w:rPr>
          <w:spacing w:val="47"/>
          <w:w w:val="120"/>
          <w:sz w:val="20"/>
        </w:rPr>
        <w:t> </w:t>
      </w:r>
      <w:r>
        <w:rPr>
          <w:w w:val="120"/>
          <w:sz w:val="20"/>
        </w:rPr>
        <w:t>posting</w:t>
      </w:r>
    </w:p>
    <w:p>
      <w:pPr>
        <w:pStyle w:val="BodyText"/>
        <w:spacing w:line="235" w:lineRule="auto" w:before="3"/>
        <w:ind w:left="1564" w:right="923"/>
      </w:pPr>
      <w:r>
        <w:rPr>
          <w:w w:val="120"/>
        </w:rPr>
        <w:t>on social media sites during business sessions and from commenting upon partially completed business. It is the responsibility of the communications committee’s staff to make official announcements. This restriction is only in place when in session; those attending are free to join in the online debates during breaks and after the close of business in respect of business that the Assembly has completed. All electronic devices must be silent when a meeting is in session.</w:t>
      </w:r>
    </w:p>
    <w:p>
      <w:pPr>
        <w:pStyle w:val="BodyText"/>
      </w:pPr>
    </w:p>
    <w:p>
      <w:pPr>
        <w:pStyle w:val="ListParagraph"/>
        <w:numPr>
          <w:ilvl w:val="1"/>
          <w:numId w:val="135"/>
        </w:numPr>
        <w:tabs>
          <w:tab w:pos="2244" w:val="left" w:leader="none"/>
          <w:tab w:pos="2245" w:val="left" w:leader="none"/>
        </w:tabs>
        <w:spacing w:line="235" w:lineRule="auto" w:before="0" w:after="0"/>
        <w:ind w:left="1564" w:right="1290" w:firstLine="0"/>
        <w:jc w:val="left"/>
        <w:rPr>
          <w:sz w:val="20"/>
        </w:rPr>
      </w:pPr>
      <w:r>
        <w:rPr>
          <w:w w:val="120"/>
          <w:sz w:val="20"/>
        </w:rPr>
        <w:t>Everything written and shared on social media sites at any time is the sole responsibility of the author, and is subject to the same defamation laws as any other form of written</w:t>
      </w:r>
      <w:r>
        <w:rPr>
          <w:spacing w:val="5"/>
          <w:w w:val="120"/>
          <w:sz w:val="20"/>
        </w:rPr>
        <w:t> </w:t>
      </w:r>
      <w:r>
        <w:rPr>
          <w:w w:val="120"/>
          <w:sz w:val="20"/>
        </w:rPr>
        <w:t>communication.</w:t>
      </w:r>
    </w:p>
    <w:p>
      <w:pPr>
        <w:pStyle w:val="BodyText"/>
        <w:spacing w:before="3"/>
        <w:rPr>
          <w:sz w:val="22"/>
        </w:rPr>
      </w:pPr>
    </w:p>
    <w:p>
      <w:pPr>
        <w:pStyle w:val="Heading4"/>
        <w:numPr>
          <w:ilvl w:val="0"/>
          <w:numId w:val="135"/>
        </w:numPr>
        <w:tabs>
          <w:tab w:pos="2245" w:val="left" w:leader="none"/>
        </w:tabs>
        <w:spacing w:line="240" w:lineRule="auto" w:before="0" w:after="0"/>
        <w:ind w:left="2244" w:right="0" w:hanging="681"/>
        <w:jc w:val="left"/>
      </w:pPr>
      <w:r>
        <w:rPr>
          <w:spacing w:val="3"/>
          <w:w w:val="110"/>
        </w:rPr>
        <w:t>Record </w:t>
      </w:r>
      <w:r>
        <w:rPr>
          <w:w w:val="110"/>
        </w:rPr>
        <w:t>of </w:t>
      </w:r>
      <w:r>
        <w:rPr>
          <w:spacing w:val="2"/>
          <w:w w:val="110"/>
        </w:rPr>
        <w:t>the</w:t>
      </w:r>
      <w:r>
        <w:rPr>
          <w:spacing w:val="35"/>
          <w:w w:val="110"/>
        </w:rPr>
        <w:t> </w:t>
      </w:r>
      <w:r>
        <w:rPr>
          <w:spacing w:val="4"/>
          <w:w w:val="110"/>
        </w:rPr>
        <w:t>Assembly</w:t>
      </w:r>
    </w:p>
    <w:p>
      <w:pPr>
        <w:pStyle w:val="ListParagraph"/>
        <w:numPr>
          <w:ilvl w:val="1"/>
          <w:numId w:val="135"/>
        </w:numPr>
        <w:tabs>
          <w:tab w:pos="2244" w:val="left" w:leader="none"/>
          <w:tab w:pos="2245" w:val="left" w:leader="none"/>
        </w:tabs>
        <w:spacing w:line="235" w:lineRule="auto" w:before="69" w:after="0"/>
        <w:ind w:left="1564" w:right="1164" w:firstLine="0"/>
        <w:jc w:val="left"/>
        <w:rPr>
          <w:sz w:val="20"/>
        </w:rPr>
      </w:pPr>
      <w:r>
        <w:rPr>
          <w:w w:val="120"/>
          <w:sz w:val="20"/>
        </w:rPr>
        <w:t>A record of attendance at the meetings of the Assembly shall be kept in such a manner as the Assembly arrangements committee may</w:t>
      </w:r>
      <w:r>
        <w:rPr>
          <w:spacing w:val="11"/>
          <w:w w:val="120"/>
          <w:sz w:val="20"/>
        </w:rPr>
        <w:t> </w:t>
      </w:r>
      <w:r>
        <w:rPr>
          <w:w w:val="120"/>
          <w:sz w:val="20"/>
        </w:rPr>
        <w:t>determine.</w:t>
      </w:r>
    </w:p>
    <w:p>
      <w:pPr>
        <w:pStyle w:val="BodyText"/>
        <w:spacing w:before="9"/>
        <w:rPr>
          <w:sz w:val="19"/>
        </w:rPr>
      </w:pPr>
    </w:p>
    <w:p>
      <w:pPr>
        <w:pStyle w:val="ListParagraph"/>
        <w:numPr>
          <w:ilvl w:val="1"/>
          <w:numId w:val="135"/>
        </w:numPr>
        <w:tabs>
          <w:tab w:pos="2244" w:val="left" w:leader="none"/>
          <w:tab w:pos="2245" w:val="left" w:leader="none"/>
        </w:tabs>
        <w:spacing w:line="235" w:lineRule="auto" w:before="1" w:after="0"/>
        <w:ind w:left="1564" w:right="1132" w:firstLine="0"/>
        <w:jc w:val="left"/>
        <w:rPr>
          <w:sz w:val="20"/>
        </w:rPr>
      </w:pPr>
      <w:r>
        <w:rPr>
          <w:w w:val="120"/>
          <w:sz w:val="20"/>
        </w:rPr>
        <w:t>The </w:t>
      </w:r>
      <w:r>
        <w:rPr>
          <w:spacing w:val="2"/>
          <w:w w:val="120"/>
          <w:sz w:val="20"/>
        </w:rPr>
        <w:t>draft </w:t>
      </w:r>
      <w:r>
        <w:rPr>
          <w:w w:val="120"/>
          <w:sz w:val="20"/>
        </w:rPr>
        <w:t>minutes of each </w:t>
      </w:r>
      <w:r>
        <w:rPr>
          <w:spacing w:val="-3"/>
          <w:w w:val="120"/>
          <w:sz w:val="20"/>
        </w:rPr>
        <w:t>day’s </w:t>
      </w:r>
      <w:r>
        <w:rPr>
          <w:w w:val="120"/>
          <w:sz w:val="20"/>
        </w:rPr>
        <w:t>proceedings shall be made available in an appropriate form normally on the following </w:t>
      </w:r>
      <w:r>
        <w:rPr>
          <w:spacing w:val="-4"/>
          <w:w w:val="120"/>
          <w:sz w:val="20"/>
        </w:rPr>
        <w:t>day. </w:t>
      </w:r>
      <w:r>
        <w:rPr>
          <w:w w:val="120"/>
          <w:sz w:val="20"/>
        </w:rPr>
        <w:t>They shall, after any necessary correction, be approved at the opening of a subsequent session. Concerning the minutes of the closing day of the Assembly the Clerk shall submit a motion approving their insertion in the full minutes of the Assembly after review and any necessary correction by the Officers of the Assembly. Before such a motion is voted upon, any member may ask to have read out the written minute on any particular</w:t>
      </w:r>
      <w:r>
        <w:rPr>
          <w:spacing w:val="10"/>
          <w:w w:val="120"/>
          <w:sz w:val="20"/>
        </w:rPr>
        <w:t> </w:t>
      </w:r>
      <w:r>
        <w:rPr>
          <w:w w:val="120"/>
          <w:sz w:val="20"/>
        </w:rPr>
        <w:t>item.</w:t>
      </w:r>
    </w:p>
    <w:p>
      <w:pPr>
        <w:pStyle w:val="BodyText"/>
      </w:pPr>
    </w:p>
    <w:p>
      <w:pPr>
        <w:pStyle w:val="ListParagraph"/>
        <w:numPr>
          <w:ilvl w:val="1"/>
          <w:numId w:val="135"/>
        </w:numPr>
        <w:tabs>
          <w:tab w:pos="2244" w:val="left" w:leader="none"/>
          <w:tab w:pos="2245" w:val="left" w:leader="none"/>
        </w:tabs>
        <w:spacing w:line="235" w:lineRule="auto" w:before="1" w:after="0"/>
        <w:ind w:left="1564" w:right="2041" w:firstLine="0"/>
        <w:jc w:val="left"/>
        <w:rPr>
          <w:sz w:val="20"/>
        </w:rPr>
      </w:pPr>
      <w:r>
        <w:rPr>
          <w:w w:val="120"/>
          <w:sz w:val="20"/>
        </w:rPr>
        <w:t>A signed copy of the minutes shall be preserved in the custody of the General Secretary as the official record of the Assembly’s</w:t>
      </w:r>
      <w:r>
        <w:rPr>
          <w:spacing w:val="21"/>
          <w:w w:val="120"/>
          <w:sz w:val="20"/>
        </w:rPr>
        <w:t> </w:t>
      </w:r>
      <w:r>
        <w:rPr>
          <w:w w:val="120"/>
          <w:sz w:val="20"/>
        </w:rPr>
        <w:t>proceedings.</w:t>
      </w:r>
    </w:p>
    <w:p>
      <w:pPr>
        <w:pStyle w:val="BodyText"/>
        <w:spacing w:before="9"/>
        <w:rPr>
          <w:sz w:val="19"/>
        </w:rPr>
      </w:pPr>
    </w:p>
    <w:p>
      <w:pPr>
        <w:pStyle w:val="ListParagraph"/>
        <w:numPr>
          <w:ilvl w:val="1"/>
          <w:numId w:val="135"/>
        </w:numPr>
        <w:tabs>
          <w:tab w:pos="2244" w:val="left" w:leader="none"/>
          <w:tab w:pos="2245" w:val="left" w:leader="none"/>
        </w:tabs>
        <w:spacing w:line="235" w:lineRule="auto" w:before="0" w:after="0"/>
        <w:ind w:left="1564" w:right="1557" w:firstLine="0"/>
        <w:jc w:val="left"/>
        <w:rPr>
          <w:i/>
          <w:sz w:val="20"/>
        </w:rPr>
      </w:pPr>
      <w:r>
        <w:rPr>
          <w:spacing w:val="3"/>
          <w:w w:val="120"/>
          <w:sz w:val="20"/>
        </w:rPr>
        <w:t>As </w:t>
      </w:r>
      <w:r>
        <w:rPr>
          <w:w w:val="120"/>
          <w:sz w:val="20"/>
        </w:rPr>
        <w:t>soon as possible after the Assembly meeting ends, the substance of the minutes together with any other relevant papers shall be published as a</w:t>
      </w:r>
      <w:r>
        <w:rPr>
          <w:spacing w:val="-19"/>
          <w:w w:val="120"/>
          <w:sz w:val="20"/>
        </w:rPr>
        <w:t> </w:t>
      </w:r>
      <w:r>
        <w:rPr>
          <w:i/>
          <w:w w:val="120"/>
          <w:sz w:val="20"/>
        </w:rPr>
        <w:t>Record</w:t>
      </w:r>
    </w:p>
    <w:p>
      <w:pPr>
        <w:pStyle w:val="BodyText"/>
        <w:spacing w:line="235" w:lineRule="auto" w:before="2"/>
        <w:ind w:left="1564" w:right="1528"/>
      </w:pPr>
      <w:r>
        <w:rPr>
          <w:i/>
          <w:w w:val="120"/>
        </w:rPr>
        <w:t>of Assembly </w:t>
      </w:r>
      <w:r>
        <w:rPr>
          <w:w w:val="120"/>
        </w:rPr>
        <w:t>and a copy sent to every member of the Assembly, each synod and Local Church.</w:t>
      </w:r>
    </w:p>
    <w:p>
      <w:pPr>
        <w:pStyle w:val="BodyText"/>
        <w:spacing w:before="2"/>
        <w:rPr>
          <w:sz w:val="22"/>
        </w:rPr>
      </w:pPr>
    </w:p>
    <w:p>
      <w:pPr>
        <w:pStyle w:val="Heading4"/>
        <w:numPr>
          <w:ilvl w:val="0"/>
          <w:numId w:val="135"/>
        </w:numPr>
        <w:tabs>
          <w:tab w:pos="2245" w:val="left" w:leader="none"/>
        </w:tabs>
        <w:spacing w:line="240" w:lineRule="auto" w:before="0" w:after="0"/>
        <w:ind w:left="2244" w:right="0" w:hanging="681"/>
        <w:jc w:val="left"/>
      </w:pPr>
      <w:r>
        <w:rPr>
          <w:spacing w:val="3"/>
          <w:w w:val="110"/>
        </w:rPr>
        <w:t>Suspension and amendment </w:t>
      </w:r>
      <w:r>
        <w:rPr>
          <w:w w:val="110"/>
        </w:rPr>
        <w:t>of </w:t>
      </w:r>
      <w:r>
        <w:rPr>
          <w:spacing w:val="3"/>
          <w:w w:val="110"/>
        </w:rPr>
        <w:t>Standing</w:t>
      </w:r>
      <w:r>
        <w:rPr>
          <w:spacing w:val="65"/>
          <w:w w:val="110"/>
        </w:rPr>
        <w:t> </w:t>
      </w:r>
      <w:r>
        <w:rPr>
          <w:spacing w:val="4"/>
          <w:w w:val="110"/>
        </w:rPr>
        <w:t>Orders</w:t>
      </w:r>
    </w:p>
    <w:p>
      <w:pPr>
        <w:pStyle w:val="ListParagraph"/>
        <w:numPr>
          <w:ilvl w:val="1"/>
          <w:numId w:val="135"/>
        </w:numPr>
        <w:tabs>
          <w:tab w:pos="2244" w:val="left" w:leader="none"/>
          <w:tab w:pos="2245" w:val="left" w:leader="none"/>
        </w:tabs>
        <w:spacing w:line="235" w:lineRule="auto" w:before="69" w:after="0"/>
        <w:ind w:left="1564" w:right="869" w:firstLine="0"/>
        <w:jc w:val="left"/>
        <w:rPr>
          <w:sz w:val="20"/>
        </w:rPr>
      </w:pPr>
      <w:r>
        <w:rPr>
          <w:w w:val="120"/>
          <w:sz w:val="20"/>
        </w:rPr>
        <w:t>In any case of urgency or upon proposal of a motion of which due notice has  been given, any one or more of the Standing Orders may be suspended at any meeting, provided that three-fourths of the members of the Assembly present and voting</w:t>
      </w:r>
      <w:r>
        <w:rPr>
          <w:spacing w:val="33"/>
          <w:w w:val="120"/>
          <w:sz w:val="20"/>
        </w:rPr>
        <w:t> </w:t>
      </w:r>
      <w:r>
        <w:rPr>
          <w:w w:val="120"/>
          <w:sz w:val="20"/>
        </w:rPr>
        <w:t>shall</w:t>
      </w:r>
    </w:p>
    <w:p>
      <w:pPr>
        <w:pStyle w:val="BodyText"/>
        <w:spacing w:line="243" w:lineRule="exact"/>
        <w:ind w:left="1564"/>
      </w:pPr>
      <w:r>
        <w:rPr>
          <w:w w:val="120"/>
        </w:rPr>
        <w:t>so decide.</w:t>
      </w:r>
    </w:p>
    <w:p>
      <w:pPr>
        <w:pStyle w:val="BodyText"/>
        <w:spacing w:before="7"/>
        <w:rPr>
          <w:sz w:val="19"/>
        </w:rPr>
      </w:pPr>
    </w:p>
    <w:p>
      <w:pPr>
        <w:pStyle w:val="ListParagraph"/>
        <w:numPr>
          <w:ilvl w:val="1"/>
          <w:numId w:val="135"/>
        </w:numPr>
        <w:tabs>
          <w:tab w:pos="2244" w:val="left" w:leader="none"/>
          <w:tab w:pos="2245" w:val="left" w:leader="none"/>
        </w:tabs>
        <w:spacing w:line="235" w:lineRule="auto" w:before="0" w:after="0"/>
        <w:ind w:left="1564" w:right="1349" w:firstLine="0"/>
        <w:jc w:val="left"/>
        <w:rPr>
          <w:sz w:val="20"/>
        </w:rPr>
      </w:pPr>
      <w:r>
        <w:rPr>
          <w:w w:val="120"/>
          <w:sz w:val="20"/>
        </w:rPr>
        <w:t>Motions to amend the Standing Orders shall be referred to the Clerk of the Assembly for </w:t>
      </w:r>
      <w:r>
        <w:rPr>
          <w:spacing w:val="2"/>
          <w:w w:val="120"/>
          <w:sz w:val="20"/>
        </w:rPr>
        <w:t>report </w:t>
      </w:r>
      <w:r>
        <w:rPr>
          <w:w w:val="120"/>
          <w:sz w:val="20"/>
        </w:rPr>
        <w:t>before being voted on by the Assembly </w:t>
      </w:r>
      <w:r>
        <w:rPr>
          <w:spacing w:val="-8"/>
          <w:w w:val="120"/>
          <w:sz w:val="20"/>
        </w:rPr>
        <w:t>(or, </w:t>
      </w:r>
      <w:r>
        <w:rPr>
          <w:w w:val="120"/>
          <w:sz w:val="20"/>
        </w:rPr>
        <w:t>in case of urgency, by the Mission Council). The Clerk of the Assembly may from time to time suggest amendments.</w:t>
      </w:r>
    </w:p>
    <w:p>
      <w:pPr>
        <w:pStyle w:val="BodyText"/>
        <w:spacing w:before="4"/>
        <w:rPr>
          <w:sz w:val="11"/>
        </w:rPr>
      </w:pPr>
    </w:p>
    <w:p>
      <w:pPr>
        <w:spacing w:line="242" w:lineRule="exact" w:before="101"/>
        <w:ind w:left="0" w:right="865" w:firstLine="0"/>
        <w:jc w:val="right"/>
        <w:rPr>
          <w:i/>
          <w:sz w:val="20"/>
        </w:rPr>
      </w:pPr>
      <w:r>
        <w:rPr>
          <w:i/>
          <w:w w:val="110"/>
          <w:sz w:val="20"/>
        </w:rPr>
        <w:t>Editor</w:t>
      </w:r>
      <w:r>
        <w:rPr>
          <w:i/>
          <w:spacing w:val="7"/>
          <w:w w:val="110"/>
          <w:sz w:val="20"/>
        </w:rPr>
        <w:t> </w:t>
      </w:r>
      <w:r>
        <w:rPr>
          <w:i/>
          <w:w w:val="110"/>
          <w:sz w:val="20"/>
        </w:rPr>
        <w:t>of</w:t>
      </w:r>
      <w:r>
        <w:rPr>
          <w:i/>
          <w:spacing w:val="7"/>
          <w:w w:val="110"/>
          <w:sz w:val="20"/>
        </w:rPr>
        <w:t> </w:t>
      </w:r>
      <w:r>
        <w:rPr>
          <w:i/>
          <w:w w:val="110"/>
          <w:sz w:val="20"/>
        </w:rPr>
        <w:t>the</w:t>
      </w:r>
      <w:r>
        <w:rPr>
          <w:i/>
          <w:spacing w:val="7"/>
          <w:w w:val="110"/>
          <w:sz w:val="20"/>
        </w:rPr>
        <w:t> </w:t>
      </w:r>
      <w:r>
        <w:rPr>
          <w:i/>
          <w:w w:val="110"/>
          <w:sz w:val="20"/>
        </w:rPr>
        <w:t>document:</w:t>
      </w:r>
      <w:r>
        <w:rPr>
          <w:i/>
          <w:spacing w:val="8"/>
          <w:w w:val="110"/>
          <w:sz w:val="20"/>
        </w:rPr>
        <w:t> </w:t>
      </w:r>
      <w:r>
        <w:rPr>
          <w:i/>
          <w:w w:val="110"/>
          <w:sz w:val="20"/>
        </w:rPr>
        <w:t>The</w:t>
      </w:r>
      <w:r>
        <w:rPr>
          <w:i/>
          <w:spacing w:val="7"/>
          <w:w w:val="110"/>
          <w:sz w:val="20"/>
        </w:rPr>
        <w:t> </w:t>
      </w:r>
      <w:r>
        <w:rPr>
          <w:i/>
          <w:w w:val="110"/>
          <w:sz w:val="20"/>
        </w:rPr>
        <w:t>Clerk</w:t>
      </w:r>
      <w:r>
        <w:rPr>
          <w:i/>
          <w:spacing w:val="7"/>
          <w:w w:val="110"/>
          <w:sz w:val="20"/>
        </w:rPr>
        <w:t> </w:t>
      </w:r>
      <w:r>
        <w:rPr>
          <w:i/>
          <w:w w:val="110"/>
          <w:sz w:val="20"/>
        </w:rPr>
        <w:t>of</w:t>
      </w:r>
      <w:r>
        <w:rPr>
          <w:i/>
          <w:spacing w:val="7"/>
          <w:w w:val="110"/>
          <w:sz w:val="20"/>
        </w:rPr>
        <w:t> </w:t>
      </w:r>
      <w:r>
        <w:rPr>
          <w:i/>
          <w:w w:val="110"/>
          <w:sz w:val="20"/>
        </w:rPr>
        <w:t>the</w:t>
      </w:r>
      <w:r>
        <w:rPr>
          <w:i/>
          <w:spacing w:val="8"/>
          <w:w w:val="110"/>
          <w:sz w:val="20"/>
        </w:rPr>
        <w:t> </w:t>
      </w:r>
      <w:r>
        <w:rPr>
          <w:i/>
          <w:w w:val="110"/>
          <w:sz w:val="20"/>
        </w:rPr>
        <w:t>General</w:t>
      </w:r>
      <w:r>
        <w:rPr>
          <w:i/>
          <w:spacing w:val="7"/>
          <w:w w:val="110"/>
          <w:sz w:val="20"/>
        </w:rPr>
        <w:t> </w:t>
      </w:r>
      <w:r>
        <w:rPr>
          <w:i/>
          <w:w w:val="110"/>
          <w:sz w:val="20"/>
        </w:rPr>
        <w:t>Assembly</w:t>
      </w:r>
    </w:p>
    <w:p>
      <w:pPr>
        <w:spacing w:line="242" w:lineRule="exact" w:before="0"/>
        <w:ind w:left="0" w:right="865" w:firstLine="0"/>
        <w:jc w:val="right"/>
        <w:rPr>
          <w:i/>
          <w:sz w:val="20"/>
        </w:rPr>
      </w:pPr>
      <w:r>
        <w:rPr>
          <w:i/>
          <w:w w:val="110"/>
          <w:sz w:val="20"/>
        </w:rPr>
        <w:t>Date of last changes: </w:t>
      </w:r>
      <w:r>
        <w:rPr>
          <w:i/>
          <w:spacing w:val="-5"/>
          <w:w w:val="110"/>
          <w:sz w:val="20"/>
        </w:rPr>
        <w:t>10  </w:t>
      </w:r>
      <w:r>
        <w:rPr>
          <w:i/>
          <w:w w:val="110"/>
          <w:sz w:val="20"/>
        </w:rPr>
        <w:t>November </w:t>
      </w:r>
      <w:r>
        <w:rPr>
          <w:i/>
          <w:spacing w:val="2"/>
          <w:w w:val="110"/>
          <w:sz w:val="20"/>
        </w:rPr>
        <w:t> </w:t>
      </w:r>
      <w:r>
        <w:rPr>
          <w:i/>
          <w:spacing w:val="-7"/>
          <w:w w:val="110"/>
          <w:sz w:val="20"/>
        </w:rPr>
        <w:t>2017</w:t>
      </w:r>
    </w:p>
    <w:p>
      <w:pPr>
        <w:spacing w:after="0" w:line="242" w:lineRule="exact"/>
        <w:jc w:val="right"/>
        <w:rPr>
          <w:sz w:val="20"/>
        </w:rPr>
        <w:sectPr>
          <w:headerReference w:type="default" r:id="rId543"/>
          <w:pgSz w:w="11910" w:h="16840"/>
          <w:pgMar w:header="0" w:footer="647" w:top="0" w:bottom="840" w:left="420" w:right="380"/>
        </w:sectPr>
      </w:pPr>
    </w:p>
    <w:p>
      <w:pPr>
        <w:pStyle w:val="BodyText"/>
        <w:rPr>
          <w:i/>
        </w:rPr>
      </w:pPr>
      <w:r>
        <w:rPr/>
        <w:pict>
          <v:group style="position:absolute;margin-left:0pt;margin-top:0pt;width:58.85pt;height:841.9pt;mso-position-horizontal-relative:page;mso-position-vertical-relative:page;z-index:-267024384" coordorigin="0,0" coordsize="1177,16838">
            <v:shape style="position:absolute;left:0;top:0;width:936;height:16838" type="#_x0000_t75" stroked="false">
              <v:imagedata r:id="rId529" o:title=""/>
            </v:shape>
            <v:shape style="position:absolute;left:455;top:12595;width:716;height:612" coordorigin="456,12595" coordsize="716,612" path="m814,12595l731,12604,656,12627,590,12663,534,12710,492,12767,465,12831,456,12901,465,12972,492,13036,534,13093,590,13140,656,13176,731,13199,814,13207,896,13199,971,13176,1037,13140,1093,13093,1135,13036,1162,12972,1171,12901,1162,12831,1135,12767,1093,12710,1037,12663,971,12627,896,12604,814,12595xe" filled="true" fillcolor="#ffffff" stroked="false">
              <v:path arrowok="t"/>
              <v:fill type="solid"/>
            </v:shape>
            <v:shape style="position:absolute;left:455;top:12595;width:716;height:612" coordorigin="456,12595" coordsize="716,612" path="m814,13207l896,13199,971,13176,1037,13140,1093,13093,1135,13036,1162,12972,1171,12901,1162,12831,1135,12767,1093,12710,1037,12663,971,12627,896,12604,814,12595,731,12604,656,12627,590,12663,534,12710,492,12767,465,12831,456,12901,465,12972,492,13036,534,13093,590,13140,656,13176,731,13199,814,13207xe" filled="false" stroked="true" strokeweight=".5pt" strokecolor="#707172">
              <v:path arrowok="t"/>
              <v:stroke dashstyle="solid"/>
            </v:shape>
            <v:shape style="position:absolute;left:455;top:15014;width:716;height:612" coordorigin="456,15014" coordsize="716,612" path="m814,15014l731,15022,656,15045,590,15082,534,15129,492,15186,465,15250,456,15320,465,15390,492,15455,534,15512,590,15559,656,15595,731,15618,814,15626,896,15618,971,15595,1037,15559,1093,15512,1135,15455,1162,15390,1171,15320,1162,15250,1135,15186,1093,15129,1037,15082,971,15045,896,15022,814,15014xe" filled="true" fillcolor="#ffffff" stroked="false">
              <v:path arrowok="t"/>
              <v:fill type="solid"/>
            </v:shape>
            <v:shape style="position:absolute;left:455;top:15014;width:716;height:612" coordorigin="456,15014" coordsize="716,612" path="m814,15626l896,15618,971,15595,1037,15559,1093,15512,1135,15455,1162,15390,1171,15320,1162,15250,1135,15186,1093,15129,1037,15082,971,15045,896,15022,814,15014,731,15022,656,15045,590,15082,534,15129,492,15186,465,15250,456,15320,465,15390,492,15455,534,15512,590,15559,656,15595,731,15618,814,15626xe" filled="false" stroked="true" strokeweight=".5pt" strokecolor="#707172">
              <v:path arrowok="t"/>
              <v:stroke dashstyle="solid"/>
            </v:shape>
            <v:shape style="position:absolute;left:581;top:12807;width:463;height:219" type="#_x0000_t202" filled="false" stroked="false">
              <v:textbox inset="0,0,0,0">
                <w:txbxContent>
                  <w:p>
                    <w:pPr>
                      <w:spacing w:line="217" w:lineRule="exact" w:before="1"/>
                      <w:ind w:left="0" w:right="0" w:firstLine="0"/>
                      <w:jc w:val="left"/>
                      <w:rPr>
                        <w:sz w:val="18"/>
                      </w:rPr>
                    </w:pPr>
                    <w:r>
                      <w:rPr>
                        <w:w w:val="125"/>
                        <w:sz w:val="18"/>
                      </w:rPr>
                      <w:t>4.4.4</w:t>
                    </w:r>
                  </w:p>
                </w:txbxContent>
              </v:textbox>
              <w10:wrap type="none"/>
            </v:shape>
            <v:shape style="position:absolute;left:538;top:15234;width:576;height:197" type="#_x0000_t202" filled="false" stroked="false">
              <v:textbox inset="0,0,0,0">
                <w:txbxContent>
                  <w:p>
                    <w:pPr>
                      <w:spacing w:line="193" w:lineRule="exact" w:before="3"/>
                      <w:ind w:left="0" w:right="0" w:firstLine="0"/>
                      <w:jc w:val="left"/>
                      <w:rPr>
                        <w:sz w:val="16"/>
                      </w:rPr>
                    </w:pPr>
                    <w:r>
                      <w:rPr>
                        <w:spacing w:val="-3"/>
                        <w:w w:val="130"/>
                        <w:sz w:val="16"/>
                      </w:rPr>
                      <w:t>4.4.4.7</w:t>
                    </w:r>
                  </w:p>
                </w:txbxContent>
              </v:textbox>
              <w10:wrap type="none"/>
            </v:shape>
            <w10:wrap type="none"/>
          </v:group>
        </w:pict>
      </w:r>
      <w:r>
        <w:rPr/>
        <w:pict>
          <v:group style="position:absolute;margin-left:317.827698pt;margin-top:708.897034pt;width:52.1pt;height:31.7pt;mso-position-horizontal-relative:page;mso-position-vertical-relative:page;z-index:252263424" coordorigin="6357,14178" coordsize="1042,634">
            <v:rect style="position:absolute;left:6533;top:14182;width:541;height:624" filled="true" fillcolor="#d3e8d5" stroked="false">
              <v:fill type="solid"/>
            </v:rect>
            <v:rect style="position:absolute;left:6533;top:14182;width:541;height:624" filled="false" stroked="true" strokeweight=".5pt" strokecolor="#000000">
              <v:stroke dashstyle="solid"/>
            </v:rect>
            <v:line style="position:absolute" from="7398,14495" to="7140,14495" stroked="true" strokeweight="1pt" strokecolor="#000000">
              <v:stroke dashstyle="solid"/>
            </v:line>
            <v:shape style="position:absolute;left:7064;top:14416;width:84;height:157" coordorigin="7065,14417" coordsize="84,157" path="m7149,14417l7065,14495,7149,14573,7149,14417xe" filled="true" fillcolor="#000000" stroked="false">
              <v:path arrowok="t"/>
              <v:fill type="solid"/>
            </v:shape>
            <v:line style="position:absolute" from="6527,14487" to="6431,14487" stroked="true" strokeweight="1pt" strokecolor="#000000">
              <v:stroke dashstyle="solid"/>
            </v:line>
            <v:shape style="position:absolute;left:6356;top:14409;width:84;height:157" coordorigin="6357,14409" coordsize="84,157" path="m6441,14409l6357,14487,6441,14566,6441,14409xe" filled="true" fillcolor="#000000" stroked="false">
              <v:path arrowok="t"/>
              <v:fill type="solid"/>
            </v:shape>
            <v:shape style="position:absolute;left:6356;top:14177;width:1042;height:634" type="#_x0000_t202" filled="false" stroked="false">
              <v:textbox inset="0,0,0,0">
                <w:txbxContent>
                  <w:p>
                    <w:pPr>
                      <w:spacing w:line="261" w:lineRule="auto" w:before="97"/>
                      <w:ind w:left="303" w:right="465" w:firstLine="0"/>
                      <w:jc w:val="left"/>
                      <w:rPr>
                        <w:sz w:val="18"/>
                      </w:rPr>
                    </w:pPr>
                    <w:r>
                      <w:rPr>
                        <w:w w:val="120"/>
                        <w:sz w:val="18"/>
                      </w:rPr>
                      <w:t>If No</w:t>
                    </w:r>
                  </w:p>
                </w:txbxContent>
              </v:textbox>
              <w10:wrap type="none"/>
            </v:shape>
            <w10:wrap type="none"/>
          </v:group>
        </w:pict>
      </w:r>
      <w:r>
        <w:rPr/>
        <w:pict>
          <v:group style="position:absolute;margin-left:62.820499pt;margin-top:566.678833pt;width:36.3pt;height:31.1pt;mso-position-horizontal-relative:page;mso-position-vertical-relative:page;z-index:252265472" coordorigin="1256,11334" coordsize="726,622">
            <v:shape style="position:absolute;left:1261;top:11338;width:716;height:612" coordorigin="1261,11339" coordsize="716,612" path="m1619,11950l1701,11942,1777,11919,1843,11883,1899,11836,1941,11779,1968,11715,1977,11645,1968,11574,1941,11510,1899,11453,1843,11406,1777,11370,1701,11347,1619,11339,1537,11347,1462,11370,1395,11406,1340,11453,1298,11510,1271,11574,1261,11645,1271,11715,1298,11779,1340,11836,1395,11883,1462,11919,1537,11942,1619,11950xe" filled="false" stroked="true" strokeweight=".5pt" strokecolor="#707172">
              <v:path arrowok="t"/>
              <v:stroke dashstyle="solid"/>
            </v:shape>
            <v:shape style="position:absolute;left:1256;top:11333;width:726;height:622" type="#_x0000_t202" filled="false" stroked="false">
              <v:textbox inset="0,0,0,0">
                <w:txbxContent>
                  <w:p>
                    <w:pPr>
                      <w:spacing w:before="209"/>
                      <w:ind w:left="121" w:right="0" w:firstLine="0"/>
                      <w:jc w:val="left"/>
                      <w:rPr>
                        <w:sz w:val="20"/>
                      </w:rPr>
                    </w:pPr>
                    <w:r>
                      <w:rPr>
                        <w:w w:val="125"/>
                        <w:sz w:val="20"/>
                      </w:rPr>
                      <w:t>4.4.1</w:t>
                    </w:r>
                  </w:p>
                </w:txbxContent>
              </v:textbox>
              <w10:wrap type="none"/>
            </v:shape>
            <w10:wrap type="none"/>
          </v:group>
        </w:pict>
      </w:r>
      <w:r>
        <w:rPr/>
        <w:pict>
          <v:group style="position:absolute;margin-left:302.348114pt;margin-top:569.764832pt;width:36.3pt;height:31.1pt;mso-position-horizontal-relative:page;mso-position-vertical-relative:page;z-index:252267520" coordorigin="6047,11395" coordsize="726,622">
            <v:shape style="position:absolute;left:6051;top:11400;width:716;height:612" coordorigin="6052,11400" coordsize="716,612" path="m6410,12012l6492,12004,6567,11981,6634,11945,6689,11898,6731,11841,6758,11776,6768,11706,6758,11636,6731,11572,6689,11515,6634,11468,6567,11431,6492,11408,6410,11400,6328,11408,6252,11431,6186,11468,6131,11515,6088,11572,6061,11636,6052,11706,6061,11776,6088,11841,6131,11898,6186,11945,6252,11981,6328,12004,6410,12012xe" filled="false" stroked="true" strokeweight=".5pt" strokecolor="#707172">
              <v:path arrowok="t"/>
              <v:stroke dashstyle="solid"/>
            </v:shape>
            <v:shape style="position:absolute;left:6046;top:11395;width:726;height:622" type="#_x0000_t202" filled="false" stroked="false">
              <v:textbox inset="0,0,0,0">
                <w:txbxContent>
                  <w:p>
                    <w:pPr>
                      <w:spacing w:line="240" w:lineRule="auto" w:before="5"/>
                      <w:rPr>
                        <w:rFonts w:ascii="Stone Sans II ITC Std Sm"/>
                        <w:b/>
                        <w:sz w:val="16"/>
                      </w:rPr>
                    </w:pPr>
                  </w:p>
                  <w:p>
                    <w:pPr>
                      <w:spacing w:before="1"/>
                      <w:ind w:left="125" w:right="0" w:firstLine="0"/>
                      <w:jc w:val="left"/>
                      <w:rPr>
                        <w:sz w:val="18"/>
                      </w:rPr>
                    </w:pPr>
                    <w:r>
                      <w:rPr>
                        <w:w w:val="125"/>
                        <w:sz w:val="18"/>
                      </w:rPr>
                      <w:t>4.4.2</w:t>
                    </w:r>
                  </w:p>
                </w:txbxContent>
              </v:textbox>
              <w10:wrap type="none"/>
            </v:shape>
            <w10:wrap type="none"/>
          </v:group>
        </w:pict>
      </w:r>
      <w:r>
        <w:rPr/>
        <w:pict>
          <v:group style="position:absolute;margin-left:330.090302pt;margin-top:753.944397pt;width:36.3pt;height:31.1pt;mso-position-horizontal-relative:page;mso-position-vertical-relative:page;z-index:252269568" coordorigin="6602,15079" coordsize="726,622">
            <v:shape style="position:absolute;left:6606;top:15083;width:716;height:612" coordorigin="6607,15084" coordsize="716,612" path="m6965,15696l7047,15688,7122,15665,7189,15629,7244,15581,7286,15524,7313,15460,7323,15390,7313,15320,7286,15255,7244,15199,7189,15151,7122,15115,7047,15092,6965,15084,6883,15092,6807,15115,6741,15151,6685,15199,6643,15255,6616,15320,6607,15390,6616,15460,6643,15524,6685,15581,6741,15629,6807,15665,6883,15688,6965,15696xe" filled="false" stroked="true" strokeweight=".5pt" strokecolor="#707172">
              <v:path arrowok="t"/>
              <v:stroke dashstyle="solid"/>
            </v:shape>
            <v:shape style="position:absolute;left:6601;top:15078;width:726;height:622" type="#_x0000_t202" filled="false" stroked="false">
              <v:textbox inset="0,0,0,0">
                <w:txbxContent>
                  <w:p>
                    <w:pPr>
                      <w:spacing w:before="214"/>
                      <w:ind w:left="172" w:right="0" w:firstLine="0"/>
                      <w:jc w:val="left"/>
                      <w:rPr>
                        <w:sz w:val="20"/>
                      </w:rPr>
                    </w:pPr>
                    <w:r>
                      <w:rPr>
                        <w:w w:val="125"/>
                        <w:sz w:val="20"/>
                      </w:rPr>
                      <w:t>4.3</w:t>
                    </w:r>
                  </w:p>
                </w:txbxContent>
              </v:textbox>
              <w10:wrap type="none"/>
            </v:shape>
            <w10:wrap type="none"/>
          </v:group>
        </w:pict>
      </w:r>
      <w:r>
        <w:rPr/>
        <w:pict>
          <v:group style="position:absolute;margin-left:305.071289pt;margin-top:333.780609pt;width:7.85pt;height:7.25pt;mso-position-horizontal-relative:page;mso-position-vertical-relative:page;z-index:252272640" coordorigin="6101,6676" coordsize="157,145">
            <v:line style="position:absolute" from="6180,6676" to="6180,6745" stroked="true" strokeweight="1pt" strokecolor="#000000">
              <v:stroke dashstyle="solid"/>
            </v:line>
            <v:shape style="position:absolute;left:6101;top:6735;width:157;height:84" coordorigin="6101,6736" coordsize="157,84" path="m6258,6736l6101,6736,6180,6820,6258,6736xe" filled="true" fillcolor="#000000" stroked="false">
              <v:path arrowok="t"/>
              <v:fill type="solid"/>
            </v:shape>
            <w10:wrap type="none"/>
          </v:group>
        </w:pict>
      </w:r>
      <w:r>
        <w:rPr/>
        <w:pict>
          <v:group style="position:absolute;margin-left:304.362701pt;margin-top:384.093109pt;width:7.85pt;height:10.95pt;mso-position-horizontal-relative:page;mso-position-vertical-relative:page;z-index:252273664" coordorigin="6087,7682" coordsize="157,219">
            <v:line style="position:absolute" from="6165,7682" to="6165,7825" stroked="true" strokeweight="1pt" strokecolor="#000000">
              <v:stroke dashstyle="solid"/>
            </v:line>
            <v:shape style="position:absolute;left:6087;top:7816;width:157;height:85" coordorigin="6087,7816" coordsize="157,85" path="m6243,7816l6087,7816,6165,7900,6243,7816xe" filled="true" fillcolor="#000000" stroked="false">
              <v:path arrowok="t"/>
              <v:fill type="solid"/>
            </v:shape>
            <w10:wrap type="none"/>
          </v:group>
        </w:pict>
      </w:r>
      <w:r>
        <w:rPr/>
        <w:pict>
          <v:group style="position:absolute;margin-left:303.654114pt;margin-top:426.68692pt;width:7.85pt;height:15.85pt;mso-position-horizontal-relative:page;mso-position-vertical-relative:page;z-index:252274688" coordorigin="6073,8534" coordsize="157,317">
            <v:line style="position:absolute" from="6151,8534" to="6151,8775" stroked="true" strokeweight="1pt" strokecolor="#000000">
              <v:stroke dashstyle="solid"/>
            </v:line>
            <v:shape style="position:absolute;left:6073;top:8765;width:157;height:85" coordorigin="6073,8766" coordsize="157,85" path="m6229,8766l6073,8766,6151,8850,6229,8766xe" filled="true" fillcolor="#000000" stroked="false">
              <v:path arrowok="t"/>
              <v:fill type="solid"/>
            </v:shape>
            <w10:wrap type="none"/>
          </v:group>
        </w:pict>
      </w:r>
      <w:r>
        <w:rPr/>
        <w:pict>
          <v:group style="position:absolute;margin-left:303.847107pt;margin-top:485.366608pt;width:7.85pt;height:16.3pt;mso-position-horizontal-relative:page;mso-position-vertical-relative:page;z-index:252275712" coordorigin="6077,9707" coordsize="157,326">
            <v:line style="position:absolute" from="6160,9707" to="6160,9969" stroked="true" strokeweight="1.541pt" strokecolor="#000000">
              <v:stroke dashstyle="solid"/>
            </v:line>
            <v:shape style="position:absolute;left:6076;top:9945;width:157;height:88" coordorigin="6077,9946" coordsize="157,88" path="m6077,9946l6151,10033,6233,9953,6077,9946xe" filled="true" fillcolor="#000000" stroked="false">
              <v:path arrowok="t"/>
              <v:fill type="solid"/>
            </v:shape>
            <w10:wrap type="none"/>
          </v:group>
        </w:pict>
      </w:r>
      <w:r>
        <w:rPr/>
        <w:pict>
          <v:shape style="position:absolute;margin-left:174.886307pt;margin-top:564.859131pt;width:7.85pt;height:4.2pt;mso-position-horizontal-relative:page;mso-position-vertical-relative:page;z-index:252276736" coordorigin="3498,11297" coordsize="157,84" path="m3654,11297l3498,11297,3576,11381,3654,11297xe" filled="true" fillcolor="#000000" stroked="false">
            <v:path arrowok="t"/>
            <v:fill type="solid"/>
            <w10:wrap type="none"/>
          </v:shape>
        </w:pict>
      </w:r>
      <w:r>
        <w:rPr/>
        <w:pict>
          <v:group style="position:absolute;margin-left:174.886307pt;margin-top:612.429138pt;width:7.85pt;height:7pt;mso-position-horizontal-relative:page;mso-position-vertical-relative:page;z-index:252277760" coordorigin="3498,12249" coordsize="157,140">
            <v:line style="position:absolute" from="3576,12249" to="3576,12313" stroked="true" strokeweight="1pt" strokecolor="#000000">
              <v:stroke dashstyle="solid"/>
            </v:line>
            <v:shape style="position:absolute;left:3497;top:12303;width:157;height:85" coordorigin="3498,12304" coordsize="157,85" path="m3654,12304l3498,12304,3576,12388,3654,12304xe" filled="true" fillcolor="#000000" stroked="false">
              <v:path arrowok="t"/>
              <v:fill type="solid"/>
            </v:shape>
            <w10:wrap type="none"/>
          </v:group>
        </w:pict>
      </w:r>
      <w:r>
        <w:rPr/>
        <w:pict>
          <v:shape style="position:absolute;margin-left:440.779999pt;margin-top:564.859131pt;width:7.85pt;height:4.2pt;mso-position-horizontal-relative:page;mso-position-vertical-relative:page;z-index:252278784" coordorigin="8816,11297" coordsize="157,84" path="m8972,11297l8816,11297,8894,11381,8972,11297xe" filled="true" fillcolor="#000000" stroked="false">
            <v:path arrowok="t"/>
            <v:fill type="solid"/>
            <w10:wrap type="none"/>
          </v:shape>
        </w:pict>
      </w:r>
      <w:r>
        <w:rPr/>
        <w:pict>
          <v:group style="position:absolute;margin-left:452.827301pt;margin-top:628.108826pt;width:7.85pt;height:7.05pt;mso-position-horizontal-relative:page;mso-position-vertical-relative:page;z-index:252279808" coordorigin="9057,12562" coordsize="157,141">
            <v:line style="position:absolute" from="9135,12562" to="9135,12628" stroked="true" strokeweight="1pt" strokecolor="#000000">
              <v:stroke dashstyle="solid"/>
            </v:line>
            <v:shape style="position:absolute;left:9056;top:12618;width:157;height:85" coordorigin="9057,12619" coordsize="157,85" path="m9213,12619l9057,12619,9135,12703,9213,12619xe" filled="true" fillcolor="#000000" stroked="false">
              <v:path arrowok="t"/>
              <v:fill type="solid"/>
            </v:shape>
            <w10:wrap type="none"/>
          </v:group>
        </w:pict>
      </w:r>
      <w:r>
        <w:rPr/>
        <w:pict>
          <v:group style="position:absolute;margin-left:452.466095pt;margin-top:666.382202pt;width:7.85pt;height:8pt;mso-position-horizontal-relative:page;mso-position-vertical-relative:page;z-index:252280832" coordorigin="9049,13328" coordsize="157,160">
            <v:line style="position:absolute" from="9127,13328" to="9127,13413" stroked="true" strokeweight="1pt" strokecolor="#000000">
              <v:stroke dashstyle="solid"/>
            </v:line>
            <v:shape style="position:absolute;left:9049;top:13403;width:157;height:84" coordorigin="9049,13404" coordsize="157,84" path="m9206,13404l9049,13404,9127,13488,9206,13404xe" filled="true" fillcolor="#000000" stroked="false">
              <v:path arrowok="t"/>
              <v:fill type="solid"/>
            </v:shape>
            <w10:wrap type="none"/>
          </v:group>
        </w:pict>
      </w:r>
      <w:r>
        <w:rPr/>
        <w:pict>
          <v:group style="position:absolute;margin-left:452.827301pt;margin-top:706.06189pt;width:7.85pt;height:12.4pt;mso-position-horizontal-relative:page;mso-position-vertical-relative:page;z-index:252281856" coordorigin="9057,14121" coordsize="157,248">
            <v:line style="position:absolute" from="9135,14121" to="9135,14294" stroked="true" strokeweight="1pt" strokecolor="#000000">
              <v:stroke dashstyle="solid"/>
            </v:line>
            <v:shape style="position:absolute;left:9056;top:14284;width:157;height:85" coordorigin="9057,14285" coordsize="157,85" path="m9213,14285l9057,14285,9135,14369,9213,14285xe" filled="true" fillcolor="#000000" stroked="false">
              <v:path arrowok="t"/>
              <v:fill type="solid"/>
            </v:shape>
            <w10:wrap type="none"/>
          </v:group>
        </w:pict>
      </w:r>
      <w:r>
        <w:rPr/>
        <w:pict>
          <v:group style="position:absolute;margin-left:340.157013pt;margin-top:508.991608pt;width:108.45pt;height:10.65pt;mso-position-horizontal-relative:page;mso-position-vertical-relative:page;z-index:252282880" coordorigin="6803,10180" coordsize="2169,213">
            <v:line style="position:absolute" from="8894,10190" to="8894,10318" stroked="true" strokeweight="1pt" strokecolor="#000000">
              <v:stroke dashstyle="solid"/>
            </v:line>
            <v:shape style="position:absolute;left:8815;top:10308;width:157;height:84" coordorigin="8816,10309" coordsize="157,84" path="m8972,10309l8816,10309,8894,10392,8972,10309xe" filled="true" fillcolor="#000000" stroked="false">
              <v:path arrowok="t"/>
              <v:fill type="solid"/>
            </v:shape>
            <v:line style="position:absolute" from="8894,10190" to="6803,10190" stroked="true" strokeweight="1pt" strokecolor="#000000">
              <v:stroke dashstyle="solid"/>
            </v:line>
            <w10:wrap type="none"/>
          </v:group>
        </w:pict>
      </w:r>
      <w:r>
        <w:rPr/>
        <w:pict>
          <v:group style="position:absolute;margin-left:174.525101pt;margin-top:508.991608pt;width:87.2pt;height:10.65pt;mso-position-horizontal-relative:page;mso-position-vertical-relative:page;z-index:252283904" coordorigin="3491,10180" coordsize="1744,213">
            <v:line style="position:absolute" from="5234,10190" to="3554,10190" stroked="true" strokeweight="1pt" strokecolor="#000000">
              <v:stroke dashstyle="solid"/>
            </v:line>
            <v:line style="position:absolute" from="3569,10190" to="3569,10318" stroked="true" strokeweight="1pt" strokecolor="#000000">
              <v:stroke dashstyle="solid"/>
            </v:line>
            <v:shape style="position:absolute;left:3490;top:10308;width:157;height:84" coordorigin="3491,10309" coordsize="157,84" path="m3647,10309l3491,10309,3569,10392,3647,10309xe" filled="true" fillcolor="#000000" stroked="false">
              <v:path arrowok="t"/>
              <v:fill type="solid"/>
            </v:shape>
            <w10:wrap type="none"/>
          </v:group>
        </w:pict>
      </w:r>
      <w:r>
        <w:rPr/>
        <w:pict>
          <v:group style="position:absolute;margin-left:305.541809pt;margin-top:274.288422pt;width:7.85pt;height:7.25pt;mso-position-horizontal-relative:page;mso-position-vertical-relative:page;z-index:252284928" coordorigin="6111,5486" coordsize="157,145">
            <v:line style="position:absolute" from="6189,5486" to="6189,5555" stroked="true" strokeweight="1pt" strokecolor="#000000">
              <v:stroke dashstyle="solid"/>
            </v:line>
            <v:shape style="position:absolute;left:6110;top:5545;width:157;height:84" coordorigin="6111,5546" coordsize="157,84" path="m6267,5546l6111,5546,6189,5630,6267,5546xe" filled="true" fillcolor="#000000" stroked="false">
              <v:path arrowok="t"/>
              <v:fill type="solid"/>
            </v:shape>
            <w10:wrap type="none"/>
          </v:group>
        </w:pict>
      </w:r>
      <w:r>
        <w:rPr/>
        <w:pict>
          <v:shape style="position:absolute;margin-left:370.880005pt;margin-top:718.702026pt;width:192.05pt;height:70.5pt;mso-position-horizontal-relative:page;mso-position-vertical-relative:page;z-index:252285952" type="#_x0000_t202" filled="true" fillcolor="#d3e8d5" stroked="true" strokeweight=".5pt" strokecolor="#000000">
            <v:textbox inset="0,0,0,0">
              <w:txbxContent>
                <w:p>
                  <w:pPr>
                    <w:spacing w:line="259" w:lineRule="auto" w:before="118"/>
                    <w:ind w:left="144" w:right="73" w:firstLine="0"/>
                    <w:jc w:val="left"/>
                    <w:rPr>
                      <w:rFonts w:ascii="Stone Sans II ITC Std Bk"/>
                      <w:b/>
                      <w:sz w:val="18"/>
                    </w:rPr>
                  </w:pPr>
                  <w:r>
                    <w:rPr>
                      <w:w w:val="120"/>
                      <w:sz w:val="18"/>
                    </w:rPr>
                    <w:t>If yes, are they prepared to have the issue declared passed, recognising disagreement? If so they may choose to record their dissent and the proposal is </w:t>
                  </w:r>
                  <w:r>
                    <w:rPr>
                      <w:rFonts w:ascii="Stone Sans II ITC Std Bk"/>
                      <w:b/>
                      <w:w w:val="120"/>
                      <w:sz w:val="18"/>
                      <w:u w:val="single"/>
                    </w:rPr>
                    <w:t>passed recognising disagreement</w:t>
                  </w:r>
                </w:p>
              </w:txbxContent>
            </v:textbox>
            <v:fill type="solid"/>
            <v:stroke dashstyle="solid"/>
            <w10:wrap type="none"/>
          </v:shape>
        </w:pict>
      </w:r>
      <w:r>
        <w:rPr/>
        <w:pict>
          <v:shape style="position:absolute;margin-left:361.230011pt;margin-top:674.632019pt;width:206.2pt;height:31.2pt;mso-position-horizontal-relative:page;mso-position-vertical-relative:page;z-index:252286976" type="#_x0000_t202" filled="true" fillcolor="#d3e8d5" stroked="true" strokeweight=".5pt" strokecolor="#000000">
            <v:textbox inset="0,0,0,0">
              <w:txbxContent>
                <w:p>
                  <w:pPr>
                    <w:spacing w:line="261" w:lineRule="auto" w:before="106"/>
                    <w:ind w:left="131" w:right="161" w:firstLine="0"/>
                    <w:jc w:val="left"/>
                    <w:rPr>
                      <w:sz w:val="18"/>
                    </w:rPr>
                  </w:pPr>
                  <w:r>
                    <w:rPr>
                      <w:spacing w:val="-3"/>
                      <w:w w:val="120"/>
                      <w:sz w:val="18"/>
                    </w:rPr>
                    <w:t>... </w:t>
                  </w:r>
                  <w:r>
                    <w:rPr>
                      <w:w w:val="120"/>
                      <w:sz w:val="18"/>
                    </w:rPr>
                    <w:t>do they accept that they have been heard and agree to live with the</w:t>
                  </w:r>
                  <w:r>
                    <w:rPr>
                      <w:spacing w:val="16"/>
                      <w:w w:val="120"/>
                      <w:sz w:val="18"/>
                    </w:rPr>
                    <w:t> </w:t>
                  </w:r>
                  <w:r>
                    <w:rPr>
                      <w:w w:val="120"/>
                      <w:sz w:val="18"/>
                    </w:rPr>
                    <w:t>outcome?</w:t>
                  </w:r>
                </w:p>
              </w:txbxContent>
            </v:textbox>
            <v:fill type="solid"/>
            <v:stroke dashstyle="solid"/>
            <w10:wrap type="none"/>
          </v:shape>
        </w:pict>
      </w:r>
      <w:r>
        <w:rPr/>
        <w:pict>
          <v:shape style="position:absolute;margin-left:261.954987pt;margin-top:501.913025pt;width:78pt;height:18.9pt;mso-position-horizontal-relative:page;mso-position-vertical-relative:page;z-index:252288000" type="#_x0000_t202" filled="true" fillcolor="#d3e8d5" stroked="true" strokeweight=".5pt" strokecolor="#000000">
            <v:textbox inset="0,0,0,0">
              <w:txbxContent>
                <w:p>
                  <w:pPr>
                    <w:spacing w:before="54"/>
                    <w:ind w:left="154" w:right="0" w:firstLine="0"/>
                    <w:jc w:val="left"/>
                    <w:rPr>
                      <w:sz w:val="18"/>
                    </w:rPr>
                  </w:pPr>
                  <w:r>
                    <w:rPr>
                      <w:w w:val="125"/>
                      <w:sz w:val="18"/>
                    </w:rPr>
                    <w:t>Options are …</w:t>
                  </w:r>
                </w:p>
              </w:txbxContent>
            </v:textbox>
            <v:fill type="solid"/>
            <v:stroke dashstyle="solid"/>
            <w10:wrap type="none"/>
          </v:shape>
        </w:pict>
      </w:r>
      <w:r>
        <w:rPr/>
        <w:pict>
          <v:shape style="position:absolute;margin-left:367.337006pt;margin-top:634.944031pt;width:178.8pt;height:31.2pt;mso-position-horizontal-relative:page;mso-position-vertical-relative:page;z-index:252290048" type="#_x0000_t202" filled="true" fillcolor="#d3e8d5" stroked="true" strokeweight=".5pt" strokecolor="#000000">
            <v:textbox inset="0,0,0,0">
              <w:txbxContent>
                <w:p>
                  <w:pPr>
                    <w:spacing w:line="261" w:lineRule="auto" w:before="94"/>
                    <w:ind w:left="179" w:right="0" w:firstLine="0"/>
                    <w:jc w:val="left"/>
                    <w:rPr>
                      <w:sz w:val="18"/>
                    </w:rPr>
                  </w:pPr>
                  <w:r>
                    <w:rPr>
                      <w:w w:val="120"/>
                      <w:sz w:val="18"/>
                    </w:rPr>
                    <w:t>If blue remain then more discussion and they are then asked ...</w:t>
                  </w:r>
                </w:p>
              </w:txbxContent>
            </v:textbox>
            <v:fill type="solid"/>
            <v:stroke dashstyle="solid"/>
            <w10:wrap type="none"/>
          </v:shape>
        </w:pict>
      </w:r>
      <w:r>
        <w:rPr/>
        <w:pict>
          <v:shape style="position:absolute;margin-left:65.988998pt;margin-top:620.52301pt;width:251.6pt;height:170.1pt;mso-position-horizontal-relative:page;mso-position-vertical-relative:page;z-index:252291072" type="#_x0000_t202" filled="true" fillcolor="#d3e8d5" stroked="true" strokeweight=".5pt" strokecolor="#000000">
            <v:textbox inset="0,0,0,0">
              <w:txbxContent>
                <w:p>
                  <w:pPr>
                    <w:spacing w:line="237" w:lineRule="auto" w:before="133"/>
                    <w:ind w:left="156" w:right="0" w:firstLine="0"/>
                    <w:jc w:val="left"/>
                    <w:rPr>
                      <w:rFonts w:ascii="Stone Sans II ITC Std Bk" w:hAnsi="Stone Sans II ITC Std Bk"/>
                      <w:b/>
                      <w:sz w:val="18"/>
                    </w:rPr>
                  </w:pPr>
                  <w:r>
                    <w:rPr>
                      <w:w w:val="115"/>
                      <w:sz w:val="18"/>
                    </w:rPr>
                    <w:t>One of such options as these are pursued for </w:t>
                  </w:r>
                  <w:r>
                    <w:rPr>
                      <w:rFonts w:ascii="Stone Sans II ITC Std Bk" w:hAnsi="Stone Sans II ITC Std Bk"/>
                      <w:b/>
                      <w:w w:val="115"/>
                      <w:sz w:val="18"/>
                      <w:u w:val="single"/>
                    </w:rPr>
                    <w:t>further</w:t>
                  </w:r>
                  <w:r>
                    <w:rPr>
                      <w:rFonts w:ascii="Stone Sans II ITC Std Bk" w:hAnsi="Stone Sans II ITC Std Bk"/>
                      <w:b/>
                      <w:w w:val="115"/>
                      <w:sz w:val="18"/>
                    </w:rPr>
                    <w:t> </w:t>
                  </w:r>
                  <w:r>
                    <w:rPr>
                      <w:rFonts w:ascii="Stone Sans II ITC Std Bk" w:hAnsi="Stone Sans II ITC Std Bk"/>
                      <w:b/>
                      <w:w w:val="115"/>
                      <w:sz w:val="18"/>
                      <w:u w:val="single"/>
                    </w:rPr>
                    <w:t>reflection and deliberation –</w:t>
                  </w:r>
                </w:p>
                <w:p>
                  <w:pPr>
                    <w:numPr>
                      <w:ilvl w:val="0"/>
                      <w:numId w:val="136"/>
                    </w:numPr>
                    <w:tabs>
                      <w:tab w:pos="516" w:val="left" w:leader="none"/>
                      <w:tab w:pos="517" w:val="left" w:leader="none"/>
                    </w:tabs>
                    <w:spacing w:line="227" w:lineRule="exact" w:before="0"/>
                    <w:ind w:left="516" w:right="0" w:hanging="313"/>
                    <w:jc w:val="left"/>
                    <w:rPr>
                      <w:sz w:val="18"/>
                    </w:rPr>
                  </w:pPr>
                  <w:r>
                    <w:rPr>
                      <w:w w:val="120"/>
                      <w:sz w:val="18"/>
                    </w:rPr>
                    <w:t>adjourning the discussion to</w:t>
                  </w:r>
                  <w:r>
                    <w:rPr>
                      <w:spacing w:val="17"/>
                      <w:w w:val="120"/>
                      <w:sz w:val="18"/>
                    </w:rPr>
                    <w:t> </w:t>
                  </w:r>
                  <w:r>
                    <w:rPr>
                      <w:w w:val="120"/>
                      <w:sz w:val="18"/>
                    </w:rPr>
                    <w:t>another</w:t>
                  </w:r>
                </w:p>
                <w:p>
                  <w:pPr>
                    <w:spacing w:line="261" w:lineRule="auto" w:before="21"/>
                    <w:ind w:left="156" w:right="0" w:firstLine="0"/>
                    <w:jc w:val="left"/>
                    <w:rPr>
                      <w:sz w:val="18"/>
                    </w:rPr>
                  </w:pPr>
                  <w:r>
                    <w:rPr>
                      <w:w w:val="120"/>
                      <w:sz w:val="18"/>
                    </w:rPr>
                    <w:t>time or place perhaps with more work before reconsideration;</w:t>
                  </w:r>
                </w:p>
                <w:p>
                  <w:pPr>
                    <w:numPr>
                      <w:ilvl w:val="0"/>
                      <w:numId w:val="136"/>
                    </w:numPr>
                    <w:tabs>
                      <w:tab w:pos="516" w:val="left" w:leader="none"/>
                      <w:tab w:pos="517" w:val="left" w:leader="none"/>
                    </w:tabs>
                    <w:spacing w:line="216" w:lineRule="exact" w:before="0"/>
                    <w:ind w:left="516" w:right="0" w:hanging="313"/>
                    <w:jc w:val="left"/>
                    <w:rPr>
                      <w:sz w:val="18"/>
                    </w:rPr>
                  </w:pPr>
                  <w:r>
                    <w:rPr>
                      <w:w w:val="120"/>
                      <w:sz w:val="18"/>
                    </w:rPr>
                    <w:t>referring</w:t>
                  </w:r>
                  <w:r>
                    <w:rPr>
                      <w:spacing w:val="10"/>
                      <w:w w:val="120"/>
                      <w:sz w:val="18"/>
                    </w:rPr>
                    <w:t> </w:t>
                  </w:r>
                  <w:r>
                    <w:rPr>
                      <w:w w:val="120"/>
                      <w:sz w:val="18"/>
                    </w:rPr>
                    <w:t>the</w:t>
                  </w:r>
                  <w:r>
                    <w:rPr>
                      <w:spacing w:val="11"/>
                      <w:w w:val="120"/>
                      <w:sz w:val="18"/>
                    </w:rPr>
                    <w:t> </w:t>
                  </w:r>
                  <w:r>
                    <w:rPr>
                      <w:w w:val="120"/>
                      <w:sz w:val="18"/>
                    </w:rPr>
                    <w:t>issue</w:t>
                  </w:r>
                  <w:r>
                    <w:rPr>
                      <w:spacing w:val="10"/>
                      <w:w w:val="120"/>
                      <w:sz w:val="18"/>
                    </w:rPr>
                    <w:t> </w:t>
                  </w:r>
                  <w:r>
                    <w:rPr>
                      <w:w w:val="120"/>
                      <w:sz w:val="18"/>
                    </w:rPr>
                    <w:t>to</w:t>
                  </w:r>
                  <w:r>
                    <w:rPr>
                      <w:spacing w:val="11"/>
                      <w:w w:val="120"/>
                      <w:sz w:val="18"/>
                    </w:rPr>
                    <w:t> </w:t>
                  </w:r>
                  <w:r>
                    <w:rPr>
                      <w:w w:val="120"/>
                      <w:sz w:val="18"/>
                    </w:rPr>
                    <w:t>another</w:t>
                  </w:r>
                  <w:r>
                    <w:rPr>
                      <w:spacing w:val="10"/>
                      <w:w w:val="120"/>
                      <w:sz w:val="18"/>
                    </w:rPr>
                    <w:t> </w:t>
                  </w:r>
                  <w:r>
                    <w:rPr>
                      <w:w w:val="120"/>
                      <w:sz w:val="18"/>
                    </w:rPr>
                    <w:t>council</w:t>
                  </w:r>
                  <w:r>
                    <w:rPr>
                      <w:spacing w:val="11"/>
                      <w:w w:val="120"/>
                      <w:sz w:val="18"/>
                    </w:rPr>
                    <w:t> </w:t>
                  </w:r>
                  <w:r>
                    <w:rPr>
                      <w:w w:val="120"/>
                      <w:sz w:val="18"/>
                    </w:rPr>
                    <w:t>or</w:t>
                  </w:r>
                  <w:r>
                    <w:rPr>
                      <w:spacing w:val="11"/>
                      <w:w w:val="120"/>
                      <w:sz w:val="18"/>
                    </w:rPr>
                    <w:t> </w:t>
                  </w:r>
                  <w:r>
                    <w:rPr>
                      <w:w w:val="120"/>
                      <w:sz w:val="18"/>
                    </w:rPr>
                    <w:t>group</w:t>
                  </w:r>
                  <w:r>
                    <w:rPr>
                      <w:spacing w:val="10"/>
                      <w:w w:val="120"/>
                      <w:sz w:val="18"/>
                    </w:rPr>
                    <w:t> </w:t>
                  </w:r>
                  <w:r>
                    <w:rPr>
                      <w:spacing w:val="-3"/>
                      <w:w w:val="120"/>
                      <w:sz w:val="18"/>
                    </w:rPr>
                    <w:t>...</w:t>
                  </w:r>
                </w:p>
                <w:p>
                  <w:pPr>
                    <w:numPr>
                      <w:ilvl w:val="0"/>
                      <w:numId w:val="136"/>
                    </w:numPr>
                    <w:tabs>
                      <w:tab w:pos="516" w:val="left" w:leader="none"/>
                      <w:tab w:pos="517" w:val="left" w:leader="none"/>
                    </w:tabs>
                    <w:spacing w:line="259" w:lineRule="auto" w:before="0"/>
                    <w:ind w:left="156" w:right="208" w:firstLine="48"/>
                    <w:jc w:val="left"/>
                    <w:rPr>
                      <w:sz w:val="18"/>
                    </w:rPr>
                  </w:pPr>
                  <w:r>
                    <w:rPr>
                      <w:w w:val="120"/>
                      <w:sz w:val="18"/>
                    </w:rPr>
                    <w:t>deciding the issue is unnecessary/inappropriate to continue dealing</w:t>
                  </w:r>
                  <w:r>
                    <w:rPr>
                      <w:spacing w:val="8"/>
                      <w:w w:val="120"/>
                      <w:sz w:val="18"/>
                    </w:rPr>
                    <w:t> </w:t>
                  </w:r>
                  <w:r>
                    <w:rPr>
                      <w:w w:val="120"/>
                      <w:sz w:val="18"/>
                    </w:rPr>
                    <w:t>with;</w:t>
                  </w:r>
                </w:p>
                <w:p>
                  <w:pPr>
                    <w:numPr>
                      <w:ilvl w:val="0"/>
                      <w:numId w:val="136"/>
                    </w:numPr>
                    <w:tabs>
                      <w:tab w:pos="516" w:val="left" w:leader="none"/>
                      <w:tab w:pos="517" w:val="left" w:leader="none"/>
                    </w:tabs>
                    <w:spacing w:line="223" w:lineRule="exact" w:before="0"/>
                    <w:ind w:left="516" w:right="0" w:hanging="313"/>
                    <w:jc w:val="left"/>
                    <w:rPr>
                      <w:sz w:val="18"/>
                    </w:rPr>
                  </w:pPr>
                  <w:r>
                    <w:rPr>
                      <w:w w:val="120"/>
                      <w:sz w:val="18"/>
                    </w:rPr>
                    <w:t>declaring that there are diverse views</w:t>
                  </w:r>
                  <w:r>
                    <w:rPr>
                      <w:spacing w:val="37"/>
                      <w:w w:val="120"/>
                      <w:sz w:val="18"/>
                    </w:rPr>
                    <w:t> </w:t>
                  </w:r>
                  <w:r>
                    <w:rPr>
                      <w:w w:val="120"/>
                      <w:sz w:val="18"/>
                    </w:rPr>
                    <w:t>which</w:t>
                  </w:r>
                </w:p>
                <w:p>
                  <w:pPr>
                    <w:spacing w:before="15"/>
                    <w:ind w:left="156" w:right="0" w:firstLine="0"/>
                    <w:jc w:val="left"/>
                    <w:rPr>
                      <w:sz w:val="18"/>
                    </w:rPr>
                  </w:pPr>
                  <w:r>
                    <w:rPr>
                      <w:w w:val="120"/>
                      <w:sz w:val="18"/>
                    </w:rPr>
                    <w:t>Christians may hold with equal integrity;</w:t>
                  </w:r>
                </w:p>
                <w:p>
                  <w:pPr>
                    <w:pStyle w:val="BodyText"/>
                    <w:spacing w:before="5"/>
                  </w:pPr>
                </w:p>
                <w:p>
                  <w:pPr>
                    <w:spacing w:line="242" w:lineRule="exact" w:before="0"/>
                    <w:ind w:left="156" w:right="0" w:firstLine="0"/>
                    <w:jc w:val="left"/>
                    <w:rPr>
                      <w:sz w:val="18"/>
                    </w:rPr>
                  </w:pPr>
                  <w:r>
                    <w:rPr>
                      <w:rFonts w:ascii="Stone Sans II ITC Std Bk"/>
                      <w:b/>
                      <w:w w:val="120"/>
                      <w:sz w:val="18"/>
                      <w:u w:val="single"/>
                    </w:rPr>
                    <w:t>OR</w:t>
                  </w:r>
                  <w:r>
                    <w:rPr>
                      <w:rFonts w:ascii="Stone Sans II ITC Std Bk"/>
                      <w:b/>
                      <w:w w:val="120"/>
                      <w:sz w:val="18"/>
                    </w:rPr>
                    <w:t> </w:t>
                  </w:r>
                  <w:r>
                    <w:rPr>
                      <w:w w:val="120"/>
                      <w:sz w:val="18"/>
                    </w:rPr>
                    <w:t>after consultation the Moderator can agree to</w:t>
                  </w:r>
                </w:p>
                <w:p>
                  <w:pPr>
                    <w:spacing w:line="242" w:lineRule="exact" w:before="0"/>
                    <w:ind w:left="156" w:right="0" w:firstLine="0"/>
                    <w:jc w:val="left"/>
                    <w:rPr>
                      <w:rFonts w:ascii="Stone Sans II ITC Std Bk"/>
                      <w:b/>
                      <w:sz w:val="18"/>
                    </w:rPr>
                  </w:pPr>
                  <w:r>
                    <w:rPr>
                      <w:rFonts w:ascii="Stone Sans II ITC Std Bk"/>
                      <w:b/>
                      <w:w w:val="110"/>
                      <w:sz w:val="18"/>
                      <w:u w:val="single"/>
                    </w:rPr>
                    <w:t>move to majority decision making</w:t>
                  </w:r>
                  <w:r>
                    <w:rPr>
                      <w:rFonts w:ascii="Stone Sans II ITC Std Bk"/>
                      <w:b/>
                      <w:sz w:val="18"/>
                      <w:u w:val="single"/>
                    </w:rPr>
                    <w:t> </w:t>
                  </w:r>
                </w:p>
              </w:txbxContent>
            </v:textbox>
            <v:fill type="solid"/>
            <v:stroke dashstyle="solid"/>
            <w10:wrap type="none"/>
          </v:shape>
        </w:pict>
      </w:r>
      <w:r>
        <w:rPr/>
        <w:pict>
          <v:shape style="position:absolute;margin-left:352.787994pt;margin-top:571.429016pt;width:217.8pt;height:56.45pt;mso-position-horizontal-relative:page;mso-position-vertical-relative:page;z-index:252292096" type="#_x0000_t202" filled="true" fillcolor="#d3e8d5" stroked="true" strokeweight=".5pt" strokecolor="#000000">
            <v:textbox inset="0,0,0,0">
              <w:txbxContent>
                <w:p>
                  <w:pPr>
                    <w:spacing w:line="252" w:lineRule="auto" w:before="106"/>
                    <w:ind w:left="158" w:right="190" w:firstLine="0"/>
                    <w:jc w:val="both"/>
                    <w:rPr>
                      <w:sz w:val="18"/>
                    </w:rPr>
                  </w:pPr>
                  <w:r>
                    <w:rPr>
                      <w:w w:val="120"/>
                      <w:sz w:val="18"/>
                    </w:rPr>
                    <w:t>Further discussion and if blue willing to turn orange</w:t>
                  </w:r>
                  <w:r>
                    <w:rPr>
                      <w:spacing w:val="-24"/>
                      <w:w w:val="120"/>
                      <w:sz w:val="18"/>
                    </w:rPr>
                    <w:t> </w:t>
                  </w:r>
                  <w:r>
                    <w:rPr>
                      <w:rFonts w:ascii="Stone Sans II ITC Std Bk"/>
                      <w:b/>
                      <w:w w:val="120"/>
                      <w:sz w:val="18"/>
                      <w:u w:val="single"/>
                    </w:rPr>
                    <w:t>consensus</w:t>
                  </w:r>
                  <w:r>
                    <w:rPr>
                      <w:rFonts w:ascii="Stone Sans II ITC Std Bk"/>
                      <w:b/>
                      <w:spacing w:val="-30"/>
                      <w:w w:val="120"/>
                      <w:sz w:val="18"/>
                      <w:u w:val="single"/>
                    </w:rPr>
                    <w:t> </w:t>
                  </w:r>
                  <w:r>
                    <w:rPr>
                      <w:rFonts w:ascii="Stone Sans II ITC Std Bk"/>
                      <w:b/>
                      <w:w w:val="120"/>
                      <w:sz w:val="18"/>
                      <w:u w:val="single"/>
                    </w:rPr>
                    <w:t>reached</w:t>
                  </w:r>
                  <w:r>
                    <w:rPr>
                      <w:rFonts w:ascii="Stone Sans II ITC Std Bk"/>
                      <w:b/>
                      <w:spacing w:val="-30"/>
                      <w:w w:val="120"/>
                      <w:sz w:val="18"/>
                    </w:rPr>
                    <w:t> </w:t>
                  </w:r>
                  <w:r>
                    <w:rPr>
                      <w:rFonts w:ascii="Stone Sans II ITC Std Bk"/>
                      <w:b/>
                      <w:w w:val="120"/>
                      <w:sz w:val="18"/>
                    </w:rPr>
                    <w:t>i.e.</w:t>
                  </w:r>
                  <w:r>
                    <w:rPr>
                      <w:rFonts w:ascii="Stone Sans II ITC Std Bk"/>
                      <w:b/>
                      <w:spacing w:val="-30"/>
                      <w:w w:val="120"/>
                      <w:sz w:val="18"/>
                    </w:rPr>
                    <w:t> </w:t>
                  </w:r>
                  <w:r>
                    <w:rPr>
                      <w:rFonts w:ascii="Stone Sans II ITC Std Bk"/>
                      <w:b/>
                      <w:w w:val="120"/>
                      <w:sz w:val="18"/>
                    </w:rPr>
                    <w:t>if</w:t>
                  </w:r>
                  <w:r>
                    <w:rPr>
                      <w:rFonts w:ascii="Stone Sans II ITC Std Bk"/>
                      <w:b/>
                      <w:spacing w:val="-31"/>
                      <w:w w:val="120"/>
                      <w:sz w:val="18"/>
                    </w:rPr>
                    <w:t> </w:t>
                  </w:r>
                  <w:r>
                    <w:rPr>
                      <w:rFonts w:ascii="Stone Sans II ITC Std Bk"/>
                      <w:b/>
                      <w:w w:val="120"/>
                      <w:sz w:val="18"/>
                    </w:rPr>
                    <w:t>there</w:t>
                  </w:r>
                  <w:r>
                    <w:rPr>
                      <w:rFonts w:ascii="Stone Sans II ITC Std Bk"/>
                      <w:b/>
                      <w:spacing w:val="-30"/>
                      <w:w w:val="120"/>
                      <w:sz w:val="18"/>
                    </w:rPr>
                    <w:t> </w:t>
                  </w:r>
                  <w:r>
                    <w:rPr>
                      <w:rFonts w:ascii="Stone Sans II ITC Std Bk"/>
                      <w:b/>
                      <w:w w:val="120"/>
                      <w:sz w:val="18"/>
                    </w:rPr>
                    <w:t>is</w:t>
                  </w:r>
                  <w:r>
                    <w:rPr>
                      <w:rFonts w:ascii="Stone Sans II ITC Std Bk"/>
                      <w:b/>
                      <w:spacing w:val="-30"/>
                      <w:w w:val="120"/>
                      <w:sz w:val="18"/>
                    </w:rPr>
                    <w:t> </w:t>
                  </w:r>
                  <w:r>
                    <w:rPr>
                      <w:w w:val="120"/>
                      <w:sz w:val="18"/>
                    </w:rPr>
                    <w:t>a small minority of members willing to accept  a proposal that is not their first</w:t>
                  </w:r>
                  <w:r>
                    <w:rPr>
                      <w:spacing w:val="24"/>
                      <w:w w:val="120"/>
                      <w:sz w:val="18"/>
                    </w:rPr>
                    <w:t> </w:t>
                  </w:r>
                  <w:r>
                    <w:rPr>
                      <w:w w:val="120"/>
                      <w:sz w:val="18"/>
                    </w:rPr>
                    <w:t>preference.</w:t>
                  </w:r>
                </w:p>
              </w:txbxContent>
            </v:textbox>
            <v:fill type="solid"/>
            <v:stroke dashstyle="solid"/>
            <w10:wrap type="none"/>
          </v:shape>
        </w:pict>
      </w:r>
      <w:r>
        <w:rPr/>
        <w:pict>
          <v:shape style="position:absolute;margin-left:101.796997pt;margin-top:569.304016pt;width:159.7pt;height:42.9pt;mso-position-horizontal-relative:page;mso-position-vertical-relative:page;z-index:252293120" type="#_x0000_t202" filled="true" fillcolor="#d3e8d5" stroked="true" strokeweight=".5pt" strokecolor="#000000">
            <v:textbox inset="0,0,0,0">
              <w:txbxContent>
                <w:p>
                  <w:pPr>
                    <w:spacing w:before="94"/>
                    <w:ind w:left="122" w:right="0" w:firstLine="0"/>
                    <w:jc w:val="left"/>
                    <w:rPr>
                      <w:rFonts w:ascii="Stone Sans II ITC Std Bk"/>
                      <w:b/>
                      <w:sz w:val="18"/>
                    </w:rPr>
                  </w:pPr>
                  <w:r>
                    <w:rPr>
                      <w:rFonts w:ascii="Stone Sans II ITC Std Bk"/>
                      <w:b/>
                      <w:w w:val="110"/>
                      <w:sz w:val="18"/>
                      <w:u w:val="single"/>
                    </w:rPr>
                    <w:t>Consensus reached.</w:t>
                  </w:r>
                </w:p>
                <w:p>
                  <w:pPr>
                    <w:spacing w:line="261" w:lineRule="auto" w:before="8"/>
                    <w:ind w:left="122" w:right="0" w:firstLine="0"/>
                    <w:jc w:val="left"/>
                    <w:rPr>
                      <w:sz w:val="18"/>
                    </w:rPr>
                  </w:pPr>
                  <w:r>
                    <w:rPr>
                      <w:w w:val="120"/>
                      <w:sz w:val="18"/>
                    </w:rPr>
                    <w:t>This means a decision of the council reached unanimously</w:t>
                  </w:r>
                </w:p>
              </w:txbxContent>
            </v:textbox>
            <v:fill type="solid"/>
            <v:stroke dashstyle="solid"/>
            <w10:wrap type="none"/>
          </v:shape>
        </w:pict>
      </w:r>
    </w:p>
    <w:p>
      <w:pPr>
        <w:pStyle w:val="BodyText"/>
        <w:spacing w:before="5"/>
        <w:rPr>
          <w:i/>
          <w:sz w:val="21"/>
        </w:rPr>
      </w:pPr>
    </w:p>
    <w:p>
      <w:pPr>
        <w:pStyle w:val="Heading5"/>
        <w:ind w:left="827"/>
      </w:pPr>
      <w:r>
        <w:rPr/>
        <w:pict>
          <v:shape style="position:absolute;margin-left:20.519100pt;margin-top:22.693945pt;width:26pt;height:171.3pt;mso-position-horizontal-relative:page;mso-position-vertical-relative:paragraph;z-index:252294144" type="#_x0000_t202" filled="false" stroked="false">
            <v:textbox inset="0,0,0,0" style="layout-flow:vertical">
              <w:txbxContent>
                <w:p>
                  <w:pPr>
                    <w:spacing w:before="29"/>
                    <w:ind w:left="20" w:right="0" w:firstLine="0"/>
                    <w:jc w:val="left"/>
                    <w:rPr>
                      <w:sz w:val="39"/>
                    </w:rPr>
                  </w:pPr>
                  <w:r>
                    <w:rPr>
                      <w:color w:val="FFFFFF"/>
                      <w:w w:val="125"/>
                      <w:sz w:val="39"/>
                    </w:rPr>
                    <w:t>Standing Orders</w:t>
                  </w:r>
                </w:p>
              </w:txbxContent>
            </v:textbox>
            <w10:wrap type="none"/>
          </v:shape>
        </w:pict>
      </w:r>
      <w:r>
        <w:rPr>
          <w:color w:val="7EAABF"/>
          <w:w w:val="120"/>
        </w:rPr>
        <w:t>Standing Orders</w:t>
      </w:r>
    </w:p>
    <w:p>
      <w:pPr>
        <w:pStyle w:val="BodyText"/>
        <w:spacing w:before="7"/>
        <w:rPr>
          <w:sz w:val="26"/>
        </w:rPr>
      </w:pPr>
    </w:p>
    <w:p>
      <w:pPr>
        <w:spacing w:line="196" w:lineRule="auto" w:before="1"/>
        <w:ind w:left="3033" w:right="1528" w:hanging="1779"/>
        <w:jc w:val="left"/>
        <w:rPr>
          <w:rFonts w:ascii="Stone Sans II ITC Std Bk" w:hAnsi="Stone Sans II ITC Std Bk"/>
          <w:b/>
          <w:sz w:val="29"/>
        </w:rPr>
      </w:pPr>
      <w:r>
        <w:rPr>
          <w:rFonts w:ascii="Stone Sans II ITC Std Bk" w:hAnsi="Stone Sans II ITC Std Bk"/>
          <w:b/>
          <w:w w:val="110"/>
          <w:sz w:val="29"/>
        </w:rPr>
        <w:t>Flow Chart to guide the use of Standing Order 4 – Consensus Decision Making</w:t>
      </w:r>
    </w:p>
    <w:p>
      <w:pPr>
        <w:pStyle w:val="BodyText"/>
        <w:spacing w:line="213" w:lineRule="auto" w:before="151"/>
        <w:ind w:left="827" w:right="1528"/>
        <w:rPr>
          <w:rFonts w:ascii="Stone Sans II ITC Std Sm" w:hAnsi="Stone Sans II ITC Std Sm"/>
          <w:b/>
        </w:rPr>
      </w:pPr>
      <w:r>
        <w:rPr/>
        <w:pict>
          <v:group style="position:absolute;margin-left:58.819pt;margin-top:40.918381pt;width:85.75pt;height:40.65pt;mso-position-horizontal-relative:page;mso-position-vertical-relative:paragraph;z-index:252261376" coordorigin="1176,818" coordsize="1715,813">
            <v:rect style="position:absolute;left:1181;top:823;width:1705;height:803" filled="true" fillcolor="#d9effa" stroked="false">
              <v:fill type="solid"/>
            </v:rect>
            <v:rect style="position:absolute;left:1181;top:823;width:1705;height:803" filled="false" stroked="true" strokeweight=".5pt" strokecolor="#000000">
              <v:stroke dashstyle="solid"/>
            </v:rect>
            <v:shape style="position:absolute;left:1247;top:932;width:1570;height:605" type="#_x0000_t202" filled="true" fillcolor="#ffffff" stroked="false">
              <v:textbox inset="0,0,0,0">
                <w:txbxContent>
                  <w:p>
                    <w:pPr>
                      <w:spacing w:before="92"/>
                      <w:ind w:left="50" w:right="60" w:firstLine="0"/>
                      <w:jc w:val="center"/>
                      <w:rPr>
                        <w:sz w:val="18"/>
                      </w:rPr>
                    </w:pPr>
                    <w:r>
                      <w:rPr>
                        <w:w w:val="125"/>
                        <w:sz w:val="18"/>
                      </w:rPr>
                      <w:t>Stage 1:</w:t>
                    </w:r>
                  </w:p>
                  <w:p>
                    <w:pPr>
                      <w:spacing w:line="274" w:lineRule="exact" w:before="19"/>
                      <w:ind w:left="60" w:right="60" w:firstLine="0"/>
                      <w:jc w:val="center"/>
                      <w:rPr>
                        <w:rFonts w:ascii="Stone Sans II ITC Std Bk"/>
                        <w:b/>
                        <w:sz w:val="21"/>
                      </w:rPr>
                    </w:pPr>
                    <w:r>
                      <w:rPr>
                        <w:rFonts w:ascii="Stone Sans II ITC Std Bk"/>
                        <w:b/>
                        <w:w w:val="115"/>
                        <w:sz w:val="21"/>
                      </w:rPr>
                      <w:t>Information</w:t>
                    </w:r>
                  </w:p>
                </w:txbxContent>
              </v:textbox>
              <v:fill type="solid"/>
              <w10:wrap type="none"/>
            </v:shape>
            <w10:wrap type="none"/>
          </v:group>
        </w:pict>
      </w:r>
      <w:r>
        <w:rPr/>
        <w:pict>
          <v:group style="position:absolute;margin-left:303.654114pt;margin-top:78.481682pt;width:7.85pt;height:13.7pt;mso-position-horizontal-relative:page;mso-position-vertical-relative:paragraph;z-index:252270592" coordorigin="6073,1570" coordsize="157,274">
            <v:line style="position:absolute" from="6151,1570" to="6151,1768" stroked="true" strokeweight="1pt" strokecolor="#000000">
              <v:stroke dashstyle="solid"/>
            </v:line>
            <v:shape style="position:absolute;left:6073;top:1759;width:157;height:85" coordorigin="6073,1759" coordsize="157,85" path="m6229,1759l6073,1759,6151,1843,6229,1759xe" filled="true" fillcolor="#000000" stroked="false">
              <v:path arrowok="t"/>
              <v:fill type="solid"/>
            </v:shape>
            <w10:wrap type="none"/>
          </v:group>
        </w:pict>
      </w:r>
      <w:r>
        <w:rPr/>
        <w:pict>
          <v:group style="position:absolute;margin-left:304.108704pt;margin-top:123.333282pt;width:7.8pt;height:11.85pt;mso-position-horizontal-relative:page;mso-position-vertical-relative:paragraph;z-index:252271616" coordorigin="6082,2467" coordsize="156,237">
            <v:line style="position:absolute" from="6156,2467" to="6156,2639" stroked="true" strokeweight="1.476pt" strokecolor="#000000">
              <v:stroke dashstyle="solid"/>
            </v:line>
            <v:shape style="position:absolute;left:6082;top:2614;width:156;height:89" coordorigin="6082,2615" coordsize="156,89" path="m6238,2615l6082,2624,6165,2703,6238,2615xe" filled="true" fillcolor="#000000" stroked="false">
              <v:path arrowok="t"/>
              <v:fill type="solid"/>
            </v:shape>
            <w10:wrap type="none"/>
          </v:group>
        </w:pict>
      </w:r>
      <w:r>
        <w:rPr/>
        <w:pict>
          <v:shape style="position:absolute;margin-left:160.406998pt;margin-top:41.372379pt;width:294.350pt;height:36.9pt;mso-position-horizontal-relative:page;mso-position-vertical-relative:paragraph;z-index:252289024" type="#_x0000_t202" filled="true" fillcolor="#d9effa" stroked="true" strokeweight=".5pt" strokecolor="#000000">
            <v:textbox inset="0,0,0,0">
              <w:txbxContent>
                <w:p>
                  <w:pPr>
                    <w:spacing w:line="261" w:lineRule="auto" w:before="106"/>
                    <w:ind w:left="81" w:right="0" w:firstLine="0"/>
                    <w:jc w:val="left"/>
                    <w:rPr>
                      <w:sz w:val="18"/>
                    </w:rPr>
                  </w:pPr>
                  <w:r>
                    <w:rPr>
                      <w:w w:val="120"/>
                      <w:sz w:val="18"/>
                    </w:rPr>
                    <w:t>The matter to be considered is outlined with some background information. A range of options might be presented</w:t>
                  </w:r>
                </w:p>
              </w:txbxContent>
            </v:textbox>
            <v:fill type="solid"/>
            <v:stroke dashstyle="solid"/>
            <w10:wrap type="none"/>
          </v:shape>
        </w:pict>
      </w:r>
      <w:r>
        <w:rPr>
          <w:rFonts w:ascii="Stone Sans II ITC Std Sm" w:hAnsi="Stone Sans II ITC Std Sm"/>
          <w:b/>
          <w:w w:val="110"/>
        </w:rPr>
        <w:t>NB – this flowchart is only for exploration, and is not definitive. The words always take precedence</w:t>
      </w:r>
    </w:p>
    <w:p>
      <w:pPr>
        <w:pStyle w:val="BodyText"/>
        <w:rPr>
          <w:rFonts w:ascii="Stone Sans II ITC Std Sm"/>
          <w:b/>
        </w:rPr>
      </w:pPr>
    </w:p>
    <w:p>
      <w:pPr>
        <w:pStyle w:val="BodyText"/>
        <w:rPr>
          <w:rFonts w:ascii="Stone Sans II ITC Std Sm"/>
          <w:b/>
        </w:rPr>
      </w:pPr>
    </w:p>
    <w:p>
      <w:pPr>
        <w:pStyle w:val="BodyText"/>
        <w:rPr>
          <w:rFonts w:ascii="Stone Sans II ITC Std Sm"/>
          <w:b/>
        </w:rPr>
      </w:pPr>
    </w:p>
    <w:p>
      <w:pPr>
        <w:pStyle w:val="BodyText"/>
        <w:spacing w:before="8"/>
        <w:rPr>
          <w:rFonts w:ascii="Stone Sans II ITC Std Sm"/>
          <w:b/>
          <w:sz w:val="26"/>
        </w:rPr>
      </w:pPr>
      <w:r>
        <w:rPr/>
        <w:pict>
          <v:shape style="position:absolute;margin-left:193.005997pt;margin-top:20.220144pt;width:217.8pt;height:31.2pt;mso-position-horizontal-relative:page;mso-position-vertical-relative:paragraph;z-index:-251069440;mso-wrap-distance-left:0;mso-wrap-distance-right:0" type="#_x0000_t202" filled="true" fillcolor="#d9effa" stroked="true" strokeweight=".5pt" strokecolor="#000000">
            <v:textbox inset="0,0,0,0">
              <w:txbxContent>
                <w:p>
                  <w:pPr>
                    <w:spacing w:line="261" w:lineRule="auto" w:before="84"/>
                    <w:ind w:left="169" w:right="0" w:firstLine="0"/>
                    <w:jc w:val="left"/>
                    <w:rPr>
                      <w:sz w:val="18"/>
                    </w:rPr>
                  </w:pPr>
                  <w:r>
                    <w:rPr>
                      <w:w w:val="120"/>
                      <w:sz w:val="18"/>
                    </w:rPr>
                    <w:t>Opportunity is provided for questions to be asked or clarification sought</w:t>
                  </w:r>
                </w:p>
              </w:txbxContent>
            </v:textbox>
            <v:fill type="solid"/>
            <v:stroke dashstyle="solid"/>
            <w10:wrap type="topAndBottom"/>
          </v:shape>
        </w:pict>
      </w:r>
      <w:r>
        <w:rPr/>
        <w:pict>
          <v:group style="position:absolute;margin-left:58.819pt;margin-top:63.704144pt;width:85.75pt;height:40.65pt;mso-position-horizontal-relative:page;mso-position-vertical-relative:paragraph;z-index:-251067392;mso-wrap-distance-left:0;mso-wrap-distance-right:0" coordorigin="1176,1274" coordsize="1715,813">
            <v:rect style="position:absolute;left:1181;top:1279;width:1705;height:803" filled="true" fillcolor="#f9d6e1" stroked="false">
              <v:fill type="solid"/>
            </v:rect>
            <v:rect style="position:absolute;left:1181;top:1279;width:1705;height:803" filled="false" stroked="true" strokeweight=".5pt" strokecolor="#000000">
              <v:stroke dashstyle="solid"/>
            </v:rect>
            <v:shape style="position:absolute;left:1247;top:1373;width:1570;height:605" type="#_x0000_t202" filled="true" fillcolor="#ffffff" stroked="false">
              <v:textbox inset="0,0,0,0">
                <w:txbxContent>
                  <w:p>
                    <w:pPr>
                      <w:spacing w:before="92"/>
                      <w:ind w:left="60" w:right="60" w:firstLine="0"/>
                      <w:jc w:val="center"/>
                      <w:rPr>
                        <w:sz w:val="18"/>
                      </w:rPr>
                    </w:pPr>
                    <w:r>
                      <w:rPr>
                        <w:w w:val="125"/>
                        <w:sz w:val="18"/>
                      </w:rPr>
                      <w:t>Stage 2:</w:t>
                    </w:r>
                  </w:p>
                  <w:p>
                    <w:pPr>
                      <w:spacing w:line="274" w:lineRule="exact" w:before="19"/>
                      <w:ind w:left="60" w:right="60" w:firstLine="0"/>
                      <w:jc w:val="center"/>
                      <w:rPr>
                        <w:rFonts w:ascii="Stone Sans II ITC Std Bk"/>
                        <w:b/>
                        <w:sz w:val="21"/>
                      </w:rPr>
                    </w:pPr>
                    <w:r>
                      <w:rPr>
                        <w:rFonts w:ascii="Stone Sans II ITC Std Bk"/>
                        <w:b/>
                        <w:w w:val="115"/>
                        <w:sz w:val="21"/>
                      </w:rPr>
                      <w:t>Discussion</w:t>
                    </w:r>
                  </w:p>
                </w:txbxContent>
              </v:textbox>
              <v:fill type="solid"/>
              <w10:wrap type="none"/>
            </v:shape>
            <w10:wrap type="topAndBottom"/>
          </v:group>
        </w:pict>
      </w:r>
      <w:r>
        <w:rPr/>
        <w:pict>
          <v:shape style="position:absolute;margin-left:160.406998pt;margin-top:63.244144pt;width:287.25pt;height:42.9pt;mso-position-horizontal-relative:page;mso-position-vertical-relative:paragraph;z-index:-251066368;mso-wrap-distance-left:0;mso-wrap-distance-right:0" type="#_x0000_t202" filled="true" fillcolor="#f9d6e1" stroked="true" strokeweight=".5pt" strokecolor="#000000">
            <v:textbox inset="0,0,0,0">
              <w:txbxContent>
                <w:p>
                  <w:pPr>
                    <w:spacing w:line="261" w:lineRule="auto" w:before="117"/>
                    <w:ind w:left="274" w:right="33" w:firstLine="0"/>
                    <w:jc w:val="left"/>
                    <w:rPr>
                      <w:sz w:val="18"/>
                    </w:rPr>
                  </w:pPr>
                  <w:r>
                    <w:rPr>
                      <w:w w:val="120"/>
                      <w:sz w:val="18"/>
                    </w:rPr>
                    <w:t>This is the opportunity for discussion of various viewpoints and vigorous debate on different opinions. The aim is to clarify a proposal – if it is not already clear</w:t>
                  </w:r>
                </w:p>
              </w:txbxContent>
            </v:textbox>
            <v:fill type="solid"/>
            <v:stroke dashstyle="solid"/>
            <w10:wrap type="topAndBottom"/>
          </v:shape>
        </w:pict>
      </w:r>
      <w:r>
        <w:rPr/>
        <w:pict>
          <v:shape style="position:absolute;margin-left:210.014008pt;margin-top:113.557144pt;width:192.05pt;height:51.95pt;mso-position-horizontal-relative:page;mso-position-vertical-relative:paragraph;z-index:-251065344;mso-wrap-distance-left:0;mso-wrap-distance-right:0" type="#_x0000_t202" filled="true" fillcolor="#f9d6e1" stroked="true" strokeweight=".5pt" strokecolor="#000000">
            <v:textbox inset="0,0,0,0">
              <w:txbxContent>
                <w:p>
                  <w:pPr>
                    <w:spacing w:line="215" w:lineRule="exact" w:before="73"/>
                    <w:ind w:left="144" w:right="0" w:firstLine="0"/>
                    <w:jc w:val="left"/>
                    <w:rPr>
                      <w:sz w:val="18"/>
                    </w:rPr>
                  </w:pPr>
                  <w:r>
                    <w:rPr>
                      <w:w w:val="125"/>
                      <w:sz w:val="18"/>
                    </w:rPr>
                    <w:t>This time might include such things as:</w:t>
                  </w:r>
                </w:p>
                <w:p>
                  <w:pPr>
                    <w:numPr>
                      <w:ilvl w:val="0"/>
                      <w:numId w:val="137"/>
                    </w:numPr>
                    <w:tabs>
                      <w:tab w:pos="825" w:val="left" w:leader="none"/>
                    </w:tabs>
                    <w:spacing w:line="240" w:lineRule="exact" w:before="0"/>
                    <w:ind w:left="824" w:right="0" w:hanging="293"/>
                    <w:jc w:val="left"/>
                    <w:rPr>
                      <w:i/>
                      <w:sz w:val="18"/>
                    </w:rPr>
                  </w:pPr>
                  <w:r>
                    <w:rPr>
                      <w:i/>
                      <w:w w:val="110"/>
                      <w:sz w:val="18"/>
                    </w:rPr>
                    <w:t>Prayer</w:t>
                  </w:r>
                </w:p>
                <w:p>
                  <w:pPr>
                    <w:numPr>
                      <w:ilvl w:val="0"/>
                      <w:numId w:val="137"/>
                    </w:numPr>
                    <w:tabs>
                      <w:tab w:pos="825" w:val="left" w:leader="none"/>
                    </w:tabs>
                    <w:spacing w:line="240" w:lineRule="exact" w:before="0"/>
                    <w:ind w:left="824" w:right="0" w:hanging="293"/>
                    <w:jc w:val="left"/>
                    <w:rPr>
                      <w:i/>
                      <w:sz w:val="18"/>
                    </w:rPr>
                  </w:pPr>
                  <w:r>
                    <w:rPr>
                      <w:i/>
                      <w:w w:val="110"/>
                      <w:sz w:val="18"/>
                    </w:rPr>
                    <w:t>Chance to share</w:t>
                  </w:r>
                  <w:r>
                    <w:rPr>
                      <w:i/>
                      <w:spacing w:val="13"/>
                      <w:w w:val="110"/>
                      <w:sz w:val="18"/>
                    </w:rPr>
                    <w:t> </w:t>
                  </w:r>
                  <w:r>
                    <w:rPr>
                      <w:i/>
                      <w:w w:val="110"/>
                      <w:sz w:val="18"/>
                    </w:rPr>
                    <w:t>stories</w:t>
                  </w:r>
                </w:p>
                <w:p>
                  <w:pPr>
                    <w:numPr>
                      <w:ilvl w:val="0"/>
                      <w:numId w:val="137"/>
                    </w:numPr>
                    <w:tabs>
                      <w:tab w:pos="825" w:val="left" w:leader="none"/>
                    </w:tabs>
                    <w:spacing w:line="245" w:lineRule="exact" w:before="0"/>
                    <w:ind w:left="824" w:right="0" w:hanging="293"/>
                    <w:jc w:val="left"/>
                    <w:rPr>
                      <w:i/>
                      <w:sz w:val="18"/>
                    </w:rPr>
                  </w:pPr>
                  <w:r>
                    <w:rPr>
                      <w:i/>
                      <w:w w:val="115"/>
                      <w:sz w:val="18"/>
                    </w:rPr>
                    <w:t>Buzz groups</w:t>
                  </w:r>
                </w:p>
              </w:txbxContent>
            </v:textbox>
            <v:fill type="solid"/>
            <v:stroke dashstyle="solid"/>
            <w10:wrap type="topAndBottom"/>
          </v:shape>
        </w:pict>
      </w:r>
    </w:p>
    <w:p>
      <w:pPr>
        <w:pStyle w:val="BodyText"/>
        <w:spacing w:before="10"/>
        <w:rPr>
          <w:rFonts w:ascii="Stone Sans II ITC Std Sm"/>
          <w:b/>
          <w:sz w:val="11"/>
        </w:rPr>
      </w:pPr>
    </w:p>
    <w:p>
      <w:pPr>
        <w:pStyle w:val="BodyText"/>
        <w:spacing w:before="3"/>
        <w:rPr>
          <w:rFonts w:ascii="Stone Sans II ITC Std Sm"/>
          <w:b/>
          <w:sz w:val="5"/>
        </w:rPr>
      </w:pPr>
    </w:p>
    <w:p>
      <w:pPr>
        <w:pStyle w:val="BodyText"/>
        <w:spacing w:before="3"/>
        <w:rPr>
          <w:rFonts w:ascii="Stone Sans II ITC Std Sm"/>
          <w:b/>
          <w:sz w:val="7"/>
        </w:rPr>
      </w:pPr>
    </w:p>
    <w:p>
      <w:pPr>
        <w:pStyle w:val="BodyText"/>
        <w:ind w:left="756"/>
        <w:rPr>
          <w:rFonts w:ascii="Stone Sans II ITC Std Sm"/>
        </w:rPr>
      </w:pPr>
      <w:r>
        <w:rPr>
          <w:rFonts w:ascii="Stone Sans II ITC Std Sm"/>
        </w:rPr>
        <w:pict>
          <v:group style="width:70.2pt;height:43.95pt;mso-position-horizontal-relative:char;mso-position-vertical-relative:line" coordorigin="0,0" coordsize="1404,879">
            <v:rect style="position:absolute;left:5;top:5;width:1394;height:869" filled="true" fillcolor="#fff9c3" stroked="false">
              <v:fill type="solid"/>
            </v:rect>
            <v:rect style="position:absolute;left:5;top:5;width:1394;height:869" filled="false" stroked="true" strokeweight=".5pt" strokecolor="#000000">
              <v:stroke dashstyle="solid"/>
            </v:rect>
            <v:shape style="position:absolute;left:70;top:99;width:1276;height:691" type="#_x0000_t202" filled="true" fillcolor="#ffffff" stroked="false">
              <v:textbox inset="0,0,0,0">
                <w:txbxContent>
                  <w:p>
                    <w:pPr>
                      <w:spacing w:before="135"/>
                      <w:ind w:left="120" w:right="121" w:firstLine="0"/>
                      <w:jc w:val="center"/>
                      <w:rPr>
                        <w:sz w:val="18"/>
                      </w:rPr>
                    </w:pPr>
                    <w:r>
                      <w:rPr>
                        <w:w w:val="125"/>
                        <w:sz w:val="18"/>
                      </w:rPr>
                      <w:t>Stage 3:</w:t>
                    </w:r>
                  </w:p>
                  <w:p>
                    <w:pPr>
                      <w:spacing w:before="19"/>
                      <w:ind w:left="121" w:right="121" w:firstLine="0"/>
                      <w:jc w:val="center"/>
                      <w:rPr>
                        <w:rFonts w:ascii="Stone Sans II ITC Std Bk"/>
                        <w:b/>
                        <w:sz w:val="21"/>
                      </w:rPr>
                    </w:pPr>
                    <w:r>
                      <w:rPr>
                        <w:rFonts w:ascii="Stone Sans II ITC Std Bk"/>
                        <w:b/>
                        <w:w w:val="115"/>
                        <w:sz w:val="21"/>
                      </w:rPr>
                      <w:t>Decision</w:t>
                    </w:r>
                  </w:p>
                </w:txbxContent>
              </v:textbox>
              <v:fill type="solid"/>
              <w10:wrap type="none"/>
            </v:shape>
          </v:group>
        </w:pict>
      </w:r>
      <w:r>
        <w:rPr>
          <w:rFonts w:ascii="Stone Sans II ITC Std Sm"/>
        </w:rPr>
      </w:r>
      <w:r>
        <w:rPr>
          <w:rFonts w:ascii="Times New Roman"/>
          <w:spacing w:val="-1"/>
        </w:rPr>
        <w:t> </w:t>
      </w:r>
      <w:r>
        <w:rPr>
          <w:rFonts w:ascii="Stone Sans II ITC Std Sm"/>
          <w:spacing w:val="-1"/>
          <w:position w:val="0"/>
        </w:rPr>
        <w:pict>
          <v:shape style="width:356.7pt;height:42.9pt;mso-position-horizontal-relative:char;mso-position-vertical-relative:line" type="#_x0000_t202" filled="true" fillcolor="#fff9c3" stroked="true" strokeweight=".5pt" strokecolor="#000000">
            <w10:anchorlock/>
            <v:textbox inset="0,0,0,0">
              <w:txbxContent>
                <w:p>
                  <w:pPr>
                    <w:spacing w:line="261" w:lineRule="auto" w:before="94"/>
                    <w:ind w:left="130" w:right="0" w:firstLine="0"/>
                    <w:jc w:val="left"/>
                    <w:rPr>
                      <w:sz w:val="18"/>
                    </w:rPr>
                  </w:pPr>
                  <w:r>
                    <w:rPr>
                      <w:w w:val="120"/>
                      <w:sz w:val="18"/>
                    </w:rPr>
                    <w:t>The discussion continues but now with speakers outlining the advantages and disadvantages of the proposal. Speakers are encouraged to suggest a way forward rather than merely speaking with passion for a pre-determined view</w:t>
                  </w:r>
                </w:p>
              </w:txbxContent>
            </v:textbox>
            <v:fill type="solid"/>
            <v:stroke dashstyle="solid"/>
          </v:shape>
        </w:pict>
      </w:r>
      <w:r>
        <w:rPr>
          <w:rFonts w:ascii="Stone Sans II ITC Std Sm"/>
          <w:spacing w:val="-1"/>
          <w:position w:val="0"/>
        </w:rPr>
      </w:r>
    </w:p>
    <w:p>
      <w:pPr>
        <w:pStyle w:val="BodyText"/>
        <w:rPr>
          <w:rFonts w:ascii="Stone Sans II ITC Std Sm"/>
          <w:b/>
          <w:sz w:val="11"/>
        </w:rPr>
      </w:pPr>
      <w:r>
        <w:rPr/>
        <w:pict>
          <v:shape style="position:absolute;margin-left:144.817001pt;margin-top:9.644pt;width:324.1pt;height:31.2pt;mso-position-horizontal-relative:page;mso-position-vertical-relative:paragraph;z-index:-251061248;mso-wrap-distance-left:0;mso-wrap-distance-right:0" type="#_x0000_t202" filled="true" fillcolor="#fff9c3" stroked="true" strokeweight=".5pt" strokecolor="#000000">
            <v:textbox inset="0,0,0,0">
              <w:txbxContent>
                <w:p>
                  <w:pPr>
                    <w:spacing w:before="97"/>
                    <w:ind w:left="114" w:right="0" w:firstLine="0"/>
                    <w:jc w:val="left"/>
                    <w:rPr>
                      <w:sz w:val="18"/>
                    </w:rPr>
                  </w:pPr>
                  <w:r>
                    <w:rPr>
                      <w:w w:val="120"/>
                      <w:sz w:val="18"/>
                    </w:rPr>
                    <w:t>Minor changes of wording may be agreed as the discussion proceeds.</w:t>
                  </w:r>
                </w:p>
                <w:p>
                  <w:pPr>
                    <w:spacing w:before="9"/>
                    <w:ind w:left="114" w:right="0" w:firstLine="0"/>
                    <w:jc w:val="left"/>
                    <w:rPr>
                      <w:rFonts w:ascii="Stone Sans II ITC Std Bk"/>
                      <w:b/>
                      <w:sz w:val="18"/>
                    </w:rPr>
                  </w:pPr>
                  <w:r>
                    <w:rPr>
                      <w:rFonts w:ascii="Stone Sans II ITC Std Bk"/>
                      <w:b/>
                      <w:w w:val="110"/>
                      <w:sz w:val="18"/>
                    </w:rPr>
                    <w:t>Major changes require a proposer and seconder</w:t>
                  </w:r>
                </w:p>
              </w:txbxContent>
            </v:textbox>
            <v:fill type="solid"/>
            <v:stroke dashstyle="solid"/>
            <w10:wrap type="topAndBottom"/>
          </v:shape>
        </w:pict>
      </w:r>
      <w:r>
        <w:rPr/>
        <w:pict>
          <v:shape style="position:absolute;margin-left:160.406998pt;margin-top:57.120998pt;width:287.25pt;height:42.9pt;mso-position-horizontal-relative:page;mso-position-vertical-relative:paragraph;z-index:-251060224;mso-wrap-distance-left:0;mso-wrap-distance-right:0" type="#_x0000_t202" filled="true" fillcolor="#fff9c3" stroked="true" strokeweight=".5pt" strokecolor="#000000">
            <v:textbox inset="0,0,0,0">
              <w:txbxContent>
                <w:p>
                  <w:pPr>
                    <w:spacing w:line="261" w:lineRule="auto" w:before="92"/>
                    <w:ind w:left="156" w:right="155" w:firstLine="0"/>
                    <w:jc w:val="both"/>
                    <w:rPr>
                      <w:sz w:val="18"/>
                    </w:rPr>
                  </w:pPr>
                  <w:r>
                    <w:rPr>
                      <w:w w:val="120"/>
                      <w:sz w:val="18"/>
                    </w:rPr>
                    <w:t>The Moderator tests the reactions of the meeting to various contributions and when it seems right tests the mood of the meeting on the proposal as it is at this stage</w:t>
                  </w:r>
                </w:p>
              </w:txbxContent>
            </v:textbox>
            <v:fill type="solid"/>
            <v:stroke dashstyle="solid"/>
            <w10:wrap type="topAndBottom"/>
          </v:shape>
        </w:pict>
      </w:r>
    </w:p>
    <w:p>
      <w:pPr>
        <w:pStyle w:val="BodyText"/>
        <w:spacing w:before="4"/>
        <w:rPr>
          <w:rFonts w:ascii="Stone Sans II ITC Std Sm"/>
          <w:b/>
          <w:sz w:val="18"/>
        </w:rPr>
      </w:pPr>
    </w:p>
    <w:p>
      <w:pPr>
        <w:pStyle w:val="BodyText"/>
        <w:rPr>
          <w:rFonts w:ascii="Stone Sans II ITC Std Sm"/>
          <w:b/>
        </w:rPr>
      </w:pPr>
    </w:p>
    <w:p>
      <w:pPr>
        <w:pStyle w:val="BodyText"/>
        <w:spacing w:before="10" w:after="1"/>
        <w:rPr>
          <w:rFonts w:ascii="Stone Sans II ITC Std Sm"/>
          <w:b/>
          <w:sz w:val="27"/>
        </w:rPr>
      </w:pPr>
    </w:p>
    <w:tbl>
      <w:tblPr>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7"/>
        <w:gridCol w:w="991"/>
        <w:gridCol w:w="1209"/>
        <w:gridCol w:w="2187"/>
        <w:gridCol w:w="1920"/>
        <w:gridCol w:w="1920"/>
        <w:gridCol w:w="208"/>
      </w:tblGrid>
      <w:tr>
        <w:trPr>
          <w:trHeight w:val="613" w:hRule="atLeast"/>
        </w:trPr>
        <w:tc>
          <w:tcPr>
            <w:tcW w:w="1337" w:type="dxa"/>
            <w:tcBorders>
              <w:top w:val="nil"/>
              <w:left w:val="nil"/>
              <w:bottom w:val="nil"/>
            </w:tcBorders>
          </w:tcPr>
          <w:p>
            <w:pPr>
              <w:pStyle w:val="TableParagraph"/>
              <w:rPr>
                <w:rFonts w:ascii="Times New Roman"/>
                <w:sz w:val="20"/>
              </w:rPr>
            </w:pPr>
          </w:p>
        </w:tc>
        <w:tc>
          <w:tcPr>
            <w:tcW w:w="2200" w:type="dxa"/>
            <w:gridSpan w:val="2"/>
            <w:shd w:val="clear" w:color="auto" w:fill="D3E8D5"/>
          </w:tcPr>
          <w:p>
            <w:pPr>
              <w:pStyle w:val="TableParagraph"/>
              <w:spacing w:line="261" w:lineRule="auto" w:before="83"/>
              <w:ind w:left="92"/>
              <w:rPr>
                <w:sz w:val="18"/>
              </w:rPr>
            </w:pPr>
            <w:r>
              <w:rPr>
                <w:w w:val="120"/>
                <w:sz w:val="18"/>
              </w:rPr>
              <w:t>All show orange (feel warm to the proposal)</w:t>
            </w:r>
          </w:p>
        </w:tc>
        <w:tc>
          <w:tcPr>
            <w:tcW w:w="2187" w:type="dxa"/>
            <w:tcBorders>
              <w:top w:val="nil"/>
              <w:bottom w:val="nil"/>
            </w:tcBorders>
          </w:tcPr>
          <w:p>
            <w:pPr>
              <w:pStyle w:val="TableParagraph"/>
              <w:rPr>
                <w:rFonts w:ascii="Times New Roman"/>
                <w:sz w:val="20"/>
              </w:rPr>
            </w:pPr>
          </w:p>
        </w:tc>
        <w:tc>
          <w:tcPr>
            <w:tcW w:w="3840" w:type="dxa"/>
            <w:gridSpan w:val="2"/>
            <w:shd w:val="clear" w:color="auto" w:fill="D3E8D5"/>
          </w:tcPr>
          <w:p>
            <w:pPr>
              <w:pStyle w:val="TableParagraph"/>
              <w:spacing w:line="261" w:lineRule="auto" w:before="111"/>
              <w:ind w:left="134"/>
              <w:rPr>
                <w:sz w:val="18"/>
              </w:rPr>
            </w:pPr>
            <w:r>
              <w:rPr>
                <w:w w:val="125"/>
                <w:sz w:val="18"/>
              </w:rPr>
              <w:t>Some blue (feeling cold to the proposal and not inclined or willing to accept it)</w:t>
            </w:r>
          </w:p>
        </w:tc>
        <w:tc>
          <w:tcPr>
            <w:tcW w:w="208" w:type="dxa"/>
            <w:tcBorders>
              <w:top w:val="nil"/>
              <w:bottom w:val="nil"/>
              <w:right w:val="nil"/>
            </w:tcBorders>
          </w:tcPr>
          <w:p>
            <w:pPr>
              <w:pStyle w:val="TableParagraph"/>
              <w:rPr>
                <w:rFonts w:ascii="Times New Roman"/>
                <w:sz w:val="20"/>
              </w:rPr>
            </w:pPr>
          </w:p>
        </w:tc>
      </w:tr>
      <w:tr>
        <w:trPr>
          <w:trHeight w:val="174" w:hRule="atLeast"/>
        </w:trPr>
        <w:tc>
          <w:tcPr>
            <w:tcW w:w="2328" w:type="dxa"/>
            <w:gridSpan w:val="2"/>
            <w:tcBorders>
              <w:top w:val="nil"/>
              <w:left w:val="nil"/>
              <w:bottom w:val="dashSmallGap" w:sz="8" w:space="0" w:color="000000"/>
              <w:right w:val="single" w:sz="8" w:space="0" w:color="000000"/>
            </w:tcBorders>
          </w:tcPr>
          <w:p>
            <w:pPr>
              <w:pStyle w:val="TableParagraph"/>
              <w:rPr>
                <w:rFonts w:ascii="Times New Roman"/>
                <w:sz w:val="10"/>
              </w:rPr>
            </w:pPr>
          </w:p>
        </w:tc>
        <w:tc>
          <w:tcPr>
            <w:tcW w:w="5316" w:type="dxa"/>
            <w:gridSpan w:val="3"/>
            <w:tcBorders>
              <w:top w:val="nil"/>
              <w:left w:val="single" w:sz="8" w:space="0" w:color="000000"/>
              <w:bottom w:val="dashSmallGap" w:sz="8" w:space="0" w:color="000000"/>
              <w:right w:val="single" w:sz="8" w:space="0" w:color="000000"/>
            </w:tcBorders>
          </w:tcPr>
          <w:p>
            <w:pPr>
              <w:pStyle w:val="TableParagraph"/>
              <w:rPr>
                <w:rFonts w:ascii="Times New Roman"/>
                <w:sz w:val="10"/>
              </w:rPr>
            </w:pPr>
          </w:p>
        </w:tc>
        <w:tc>
          <w:tcPr>
            <w:tcW w:w="2128" w:type="dxa"/>
            <w:gridSpan w:val="2"/>
            <w:tcBorders>
              <w:top w:val="nil"/>
              <w:left w:val="single" w:sz="8" w:space="0" w:color="000000"/>
              <w:bottom w:val="dashSmallGap" w:sz="8" w:space="0" w:color="000000"/>
              <w:right w:val="nil"/>
            </w:tcBorders>
          </w:tcPr>
          <w:p>
            <w:pPr>
              <w:pStyle w:val="TableParagraph"/>
              <w:rPr>
                <w:rFonts w:ascii="Times New Roman"/>
                <w:sz w:val="10"/>
              </w:rPr>
            </w:pPr>
          </w:p>
        </w:tc>
      </w:tr>
    </w:tbl>
    <w:p>
      <w:pPr>
        <w:spacing w:after="0"/>
        <w:rPr>
          <w:rFonts w:ascii="Times New Roman"/>
          <w:sz w:val="10"/>
        </w:rPr>
        <w:sectPr>
          <w:headerReference w:type="even" r:id="rId544"/>
          <w:footerReference w:type="even" r:id="rId545"/>
          <w:pgSz w:w="11910" w:h="16840"/>
          <w:pgMar w:header="0" w:footer="647" w:top="0" w:bottom="840" w:left="420" w:right="380"/>
          <w:pgNumType w:start="204"/>
        </w:sectPr>
      </w:pPr>
    </w:p>
    <w:p>
      <w:pPr>
        <w:pStyle w:val="BodyText"/>
        <w:spacing w:before="10"/>
        <w:rPr>
          <w:rFonts w:ascii="Stone Sans II ITC Std Sm"/>
          <w:b/>
          <w:sz w:val="14"/>
        </w:rPr>
      </w:pPr>
    </w:p>
    <w:p>
      <w:pPr>
        <w:spacing w:after="0"/>
        <w:rPr>
          <w:rFonts w:ascii="Stone Sans II ITC Std Sm"/>
          <w:sz w:val="14"/>
        </w:rPr>
        <w:sectPr>
          <w:headerReference w:type="default" r:id="rId546"/>
          <w:footerReference w:type="default" r:id="rId547"/>
          <w:pgSz w:w="11910" w:h="16840"/>
          <w:pgMar w:header="0" w:footer="0" w:top="1580" w:bottom="280" w:left="420" w:right="380"/>
        </w:sectPr>
      </w:pPr>
    </w:p>
    <w:p>
      <w:pPr>
        <w:pStyle w:val="BodyText"/>
        <w:spacing w:before="10"/>
        <w:rPr>
          <w:rFonts w:ascii="Stone Sans II ITC Std Sm"/>
          <w:b/>
          <w:sz w:val="14"/>
        </w:rPr>
      </w:pPr>
      <w:r>
        <w:rPr/>
        <w:drawing>
          <wp:anchor distT="0" distB="0" distL="0" distR="0" allowOverlap="1" layoutInCell="1" locked="0" behindDoc="1" simplePos="0" relativeHeight="236327936">
            <wp:simplePos x="0" y="0"/>
            <wp:positionH relativeFrom="page">
              <wp:posOffset>0</wp:posOffset>
            </wp:positionH>
            <wp:positionV relativeFrom="page">
              <wp:posOffset>0</wp:posOffset>
            </wp:positionV>
            <wp:extent cx="7559992" cy="10692003"/>
            <wp:effectExtent l="0" t="0" r="0" b="0"/>
            <wp:wrapNone/>
            <wp:docPr id="389" name="image88.png"/>
            <wp:cNvGraphicFramePr>
              <a:graphicFrameLocks noChangeAspect="1"/>
            </wp:cNvGraphicFramePr>
            <a:graphic>
              <a:graphicData uri="http://schemas.openxmlformats.org/drawingml/2006/picture">
                <pic:pic>
                  <pic:nvPicPr>
                    <pic:cNvPr id="390" name="image88.png"/>
                    <pic:cNvPicPr/>
                  </pic:nvPicPr>
                  <pic:blipFill>
                    <a:blip r:embed="rId550" cstate="print"/>
                    <a:stretch>
                      <a:fillRect/>
                    </a:stretch>
                  </pic:blipFill>
                  <pic:spPr>
                    <a:xfrm>
                      <a:off x="0" y="0"/>
                      <a:ext cx="7559992" cy="10692003"/>
                    </a:xfrm>
                    <a:prstGeom prst="rect">
                      <a:avLst/>
                    </a:prstGeom>
                  </pic:spPr>
                </pic:pic>
              </a:graphicData>
            </a:graphic>
          </wp:anchor>
        </w:drawing>
      </w:r>
    </w:p>
    <w:sectPr>
      <w:headerReference w:type="even" r:id="rId548"/>
      <w:footerReference w:type="even" r:id="rId549"/>
      <w:pgSz w:w="11910" w:h="16840"/>
      <w:pgMar w:header="0" w:footer="0" w:top="1580" w:bottom="280" w:left="4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tone Sans II ITC Std Bk">
    <w:altName w:val="Stone Sans II ITC Std Bk"/>
    <w:charset w:val="0"/>
    <w:family w:val="swiss"/>
    <w:pitch w:val="variable"/>
  </w:font>
  <w:font w:name="Stone Sans II ITC Std X Bd">
    <w:altName w:val="Stone Sans II ITC Std X Bd"/>
    <w:charset w:val="0"/>
    <w:family w:val="swiss"/>
    <w:pitch w:val="variable"/>
  </w:font>
  <w:font w:name="Stone Sans II ITC Std Lt">
    <w:altName w:val="Stone Sans II ITC Std Lt"/>
    <w:charset w:val="0"/>
    <w:family w:val="swiss"/>
    <w:pitch w:val="variable"/>
  </w:font>
  <w:font w:name="Myriad Pro">
    <w:altName w:val="Myriad Pro"/>
    <w:charset w:val="0"/>
    <w:family w:val="swiss"/>
    <w:pitch w:val="variable"/>
  </w:font>
  <w:font w:name="Stone Sans II ITC Std Sm">
    <w:altName w:val="Stone Sans II ITC Std Sm"/>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62137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1216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15</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2307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2204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107</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2102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52000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109</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51897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110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1692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112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1590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113</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1488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114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1385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115</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1283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116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1180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117</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1078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118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808.53833pt;width:321.850pt;height:17.150pt;mso-position-horizontal-relative:page;mso-position-vertical-relative:page;z-index:-26750976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119</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50873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120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0566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123</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0464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124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1011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17</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0361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125</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0259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126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0156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127</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50054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128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9952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129</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9849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130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9747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131</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96448" type="#_x0000_t202" filled="false" stroked="false">
          <v:textbox inset="0,0,0,0">
            <w:txbxContent>
              <w:p>
                <w:pPr>
                  <w:spacing w:before="16"/>
                  <w:ind w:left="60" w:right="0" w:firstLine="0"/>
                  <w:jc w:val="left"/>
                  <w:rPr>
                    <w:sz w:val="23"/>
                  </w:rPr>
                </w:pPr>
                <w:r>
                  <w:rPr>
                    <w:rFonts w:ascii="Stone Sans II ITC Std X Bd" w:hAnsi="Stone Sans II ITC Std X Bd"/>
                    <w:b/>
                    <w:w w:val="110"/>
                    <w:sz w:val="24"/>
                  </w:rPr>
                  <w:t>132</w:t>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9440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134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9235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136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9030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138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8928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139</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8723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141</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86208" type="#_x0000_t202" filled="false" stroked="false">
          <v:textbox inset="0,0,0,0">
            <w:txbxContent>
              <w:p>
                <w:pPr>
                  <w:spacing w:before="16"/>
                  <w:ind w:left="60" w:right="0" w:firstLine="0"/>
                  <w:jc w:val="left"/>
                  <w:rPr>
                    <w:sz w:val="23"/>
                  </w:rPr>
                </w:pPr>
                <w:r>
                  <w:rPr>
                    <w:rFonts w:ascii="Stone Sans II ITC Std X Bd" w:hAnsi="Stone Sans II ITC Std X Bd"/>
                    <w:b/>
                    <w:w w:val="110"/>
                    <w:sz w:val="24"/>
                  </w:rPr>
                  <w:t>142</w:t>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8518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143</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8416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144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0908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19</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8313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145</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8211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146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8108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147</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8006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148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7904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149</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7801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150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7699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151</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75968" type="#_x0000_t202" filled="false" stroked="false">
          <v:textbox inset="0,0,0,0">
            <w:txbxContent>
              <w:p>
                <w:pPr>
                  <w:spacing w:before="16"/>
                  <w:ind w:left="60" w:right="0" w:firstLine="0"/>
                  <w:jc w:val="left"/>
                  <w:rPr>
                    <w:sz w:val="23"/>
                  </w:rPr>
                </w:pPr>
                <w:r>
                  <w:rPr>
                    <w:rFonts w:ascii="Stone Sans II ITC Std X Bd" w:hAnsi="Stone Sans II ITC Std X Bd"/>
                    <w:b/>
                    <w:w w:val="110"/>
                    <w:sz w:val="24"/>
                  </w:rPr>
                  <w:t>152</w:t>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7494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153</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7392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154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7289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155</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7187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156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7084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157</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6982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158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6777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160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6572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162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6470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163</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6368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164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60704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2016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21</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6265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165</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6163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166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6060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167</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5958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168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5856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169</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5753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170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5651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171</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5548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172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5446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173</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5344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174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5241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175</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5139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176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45036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177</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4934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178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4832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179</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4729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180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4524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182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4422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183</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4320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184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60499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23</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4217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185</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4115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186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3910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188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3808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189</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1.362202pt;margin-top:798.53833pt;width:322.2pt;height:17.150pt;mso-position-horizontal-relative:page;mso-position-vertical-relative:page;z-index:-267437056" type="#_x0000_t202" filled="false" stroked="false">
          <v:textbox inset="0,0,0,0">
            <w:txbxContent>
              <w:p>
                <w:pPr>
                  <w:spacing w:before="16"/>
                  <w:ind w:left="20" w:right="0" w:firstLine="0"/>
                  <w:jc w:val="left"/>
                  <w:rPr>
                    <w:sz w:val="23"/>
                  </w:rPr>
                </w:pPr>
                <w:r>
                  <w:rPr>
                    <w:rFonts w:ascii="Stone Sans II ITC Std X Bd" w:hAnsi="Stone Sans II ITC Std X Bd"/>
                    <w:b/>
                    <w:w w:val="110"/>
                    <w:sz w:val="24"/>
                  </w:rPr>
                  <w:t>190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1.850pt;height:17.150pt;mso-position-horizontal-relative:page;mso-position-vertical-relative:page;z-index:-26743603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rFonts w:ascii="Stone Sans II ITC Std X Bd" w:hAnsi="Stone Sans II ITC Std X Bd"/>
                    <w:b/>
                    <w:w w:val="110"/>
                    <w:sz w:val="24"/>
                  </w:rPr>
                  <w:t>191</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3500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192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3398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193</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3296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194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60396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43193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195</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3091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196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42988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197</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2886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198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42784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199</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2681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200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42579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201</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2476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202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721802pt;margin-top:798.53833pt;width:324.2pt;height:17.150pt;mso-position-horizontal-relative:page;mso-position-vertical-relative:page;z-index:-26742374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203</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4.2pt;height:17.150pt;mso-position-horizontal-relative:page;mso-position-vertical-relative:page;z-index:-26742272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204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2035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0294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25</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60192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0089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27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9987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28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9884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29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9782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30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9680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31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9577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32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9372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34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b/>
                    <w:color w:val="7EAABF"/>
                    <w:w w:val="110"/>
                    <w:sz w:val="23"/>
                  </w:rPr>
                  <w:t></w:t>
                </w:r>
                <w:r>
                  <w:rPr>
                    <w:rFonts w:ascii="Times New Roman" w:hAnsi="Times New Roman"/>
                    <w:b/>
                    <w:color w:val="7EAABF"/>
                    <w:w w:val="110"/>
                    <w:sz w:val="23"/>
                  </w:rPr>
                  <w:t> </w:t>
                </w:r>
                <w:r>
                  <w:rPr>
                    <w:color w:val="7EAABF"/>
                    <w:w w:val="110"/>
                    <w:sz w:val="23"/>
                  </w:rPr>
                  <w:t>General Assembly 2018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08.2pt;height:17.150pt;mso-position-horizontal-relative:page;mso-position-vertical-relative:page;z-index:-26761932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13507pt;margin-top:798.53833pt;width:315.6pt;height:17.150pt;mso-position-horizontal-relative:page;mso-position-vertical-relative:page;z-index:-26759270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b/>
                    <w:color w:val="7EAABF"/>
                    <w:w w:val="110"/>
                    <w:sz w:val="23"/>
                  </w:rPr>
                  <w:t></w:t>
                </w:r>
                <w:r>
                  <w:rPr>
                    <w:rFonts w:ascii="Times New Roman" w:hAnsi="Times New Roman"/>
                    <w:b/>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35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9168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36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9065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37</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8860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39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8758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40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b/>
                    <w:color w:val="7EAABF"/>
                    <w:w w:val="110"/>
                    <w:sz w:val="23"/>
                  </w:rPr>
                  <w:t></w:t>
                </w:r>
                <w:r>
                  <w:rPr>
                    <w:rFonts w:ascii="Times New Roman" w:hAnsi="Times New Roman"/>
                    <w:b/>
                    <w:color w:val="7EAABF"/>
                    <w:w w:val="110"/>
                    <w:sz w:val="23"/>
                  </w:rPr>
                  <w:t> </w:t>
                </w:r>
                <w:r>
                  <w:rPr>
                    <w:color w:val="7EAABF"/>
                    <w:w w:val="110"/>
                    <w:sz w:val="23"/>
                  </w:rPr>
                  <w:t>General Assembly 2018</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8656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41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8553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42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8451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43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8348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44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753799pt;margin-top:798.53833pt;width:308.2pt;height:17.150pt;mso-position-horizontal-relative:page;mso-position-vertical-relative:page;z-index:-26761830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8246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45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8144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46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13507pt;margin-top:798.53833pt;width:315.6pt;height:17.150pt;mso-position-horizontal-relative:page;mso-position-vertical-relative:page;z-index:-26758041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47</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7836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49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13507pt;margin-top:798.53833pt;width:315.6pt;height:17.150pt;mso-position-horizontal-relative:page;mso-position-vertical-relative:page;z-index:-26757529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53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7427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54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61728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7324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55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7222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56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7120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57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7017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58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6915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59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6812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60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6710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61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6608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62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6505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63</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6403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64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1625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6300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65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6198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66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6096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67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5993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68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5788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72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5686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73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5584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74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5481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75</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5379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76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55276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77</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6.2pt;height:17.150pt;mso-position-horizontal-relative:page;mso-position-vertical-relative:page;z-index:-26755174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78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4867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81</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4662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83</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4560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84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737793pt;margin-top:798.53833pt;width:316.2pt;height:17.150pt;mso-position-horizontal-relative:page;mso-position-vertical-relative:page;z-index:-26761420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spacing w:val="57"/>
                    <w:w w:val="110"/>
                    <w:sz w:val="23"/>
                  </w:rPr>
                  <w:t> </w:t>
                </w:r>
                <w:r>
                  <w:rPr/>
                  <w:fldChar w:fldCharType="begin"/>
                </w:r>
                <w:r>
                  <w:rPr>
                    <w:rFonts w:ascii="Stone Sans II ITC Std X Bd" w:hAnsi="Stone Sans II ITC Std X Bd"/>
                    <w:b/>
                    <w:w w:val="110"/>
                    <w:sz w:val="24"/>
                  </w:rPr>
                  <w:instrText> PAGE </w:instrText>
                </w:r>
                <w:r>
                  <w:rPr/>
                  <w:fldChar w:fldCharType="separate"/>
                </w:r>
                <w:r>
                  <w:rPr/>
                  <w:t>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4457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85</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4355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86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4150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88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4048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101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3945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90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3843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91</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3638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3536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34336"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95</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33312"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96</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32288"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97</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15.8pt;height:17.150pt;mso-position-horizontal-relative:page;mso-position-vertical-relative:page;z-index:-267531264"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98</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121597pt;margin-top:798.53833pt;width:315.8pt;height:17.150pt;mso-position-horizontal-relative:page;mso-position-vertical-relative:page;z-index:-267530240"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99</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2921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100</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28192"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101</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27168"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102</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105606pt;margin-top:798.53833pt;width:323.850pt;height:17.150pt;mso-position-horizontal-relative:page;mso-position-vertical-relative:page;z-index:-267526144" type="#_x0000_t202" filled="false" stroked="false">
          <v:textbox inset="0,0,0,0">
            <w:txbxContent>
              <w:p>
                <w:pPr>
                  <w:spacing w:before="16"/>
                  <w:ind w:left="20" w:right="0" w:firstLine="0"/>
                  <w:jc w:val="left"/>
                  <w:rPr>
                    <w:rFonts w:ascii="Stone Sans II ITC Std X Bd" w:hAnsi="Stone Sans II ITC Std X Bd"/>
                    <w:b/>
                    <w:sz w:val="24"/>
                  </w:rPr>
                </w:pP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 </w:t>
                </w:r>
                <w:r>
                  <w:rPr>
                    <w:rFonts w:ascii="Symbol" w:hAnsi="Symbol"/>
                    <w:color w:val="7EAABF"/>
                    <w:w w:val="110"/>
                    <w:sz w:val="23"/>
                  </w:rPr>
                  <w:t></w:t>
                </w:r>
                <w:r>
                  <w:rPr>
                    <w:rFonts w:ascii="Times New Roman" w:hAnsi="Times New Roman"/>
                    <w:color w:val="7EAABF"/>
                    <w:w w:val="110"/>
                    <w:sz w:val="23"/>
                  </w:rPr>
                  <w:t> </w:t>
                </w:r>
                <w:r>
                  <w:rPr/>
                  <w:fldChar w:fldCharType="begin"/>
                </w:r>
                <w:r>
                  <w:rPr>
                    <w:rFonts w:ascii="Stone Sans II ITC Std X Bd" w:hAnsi="Stone Sans II ITC Std X Bd"/>
                    <w:b/>
                    <w:w w:val="110"/>
                    <w:sz w:val="24"/>
                  </w:rPr>
                  <w:instrText> PAGE </w:instrText>
                </w:r>
                <w:r>
                  <w:rPr/>
                  <w:fldChar w:fldCharType="separate"/>
                </w:r>
                <w:r>
                  <w:rPr/>
                  <w:t>103</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62202pt;margin-top:798.53833pt;width:323.850pt;height:17.150pt;mso-position-horizontal-relative:page;mso-position-vertical-relative:page;z-index:-26752512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104</w:t>
                </w:r>
                <w:r>
                  <w:rPr/>
                  <w:fldChar w:fldCharType="end"/>
                </w:r>
                <w:r>
                  <w:rPr>
                    <w:rFonts w:ascii="Stone Sans II ITC Std X Bd" w:hAnsi="Stone Sans II ITC Std X Bd"/>
                    <w:b/>
                    <w:w w:val="110"/>
                    <w:sz w:val="24"/>
                  </w:rPr>
                  <w:t> </w:t>
                </w:r>
                <w:r>
                  <w:rPr>
                    <w:rFonts w:ascii="Symbol" w:hAnsi="Symbol"/>
                    <w:color w:val="7EAABF"/>
                    <w:w w:val="110"/>
                    <w:sz w:val="23"/>
                  </w:rPr>
                  <w:t></w:t>
                </w:r>
                <w:r>
                  <w:rPr>
                    <w:rFonts w:ascii="Times New Roman" w:hAnsi="Times New Roman"/>
                    <w:color w:val="7EAABF"/>
                    <w:w w:val="110"/>
                    <w:sz w:val="23"/>
                  </w:rPr>
                  <w:t> </w:t>
                </w:r>
                <w:r>
                  <w:rPr>
                    <w:color w:val="7EAABF"/>
                    <w:w w:val="110"/>
                    <w:sz w:val="23"/>
                  </w:rPr>
                  <w:t>United Reformed Church </w:t>
                </w:r>
                <w:r>
                  <w:rPr>
                    <w:rFonts w:ascii="Symbol" w:hAnsi="Symbol"/>
                    <w:color w:val="7EAABF"/>
                    <w:w w:val="110"/>
                    <w:sz w:val="23"/>
                  </w:rPr>
                  <w:t></w:t>
                </w:r>
                <w:r>
                  <w:rPr>
                    <w:rFonts w:ascii="Times New Roman" w:hAnsi="Times New Roman"/>
                    <w:color w:val="7EAABF"/>
                    <w:w w:val="110"/>
                    <w:sz w:val="23"/>
                  </w:rPr>
                  <w:t> </w:t>
                </w:r>
                <w:r>
                  <w:rPr>
                    <w:color w:val="7EAABF"/>
                    <w:w w:val="110"/>
                    <w:sz w:val="23"/>
                  </w:rPr>
                  <w:t>General Assembly 2018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pt;height:841.890015pt;mso-position-horizontal-relative:page;mso-position-vertical-relative:page;z-index:-267625472" filled="true" fillcolor="#fdc600" stroked="false">
          <v:fill opacity="9830f"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24096" filled="true" fillcolor="#d4e9f7" stroked="false">
          <v:fill type="solid"/>
          <w10:wrap type="none"/>
        </v:rect>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615232" filled="true" fillcolor="#fef4df" stroked="false">
          <v:fill type="solid"/>
          <w10:wrap type="none"/>
        </v:rect>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17952" filled="true" fillcolor="#d4e9f7" stroked="false">
          <v:fill type="solid"/>
          <w10:wrap type="none"/>
        </v:rect>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507712" filled="true" fillcolor="#d4e9f7" stroked="false">
          <v:fill type="solid"/>
          <w10:wrap type="none"/>
        </v:rect>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06688" filled="true" fillcolor="#d4e9f7" stroked="false">
          <v:fill type="solid"/>
          <w10:wrap type="none"/>
        </v:rect>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613184" filled="true" fillcolor="#fef4df" stroked="false">
          <v:fill type="solid"/>
          <w10:wrap type="none"/>
        </v:rect>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495424" filled="true" fillcolor="#d4e9f7" stroked="false">
          <v:fill type="solid"/>
          <w10:wrap type="none"/>
        </v:rect>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493376" filled="true" fillcolor="#d4e9f7" stroked="false">
          <v:fill type="solid"/>
          <w10:wrap type="none"/>
        </v:rect>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491328" filled="true" fillcolor="#d4e9f7" stroked="false">
          <v:fill type="solid"/>
          <w10:wrap type="none"/>
        </v:rect>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488256" filled="true" fillcolor="#d4e9f7" stroked="false">
          <v:fill type="solid"/>
          <w10:wrap type="non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611136" filled="true" fillcolor="#fef4df" stroked="false">
          <v:fill type="solid"/>
          <w10:wrap type="none"/>
        </v:rect>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468800" filled="true" fillcolor="#d4e9f7" stroked="false">
          <v:fill type="solid"/>
          <w10:wrap type="none"/>
        </v:rect>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466752" filled="true" fillcolor="#fef3ec" stroked="false">
          <v:fill type="solid"/>
          <w10:wrap type="none"/>
        </v:rect>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446272" filled="true" fillcolor="#e2eed8" stroked="false">
          <v:fill type="solid"/>
          <w10:wrap type="none"/>
        </v:rect>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440128" filled="true" fillcolor="#e2d9ea" stroked="false">
          <v:fill type="solid"/>
          <w10:wrap type="none"/>
        </v:rect>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608064" filled="true" fillcolor="#fef4df" stroked="false">
          <v:fill type="solid"/>
          <w10:wrap type="none"/>
        </v:rect>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624448" filled="true" fillcolor="#fef4df" stroked="false">
          <v:fill type="solid"/>
          <w10:wrap type="non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606016" filled="true" fillcolor="#fef4df" stroked="false">
          <v:fill type="solid"/>
          <w10:wrap type="none"/>
        </v:rect>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67623424" filled="true" fillcolor="#fef4df"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94752" filled="true" fillcolor="#fef4df" stroked="false">
          <v:fill type="solid"/>
          <w10:wrap type="none"/>
        </v:rect>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89632" filled="true" fillcolor="#fef4df" stroked="false">
          <v:fill type="solid"/>
          <w10:wrap type="none"/>
        </v:rect>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49.207pt;height:841.89pt;mso-position-horizontal-relative:page;mso-position-vertical-relative:page;z-index:-267622400" filled="true" fillcolor="#fef4df" stroked="false">
          <v:fill type="solid"/>
          <w10:wrap type="non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79392" filled="true" fillcolor="#fef4df" stroked="false">
          <v:fill type="solid"/>
          <w10:wrap type="none"/>
        </v:rect>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77344" filled="true" fillcolor="#fef4df" stroked="false">
          <v:fill type="solid"/>
          <w10:wrap type="none"/>
        </v:rect>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76320" filled="true" fillcolor="#fef4df" stroked="false">
          <v:fill type="solid"/>
          <w10:wrap type="none"/>
        </v:rect>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58912" filled="true" fillcolor="#fef4df" stroked="false">
          <v:fill type="solid"/>
          <w10:wrap type="none"/>
        </v:rect>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50720" filled="true" fillcolor="#d4e9f7" stroked="false">
          <v:fill type="solid"/>
          <w10:wrap type="none"/>
        </v:rect>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49696" filled="true" fillcolor="#d4e9f7"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47648" filled="true" fillcolor="#d4e9f7" stroked="false">
          <v:fill type="solid"/>
          <w10:wrap type="none"/>
        </v:rect>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417pt;margin-top:.000015pt;width:547.79pt;height:841.89pt;mso-position-horizontal-relative:page;mso-position-vertical-relative:page;z-index:-267542528" filled="true" fillcolor="#d4e9f7" stroked="false">
          <v:fill type="solid"/>
          <w10:wrap type="none"/>
        </v:rect>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6.777pt;margin-top:.000015pt;width:548.498pt;height:841.89pt;mso-position-horizontal-relative:page;mso-position-vertical-relative:page;z-index:-267537408" filled="true" fillcolor="#d4e9f7" stroked="false">
          <v:fill type="solid"/>
          <w10:wrap type="none"/>
        </v:rect>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7">
    <w:multiLevelType w:val="hybridMultilevel"/>
    <w:lvl w:ilvl="0">
      <w:start w:val="0"/>
      <w:numFmt w:val="bullet"/>
      <w:lvlText w:val="•"/>
      <w:lvlJc w:val="left"/>
      <w:pPr>
        <w:ind w:left="2003" w:hanging="567"/>
      </w:pPr>
      <w:rPr>
        <w:rFonts w:hint="default" w:ascii="Calibri" w:hAnsi="Calibri" w:eastAsia="Calibri" w:cs="Calibri"/>
        <w:color w:val="707172"/>
        <w:w w:val="111"/>
        <w:sz w:val="18"/>
        <w:szCs w:val="18"/>
        <w:lang w:val="en-gb" w:eastAsia="en-gb" w:bidi="en-gb"/>
      </w:rPr>
    </w:lvl>
    <w:lvl w:ilvl="1">
      <w:start w:val="0"/>
      <w:numFmt w:val="bullet"/>
      <w:lvlText w:val="•"/>
      <w:lvlJc w:val="left"/>
      <w:pPr>
        <w:ind w:left="2910" w:hanging="567"/>
      </w:pPr>
      <w:rPr>
        <w:rFonts w:hint="default"/>
        <w:lang w:val="en-gb" w:eastAsia="en-gb" w:bidi="en-gb"/>
      </w:rPr>
    </w:lvl>
    <w:lvl w:ilvl="2">
      <w:start w:val="0"/>
      <w:numFmt w:val="bullet"/>
      <w:lvlText w:val="•"/>
      <w:lvlJc w:val="left"/>
      <w:pPr>
        <w:ind w:left="3821" w:hanging="567"/>
      </w:pPr>
      <w:rPr>
        <w:rFonts w:hint="default"/>
        <w:lang w:val="en-gb" w:eastAsia="en-gb" w:bidi="en-gb"/>
      </w:rPr>
    </w:lvl>
    <w:lvl w:ilvl="3">
      <w:start w:val="0"/>
      <w:numFmt w:val="bullet"/>
      <w:lvlText w:val="•"/>
      <w:lvlJc w:val="left"/>
      <w:pPr>
        <w:ind w:left="4731" w:hanging="567"/>
      </w:pPr>
      <w:rPr>
        <w:rFonts w:hint="default"/>
        <w:lang w:val="en-gb" w:eastAsia="en-gb" w:bidi="en-gb"/>
      </w:rPr>
    </w:lvl>
    <w:lvl w:ilvl="4">
      <w:start w:val="0"/>
      <w:numFmt w:val="bullet"/>
      <w:lvlText w:val="•"/>
      <w:lvlJc w:val="left"/>
      <w:pPr>
        <w:ind w:left="5642" w:hanging="567"/>
      </w:pPr>
      <w:rPr>
        <w:rFonts w:hint="default"/>
        <w:lang w:val="en-gb" w:eastAsia="en-gb" w:bidi="en-gb"/>
      </w:rPr>
    </w:lvl>
    <w:lvl w:ilvl="5">
      <w:start w:val="0"/>
      <w:numFmt w:val="bullet"/>
      <w:lvlText w:val="•"/>
      <w:lvlJc w:val="left"/>
      <w:pPr>
        <w:ind w:left="6552" w:hanging="567"/>
      </w:pPr>
      <w:rPr>
        <w:rFonts w:hint="default"/>
        <w:lang w:val="en-gb" w:eastAsia="en-gb" w:bidi="en-gb"/>
      </w:rPr>
    </w:lvl>
    <w:lvl w:ilvl="6">
      <w:start w:val="0"/>
      <w:numFmt w:val="bullet"/>
      <w:lvlText w:val="•"/>
      <w:lvlJc w:val="left"/>
      <w:pPr>
        <w:ind w:left="7463" w:hanging="567"/>
      </w:pPr>
      <w:rPr>
        <w:rFonts w:hint="default"/>
        <w:lang w:val="en-gb" w:eastAsia="en-gb" w:bidi="en-gb"/>
      </w:rPr>
    </w:lvl>
    <w:lvl w:ilvl="7">
      <w:start w:val="0"/>
      <w:numFmt w:val="bullet"/>
      <w:lvlText w:val="•"/>
      <w:lvlJc w:val="left"/>
      <w:pPr>
        <w:ind w:left="8373" w:hanging="567"/>
      </w:pPr>
      <w:rPr>
        <w:rFonts w:hint="default"/>
        <w:lang w:val="en-gb" w:eastAsia="en-gb" w:bidi="en-gb"/>
      </w:rPr>
    </w:lvl>
    <w:lvl w:ilvl="8">
      <w:start w:val="0"/>
      <w:numFmt w:val="bullet"/>
      <w:lvlText w:val="•"/>
      <w:lvlJc w:val="left"/>
      <w:pPr>
        <w:ind w:left="9284" w:hanging="567"/>
      </w:pPr>
      <w:rPr>
        <w:rFonts w:hint="default"/>
        <w:lang w:val="en-gb" w:eastAsia="en-gb" w:bidi="en-gb"/>
      </w:rPr>
    </w:lvl>
  </w:abstractNum>
  <w:abstractNum w:abstractNumId="80">
    <w:multiLevelType w:val="hybridMultilevel"/>
    <w:lvl w:ilvl="0">
      <w:start w:val="1"/>
      <w:numFmt w:val="decimal"/>
      <w:lvlText w:val="%1."/>
      <w:lvlJc w:val="left"/>
      <w:pPr>
        <w:ind w:left="1564" w:hanging="681"/>
        <w:jc w:val="left"/>
      </w:pPr>
      <w:rPr>
        <w:rFonts w:hint="default" w:ascii="Calibri" w:hAnsi="Calibri" w:eastAsia="Calibri" w:cs="Calibri"/>
        <w:spacing w:val="-16"/>
        <w:w w:val="125"/>
        <w:sz w:val="20"/>
        <w:szCs w:val="20"/>
        <w:lang w:val="en-gb" w:eastAsia="en-gb" w:bidi="en-gb"/>
      </w:rPr>
    </w:lvl>
    <w:lvl w:ilvl="1">
      <w:start w:val="0"/>
      <w:numFmt w:val="bullet"/>
      <w:lvlText w:val="•"/>
      <w:lvlJc w:val="left"/>
      <w:pPr>
        <w:ind w:left="2514" w:hanging="681"/>
      </w:pPr>
      <w:rPr>
        <w:rFonts w:hint="default"/>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67">
    <w:multiLevelType w:val="hybridMultilevel"/>
    <w:lvl w:ilvl="0">
      <w:start w:val="1"/>
      <w:numFmt w:val="decimal"/>
      <w:lvlText w:val="%1."/>
      <w:lvlJc w:val="left"/>
      <w:pPr>
        <w:ind w:left="1564" w:hanging="681"/>
        <w:jc w:val="right"/>
      </w:pPr>
      <w:rPr>
        <w:rFonts w:hint="default" w:ascii="Calibri" w:hAnsi="Calibri" w:eastAsia="Calibri" w:cs="Calibri"/>
        <w:spacing w:val="-13"/>
        <w:w w:val="125"/>
        <w:sz w:val="20"/>
        <w:szCs w:val="20"/>
        <w:lang w:val="en-gb" w:eastAsia="en-gb" w:bidi="en-gb"/>
      </w:rPr>
    </w:lvl>
    <w:lvl w:ilvl="1">
      <w:start w:val="1"/>
      <w:numFmt w:val="decimal"/>
      <w:lvlText w:val="%1.%2"/>
      <w:lvlJc w:val="left"/>
      <w:pPr>
        <w:ind w:left="1564" w:hanging="681"/>
        <w:jc w:val="right"/>
      </w:pPr>
      <w:rPr>
        <w:rFonts w:hint="default" w:ascii="Calibri" w:hAnsi="Calibri" w:eastAsia="Calibri" w:cs="Calibri"/>
        <w:spacing w:val="-18"/>
        <w:w w:val="125"/>
        <w:sz w:val="20"/>
        <w:szCs w:val="20"/>
        <w:lang w:val="en-gb" w:eastAsia="en-gb" w:bidi="en-gb"/>
      </w:rPr>
    </w:lvl>
    <w:lvl w:ilvl="2">
      <w:start w:val="0"/>
      <w:numFmt w:val="bullet"/>
      <w:lvlText w:val="•"/>
      <w:lvlJc w:val="left"/>
      <w:pPr>
        <w:ind w:left="2240" w:hanging="681"/>
      </w:pPr>
      <w:rPr>
        <w:rFonts w:hint="default"/>
        <w:lang w:val="en-gb" w:eastAsia="en-gb" w:bidi="en-gb"/>
      </w:rPr>
    </w:lvl>
    <w:lvl w:ilvl="3">
      <w:start w:val="0"/>
      <w:numFmt w:val="bullet"/>
      <w:lvlText w:val="•"/>
      <w:lvlJc w:val="left"/>
      <w:pPr>
        <w:ind w:left="3348" w:hanging="681"/>
      </w:pPr>
      <w:rPr>
        <w:rFonts w:hint="default"/>
        <w:lang w:val="en-gb" w:eastAsia="en-gb" w:bidi="en-gb"/>
      </w:rPr>
    </w:lvl>
    <w:lvl w:ilvl="4">
      <w:start w:val="0"/>
      <w:numFmt w:val="bullet"/>
      <w:lvlText w:val="•"/>
      <w:lvlJc w:val="left"/>
      <w:pPr>
        <w:ind w:left="4456" w:hanging="681"/>
      </w:pPr>
      <w:rPr>
        <w:rFonts w:hint="default"/>
        <w:lang w:val="en-gb" w:eastAsia="en-gb" w:bidi="en-gb"/>
      </w:rPr>
    </w:lvl>
    <w:lvl w:ilvl="5">
      <w:start w:val="0"/>
      <w:numFmt w:val="bullet"/>
      <w:lvlText w:val="•"/>
      <w:lvlJc w:val="left"/>
      <w:pPr>
        <w:ind w:left="5564" w:hanging="681"/>
      </w:pPr>
      <w:rPr>
        <w:rFonts w:hint="default"/>
        <w:lang w:val="en-gb" w:eastAsia="en-gb" w:bidi="en-gb"/>
      </w:rPr>
    </w:lvl>
    <w:lvl w:ilvl="6">
      <w:start w:val="0"/>
      <w:numFmt w:val="bullet"/>
      <w:lvlText w:val="•"/>
      <w:lvlJc w:val="left"/>
      <w:pPr>
        <w:ind w:left="6672" w:hanging="681"/>
      </w:pPr>
      <w:rPr>
        <w:rFonts w:hint="default"/>
        <w:lang w:val="en-gb" w:eastAsia="en-gb" w:bidi="en-gb"/>
      </w:rPr>
    </w:lvl>
    <w:lvl w:ilvl="7">
      <w:start w:val="0"/>
      <w:numFmt w:val="bullet"/>
      <w:lvlText w:val="•"/>
      <w:lvlJc w:val="left"/>
      <w:pPr>
        <w:ind w:left="7780" w:hanging="681"/>
      </w:pPr>
      <w:rPr>
        <w:rFonts w:hint="default"/>
        <w:lang w:val="en-gb" w:eastAsia="en-gb" w:bidi="en-gb"/>
      </w:rPr>
    </w:lvl>
    <w:lvl w:ilvl="8">
      <w:start w:val="0"/>
      <w:numFmt w:val="bullet"/>
      <w:lvlText w:val="•"/>
      <w:lvlJc w:val="left"/>
      <w:pPr>
        <w:ind w:left="8889" w:hanging="681"/>
      </w:pPr>
      <w:rPr>
        <w:rFonts w:hint="default"/>
        <w:lang w:val="en-gb" w:eastAsia="en-gb" w:bidi="en-gb"/>
      </w:rPr>
    </w:lvl>
  </w:abstractNum>
  <w:abstractNum w:abstractNumId="62">
    <w:multiLevelType w:val="hybridMultilevel"/>
    <w:lvl w:ilvl="0">
      <w:start w:val="1"/>
      <w:numFmt w:val="decimal"/>
      <w:lvlText w:val="%1."/>
      <w:lvlJc w:val="left"/>
      <w:pPr>
        <w:ind w:left="2244"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244" w:hanging="681"/>
      </w:pPr>
      <w:rPr>
        <w:rFonts w:hint="default" w:ascii="Symbol" w:hAnsi="Symbol" w:eastAsia="Symbol" w:cs="Symbol"/>
        <w:w w:val="110"/>
        <w:sz w:val="20"/>
        <w:szCs w:val="20"/>
        <w:lang w:val="en-gb" w:eastAsia="en-gb" w:bidi="en-gb"/>
      </w:rPr>
    </w:lvl>
    <w:lvl w:ilvl="3">
      <w:start w:val="0"/>
      <w:numFmt w:val="bullet"/>
      <w:lvlText w:val="•"/>
      <w:lvlJc w:val="left"/>
      <w:pPr>
        <w:ind w:left="3348" w:hanging="681"/>
      </w:pPr>
      <w:rPr>
        <w:rFonts w:hint="default"/>
        <w:lang w:val="en-gb" w:eastAsia="en-gb" w:bidi="en-gb"/>
      </w:rPr>
    </w:lvl>
    <w:lvl w:ilvl="4">
      <w:start w:val="0"/>
      <w:numFmt w:val="bullet"/>
      <w:lvlText w:val="•"/>
      <w:lvlJc w:val="left"/>
      <w:pPr>
        <w:ind w:left="4456" w:hanging="681"/>
      </w:pPr>
      <w:rPr>
        <w:rFonts w:hint="default"/>
        <w:lang w:val="en-gb" w:eastAsia="en-gb" w:bidi="en-gb"/>
      </w:rPr>
    </w:lvl>
    <w:lvl w:ilvl="5">
      <w:start w:val="0"/>
      <w:numFmt w:val="bullet"/>
      <w:lvlText w:val="•"/>
      <w:lvlJc w:val="left"/>
      <w:pPr>
        <w:ind w:left="5564" w:hanging="681"/>
      </w:pPr>
      <w:rPr>
        <w:rFonts w:hint="default"/>
        <w:lang w:val="en-gb" w:eastAsia="en-gb" w:bidi="en-gb"/>
      </w:rPr>
    </w:lvl>
    <w:lvl w:ilvl="6">
      <w:start w:val="0"/>
      <w:numFmt w:val="bullet"/>
      <w:lvlText w:val="•"/>
      <w:lvlJc w:val="left"/>
      <w:pPr>
        <w:ind w:left="6672" w:hanging="681"/>
      </w:pPr>
      <w:rPr>
        <w:rFonts w:hint="default"/>
        <w:lang w:val="en-gb" w:eastAsia="en-gb" w:bidi="en-gb"/>
      </w:rPr>
    </w:lvl>
    <w:lvl w:ilvl="7">
      <w:start w:val="0"/>
      <w:numFmt w:val="bullet"/>
      <w:lvlText w:val="•"/>
      <w:lvlJc w:val="left"/>
      <w:pPr>
        <w:ind w:left="7780" w:hanging="681"/>
      </w:pPr>
      <w:rPr>
        <w:rFonts w:hint="default"/>
        <w:lang w:val="en-gb" w:eastAsia="en-gb" w:bidi="en-gb"/>
      </w:rPr>
    </w:lvl>
    <w:lvl w:ilvl="8">
      <w:start w:val="0"/>
      <w:numFmt w:val="bullet"/>
      <w:lvlText w:val="•"/>
      <w:lvlJc w:val="left"/>
      <w:pPr>
        <w:ind w:left="8889" w:hanging="681"/>
      </w:pPr>
      <w:rPr>
        <w:rFonts w:hint="default"/>
        <w:lang w:val="en-gb" w:eastAsia="en-gb" w:bidi="en-gb"/>
      </w:rPr>
    </w:lvl>
  </w:abstractNum>
  <w:abstractNum w:abstractNumId="42">
    <w:multiLevelType w:val="hybridMultilevel"/>
    <w:lvl w:ilvl="0">
      <w:start w:val="1"/>
      <w:numFmt w:val="decimal"/>
      <w:lvlText w:val="%1."/>
      <w:lvlJc w:val="left"/>
      <w:pPr>
        <w:ind w:left="1723"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1723"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964" w:hanging="681"/>
        <w:jc w:val="right"/>
      </w:pPr>
      <w:rPr>
        <w:rFonts w:hint="default" w:ascii="Calibri" w:hAnsi="Calibri" w:eastAsia="Calibri" w:cs="Calibri"/>
        <w:spacing w:val="-18"/>
        <w:w w:val="125"/>
        <w:sz w:val="20"/>
        <w:szCs w:val="20"/>
        <w:lang w:val="en-gb" w:eastAsia="en-gb" w:bidi="en-gb"/>
      </w:rPr>
    </w:lvl>
    <w:lvl w:ilvl="3">
      <w:start w:val="0"/>
      <w:numFmt w:val="bullet"/>
      <w:lvlText w:val="•"/>
      <w:lvlJc w:val="left"/>
      <w:pPr>
        <w:ind w:left="1720" w:hanging="681"/>
      </w:pPr>
      <w:rPr>
        <w:rFonts w:hint="default"/>
        <w:lang w:val="en-gb" w:eastAsia="en-gb" w:bidi="en-gb"/>
      </w:rPr>
    </w:lvl>
    <w:lvl w:ilvl="4">
      <w:start w:val="0"/>
      <w:numFmt w:val="bullet"/>
      <w:lvlText w:val="•"/>
      <w:lvlJc w:val="left"/>
      <w:pPr>
        <w:ind w:left="1960" w:hanging="681"/>
      </w:pPr>
      <w:rPr>
        <w:rFonts w:hint="default"/>
        <w:lang w:val="en-gb" w:eastAsia="en-gb" w:bidi="en-gb"/>
      </w:rPr>
    </w:lvl>
    <w:lvl w:ilvl="5">
      <w:start w:val="0"/>
      <w:numFmt w:val="bullet"/>
      <w:lvlText w:val="•"/>
      <w:lvlJc w:val="left"/>
      <w:pPr>
        <w:ind w:left="3500" w:hanging="681"/>
      </w:pPr>
      <w:rPr>
        <w:rFonts w:hint="default"/>
        <w:lang w:val="en-gb" w:eastAsia="en-gb" w:bidi="en-gb"/>
      </w:rPr>
    </w:lvl>
    <w:lvl w:ilvl="6">
      <w:start w:val="0"/>
      <w:numFmt w:val="bullet"/>
      <w:lvlText w:val="•"/>
      <w:lvlJc w:val="left"/>
      <w:pPr>
        <w:ind w:left="5041" w:hanging="681"/>
      </w:pPr>
      <w:rPr>
        <w:rFonts w:hint="default"/>
        <w:lang w:val="en-gb" w:eastAsia="en-gb" w:bidi="en-gb"/>
      </w:rPr>
    </w:lvl>
    <w:lvl w:ilvl="7">
      <w:start w:val="0"/>
      <w:numFmt w:val="bullet"/>
      <w:lvlText w:val="•"/>
      <w:lvlJc w:val="left"/>
      <w:pPr>
        <w:ind w:left="6582" w:hanging="681"/>
      </w:pPr>
      <w:rPr>
        <w:rFonts w:hint="default"/>
        <w:lang w:val="en-gb" w:eastAsia="en-gb" w:bidi="en-gb"/>
      </w:rPr>
    </w:lvl>
    <w:lvl w:ilvl="8">
      <w:start w:val="0"/>
      <w:numFmt w:val="bullet"/>
      <w:lvlText w:val="•"/>
      <w:lvlJc w:val="left"/>
      <w:pPr>
        <w:ind w:left="8123" w:hanging="681"/>
      </w:pPr>
      <w:rPr>
        <w:rFonts w:hint="default"/>
        <w:lang w:val="en-gb" w:eastAsia="en-gb" w:bidi="en-gb"/>
      </w:rPr>
    </w:lvl>
  </w:abstractNum>
  <w:abstractNum w:abstractNumId="37">
    <w:multiLevelType w:val="hybridMultilevel"/>
    <w:lvl w:ilvl="0">
      <w:start w:val="1"/>
      <w:numFmt w:val="decimal"/>
      <w:lvlText w:val="%1."/>
      <w:lvlJc w:val="left"/>
      <w:pPr>
        <w:ind w:left="1255" w:hanging="681"/>
        <w:jc w:val="right"/>
      </w:pPr>
      <w:rPr>
        <w:rFonts w:hint="default" w:ascii="Calibri" w:hAnsi="Calibri" w:eastAsia="Calibri" w:cs="Calibri"/>
        <w:spacing w:val="-16"/>
        <w:w w:val="125"/>
        <w:sz w:val="20"/>
        <w:szCs w:val="20"/>
        <w:lang w:val="en-gb" w:eastAsia="en-gb" w:bidi="en-gb"/>
      </w:rPr>
    </w:lvl>
    <w:lvl w:ilvl="1">
      <w:start w:val="0"/>
      <w:numFmt w:val="bullet"/>
      <w:lvlText w:val="•"/>
      <w:lvlJc w:val="left"/>
      <w:pPr>
        <w:ind w:left="2254" w:hanging="681"/>
      </w:pPr>
      <w:rPr>
        <w:rFonts w:hint="default"/>
        <w:lang w:val="en-gb" w:eastAsia="en-gb" w:bidi="en-gb"/>
      </w:rPr>
    </w:lvl>
    <w:lvl w:ilvl="2">
      <w:start w:val="0"/>
      <w:numFmt w:val="bullet"/>
      <w:lvlText w:val="•"/>
      <w:lvlJc w:val="left"/>
      <w:pPr>
        <w:ind w:left="3249" w:hanging="681"/>
      </w:pPr>
      <w:rPr>
        <w:rFonts w:hint="default"/>
        <w:lang w:val="en-gb" w:eastAsia="en-gb" w:bidi="en-gb"/>
      </w:rPr>
    </w:lvl>
    <w:lvl w:ilvl="3">
      <w:start w:val="0"/>
      <w:numFmt w:val="bullet"/>
      <w:lvlText w:val="•"/>
      <w:lvlJc w:val="left"/>
      <w:pPr>
        <w:ind w:left="4243" w:hanging="681"/>
      </w:pPr>
      <w:rPr>
        <w:rFonts w:hint="default"/>
        <w:lang w:val="en-gb" w:eastAsia="en-gb" w:bidi="en-gb"/>
      </w:rPr>
    </w:lvl>
    <w:lvl w:ilvl="4">
      <w:start w:val="0"/>
      <w:numFmt w:val="bullet"/>
      <w:lvlText w:val="•"/>
      <w:lvlJc w:val="left"/>
      <w:pPr>
        <w:ind w:left="5238" w:hanging="681"/>
      </w:pPr>
      <w:rPr>
        <w:rFonts w:hint="default"/>
        <w:lang w:val="en-gb" w:eastAsia="en-gb" w:bidi="en-gb"/>
      </w:rPr>
    </w:lvl>
    <w:lvl w:ilvl="5">
      <w:start w:val="0"/>
      <w:numFmt w:val="bullet"/>
      <w:lvlText w:val="•"/>
      <w:lvlJc w:val="left"/>
      <w:pPr>
        <w:ind w:left="6232" w:hanging="681"/>
      </w:pPr>
      <w:rPr>
        <w:rFonts w:hint="default"/>
        <w:lang w:val="en-gb" w:eastAsia="en-gb" w:bidi="en-gb"/>
      </w:rPr>
    </w:lvl>
    <w:lvl w:ilvl="6">
      <w:start w:val="0"/>
      <w:numFmt w:val="bullet"/>
      <w:lvlText w:val="•"/>
      <w:lvlJc w:val="left"/>
      <w:pPr>
        <w:ind w:left="7227" w:hanging="681"/>
      </w:pPr>
      <w:rPr>
        <w:rFonts w:hint="default"/>
        <w:lang w:val="en-gb" w:eastAsia="en-gb" w:bidi="en-gb"/>
      </w:rPr>
    </w:lvl>
    <w:lvl w:ilvl="7">
      <w:start w:val="0"/>
      <w:numFmt w:val="bullet"/>
      <w:lvlText w:val="•"/>
      <w:lvlJc w:val="left"/>
      <w:pPr>
        <w:ind w:left="8221" w:hanging="681"/>
      </w:pPr>
      <w:rPr>
        <w:rFonts w:hint="default"/>
        <w:lang w:val="en-gb" w:eastAsia="en-gb" w:bidi="en-gb"/>
      </w:rPr>
    </w:lvl>
    <w:lvl w:ilvl="8">
      <w:start w:val="0"/>
      <w:numFmt w:val="bullet"/>
      <w:lvlText w:val="•"/>
      <w:lvlJc w:val="left"/>
      <w:pPr>
        <w:ind w:left="9216" w:hanging="681"/>
      </w:pPr>
      <w:rPr>
        <w:rFonts w:hint="default"/>
        <w:lang w:val="en-gb" w:eastAsia="en-gb" w:bidi="en-gb"/>
      </w:rPr>
    </w:lvl>
  </w:abstractNum>
  <w:abstractNum w:abstractNumId="25">
    <w:multiLevelType w:val="hybridMultilevel"/>
    <w:lvl w:ilvl="0">
      <w:start w:val="1"/>
      <w:numFmt w:val="decimal"/>
      <w:lvlText w:val="%1."/>
      <w:lvlJc w:val="left"/>
      <w:pPr>
        <w:ind w:left="1950"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1270" w:hanging="681"/>
        <w:jc w:val="right"/>
      </w:pPr>
      <w:rPr>
        <w:rFonts w:hint="default" w:ascii="Calibri" w:hAnsi="Calibri" w:eastAsia="Calibri" w:cs="Calibri"/>
        <w:spacing w:val="-18"/>
        <w:w w:val="125"/>
        <w:sz w:val="20"/>
        <w:szCs w:val="20"/>
        <w:lang w:val="en-gb" w:eastAsia="en-gb" w:bidi="en-gb"/>
      </w:rPr>
    </w:lvl>
    <w:lvl w:ilvl="2">
      <w:start w:val="0"/>
      <w:numFmt w:val="bullet"/>
      <w:lvlText w:val="•"/>
      <w:lvlJc w:val="left"/>
      <w:pPr>
        <w:ind w:left="1960" w:hanging="681"/>
      </w:pPr>
      <w:rPr>
        <w:rFonts w:hint="default"/>
        <w:lang w:val="en-gb" w:eastAsia="en-gb" w:bidi="en-gb"/>
      </w:rPr>
    </w:lvl>
    <w:lvl w:ilvl="3">
      <w:start w:val="0"/>
      <w:numFmt w:val="bullet"/>
      <w:lvlText w:val="•"/>
      <w:lvlJc w:val="left"/>
      <w:pPr>
        <w:ind w:left="3115" w:hanging="681"/>
      </w:pPr>
      <w:rPr>
        <w:rFonts w:hint="default"/>
        <w:lang w:val="en-gb" w:eastAsia="en-gb" w:bidi="en-gb"/>
      </w:rPr>
    </w:lvl>
    <w:lvl w:ilvl="4">
      <w:start w:val="0"/>
      <w:numFmt w:val="bullet"/>
      <w:lvlText w:val="•"/>
      <w:lvlJc w:val="left"/>
      <w:pPr>
        <w:ind w:left="4271" w:hanging="681"/>
      </w:pPr>
      <w:rPr>
        <w:rFonts w:hint="default"/>
        <w:lang w:val="en-gb" w:eastAsia="en-gb" w:bidi="en-gb"/>
      </w:rPr>
    </w:lvl>
    <w:lvl w:ilvl="5">
      <w:start w:val="0"/>
      <w:numFmt w:val="bullet"/>
      <w:lvlText w:val="•"/>
      <w:lvlJc w:val="left"/>
      <w:pPr>
        <w:ind w:left="5427" w:hanging="681"/>
      </w:pPr>
      <w:rPr>
        <w:rFonts w:hint="default"/>
        <w:lang w:val="en-gb" w:eastAsia="en-gb" w:bidi="en-gb"/>
      </w:rPr>
    </w:lvl>
    <w:lvl w:ilvl="6">
      <w:start w:val="0"/>
      <w:numFmt w:val="bullet"/>
      <w:lvlText w:val="•"/>
      <w:lvlJc w:val="left"/>
      <w:pPr>
        <w:ind w:left="6582" w:hanging="681"/>
      </w:pPr>
      <w:rPr>
        <w:rFonts w:hint="default"/>
        <w:lang w:val="en-gb" w:eastAsia="en-gb" w:bidi="en-gb"/>
      </w:rPr>
    </w:lvl>
    <w:lvl w:ilvl="7">
      <w:start w:val="0"/>
      <w:numFmt w:val="bullet"/>
      <w:lvlText w:val="•"/>
      <w:lvlJc w:val="left"/>
      <w:pPr>
        <w:ind w:left="7738" w:hanging="681"/>
      </w:pPr>
      <w:rPr>
        <w:rFonts w:hint="default"/>
        <w:lang w:val="en-gb" w:eastAsia="en-gb" w:bidi="en-gb"/>
      </w:rPr>
    </w:lvl>
    <w:lvl w:ilvl="8">
      <w:start w:val="0"/>
      <w:numFmt w:val="bullet"/>
      <w:lvlText w:val="•"/>
      <w:lvlJc w:val="left"/>
      <w:pPr>
        <w:ind w:left="8894" w:hanging="681"/>
      </w:pPr>
      <w:rPr>
        <w:rFonts w:hint="default"/>
        <w:lang w:val="en-gb" w:eastAsia="en-gb" w:bidi="en-gb"/>
      </w:rPr>
    </w:lvl>
  </w:abstractNum>
  <w:abstractNum w:abstractNumId="19">
    <w:multiLevelType w:val="hybridMultilevel"/>
    <w:lvl w:ilvl="0">
      <w:start w:val="1"/>
      <w:numFmt w:val="decimal"/>
      <w:lvlText w:val="%1."/>
      <w:lvlJc w:val="left"/>
      <w:pPr>
        <w:ind w:left="1964"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1227" w:hanging="681"/>
        <w:jc w:val="right"/>
      </w:pPr>
      <w:rPr>
        <w:rFonts w:hint="default"/>
        <w:b/>
        <w:bCs/>
        <w:spacing w:val="-23"/>
        <w:w w:val="110"/>
        <w:lang w:val="en-gb" w:eastAsia="en-gb" w:bidi="en-gb"/>
      </w:rPr>
    </w:lvl>
    <w:lvl w:ilvl="2">
      <w:start w:val="1"/>
      <w:numFmt w:val="decimal"/>
      <w:lvlText w:val="%1.%2.%3"/>
      <w:lvlJc w:val="left"/>
      <w:pPr>
        <w:ind w:left="1284" w:hanging="681"/>
        <w:jc w:val="right"/>
      </w:pPr>
      <w:rPr>
        <w:rFonts w:hint="default" w:ascii="Calibri" w:hAnsi="Calibri" w:eastAsia="Calibri" w:cs="Calibri"/>
        <w:spacing w:val="-18"/>
        <w:w w:val="125"/>
        <w:sz w:val="20"/>
        <w:szCs w:val="20"/>
        <w:lang w:val="en-gb" w:eastAsia="en-gb" w:bidi="en-gb"/>
      </w:rPr>
    </w:lvl>
    <w:lvl w:ilvl="3">
      <w:start w:val="0"/>
      <w:numFmt w:val="bullet"/>
      <w:lvlText w:val="•"/>
      <w:lvlJc w:val="left"/>
      <w:pPr>
        <w:ind w:left="1960" w:hanging="681"/>
      </w:pPr>
      <w:rPr>
        <w:rFonts w:hint="default"/>
        <w:lang w:val="en-gb" w:eastAsia="en-gb" w:bidi="en-gb"/>
      </w:rPr>
    </w:lvl>
    <w:lvl w:ilvl="4">
      <w:start w:val="0"/>
      <w:numFmt w:val="bullet"/>
      <w:lvlText w:val="•"/>
      <w:lvlJc w:val="left"/>
      <w:pPr>
        <w:ind w:left="3280" w:hanging="681"/>
      </w:pPr>
      <w:rPr>
        <w:rFonts w:hint="default"/>
        <w:lang w:val="en-gb" w:eastAsia="en-gb" w:bidi="en-gb"/>
      </w:rPr>
    </w:lvl>
    <w:lvl w:ilvl="5">
      <w:start w:val="0"/>
      <w:numFmt w:val="bullet"/>
      <w:lvlText w:val="•"/>
      <w:lvlJc w:val="left"/>
      <w:pPr>
        <w:ind w:left="4601" w:hanging="681"/>
      </w:pPr>
      <w:rPr>
        <w:rFonts w:hint="default"/>
        <w:lang w:val="en-gb" w:eastAsia="en-gb" w:bidi="en-gb"/>
      </w:rPr>
    </w:lvl>
    <w:lvl w:ilvl="6">
      <w:start w:val="0"/>
      <w:numFmt w:val="bullet"/>
      <w:lvlText w:val="•"/>
      <w:lvlJc w:val="left"/>
      <w:pPr>
        <w:ind w:left="5922" w:hanging="681"/>
      </w:pPr>
      <w:rPr>
        <w:rFonts w:hint="default"/>
        <w:lang w:val="en-gb" w:eastAsia="en-gb" w:bidi="en-gb"/>
      </w:rPr>
    </w:lvl>
    <w:lvl w:ilvl="7">
      <w:start w:val="0"/>
      <w:numFmt w:val="bullet"/>
      <w:lvlText w:val="•"/>
      <w:lvlJc w:val="left"/>
      <w:pPr>
        <w:ind w:left="7243" w:hanging="681"/>
      </w:pPr>
      <w:rPr>
        <w:rFonts w:hint="default"/>
        <w:lang w:val="en-gb" w:eastAsia="en-gb" w:bidi="en-gb"/>
      </w:rPr>
    </w:lvl>
    <w:lvl w:ilvl="8">
      <w:start w:val="0"/>
      <w:numFmt w:val="bullet"/>
      <w:lvlText w:val="•"/>
      <w:lvlJc w:val="left"/>
      <w:pPr>
        <w:ind w:left="8563" w:hanging="681"/>
      </w:pPr>
      <w:rPr>
        <w:rFonts w:hint="default"/>
        <w:lang w:val="en-gb" w:eastAsia="en-gb" w:bidi="en-gb"/>
      </w:rPr>
    </w:lvl>
  </w:abstractNum>
  <w:abstractNum w:abstractNumId="16">
    <w:multiLevelType w:val="hybridMultilevel"/>
    <w:lvl w:ilvl="0">
      <w:start w:val="1"/>
      <w:numFmt w:val="decimal"/>
      <w:lvlText w:val="%1."/>
      <w:lvlJc w:val="left"/>
      <w:pPr>
        <w:ind w:left="1284"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2272" w:hanging="681"/>
      </w:pPr>
      <w:rPr>
        <w:rFonts w:hint="default"/>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13">
    <w:multiLevelType w:val="hybridMultilevel"/>
    <w:lvl w:ilvl="0">
      <w:start w:val="1"/>
      <w:numFmt w:val="decimal"/>
      <w:lvlText w:val="%1."/>
      <w:lvlJc w:val="left"/>
      <w:pPr>
        <w:ind w:left="1284"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2272" w:hanging="681"/>
      </w:pPr>
      <w:rPr>
        <w:rFonts w:hint="default"/>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8">
    <w:multiLevelType w:val="hybridMultilevel"/>
    <w:lvl w:ilvl="0">
      <w:start w:val="1"/>
      <w:numFmt w:val="decimal"/>
      <w:lvlText w:val="%1."/>
      <w:lvlJc w:val="left"/>
      <w:pPr>
        <w:ind w:left="1284"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2272" w:hanging="681"/>
      </w:pPr>
      <w:rPr>
        <w:rFonts w:hint="default"/>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2">
    <w:multiLevelType w:val="hybridMultilevel"/>
    <w:lvl w:ilvl="0">
      <w:start w:val="1"/>
      <w:numFmt w:val="decimal"/>
      <w:lvlText w:val="%1."/>
      <w:lvlJc w:val="left"/>
      <w:pPr>
        <w:ind w:left="547" w:hanging="681"/>
        <w:jc w:val="right"/>
      </w:pPr>
      <w:rPr>
        <w:rFonts w:hint="default" w:ascii="Calibri" w:hAnsi="Calibri" w:eastAsia="Calibri" w:cs="Calibri"/>
        <w:spacing w:val="-13"/>
        <w:w w:val="125"/>
        <w:sz w:val="20"/>
        <w:szCs w:val="20"/>
        <w:lang w:val="en-gb" w:eastAsia="en-gb" w:bidi="en-gb"/>
      </w:rPr>
    </w:lvl>
    <w:lvl w:ilvl="1">
      <w:start w:val="0"/>
      <w:numFmt w:val="bullet"/>
      <w:lvlText w:val="•"/>
      <w:lvlJc w:val="left"/>
      <w:pPr>
        <w:ind w:left="1606" w:hanging="681"/>
      </w:pPr>
      <w:rPr>
        <w:rFonts w:hint="default"/>
        <w:lang w:val="en-gb" w:eastAsia="en-gb" w:bidi="en-gb"/>
      </w:rPr>
    </w:lvl>
    <w:lvl w:ilvl="2">
      <w:start w:val="0"/>
      <w:numFmt w:val="bullet"/>
      <w:lvlText w:val="•"/>
      <w:lvlJc w:val="left"/>
      <w:pPr>
        <w:ind w:left="2673" w:hanging="681"/>
      </w:pPr>
      <w:rPr>
        <w:rFonts w:hint="default"/>
        <w:lang w:val="en-gb" w:eastAsia="en-gb" w:bidi="en-gb"/>
      </w:rPr>
    </w:lvl>
    <w:lvl w:ilvl="3">
      <w:start w:val="0"/>
      <w:numFmt w:val="bullet"/>
      <w:lvlText w:val="•"/>
      <w:lvlJc w:val="left"/>
      <w:pPr>
        <w:ind w:left="3739" w:hanging="681"/>
      </w:pPr>
      <w:rPr>
        <w:rFonts w:hint="default"/>
        <w:lang w:val="en-gb" w:eastAsia="en-gb" w:bidi="en-gb"/>
      </w:rPr>
    </w:lvl>
    <w:lvl w:ilvl="4">
      <w:start w:val="0"/>
      <w:numFmt w:val="bullet"/>
      <w:lvlText w:val="•"/>
      <w:lvlJc w:val="left"/>
      <w:pPr>
        <w:ind w:left="4806" w:hanging="681"/>
      </w:pPr>
      <w:rPr>
        <w:rFonts w:hint="default"/>
        <w:lang w:val="en-gb" w:eastAsia="en-gb" w:bidi="en-gb"/>
      </w:rPr>
    </w:lvl>
    <w:lvl w:ilvl="5">
      <w:start w:val="0"/>
      <w:numFmt w:val="bullet"/>
      <w:lvlText w:val="•"/>
      <w:lvlJc w:val="left"/>
      <w:pPr>
        <w:ind w:left="5872" w:hanging="681"/>
      </w:pPr>
      <w:rPr>
        <w:rFonts w:hint="default"/>
        <w:lang w:val="en-gb" w:eastAsia="en-gb" w:bidi="en-gb"/>
      </w:rPr>
    </w:lvl>
    <w:lvl w:ilvl="6">
      <w:start w:val="0"/>
      <w:numFmt w:val="bullet"/>
      <w:lvlText w:val="•"/>
      <w:lvlJc w:val="left"/>
      <w:pPr>
        <w:ind w:left="6939" w:hanging="681"/>
      </w:pPr>
      <w:rPr>
        <w:rFonts w:hint="default"/>
        <w:lang w:val="en-gb" w:eastAsia="en-gb" w:bidi="en-gb"/>
      </w:rPr>
    </w:lvl>
    <w:lvl w:ilvl="7">
      <w:start w:val="0"/>
      <w:numFmt w:val="bullet"/>
      <w:lvlText w:val="•"/>
      <w:lvlJc w:val="left"/>
      <w:pPr>
        <w:ind w:left="8005" w:hanging="681"/>
      </w:pPr>
      <w:rPr>
        <w:rFonts w:hint="default"/>
        <w:lang w:val="en-gb" w:eastAsia="en-gb" w:bidi="en-gb"/>
      </w:rPr>
    </w:lvl>
    <w:lvl w:ilvl="8">
      <w:start w:val="0"/>
      <w:numFmt w:val="bullet"/>
      <w:lvlText w:val="•"/>
      <w:lvlJc w:val="left"/>
      <w:pPr>
        <w:ind w:left="9072" w:hanging="681"/>
      </w:pPr>
      <w:rPr>
        <w:rFonts w:hint="default"/>
        <w:lang w:val="en-gb" w:eastAsia="en-gb" w:bidi="en-gb"/>
      </w:rPr>
    </w:lvl>
  </w:abstractNum>
  <w:abstractNum w:abstractNumId="135">
    <w:multiLevelType w:val="hybridMultilevel"/>
    <w:lvl w:ilvl="0">
      <w:start w:val="0"/>
      <w:numFmt w:val="bullet"/>
      <w:lvlText w:val=""/>
      <w:lvlJc w:val="left"/>
      <w:pPr>
        <w:ind w:left="156" w:hanging="312"/>
      </w:pPr>
      <w:rPr>
        <w:rFonts w:hint="default" w:ascii="Symbol" w:hAnsi="Symbol" w:eastAsia="Symbol" w:cs="Symbol"/>
        <w:w w:val="110"/>
        <w:sz w:val="20"/>
        <w:szCs w:val="20"/>
        <w:lang w:val="en-gb" w:eastAsia="en-gb" w:bidi="en-gb"/>
      </w:rPr>
    </w:lvl>
    <w:lvl w:ilvl="1">
      <w:start w:val="0"/>
      <w:numFmt w:val="bullet"/>
      <w:lvlText w:val="•"/>
      <w:lvlJc w:val="left"/>
      <w:pPr>
        <w:ind w:left="646" w:hanging="312"/>
      </w:pPr>
      <w:rPr>
        <w:rFonts w:hint="default"/>
        <w:lang w:val="en-gb" w:eastAsia="en-gb" w:bidi="en-gb"/>
      </w:rPr>
    </w:lvl>
    <w:lvl w:ilvl="2">
      <w:start w:val="0"/>
      <w:numFmt w:val="bullet"/>
      <w:lvlText w:val="•"/>
      <w:lvlJc w:val="left"/>
      <w:pPr>
        <w:ind w:left="1132" w:hanging="312"/>
      </w:pPr>
      <w:rPr>
        <w:rFonts w:hint="default"/>
        <w:lang w:val="en-gb" w:eastAsia="en-gb" w:bidi="en-gb"/>
      </w:rPr>
    </w:lvl>
    <w:lvl w:ilvl="3">
      <w:start w:val="0"/>
      <w:numFmt w:val="bullet"/>
      <w:lvlText w:val="•"/>
      <w:lvlJc w:val="left"/>
      <w:pPr>
        <w:ind w:left="1618" w:hanging="312"/>
      </w:pPr>
      <w:rPr>
        <w:rFonts w:hint="default"/>
        <w:lang w:val="en-gb" w:eastAsia="en-gb" w:bidi="en-gb"/>
      </w:rPr>
    </w:lvl>
    <w:lvl w:ilvl="4">
      <w:start w:val="0"/>
      <w:numFmt w:val="bullet"/>
      <w:lvlText w:val="•"/>
      <w:lvlJc w:val="left"/>
      <w:pPr>
        <w:ind w:left="2104" w:hanging="312"/>
      </w:pPr>
      <w:rPr>
        <w:rFonts w:hint="default"/>
        <w:lang w:val="en-gb" w:eastAsia="en-gb" w:bidi="en-gb"/>
      </w:rPr>
    </w:lvl>
    <w:lvl w:ilvl="5">
      <w:start w:val="0"/>
      <w:numFmt w:val="bullet"/>
      <w:lvlText w:val="•"/>
      <w:lvlJc w:val="left"/>
      <w:pPr>
        <w:ind w:left="2590" w:hanging="312"/>
      </w:pPr>
      <w:rPr>
        <w:rFonts w:hint="default"/>
        <w:lang w:val="en-gb" w:eastAsia="en-gb" w:bidi="en-gb"/>
      </w:rPr>
    </w:lvl>
    <w:lvl w:ilvl="6">
      <w:start w:val="0"/>
      <w:numFmt w:val="bullet"/>
      <w:lvlText w:val="•"/>
      <w:lvlJc w:val="left"/>
      <w:pPr>
        <w:ind w:left="3077" w:hanging="312"/>
      </w:pPr>
      <w:rPr>
        <w:rFonts w:hint="default"/>
        <w:lang w:val="en-gb" w:eastAsia="en-gb" w:bidi="en-gb"/>
      </w:rPr>
    </w:lvl>
    <w:lvl w:ilvl="7">
      <w:start w:val="0"/>
      <w:numFmt w:val="bullet"/>
      <w:lvlText w:val="•"/>
      <w:lvlJc w:val="left"/>
      <w:pPr>
        <w:ind w:left="3563" w:hanging="312"/>
      </w:pPr>
      <w:rPr>
        <w:rFonts w:hint="default"/>
        <w:lang w:val="en-gb" w:eastAsia="en-gb" w:bidi="en-gb"/>
      </w:rPr>
    </w:lvl>
    <w:lvl w:ilvl="8">
      <w:start w:val="0"/>
      <w:numFmt w:val="bullet"/>
      <w:lvlText w:val="•"/>
      <w:lvlJc w:val="left"/>
      <w:pPr>
        <w:ind w:left="4049" w:hanging="312"/>
      </w:pPr>
      <w:rPr>
        <w:rFonts w:hint="default"/>
        <w:lang w:val="en-gb" w:eastAsia="en-gb" w:bidi="en-gb"/>
      </w:rPr>
    </w:lvl>
  </w:abstractNum>
  <w:abstractNum w:abstractNumId="136">
    <w:multiLevelType w:val="hybridMultilevel"/>
    <w:lvl w:ilvl="0">
      <w:start w:val="0"/>
      <w:numFmt w:val="bullet"/>
      <w:lvlText w:val=""/>
      <w:lvlJc w:val="left"/>
      <w:pPr>
        <w:ind w:left="824" w:hanging="292"/>
      </w:pPr>
      <w:rPr>
        <w:rFonts w:hint="default" w:ascii="Symbol" w:hAnsi="Symbol" w:eastAsia="Symbol" w:cs="Symbol"/>
        <w:w w:val="110"/>
        <w:sz w:val="20"/>
        <w:szCs w:val="20"/>
        <w:lang w:val="en-gb" w:eastAsia="en-gb" w:bidi="en-gb"/>
      </w:rPr>
    </w:lvl>
    <w:lvl w:ilvl="1">
      <w:start w:val="0"/>
      <w:numFmt w:val="bullet"/>
      <w:lvlText w:val="•"/>
      <w:lvlJc w:val="left"/>
      <w:pPr>
        <w:ind w:left="1121" w:hanging="292"/>
      </w:pPr>
      <w:rPr>
        <w:rFonts w:hint="default"/>
        <w:lang w:val="en-gb" w:eastAsia="en-gb" w:bidi="en-gb"/>
      </w:rPr>
    </w:lvl>
    <w:lvl w:ilvl="2">
      <w:start w:val="0"/>
      <w:numFmt w:val="bullet"/>
      <w:lvlText w:val="•"/>
      <w:lvlJc w:val="left"/>
      <w:pPr>
        <w:ind w:left="1422" w:hanging="292"/>
      </w:pPr>
      <w:rPr>
        <w:rFonts w:hint="default"/>
        <w:lang w:val="en-gb" w:eastAsia="en-gb" w:bidi="en-gb"/>
      </w:rPr>
    </w:lvl>
    <w:lvl w:ilvl="3">
      <w:start w:val="0"/>
      <w:numFmt w:val="bullet"/>
      <w:lvlText w:val="•"/>
      <w:lvlJc w:val="left"/>
      <w:pPr>
        <w:ind w:left="1723" w:hanging="292"/>
      </w:pPr>
      <w:rPr>
        <w:rFonts w:hint="default"/>
        <w:lang w:val="en-gb" w:eastAsia="en-gb" w:bidi="en-gb"/>
      </w:rPr>
    </w:lvl>
    <w:lvl w:ilvl="4">
      <w:start w:val="0"/>
      <w:numFmt w:val="bullet"/>
      <w:lvlText w:val="•"/>
      <w:lvlJc w:val="left"/>
      <w:pPr>
        <w:ind w:left="2024" w:hanging="292"/>
      </w:pPr>
      <w:rPr>
        <w:rFonts w:hint="default"/>
        <w:lang w:val="en-gb" w:eastAsia="en-gb" w:bidi="en-gb"/>
      </w:rPr>
    </w:lvl>
    <w:lvl w:ilvl="5">
      <w:start w:val="0"/>
      <w:numFmt w:val="bullet"/>
      <w:lvlText w:val="•"/>
      <w:lvlJc w:val="left"/>
      <w:pPr>
        <w:ind w:left="2325" w:hanging="292"/>
      </w:pPr>
      <w:rPr>
        <w:rFonts w:hint="default"/>
        <w:lang w:val="en-gb" w:eastAsia="en-gb" w:bidi="en-gb"/>
      </w:rPr>
    </w:lvl>
    <w:lvl w:ilvl="6">
      <w:start w:val="0"/>
      <w:numFmt w:val="bullet"/>
      <w:lvlText w:val="•"/>
      <w:lvlJc w:val="left"/>
      <w:pPr>
        <w:ind w:left="2626" w:hanging="292"/>
      </w:pPr>
      <w:rPr>
        <w:rFonts w:hint="default"/>
        <w:lang w:val="en-gb" w:eastAsia="en-gb" w:bidi="en-gb"/>
      </w:rPr>
    </w:lvl>
    <w:lvl w:ilvl="7">
      <w:start w:val="0"/>
      <w:numFmt w:val="bullet"/>
      <w:lvlText w:val="•"/>
      <w:lvlJc w:val="left"/>
      <w:pPr>
        <w:ind w:left="2927" w:hanging="292"/>
      </w:pPr>
      <w:rPr>
        <w:rFonts w:hint="default"/>
        <w:lang w:val="en-gb" w:eastAsia="en-gb" w:bidi="en-gb"/>
      </w:rPr>
    </w:lvl>
    <w:lvl w:ilvl="8">
      <w:start w:val="0"/>
      <w:numFmt w:val="bullet"/>
      <w:lvlText w:val="•"/>
      <w:lvlJc w:val="left"/>
      <w:pPr>
        <w:ind w:left="3228" w:hanging="292"/>
      </w:pPr>
      <w:rPr>
        <w:rFonts w:hint="default"/>
        <w:lang w:val="en-gb" w:eastAsia="en-gb" w:bidi="en-gb"/>
      </w:rPr>
    </w:lvl>
  </w:abstractNum>
  <w:abstractNum w:abstractNumId="134">
    <w:multiLevelType w:val="hybridMultilevel"/>
    <w:lvl w:ilvl="0">
      <w:start w:val="5"/>
      <w:numFmt w:val="decimal"/>
      <w:lvlText w:val="%1."/>
      <w:lvlJc w:val="left"/>
      <w:pPr>
        <w:ind w:left="2244" w:hanging="681"/>
        <w:jc w:val="right"/>
      </w:pPr>
      <w:rPr>
        <w:rFonts w:hint="default" w:ascii="Stone Sans II ITC Std Bk" w:hAnsi="Stone Sans II ITC Std Bk" w:eastAsia="Stone Sans II ITC Std Bk" w:cs="Stone Sans II ITC Std Bk"/>
        <w:b/>
        <w:bCs/>
        <w:spacing w:val="-6"/>
        <w:w w:val="110"/>
        <w:sz w:val="29"/>
        <w:szCs w:val="29"/>
        <w:lang w:val="en-gb" w:eastAsia="en-gb" w:bidi="en-gb"/>
      </w:rPr>
    </w:lvl>
    <w:lvl w:ilvl="1">
      <w:start w:val="1"/>
      <w:numFmt w:val="decimal"/>
      <w:lvlText w:val="%1.%2"/>
      <w:lvlJc w:val="left"/>
      <w:pPr>
        <w:ind w:left="1564"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2240" w:hanging="681"/>
      </w:pPr>
      <w:rPr>
        <w:rFonts w:hint="default"/>
        <w:lang w:val="en-gb" w:eastAsia="en-gb" w:bidi="en-gb"/>
      </w:rPr>
    </w:lvl>
    <w:lvl w:ilvl="4">
      <w:start w:val="0"/>
      <w:numFmt w:val="bullet"/>
      <w:lvlText w:val="•"/>
      <w:lvlJc w:val="left"/>
      <w:pPr>
        <w:ind w:left="3506" w:hanging="681"/>
      </w:pPr>
      <w:rPr>
        <w:rFonts w:hint="default"/>
        <w:lang w:val="en-gb" w:eastAsia="en-gb" w:bidi="en-gb"/>
      </w:rPr>
    </w:lvl>
    <w:lvl w:ilvl="5">
      <w:start w:val="0"/>
      <w:numFmt w:val="bullet"/>
      <w:lvlText w:val="•"/>
      <w:lvlJc w:val="left"/>
      <w:pPr>
        <w:ind w:left="4773" w:hanging="681"/>
      </w:pPr>
      <w:rPr>
        <w:rFonts w:hint="default"/>
        <w:lang w:val="en-gb" w:eastAsia="en-gb" w:bidi="en-gb"/>
      </w:rPr>
    </w:lvl>
    <w:lvl w:ilvl="6">
      <w:start w:val="0"/>
      <w:numFmt w:val="bullet"/>
      <w:lvlText w:val="•"/>
      <w:lvlJc w:val="left"/>
      <w:pPr>
        <w:ind w:left="6039" w:hanging="681"/>
      </w:pPr>
      <w:rPr>
        <w:rFonts w:hint="default"/>
        <w:lang w:val="en-gb" w:eastAsia="en-gb" w:bidi="en-gb"/>
      </w:rPr>
    </w:lvl>
    <w:lvl w:ilvl="7">
      <w:start w:val="0"/>
      <w:numFmt w:val="bullet"/>
      <w:lvlText w:val="•"/>
      <w:lvlJc w:val="left"/>
      <w:pPr>
        <w:ind w:left="7306" w:hanging="681"/>
      </w:pPr>
      <w:rPr>
        <w:rFonts w:hint="default"/>
        <w:lang w:val="en-gb" w:eastAsia="en-gb" w:bidi="en-gb"/>
      </w:rPr>
    </w:lvl>
    <w:lvl w:ilvl="8">
      <w:start w:val="0"/>
      <w:numFmt w:val="bullet"/>
      <w:lvlText w:val="•"/>
      <w:lvlJc w:val="left"/>
      <w:pPr>
        <w:ind w:left="8572" w:hanging="681"/>
      </w:pPr>
      <w:rPr>
        <w:rFonts w:hint="default"/>
        <w:lang w:val="en-gb" w:eastAsia="en-gb" w:bidi="en-gb"/>
      </w:rPr>
    </w:lvl>
  </w:abstractNum>
  <w:abstractNum w:abstractNumId="133">
    <w:multiLevelType w:val="hybridMultilevel"/>
    <w:lvl w:ilvl="0">
      <w:start w:val="4"/>
      <w:numFmt w:val="decimal"/>
      <w:lvlText w:val="%1"/>
      <w:lvlJc w:val="left"/>
      <w:pPr>
        <w:ind w:left="1507" w:hanging="681"/>
        <w:jc w:val="left"/>
      </w:pPr>
      <w:rPr>
        <w:rFonts w:hint="default" w:ascii="Stone Sans II ITC Std Bk" w:hAnsi="Stone Sans II ITC Std Bk" w:eastAsia="Stone Sans II ITC Std Bk" w:cs="Stone Sans II ITC Std Bk"/>
        <w:b/>
        <w:bCs/>
        <w:w w:val="110"/>
        <w:sz w:val="29"/>
        <w:szCs w:val="29"/>
        <w:lang w:val="en-gb" w:eastAsia="en-gb" w:bidi="en-gb"/>
      </w:rPr>
    </w:lvl>
    <w:lvl w:ilvl="1">
      <w:start w:val="1"/>
      <w:numFmt w:val="decimal"/>
      <w:lvlText w:val="%1.%2"/>
      <w:lvlJc w:val="left"/>
      <w:pPr>
        <w:ind w:left="1507"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1"/>
      <w:numFmt w:val="decimal"/>
      <w:lvlText w:val="%1.%2.%3.%4"/>
      <w:lvlJc w:val="left"/>
      <w:pPr>
        <w:ind w:left="3151" w:hanging="908"/>
        <w:jc w:val="left"/>
      </w:pPr>
      <w:rPr>
        <w:rFonts w:hint="default" w:ascii="Calibri" w:hAnsi="Calibri" w:eastAsia="Calibri" w:cs="Calibri"/>
        <w:spacing w:val="-18"/>
        <w:w w:val="125"/>
        <w:sz w:val="20"/>
        <w:szCs w:val="20"/>
        <w:lang w:val="en-gb" w:eastAsia="en-gb" w:bidi="en-gb"/>
      </w:rPr>
    </w:lvl>
    <w:lvl w:ilvl="4">
      <w:start w:val="0"/>
      <w:numFmt w:val="bullet"/>
      <w:lvlText w:val="•"/>
      <w:lvlJc w:val="left"/>
      <w:pPr>
        <w:ind w:left="5146" w:hanging="908"/>
      </w:pPr>
      <w:rPr>
        <w:rFonts w:hint="default"/>
        <w:lang w:val="en-gb" w:eastAsia="en-gb" w:bidi="en-gb"/>
      </w:rPr>
    </w:lvl>
    <w:lvl w:ilvl="5">
      <w:start w:val="0"/>
      <w:numFmt w:val="bullet"/>
      <w:lvlText w:val="•"/>
      <w:lvlJc w:val="left"/>
      <w:pPr>
        <w:ind w:left="6139" w:hanging="908"/>
      </w:pPr>
      <w:rPr>
        <w:rFonts w:hint="default"/>
        <w:lang w:val="en-gb" w:eastAsia="en-gb" w:bidi="en-gb"/>
      </w:rPr>
    </w:lvl>
    <w:lvl w:ilvl="6">
      <w:start w:val="0"/>
      <w:numFmt w:val="bullet"/>
      <w:lvlText w:val="•"/>
      <w:lvlJc w:val="left"/>
      <w:pPr>
        <w:ind w:left="7132" w:hanging="908"/>
      </w:pPr>
      <w:rPr>
        <w:rFonts w:hint="default"/>
        <w:lang w:val="en-gb" w:eastAsia="en-gb" w:bidi="en-gb"/>
      </w:rPr>
    </w:lvl>
    <w:lvl w:ilvl="7">
      <w:start w:val="0"/>
      <w:numFmt w:val="bullet"/>
      <w:lvlText w:val="•"/>
      <w:lvlJc w:val="left"/>
      <w:pPr>
        <w:ind w:left="8125" w:hanging="908"/>
      </w:pPr>
      <w:rPr>
        <w:rFonts w:hint="default"/>
        <w:lang w:val="en-gb" w:eastAsia="en-gb" w:bidi="en-gb"/>
      </w:rPr>
    </w:lvl>
    <w:lvl w:ilvl="8">
      <w:start w:val="0"/>
      <w:numFmt w:val="bullet"/>
      <w:lvlText w:val="•"/>
      <w:lvlJc w:val="left"/>
      <w:pPr>
        <w:ind w:left="9119" w:hanging="908"/>
      </w:pPr>
      <w:rPr>
        <w:rFonts w:hint="default"/>
        <w:lang w:val="en-gb" w:eastAsia="en-gb" w:bidi="en-gb"/>
      </w:rPr>
    </w:lvl>
  </w:abstractNum>
  <w:abstractNum w:abstractNumId="132">
    <w:multiLevelType w:val="hybridMultilevel"/>
    <w:lvl w:ilvl="0">
      <w:start w:val="1"/>
      <w:numFmt w:val="decimal"/>
      <w:lvlText w:val="%1."/>
      <w:lvlJc w:val="left"/>
      <w:pPr>
        <w:ind w:left="2244"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2244"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2240" w:hanging="681"/>
      </w:pPr>
      <w:rPr>
        <w:rFonts w:hint="default"/>
        <w:lang w:val="en-gb" w:eastAsia="en-gb" w:bidi="en-gb"/>
      </w:rPr>
    </w:lvl>
    <w:lvl w:ilvl="4">
      <w:start w:val="0"/>
      <w:numFmt w:val="bullet"/>
      <w:lvlText w:val="•"/>
      <w:lvlJc w:val="left"/>
      <w:pPr>
        <w:ind w:left="3506" w:hanging="681"/>
      </w:pPr>
      <w:rPr>
        <w:rFonts w:hint="default"/>
        <w:lang w:val="en-gb" w:eastAsia="en-gb" w:bidi="en-gb"/>
      </w:rPr>
    </w:lvl>
    <w:lvl w:ilvl="5">
      <w:start w:val="0"/>
      <w:numFmt w:val="bullet"/>
      <w:lvlText w:val="•"/>
      <w:lvlJc w:val="left"/>
      <w:pPr>
        <w:ind w:left="4773" w:hanging="681"/>
      </w:pPr>
      <w:rPr>
        <w:rFonts w:hint="default"/>
        <w:lang w:val="en-gb" w:eastAsia="en-gb" w:bidi="en-gb"/>
      </w:rPr>
    </w:lvl>
    <w:lvl w:ilvl="6">
      <w:start w:val="0"/>
      <w:numFmt w:val="bullet"/>
      <w:lvlText w:val="•"/>
      <w:lvlJc w:val="left"/>
      <w:pPr>
        <w:ind w:left="6039" w:hanging="681"/>
      </w:pPr>
      <w:rPr>
        <w:rFonts w:hint="default"/>
        <w:lang w:val="en-gb" w:eastAsia="en-gb" w:bidi="en-gb"/>
      </w:rPr>
    </w:lvl>
    <w:lvl w:ilvl="7">
      <w:start w:val="0"/>
      <w:numFmt w:val="bullet"/>
      <w:lvlText w:val="•"/>
      <w:lvlJc w:val="left"/>
      <w:pPr>
        <w:ind w:left="7306" w:hanging="681"/>
      </w:pPr>
      <w:rPr>
        <w:rFonts w:hint="default"/>
        <w:lang w:val="en-gb" w:eastAsia="en-gb" w:bidi="en-gb"/>
      </w:rPr>
    </w:lvl>
    <w:lvl w:ilvl="8">
      <w:start w:val="0"/>
      <w:numFmt w:val="bullet"/>
      <w:lvlText w:val="•"/>
      <w:lvlJc w:val="left"/>
      <w:pPr>
        <w:ind w:left="8572" w:hanging="681"/>
      </w:pPr>
      <w:rPr>
        <w:rFonts w:hint="default"/>
        <w:lang w:val="en-gb" w:eastAsia="en-gb" w:bidi="en-gb"/>
      </w:rPr>
    </w:lvl>
  </w:abstractNum>
  <w:abstractNum w:abstractNumId="131">
    <w:multiLevelType w:val="hybridMultilevel"/>
    <w:lvl w:ilvl="0">
      <w:start w:val="1"/>
      <w:numFmt w:val="lowerLetter"/>
      <w:lvlText w:val="%1)"/>
      <w:lvlJc w:val="left"/>
      <w:pPr>
        <w:ind w:left="1019"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1847" w:hanging="681"/>
      </w:pPr>
      <w:rPr>
        <w:rFonts w:hint="default"/>
        <w:lang w:val="en-gb" w:eastAsia="en-gb" w:bidi="en-gb"/>
      </w:rPr>
    </w:lvl>
    <w:lvl w:ilvl="2">
      <w:start w:val="0"/>
      <w:numFmt w:val="bullet"/>
      <w:lvlText w:val="•"/>
      <w:lvlJc w:val="left"/>
      <w:pPr>
        <w:ind w:left="2675" w:hanging="681"/>
      </w:pPr>
      <w:rPr>
        <w:rFonts w:hint="default"/>
        <w:lang w:val="en-gb" w:eastAsia="en-gb" w:bidi="en-gb"/>
      </w:rPr>
    </w:lvl>
    <w:lvl w:ilvl="3">
      <w:start w:val="0"/>
      <w:numFmt w:val="bullet"/>
      <w:lvlText w:val="•"/>
      <w:lvlJc w:val="left"/>
      <w:pPr>
        <w:ind w:left="3503" w:hanging="681"/>
      </w:pPr>
      <w:rPr>
        <w:rFonts w:hint="default"/>
        <w:lang w:val="en-gb" w:eastAsia="en-gb" w:bidi="en-gb"/>
      </w:rPr>
    </w:lvl>
    <w:lvl w:ilvl="4">
      <w:start w:val="0"/>
      <w:numFmt w:val="bullet"/>
      <w:lvlText w:val="•"/>
      <w:lvlJc w:val="left"/>
      <w:pPr>
        <w:ind w:left="4330" w:hanging="681"/>
      </w:pPr>
      <w:rPr>
        <w:rFonts w:hint="default"/>
        <w:lang w:val="en-gb" w:eastAsia="en-gb" w:bidi="en-gb"/>
      </w:rPr>
    </w:lvl>
    <w:lvl w:ilvl="5">
      <w:start w:val="0"/>
      <w:numFmt w:val="bullet"/>
      <w:lvlText w:val="•"/>
      <w:lvlJc w:val="left"/>
      <w:pPr>
        <w:ind w:left="5158" w:hanging="681"/>
      </w:pPr>
      <w:rPr>
        <w:rFonts w:hint="default"/>
        <w:lang w:val="en-gb" w:eastAsia="en-gb" w:bidi="en-gb"/>
      </w:rPr>
    </w:lvl>
    <w:lvl w:ilvl="6">
      <w:start w:val="0"/>
      <w:numFmt w:val="bullet"/>
      <w:lvlText w:val="•"/>
      <w:lvlJc w:val="left"/>
      <w:pPr>
        <w:ind w:left="5986" w:hanging="681"/>
      </w:pPr>
      <w:rPr>
        <w:rFonts w:hint="default"/>
        <w:lang w:val="en-gb" w:eastAsia="en-gb" w:bidi="en-gb"/>
      </w:rPr>
    </w:lvl>
    <w:lvl w:ilvl="7">
      <w:start w:val="0"/>
      <w:numFmt w:val="bullet"/>
      <w:lvlText w:val="•"/>
      <w:lvlJc w:val="left"/>
      <w:pPr>
        <w:ind w:left="6813" w:hanging="681"/>
      </w:pPr>
      <w:rPr>
        <w:rFonts w:hint="default"/>
        <w:lang w:val="en-gb" w:eastAsia="en-gb" w:bidi="en-gb"/>
      </w:rPr>
    </w:lvl>
    <w:lvl w:ilvl="8">
      <w:start w:val="0"/>
      <w:numFmt w:val="bullet"/>
      <w:lvlText w:val="•"/>
      <w:lvlJc w:val="left"/>
      <w:pPr>
        <w:ind w:left="7641" w:hanging="681"/>
      </w:pPr>
      <w:rPr>
        <w:rFonts w:hint="default"/>
        <w:lang w:val="en-gb" w:eastAsia="en-gb" w:bidi="en-gb"/>
      </w:rPr>
    </w:lvl>
  </w:abstractNum>
  <w:abstractNum w:abstractNumId="130">
    <w:multiLevelType w:val="hybridMultilevel"/>
    <w:lvl w:ilvl="0">
      <w:start w:val="1"/>
      <w:numFmt w:val="lowerLetter"/>
      <w:lvlText w:val="%1)"/>
      <w:lvlJc w:val="left"/>
      <w:pPr>
        <w:ind w:left="680"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1458" w:hanging="681"/>
      </w:pPr>
      <w:rPr>
        <w:rFonts w:hint="default"/>
        <w:lang w:val="en-gb" w:eastAsia="en-gb" w:bidi="en-gb"/>
      </w:rPr>
    </w:lvl>
    <w:lvl w:ilvl="2">
      <w:start w:val="0"/>
      <w:numFmt w:val="bullet"/>
      <w:lvlText w:val="•"/>
      <w:lvlJc w:val="left"/>
      <w:pPr>
        <w:ind w:left="2237" w:hanging="681"/>
      </w:pPr>
      <w:rPr>
        <w:rFonts w:hint="default"/>
        <w:lang w:val="en-gb" w:eastAsia="en-gb" w:bidi="en-gb"/>
      </w:rPr>
    </w:lvl>
    <w:lvl w:ilvl="3">
      <w:start w:val="0"/>
      <w:numFmt w:val="bullet"/>
      <w:lvlText w:val="•"/>
      <w:lvlJc w:val="left"/>
      <w:pPr>
        <w:ind w:left="3016" w:hanging="681"/>
      </w:pPr>
      <w:rPr>
        <w:rFonts w:hint="default"/>
        <w:lang w:val="en-gb" w:eastAsia="en-gb" w:bidi="en-gb"/>
      </w:rPr>
    </w:lvl>
    <w:lvl w:ilvl="4">
      <w:start w:val="0"/>
      <w:numFmt w:val="bullet"/>
      <w:lvlText w:val="•"/>
      <w:lvlJc w:val="left"/>
      <w:pPr>
        <w:ind w:left="3794" w:hanging="681"/>
      </w:pPr>
      <w:rPr>
        <w:rFonts w:hint="default"/>
        <w:lang w:val="en-gb" w:eastAsia="en-gb" w:bidi="en-gb"/>
      </w:rPr>
    </w:lvl>
    <w:lvl w:ilvl="5">
      <w:start w:val="0"/>
      <w:numFmt w:val="bullet"/>
      <w:lvlText w:val="•"/>
      <w:lvlJc w:val="left"/>
      <w:pPr>
        <w:ind w:left="4573" w:hanging="681"/>
      </w:pPr>
      <w:rPr>
        <w:rFonts w:hint="default"/>
        <w:lang w:val="en-gb" w:eastAsia="en-gb" w:bidi="en-gb"/>
      </w:rPr>
    </w:lvl>
    <w:lvl w:ilvl="6">
      <w:start w:val="0"/>
      <w:numFmt w:val="bullet"/>
      <w:lvlText w:val="•"/>
      <w:lvlJc w:val="left"/>
      <w:pPr>
        <w:ind w:left="5352" w:hanging="681"/>
      </w:pPr>
      <w:rPr>
        <w:rFonts w:hint="default"/>
        <w:lang w:val="en-gb" w:eastAsia="en-gb" w:bidi="en-gb"/>
      </w:rPr>
    </w:lvl>
    <w:lvl w:ilvl="7">
      <w:start w:val="0"/>
      <w:numFmt w:val="bullet"/>
      <w:lvlText w:val="•"/>
      <w:lvlJc w:val="left"/>
      <w:pPr>
        <w:ind w:left="6130" w:hanging="681"/>
      </w:pPr>
      <w:rPr>
        <w:rFonts w:hint="default"/>
        <w:lang w:val="en-gb" w:eastAsia="en-gb" w:bidi="en-gb"/>
      </w:rPr>
    </w:lvl>
    <w:lvl w:ilvl="8">
      <w:start w:val="0"/>
      <w:numFmt w:val="bullet"/>
      <w:lvlText w:val="•"/>
      <w:lvlJc w:val="left"/>
      <w:pPr>
        <w:ind w:left="6909" w:hanging="681"/>
      </w:pPr>
      <w:rPr>
        <w:rFonts w:hint="default"/>
        <w:lang w:val="en-gb" w:eastAsia="en-gb" w:bidi="en-gb"/>
      </w:rPr>
    </w:lvl>
  </w:abstractNum>
  <w:abstractNum w:abstractNumId="129">
    <w:multiLevelType w:val="hybridMultilevel"/>
    <w:lvl w:ilvl="0">
      <w:start w:val="1"/>
      <w:numFmt w:val="lowerLetter"/>
      <w:lvlText w:val="%1)"/>
      <w:lvlJc w:val="left"/>
      <w:pPr>
        <w:ind w:left="680"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1471" w:hanging="681"/>
      </w:pPr>
      <w:rPr>
        <w:rFonts w:hint="default"/>
        <w:lang w:val="en-gb" w:eastAsia="en-gb" w:bidi="en-gb"/>
      </w:rPr>
    </w:lvl>
    <w:lvl w:ilvl="2">
      <w:start w:val="0"/>
      <w:numFmt w:val="bullet"/>
      <w:lvlText w:val="•"/>
      <w:lvlJc w:val="left"/>
      <w:pPr>
        <w:ind w:left="2262" w:hanging="681"/>
      </w:pPr>
      <w:rPr>
        <w:rFonts w:hint="default"/>
        <w:lang w:val="en-gb" w:eastAsia="en-gb" w:bidi="en-gb"/>
      </w:rPr>
    </w:lvl>
    <w:lvl w:ilvl="3">
      <w:start w:val="0"/>
      <w:numFmt w:val="bullet"/>
      <w:lvlText w:val="•"/>
      <w:lvlJc w:val="left"/>
      <w:pPr>
        <w:ind w:left="3054" w:hanging="681"/>
      </w:pPr>
      <w:rPr>
        <w:rFonts w:hint="default"/>
        <w:lang w:val="en-gb" w:eastAsia="en-gb" w:bidi="en-gb"/>
      </w:rPr>
    </w:lvl>
    <w:lvl w:ilvl="4">
      <w:start w:val="0"/>
      <w:numFmt w:val="bullet"/>
      <w:lvlText w:val="•"/>
      <w:lvlJc w:val="left"/>
      <w:pPr>
        <w:ind w:left="3845" w:hanging="681"/>
      </w:pPr>
      <w:rPr>
        <w:rFonts w:hint="default"/>
        <w:lang w:val="en-gb" w:eastAsia="en-gb" w:bidi="en-gb"/>
      </w:rPr>
    </w:lvl>
    <w:lvl w:ilvl="5">
      <w:start w:val="0"/>
      <w:numFmt w:val="bullet"/>
      <w:lvlText w:val="•"/>
      <w:lvlJc w:val="left"/>
      <w:pPr>
        <w:ind w:left="4637" w:hanging="681"/>
      </w:pPr>
      <w:rPr>
        <w:rFonts w:hint="default"/>
        <w:lang w:val="en-gb" w:eastAsia="en-gb" w:bidi="en-gb"/>
      </w:rPr>
    </w:lvl>
    <w:lvl w:ilvl="6">
      <w:start w:val="0"/>
      <w:numFmt w:val="bullet"/>
      <w:lvlText w:val="•"/>
      <w:lvlJc w:val="left"/>
      <w:pPr>
        <w:ind w:left="5428" w:hanging="681"/>
      </w:pPr>
      <w:rPr>
        <w:rFonts w:hint="default"/>
        <w:lang w:val="en-gb" w:eastAsia="en-gb" w:bidi="en-gb"/>
      </w:rPr>
    </w:lvl>
    <w:lvl w:ilvl="7">
      <w:start w:val="0"/>
      <w:numFmt w:val="bullet"/>
      <w:lvlText w:val="•"/>
      <w:lvlJc w:val="left"/>
      <w:pPr>
        <w:ind w:left="6220" w:hanging="681"/>
      </w:pPr>
      <w:rPr>
        <w:rFonts w:hint="default"/>
        <w:lang w:val="en-gb" w:eastAsia="en-gb" w:bidi="en-gb"/>
      </w:rPr>
    </w:lvl>
    <w:lvl w:ilvl="8">
      <w:start w:val="0"/>
      <w:numFmt w:val="bullet"/>
      <w:lvlText w:val="•"/>
      <w:lvlJc w:val="left"/>
      <w:pPr>
        <w:ind w:left="7011" w:hanging="681"/>
      </w:pPr>
      <w:rPr>
        <w:rFonts w:hint="default"/>
        <w:lang w:val="en-gb" w:eastAsia="en-gb" w:bidi="en-gb"/>
      </w:rPr>
    </w:lvl>
  </w:abstractNum>
  <w:abstractNum w:abstractNumId="128">
    <w:multiLevelType w:val="hybridMultilevel"/>
    <w:lvl w:ilvl="0">
      <w:start w:val="1"/>
      <w:numFmt w:val="lowerLetter"/>
      <w:lvlText w:val="%1)"/>
      <w:lvlJc w:val="left"/>
      <w:pPr>
        <w:ind w:left="680"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1433" w:hanging="681"/>
      </w:pPr>
      <w:rPr>
        <w:rFonts w:hint="default"/>
        <w:lang w:val="en-gb" w:eastAsia="en-gb" w:bidi="en-gb"/>
      </w:rPr>
    </w:lvl>
    <w:lvl w:ilvl="2">
      <w:start w:val="0"/>
      <w:numFmt w:val="bullet"/>
      <w:lvlText w:val="•"/>
      <w:lvlJc w:val="left"/>
      <w:pPr>
        <w:ind w:left="2187" w:hanging="681"/>
      </w:pPr>
      <w:rPr>
        <w:rFonts w:hint="default"/>
        <w:lang w:val="en-gb" w:eastAsia="en-gb" w:bidi="en-gb"/>
      </w:rPr>
    </w:lvl>
    <w:lvl w:ilvl="3">
      <w:start w:val="0"/>
      <w:numFmt w:val="bullet"/>
      <w:lvlText w:val="•"/>
      <w:lvlJc w:val="left"/>
      <w:pPr>
        <w:ind w:left="2941" w:hanging="681"/>
      </w:pPr>
      <w:rPr>
        <w:rFonts w:hint="default"/>
        <w:lang w:val="en-gb" w:eastAsia="en-gb" w:bidi="en-gb"/>
      </w:rPr>
    </w:lvl>
    <w:lvl w:ilvl="4">
      <w:start w:val="0"/>
      <w:numFmt w:val="bullet"/>
      <w:lvlText w:val="•"/>
      <w:lvlJc w:val="left"/>
      <w:pPr>
        <w:ind w:left="3695" w:hanging="681"/>
      </w:pPr>
      <w:rPr>
        <w:rFonts w:hint="default"/>
        <w:lang w:val="en-gb" w:eastAsia="en-gb" w:bidi="en-gb"/>
      </w:rPr>
    </w:lvl>
    <w:lvl w:ilvl="5">
      <w:start w:val="0"/>
      <w:numFmt w:val="bullet"/>
      <w:lvlText w:val="•"/>
      <w:lvlJc w:val="left"/>
      <w:pPr>
        <w:ind w:left="4448" w:hanging="681"/>
      </w:pPr>
      <w:rPr>
        <w:rFonts w:hint="default"/>
        <w:lang w:val="en-gb" w:eastAsia="en-gb" w:bidi="en-gb"/>
      </w:rPr>
    </w:lvl>
    <w:lvl w:ilvl="6">
      <w:start w:val="0"/>
      <w:numFmt w:val="bullet"/>
      <w:lvlText w:val="•"/>
      <w:lvlJc w:val="left"/>
      <w:pPr>
        <w:ind w:left="5202" w:hanging="681"/>
      </w:pPr>
      <w:rPr>
        <w:rFonts w:hint="default"/>
        <w:lang w:val="en-gb" w:eastAsia="en-gb" w:bidi="en-gb"/>
      </w:rPr>
    </w:lvl>
    <w:lvl w:ilvl="7">
      <w:start w:val="0"/>
      <w:numFmt w:val="bullet"/>
      <w:lvlText w:val="•"/>
      <w:lvlJc w:val="left"/>
      <w:pPr>
        <w:ind w:left="5956" w:hanging="681"/>
      </w:pPr>
      <w:rPr>
        <w:rFonts w:hint="default"/>
        <w:lang w:val="en-gb" w:eastAsia="en-gb" w:bidi="en-gb"/>
      </w:rPr>
    </w:lvl>
    <w:lvl w:ilvl="8">
      <w:start w:val="0"/>
      <w:numFmt w:val="bullet"/>
      <w:lvlText w:val="•"/>
      <w:lvlJc w:val="left"/>
      <w:pPr>
        <w:ind w:left="6710" w:hanging="681"/>
      </w:pPr>
      <w:rPr>
        <w:rFonts w:hint="default"/>
        <w:lang w:val="en-gb" w:eastAsia="en-gb" w:bidi="en-gb"/>
      </w:rPr>
    </w:lvl>
  </w:abstractNum>
  <w:abstractNum w:abstractNumId="127">
    <w:multiLevelType w:val="hybridMultilevel"/>
    <w:lvl w:ilvl="0">
      <w:start w:val="1"/>
      <w:numFmt w:val="decimal"/>
      <w:lvlText w:val="%1."/>
      <w:lvlJc w:val="left"/>
      <w:pPr>
        <w:ind w:left="1507" w:hanging="681"/>
        <w:jc w:val="lef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150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567" w:hanging="681"/>
      </w:pPr>
      <w:rPr>
        <w:rFonts w:hint="default"/>
        <w:lang w:val="en-gb" w:eastAsia="en-gb" w:bidi="en-gb"/>
      </w:rPr>
    </w:lvl>
    <w:lvl w:ilvl="3">
      <w:start w:val="0"/>
      <w:numFmt w:val="bullet"/>
      <w:lvlText w:val="•"/>
      <w:lvlJc w:val="left"/>
      <w:pPr>
        <w:ind w:left="3634" w:hanging="681"/>
      </w:pPr>
      <w:rPr>
        <w:rFonts w:hint="default"/>
        <w:lang w:val="en-gb" w:eastAsia="en-gb" w:bidi="en-gb"/>
      </w:rPr>
    </w:lvl>
    <w:lvl w:ilvl="4">
      <w:start w:val="0"/>
      <w:numFmt w:val="bullet"/>
      <w:lvlText w:val="•"/>
      <w:lvlJc w:val="left"/>
      <w:pPr>
        <w:ind w:left="4701" w:hanging="681"/>
      </w:pPr>
      <w:rPr>
        <w:rFonts w:hint="default"/>
        <w:lang w:val="en-gb" w:eastAsia="en-gb" w:bidi="en-gb"/>
      </w:rPr>
    </w:lvl>
    <w:lvl w:ilvl="5">
      <w:start w:val="0"/>
      <w:numFmt w:val="bullet"/>
      <w:lvlText w:val="•"/>
      <w:lvlJc w:val="left"/>
      <w:pPr>
        <w:ind w:left="5769" w:hanging="681"/>
      </w:pPr>
      <w:rPr>
        <w:rFonts w:hint="default"/>
        <w:lang w:val="en-gb" w:eastAsia="en-gb" w:bidi="en-gb"/>
      </w:rPr>
    </w:lvl>
    <w:lvl w:ilvl="6">
      <w:start w:val="0"/>
      <w:numFmt w:val="bullet"/>
      <w:lvlText w:val="•"/>
      <w:lvlJc w:val="left"/>
      <w:pPr>
        <w:ind w:left="6836" w:hanging="681"/>
      </w:pPr>
      <w:rPr>
        <w:rFonts w:hint="default"/>
        <w:lang w:val="en-gb" w:eastAsia="en-gb" w:bidi="en-gb"/>
      </w:rPr>
    </w:lvl>
    <w:lvl w:ilvl="7">
      <w:start w:val="0"/>
      <w:numFmt w:val="bullet"/>
      <w:lvlText w:val="•"/>
      <w:lvlJc w:val="left"/>
      <w:pPr>
        <w:ind w:left="7903" w:hanging="681"/>
      </w:pPr>
      <w:rPr>
        <w:rFonts w:hint="default"/>
        <w:lang w:val="en-gb" w:eastAsia="en-gb" w:bidi="en-gb"/>
      </w:rPr>
    </w:lvl>
    <w:lvl w:ilvl="8">
      <w:start w:val="0"/>
      <w:numFmt w:val="bullet"/>
      <w:lvlText w:val="•"/>
      <w:lvlJc w:val="left"/>
      <w:pPr>
        <w:ind w:left="8970" w:hanging="681"/>
      </w:pPr>
      <w:rPr>
        <w:rFonts w:hint="default"/>
        <w:lang w:val="en-gb" w:eastAsia="en-gb" w:bidi="en-gb"/>
      </w:rPr>
    </w:lvl>
  </w:abstractNum>
  <w:abstractNum w:abstractNumId="126">
    <w:multiLevelType w:val="hybridMultilevel"/>
    <w:lvl w:ilvl="0">
      <w:start w:val="1"/>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125">
    <w:multiLevelType w:val="hybridMultilevel"/>
    <w:lvl w:ilvl="0">
      <w:start w:val="1"/>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124">
    <w:multiLevelType w:val="hybridMultilevel"/>
    <w:lvl w:ilvl="0">
      <w:start w:val="1"/>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123">
    <w:multiLevelType w:val="hybridMultilevel"/>
    <w:lvl w:ilvl="0">
      <w:start w:val="2"/>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122">
    <w:multiLevelType w:val="hybridMultilevel"/>
    <w:lvl w:ilvl="0">
      <w:start w:val="1"/>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121">
    <w:multiLevelType w:val="hybridMultilevel"/>
    <w:lvl w:ilvl="0">
      <w:start w:val="7"/>
      <w:numFmt w:val="decimal"/>
      <w:lvlText w:val="%1"/>
      <w:lvlJc w:val="left"/>
      <w:pPr>
        <w:ind w:left="2244" w:hanging="681"/>
        <w:jc w:val="left"/>
      </w:pPr>
      <w:rPr>
        <w:rFonts w:hint="default"/>
        <w:lang w:val="en-gb" w:eastAsia="en-gb" w:bidi="en-gb"/>
      </w:rPr>
    </w:lvl>
    <w:lvl w:ilvl="1">
      <w:start w:val="7"/>
      <w:numFmt w:val="decimal"/>
      <w:lvlText w:val="%1.%2"/>
      <w:lvlJc w:val="left"/>
      <w:pPr>
        <w:ind w:left="2244" w:hanging="681"/>
        <w:jc w:val="right"/>
      </w:pPr>
      <w:rPr>
        <w:rFonts w:hint="default" w:ascii="Stone Sans II ITC Std Bk" w:hAnsi="Stone Sans II ITC Std Bk" w:eastAsia="Stone Sans II ITC Std Bk" w:cs="Stone Sans II ITC Std Bk"/>
        <w:b/>
        <w:bCs/>
        <w:spacing w:val="-26"/>
        <w:w w:val="110"/>
        <w:sz w:val="20"/>
        <w:szCs w:val="20"/>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120">
    <w:multiLevelType w:val="hybridMultilevel"/>
    <w:lvl w:ilvl="0">
      <w:start w:val="7"/>
      <w:numFmt w:val="decimal"/>
      <w:lvlText w:val="%1"/>
      <w:lvlJc w:val="left"/>
      <w:pPr>
        <w:ind w:left="2244" w:hanging="681"/>
        <w:jc w:val="left"/>
      </w:pPr>
      <w:rPr>
        <w:rFonts w:hint="default"/>
        <w:lang w:val="en-gb" w:eastAsia="en-gb" w:bidi="en-gb"/>
      </w:rPr>
    </w:lvl>
    <w:lvl w:ilvl="1">
      <w:start w:val="6"/>
      <w:numFmt w:val="decimal"/>
      <w:lvlText w:val="%1.%2"/>
      <w:lvlJc w:val="left"/>
      <w:pPr>
        <w:ind w:left="2244" w:hanging="681"/>
        <w:jc w:val="left"/>
      </w:pPr>
      <w:rPr>
        <w:rFonts w:hint="default"/>
        <w:lang w:val="en-gb" w:eastAsia="en-gb" w:bidi="en-gb"/>
      </w:rPr>
    </w:lvl>
    <w:lvl w:ilvl="2">
      <w:start w:val="1"/>
      <w:numFmt w:val="decimal"/>
      <w:lvlText w:val="%1.%2.%3"/>
      <w:lvlJc w:val="left"/>
      <w:pPr>
        <w:ind w:left="2244" w:hanging="681"/>
        <w:jc w:val="left"/>
      </w:pPr>
      <w:rPr>
        <w:rFonts w:hint="default" w:ascii="Stone Sans II ITC Std Bk" w:hAnsi="Stone Sans II ITC Std Bk" w:eastAsia="Stone Sans II ITC Std Bk" w:cs="Stone Sans II ITC Std Bk"/>
        <w:b/>
        <w:bCs/>
        <w:spacing w:val="-26"/>
        <w:w w:val="110"/>
        <w:sz w:val="20"/>
        <w:szCs w:val="20"/>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119">
    <w:multiLevelType w:val="hybridMultilevel"/>
    <w:lvl w:ilvl="0">
      <w:start w:val="1"/>
      <w:numFmt w:val="decimal"/>
      <w:lvlText w:val="%1."/>
      <w:lvlJc w:val="left"/>
      <w:pPr>
        <w:ind w:left="1507"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2244" w:hanging="681"/>
        <w:jc w:val="right"/>
      </w:pPr>
      <w:rPr>
        <w:rFonts w:hint="default"/>
        <w:b/>
        <w:bCs/>
        <w:spacing w:val="-22"/>
        <w:w w:val="110"/>
        <w:lang w:val="en-gb" w:eastAsia="en-gb" w:bidi="en-gb"/>
      </w:rPr>
    </w:lvl>
    <w:lvl w:ilvl="2">
      <w:start w:val="1"/>
      <w:numFmt w:val="decimal"/>
      <w:lvlText w:val="%1.%2.%3"/>
      <w:lvlJc w:val="left"/>
      <w:pPr>
        <w:ind w:left="2244" w:hanging="681"/>
        <w:jc w:val="right"/>
      </w:pPr>
      <w:rPr>
        <w:rFonts w:hint="default" w:ascii="Stone Sans II ITC Std Bk" w:hAnsi="Stone Sans II ITC Std Bk" w:eastAsia="Stone Sans II ITC Std Bk" w:cs="Stone Sans II ITC Std Bk"/>
        <w:b/>
        <w:bCs/>
        <w:spacing w:val="-18"/>
        <w:w w:val="110"/>
        <w:sz w:val="20"/>
        <w:szCs w:val="20"/>
        <w:lang w:val="en-gb" w:eastAsia="en-gb" w:bidi="en-gb"/>
      </w:rPr>
    </w:lvl>
    <w:lvl w:ilvl="3">
      <w:start w:val="0"/>
      <w:numFmt w:val="bullet"/>
      <w:lvlText w:val="•"/>
      <w:lvlJc w:val="left"/>
      <w:pPr>
        <w:ind w:left="2240" w:hanging="681"/>
      </w:pPr>
      <w:rPr>
        <w:rFonts w:hint="default"/>
        <w:lang w:val="en-gb" w:eastAsia="en-gb" w:bidi="en-gb"/>
      </w:rPr>
    </w:lvl>
    <w:lvl w:ilvl="4">
      <w:start w:val="0"/>
      <w:numFmt w:val="bullet"/>
      <w:lvlText w:val="•"/>
      <w:lvlJc w:val="left"/>
      <w:pPr>
        <w:ind w:left="2300" w:hanging="681"/>
      </w:pPr>
      <w:rPr>
        <w:rFonts w:hint="default"/>
        <w:lang w:val="en-gb" w:eastAsia="en-gb" w:bidi="en-gb"/>
      </w:rPr>
    </w:lvl>
    <w:lvl w:ilvl="5">
      <w:start w:val="0"/>
      <w:numFmt w:val="bullet"/>
      <w:lvlText w:val="•"/>
      <w:lvlJc w:val="left"/>
      <w:pPr>
        <w:ind w:left="3767" w:hanging="681"/>
      </w:pPr>
      <w:rPr>
        <w:rFonts w:hint="default"/>
        <w:lang w:val="en-gb" w:eastAsia="en-gb" w:bidi="en-gb"/>
      </w:rPr>
    </w:lvl>
    <w:lvl w:ilvl="6">
      <w:start w:val="0"/>
      <w:numFmt w:val="bullet"/>
      <w:lvlText w:val="•"/>
      <w:lvlJc w:val="left"/>
      <w:pPr>
        <w:ind w:left="5235" w:hanging="681"/>
      </w:pPr>
      <w:rPr>
        <w:rFonts w:hint="default"/>
        <w:lang w:val="en-gb" w:eastAsia="en-gb" w:bidi="en-gb"/>
      </w:rPr>
    </w:lvl>
    <w:lvl w:ilvl="7">
      <w:start w:val="0"/>
      <w:numFmt w:val="bullet"/>
      <w:lvlText w:val="•"/>
      <w:lvlJc w:val="left"/>
      <w:pPr>
        <w:ind w:left="6702" w:hanging="681"/>
      </w:pPr>
      <w:rPr>
        <w:rFonts w:hint="default"/>
        <w:lang w:val="en-gb" w:eastAsia="en-gb" w:bidi="en-gb"/>
      </w:rPr>
    </w:lvl>
    <w:lvl w:ilvl="8">
      <w:start w:val="0"/>
      <w:numFmt w:val="bullet"/>
      <w:lvlText w:val="•"/>
      <w:lvlJc w:val="left"/>
      <w:pPr>
        <w:ind w:left="8170" w:hanging="681"/>
      </w:pPr>
      <w:rPr>
        <w:rFonts w:hint="default"/>
        <w:lang w:val="en-gb" w:eastAsia="en-gb" w:bidi="en-gb"/>
      </w:rPr>
    </w:lvl>
  </w:abstractNum>
  <w:abstractNum w:abstractNumId="118">
    <w:multiLevelType w:val="hybridMultilevel"/>
    <w:lvl w:ilvl="0">
      <w:start w:val="1"/>
      <w:numFmt w:val="decimal"/>
      <w:lvlText w:val="%1."/>
      <w:lvlJc w:val="left"/>
      <w:pPr>
        <w:ind w:left="2244" w:hanging="681"/>
        <w:jc w:val="right"/>
      </w:pPr>
      <w:rPr>
        <w:rFonts w:hint="default" w:ascii="Calibri" w:hAnsi="Calibri" w:eastAsia="Calibri" w:cs="Calibri"/>
        <w:spacing w:val="-13"/>
        <w:w w:val="125"/>
        <w:sz w:val="20"/>
        <w:szCs w:val="20"/>
        <w:lang w:val="en-gb" w:eastAsia="en-gb" w:bidi="en-gb"/>
      </w:rPr>
    </w:lvl>
    <w:lvl w:ilvl="1">
      <w:start w:val="0"/>
      <w:numFmt w:val="bullet"/>
      <w:lvlText w:val="•"/>
      <w:lvlJc w:val="left"/>
      <w:pPr>
        <w:ind w:left="3126" w:hanging="681"/>
      </w:pPr>
      <w:rPr>
        <w:rFonts w:hint="default"/>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117">
    <w:multiLevelType w:val="hybridMultilevel"/>
    <w:lvl w:ilvl="0">
      <w:start w:val="4"/>
      <w:numFmt w:val="decimal"/>
      <w:lvlText w:val="%1"/>
      <w:lvlJc w:val="left"/>
      <w:pPr>
        <w:ind w:left="2244" w:hanging="681"/>
        <w:jc w:val="left"/>
      </w:pPr>
      <w:rPr>
        <w:rFonts w:hint="default"/>
        <w:lang w:val="en-gb" w:eastAsia="en-gb" w:bidi="en-gb"/>
      </w:rPr>
    </w:lvl>
    <w:lvl w:ilvl="1">
      <w:start w:val="1"/>
      <w:numFmt w:val="decimal"/>
      <w:lvlText w:val="%1.%2"/>
      <w:lvlJc w:val="left"/>
      <w:pPr>
        <w:ind w:left="224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116">
    <w:multiLevelType w:val="hybridMultilevel"/>
    <w:lvl w:ilvl="0">
      <w:start w:val="2"/>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115">
    <w:multiLevelType w:val="hybridMultilevel"/>
    <w:lvl w:ilvl="0">
      <w:start w:val="1"/>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114">
    <w:multiLevelType w:val="hybridMultilevel"/>
    <w:lvl w:ilvl="0">
      <w:start w:val="1"/>
      <w:numFmt w:val="decimal"/>
      <w:lvlText w:val="%1."/>
      <w:lvlJc w:val="left"/>
      <w:pPr>
        <w:ind w:left="827" w:hanging="681"/>
        <w:jc w:val="left"/>
      </w:pPr>
      <w:rPr>
        <w:rFonts w:hint="default" w:ascii="Calibri" w:hAnsi="Calibri" w:eastAsia="Calibri" w:cs="Calibri"/>
        <w:spacing w:val="-13"/>
        <w:w w:val="125"/>
        <w:sz w:val="20"/>
        <w:szCs w:val="20"/>
        <w:lang w:val="en-gb" w:eastAsia="en-gb" w:bidi="en-gb"/>
      </w:rPr>
    </w:lvl>
    <w:lvl w:ilvl="1">
      <w:start w:val="1"/>
      <w:numFmt w:val="decimal"/>
      <w:lvlText w:val="%2."/>
      <w:lvlJc w:val="left"/>
      <w:pPr>
        <w:ind w:left="1507" w:hanging="567"/>
        <w:jc w:val="left"/>
      </w:pPr>
      <w:rPr>
        <w:rFonts w:hint="default" w:ascii="Calibri" w:hAnsi="Calibri" w:eastAsia="Calibri" w:cs="Calibri"/>
        <w:color w:val="707172"/>
        <w:spacing w:val="-11"/>
        <w:w w:val="126"/>
        <w:sz w:val="18"/>
        <w:szCs w:val="18"/>
        <w:lang w:val="en-gb" w:eastAsia="en-gb" w:bidi="en-gb"/>
      </w:rPr>
    </w:lvl>
    <w:lvl w:ilvl="2">
      <w:start w:val="0"/>
      <w:numFmt w:val="bullet"/>
      <w:lvlText w:val="•"/>
      <w:lvlJc w:val="left"/>
      <w:pPr>
        <w:ind w:left="1560" w:hanging="567"/>
      </w:pPr>
      <w:rPr>
        <w:rFonts w:hint="default"/>
        <w:lang w:val="en-gb" w:eastAsia="en-gb" w:bidi="en-gb"/>
      </w:rPr>
    </w:lvl>
    <w:lvl w:ilvl="3">
      <w:start w:val="0"/>
      <w:numFmt w:val="bullet"/>
      <w:lvlText w:val="•"/>
      <w:lvlJc w:val="left"/>
      <w:pPr>
        <w:ind w:left="2753" w:hanging="567"/>
      </w:pPr>
      <w:rPr>
        <w:rFonts w:hint="default"/>
        <w:lang w:val="en-gb" w:eastAsia="en-gb" w:bidi="en-gb"/>
      </w:rPr>
    </w:lvl>
    <w:lvl w:ilvl="4">
      <w:start w:val="0"/>
      <w:numFmt w:val="bullet"/>
      <w:lvlText w:val="•"/>
      <w:lvlJc w:val="left"/>
      <w:pPr>
        <w:ind w:left="3946" w:hanging="567"/>
      </w:pPr>
      <w:rPr>
        <w:rFonts w:hint="default"/>
        <w:lang w:val="en-gb" w:eastAsia="en-gb" w:bidi="en-gb"/>
      </w:rPr>
    </w:lvl>
    <w:lvl w:ilvl="5">
      <w:start w:val="0"/>
      <w:numFmt w:val="bullet"/>
      <w:lvlText w:val="•"/>
      <w:lvlJc w:val="left"/>
      <w:pPr>
        <w:ind w:left="5139" w:hanging="567"/>
      </w:pPr>
      <w:rPr>
        <w:rFonts w:hint="default"/>
        <w:lang w:val="en-gb" w:eastAsia="en-gb" w:bidi="en-gb"/>
      </w:rPr>
    </w:lvl>
    <w:lvl w:ilvl="6">
      <w:start w:val="0"/>
      <w:numFmt w:val="bullet"/>
      <w:lvlText w:val="•"/>
      <w:lvlJc w:val="left"/>
      <w:pPr>
        <w:ind w:left="6332" w:hanging="567"/>
      </w:pPr>
      <w:rPr>
        <w:rFonts w:hint="default"/>
        <w:lang w:val="en-gb" w:eastAsia="en-gb" w:bidi="en-gb"/>
      </w:rPr>
    </w:lvl>
    <w:lvl w:ilvl="7">
      <w:start w:val="0"/>
      <w:numFmt w:val="bullet"/>
      <w:lvlText w:val="•"/>
      <w:lvlJc w:val="left"/>
      <w:pPr>
        <w:ind w:left="7525" w:hanging="567"/>
      </w:pPr>
      <w:rPr>
        <w:rFonts w:hint="default"/>
        <w:lang w:val="en-gb" w:eastAsia="en-gb" w:bidi="en-gb"/>
      </w:rPr>
    </w:lvl>
    <w:lvl w:ilvl="8">
      <w:start w:val="0"/>
      <w:numFmt w:val="bullet"/>
      <w:lvlText w:val="•"/>
      <w:lvlJc w:val="left"/>
      <w:pPr>
        <w:ind w:left="8719" w:hanging="567"/>
      </w:pPr>
      <w:rPr>
        <w:rFonts w:hint="default"/>
        <w:lang w:val="en-gb" w:eastAsia="en-gb" w:bidi="en-gb"/>
      </w:rPr>
    </w:lvl>
  </w:abstractNum>
  <w:abstractNum w:abstractNumId="113">
    <w:multiLevelType w:val="hybridMultilevel"/>
    <w:lvl w:ilvl="0">
      <w:start w:val="1"/>
      <w:numFmt w:val="lowerLetter"/>
      <w:lvlText w:val="%1)"/>
      <w:lvlJc w:val="left"/>
      <w:pPr>
        <w:ind w:left="760" w:hanging="681"/>
        <w:jc w:val="left"/>
      </w:pPr>
      <w:rPr>
        <w:rFonts w:hint="default" w:ascii="Stone Sans II ITC Std Bk" w:hAnsi="Stone Sans II ITC Std Bk" w:eastAsia="Stone Sans II ITC Std Bk" w:cs="Stone Sans II ITC Std Bk"/>
        <w:b/>
        <w:bCs/>
        <w:spacing w:val="-13"/>
        <w:w w:val="110"/>
        <w:sz w:val="20"/>
        <w:szCs w:val="20"/>
        <w:lang w:val="en-gb" w:eastAsia="en-gb" w:bidi="en-gb"/>
      </w:rPr>
    </w:lvl>
    <w:lvl w:ilvl="1">
      <w:start w:val="0"/>
      <w:numFmt w:val="bullet"/>
      <w:lvlText w:val="•"/>
      <w:lvlJc w:val="left"/>
      <w:pPr>
        <w:ind w:left="1420" w:hanging="681"/>
      </w:pPr>
      <w:rPr>
        <w:rFonts w:hint="default"/>
        <w:lang w:val="en-gb" w:eastAsia="en-gb" w:bidi="en-gb"/>
      </w:rPr>
    </w:lvl>
    <w:lvl w:ilvl="2">
      <w:start w:val="0"/>
      <w:numFmt w:val="bullet"/>
      <w:lvlText w:val="•"/>
      <w:lvlJc w:val="left"/>
      <w:pPr>
        <w:ind w:left="2080" w:hanging="681"/>
      </w:pPr>
      <w:rPr>
        <w:rFonts w:hint="default"/>
        <w:lang w:val="en-gb" w:eastAsia="en-gb" w:bidi="en-gb"/>
      </w:rPr>
    </w:lvl>
    <w:lvl w:ilvl="3">
      <w:start w:val="0"/>
      <w:numFmt w:val="bullet"/>
      <w:lvlText w:val="•"/>
      <w:lvlJc w:val="left"/>
      <w:pPr>
        <w:ind w:left="2740" w:hanging="681"/>
      </w:pPr>
      <w:rPr>
        <w:rFonts w:hint="default"/>
        <w:lang w:val="en-gb" w:eastAsia="en-gb" w:bidi="en-gb"/>
      </w:rPr>
    </w:lvl>
    <w:lvl w:ilvl="4">
      <w:start w:val="0"/>
      <w:numFmt w:val="bullet"/>
      <w:lvlText w:val="•"/>
      <w:lvlJc w:val="left"/>
      <w:pPr>
        <w:ind w:left="3400" w:hanging="681"/>
      </w:pPr>
      <w:rPr>
        <w:rFonts w:hint="default"/>
        <w:lang w:val="en-gb" w:eastAsia="en-gb" w:bidi="en-gb"/>
      </w:rPr>
    </w:lvl>
    <w:lvl w:ilvl="5">
      <w:start w:val="0"/>
      <w:numFmt w:val="bullet"/>
      <w:lvlText w:val="•"/>
      <w:lvlJc w:val="left"/>
      <w:pPr>
        <w:ind w:left="4060" w:hanging="681"/>
      </w:pPr>
      <w:rPr>
        <w:rFonts w:hint="default"/>
        <w:lang w:val="en-gb" w:eastAsia="en-gb" w:bidi="en-gb"/>
      </w:rPr>
    </w:lvl>
    <w:lvl w:ilvl="6">
      <w:start w:val="0"/>
      <w:numFmt w:val="bullet"/>
      <w:lvlText w:val="•"/>
      <w:lvlJc w:val="left"/>
      <w:pPr>
        <w:ind w:left="4720" w:hanging="681"/>
      </w:pPr>
      <w:rPr>
        <w:rFonts w:hint="default"/>
        <w:lang w:val="en-gb" w:eastAsia="en-gb" w:bidi="en-gb"/>
      </w:rPr>
    </w:lvl>
    <w:lvl w:ilvl="7">
      <w:start w:val="0"/>
      <w:numFmt w:val="bullet"/>
      <w:lvlText w:val="•"/>
      <w:lvlJc w:val="left"/>
      <w:pPr>
        <w:ind w:left="5380" w:hanging="681"/>
      </w:pPr>
      <w:rPr>
        <w:rFonts w:hint="default"/>
        <w:lang w:val="en-gb" w:eastAsia="en-gb" w:bidi="en-gb"/>
      </w:rPr>
    </w:lvl>
    <w:lvl w:ilvl="8">
      <w:start w:val="0"/>
      <w:numFmt w:val="bullet"/>
      <w:lvlText w:val="•"/>
      <w:lvlJc w:val="left"/>
      <w:pPr>
        <w:ind w:left="6040" w:hanging="681"/>
      </w:pPr>
      <w:rPr>
        <w:rFonts w:hint="default"/>
        <w:lang w:val="en-gb" w:eastAsia="en-gb" w:bidi="en-gb"/>
      </w:rPr>
    </w:lvl>
  </w:abstractNum>
  <w:abstractNum w:abstractNumId="112">
    <w:multiLevelType w:val="hybridMultilevel"/>
    <w:lvl w:ilvl="0">
      <w:start w:val="5"/>
      <w:numFmt w:val="decimal"/>
      <w:lvlText w:val="%1"/>
      <w:lvlJc w:val="left"/>
      <w:pPr>
        <w:ind w:left="2244" w:hanging="681"/>
        <w:jc w:val="left"/>
      </w:pPr>
      <w:rPr>
        <w:rFonts w:hint="default" w:ascii="Calibri" w:hAnsi="Calibri" w:eastAsia="Calibri" w:cs="Calibri"/>
        <w:w w:val="126"/>
        <w:sz w:val="18"/>
        <w:szCs w:val="18"/>
        <w:lang w:val="en-gb" w:eastAsia="en-gb" w:bidi="en-gb"/>
      </w:rPr>
    </w:lvl>
    <w:lvl w:ilvl="1">
      <w:start w:val="0"/>
      <w:numFmt w:val="bullet"/>
      <w:lvlText w:val="•"/>
      <w:lvlJc w:val="left"/>
      <w:pPr>
        <w:ind w:left="3126" w:hanging="681"/>
      </w:pPr>
      <w:rPr>
        <w:rFonts w:hint="default"/>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111">
    <w:multiLevelType w:val="hybridMultilevel"/>
    <w:lvl w:ilvl="0">
      <w:start w:val="7"/>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right"/>
      </w:pPr>
      <w:rPr>
        <w:rFonts w:hint="default" w:ascii="Calibri" w:hAnsi="Calibri" w:eastAsia="Calibri" w:cs="Calibri"/>
        <w:spacing w:val="-25"/>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110">
    <w:multiLevelType w:val="hybridMultilevel"/>
    <w:lvl w:ilvl="0">
      <w:start w:val="6"/>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2244" w:hanging="681"/>
        <w:jc w:val="left"/>
      </w:pPr>
      <w:rPr>
        <w:rFonts w:hint="default" w:ascii="Calibri" w:hAnsi="Calibri" w:eastAsia="Calibri" w:cs="Calibri"/>
        <w:spacing w:val="-25"/>
        <w:w w:val="125"/>
        <w:sz w:val="20"/>
        <w:szCs w:val="20"/>
        <w:lang w:val="en-gb" w:eastAsia="en-gb" w:bidi="en-gb"/>
      </w:rPr>
    </w:lvl>
    <w:lvl w:ilvl="3">
      <w:start w:val="0"/>
      <w:numFmt w:val="bullet"/>
      <w:lvlText w:val="•"/>
      <w:lvlJc w:val="left"/>
      <w:pPr>
        <w:ind w:left="4210" w:hanging="681"/>
      </w:pPr>
      <w:rPr>
        <w:rFonts w:hint="default"/>
        <w:lang w:val="en-gb" w:eastAsia="en-gb" w:bidi="en-gb"/>
      </w:rPr>
    </w:lvl>
    <w:lvl w:ilvl="4">
      <w:start w:val="0"/>
      <w:numFmt w:val="bullet"/>
      <w:lvlText w:val="•"/>
      <w:lvlJc w:val="left"/>
      <w:pPr>
        <w:ind w:left="5195" w:hanging="681"/>
      </w:pPr>
      <w:rPr>
        <w:rFonts w:hint="default"/>
        <w:lang w:val="en-gb" w:eastAsia="en-gb" w:bidi="en-gb"/>
      </w:rPr>
    </w:lvl>
    <w:lvl w:ilvl="5">
      <w:start w:val="0"/>
      <w:numFmt w:val="bullet"/>
      <w:lvlText w:val="•"/>
      <w:lvlJc w:val="left"/>
      <w:pPr>
        <w:ind w:left="6180" w:hanging="681"/>
      </w:pPr>
      <w:rPr>
        <w:rFonts w:hint="default"/>
        <w:lang w:val="en-gb" w:eastAsia="en-gb" w:bidi="en-gb"/>
      </w:rPr>
    </w:lvl>
    <w:lvl w:ilvl="6">
      <w:start w:val="0"/>
      <w:numFmt w:val="bullet"/>
      <w:lvlText w:val="•"/>
      <w:lvlJc w:val="left"/>
      <w:pPr>
        <w:ind w:left="7165" w:hanging="681"/>
      </w:pPr>
      <w:rPr>
        <w:rFonts w:hint="default"/>
        <w:lang w:val="en-gb" w:eastAsia="en-gb" w:bidi="en-gb"/>
      </w:rPr>
    </w:lvl>
    <w:lvl w:ilvl="7">
      <w:start w:val="0"/>
      <w:numFmt w:val="bullet"/>
      <w:lvlText w:val="•"/>
      <w:lvlJc w:val="left"/>
      <w:pPr>
        <w:ind w:left="8150" w:hanging="681"/>
      </w:pPr>
      <w:rPr>
        <w:rFonts w:hint="default"/>
        <w:lang w:val="en-gb" w:eastAsia="en-gb" w:bidi="en-gb"/>
      </w:rPr>
    </w:lvl>
    <w:lvl w:ilvl="8">
      <w:start w:val="0"/>
      <w:numFmt w:val="bullet"/>
      <w:lvlText w:val="•"/>
      <w:lvlJc w:val="left"/>
      <w:pPr>
        <w:ind w:left="9135" w:hanging="681"/>
      </w:pPr>
      <w:rPr>
        <w:rFonts w:hint="default"/>
        <w:lang w:val="en-gb" w:eastAsia="en-gb" w:bidi="en-gb"/>
      </w:rPr>
    </w:lvl>
  </w:abstractNum>
  <w:abstractNum w:abstractNumId="109">
    <w:multiLevelType w:val="hybridMultilevel"/>
    <w:lvl w:ilvl="0">
      <w:start w:val="1"/>
      <w:numFmt w:val="lowerLetter"/>
      <w:lvlText w:val="%1)"/>
      <w:lvlJc w:val="left"/>
      <w:pPr>
        <w:ind w:left="1507" w:hanging="681"/>
        <w:jc w:val="left"/>
      </w:pPr>
      <w:rPr>
        <w:rFonts w:hint="default" w:ascii="Calibri" w:hAnsi="Calibri" w:eastAsia="Calibri" w:cs="Calibri"/>
        <w:spacing w:val="-13"/>
        <w:w w:val="113"/>
        <w:sz w:val="20"/>
        <w:szCs w:val="20"/>
        <w:lang w:val="en-gb" w:eastAsia="en-gb" w:bidi="en-gb"/>
      </w:rPr>
    </w:lvl>
    <w:lvl w:ilvl="1">
      <w:start w:val="3"/>
      <w:numFmt w:val="lowerLetter"/>
      <w:lvlText w:val="%2)"/>
      <w:lvlJc w:val="left"/>
      <w:pPr>
        <w:ind w:left="2244" w:hanging="681"/>
        <w:jc w:val="left"/>
      </w:pPr>
      <w:rPr>
        <w:rFonts w:hint="default" w:ascii="Calibri" w:hAnsi="Calibri" w:eastAsia="Calibri" w:cs="Calibri"/>
        <w:spacing w:val="-13"/>
        <w:w w:val="127"/>
        <w:sz w:val="20"/>
        <w:szCs w:val="20"/>
        <w:lang w:val="en-gb" w:eastAsia="en-gb" w:bidi="en-gb"/>
      </w:rPr>
    </w:lvl>
    <w:lvl w:ilvl="2">
      <w:start w:val="0"/>
      <w:numFmt w:val="bullet"/>
      <w:lvlText w:val="•"/>
      <w:lvlJc w:val="left"/>
      <w:pPr>
        <w:ind w:left="3225" w:hanging="681"/>
      </w:pPr>
      <w:rPr>
        <w:rFonts w:hint="default"/>
        <w:lang w:val="en-gb" w:eastAsia="en-gb" w:bidi="en-gb"/>
      </w:rPr>
    </w:lvl>
    <w:lvl w:ilvl="3">
      <w:start w:val="0"/>
      <w:numFmt w:val="bullet"/>
      <w:lvlText w:val="•"/>
      <w:lvlJc w:val="left"/>
      <w:pPr>
        <w:ind w:left="4210" w:hanging="681"/>
      </w:pPr>
      <w:rPr>
        <w:rFonts w:hint="default"/>
        <w:lang w:val="en-gb" w:eastAsia="en-gb" w:bidi="en-gb"/>
      </w:rPr>
    </w:lvl>
    <w:lvl w:ilvl="4">
      <w:start w:val="0"/>
      <w:numFmt w:val="bullet"/>
      <w:lvlText w:val="•"/>
      <w:lvlJc w:val="left"/>
      <w:pPr>
        <w:ind w:left="5195" w:hanging="681"/>
      </w:pPr>
      <w:rPr>
        <w:rFonts w:hint="default"/>
        <w:lang w:val="en-gb" w:eastAsia="en-gb" w:bidi="en-gb"/>
      </w:rPr>
    </w:lvl>
    <w:lvl w:ilvl="5">
      <w:start w:val="0"/>
      <w:numFmt w:val="bullet"/>
      <w:lvlText w:val="•"/>
      <w:lvlJc w:val="left"/>
      <w:pPr>
        <w:ind w:left="6180" w:hanging="681"/>
      </w:pPr>
      <w:rPr>
        <w:rFonts w:hint="default"/>
        <w:lang w:val="en-gb" w:eastAsia="en-gb" w:bidi="en-gb"/>
      </w:rPr>
    </w:lvl>
    <w:lvl w:ilvl="6">
      <w:start w:val="0"/>
      <w:numFmt w:val="bullet"/>
      <w:lvlText w:val="•"/>
      <w:lvlJc w:val="left"/>
      <w:pPr>
        <w:ind w:left="7165" w:hanging="681"/>
      </w:pPr>
      <w:rPr>
        <w:rFonts w:hint="default"/>
        <w:lang w:val="en-gb" w:eastAsia="en-gb" w:bidi="en-gb"/>
      </w:rPr>
    </w:lvl>
    <w:lvl w:ilvl="7">
      <w:start w:val="0"/>
      <w:numFmt w:val="bullet"/>
      <w:lvlText w:val="•"/>
      <w:lvlJc w:val="left"/>
      <w:pPr>
        <w:ind w:left="8150" w:hanging="681"/>
      </w:pPr>
      <w:rPr>
        <w:rFonts w:hint="default"/>
        <w:lang w:val="en-gb" w:eastAsia="en-gb" w:bidi="en-gb"/>
      </w:rPr>
    </w:lvl>
    <w:lvl w:ilvl="8">
      <w:start w:val="0"/>
      <w:numFmt w:val="bullet"/>
      <w:lvlText w:val="•"/>
      <w:lvlJc w:val="left"/>
      <w:pPr>
        <w:ind w:left="9135" w:hanging="681"/>
      </w:pPr>
      <w:rPr>
        <w:rFonts w:hint="default"/>
        <w:lang w:val="en-gb" w:eastAsia="en-gb" w:bidi="en-gb"/>
      </w:rPr>
    </w:lvl>
  </w:abstractNum>
  <w:abstractNum w:abstractNumId="108">
    <w:multiLevelType w:val="hybridMultilevel"/>
    <w:lvl w:ilvl="0">
      <w:start w:val="5"/>
      <w:numFmt w:val="decimal"/>
      <w:lvlText w:val="%1"/>
      <w:lvlJc w:val="left"/>
      <w:pPr>
        <w:ind w:left="1507" w:hanging="681"/>
        <w:jc w:val="left"/>
      </w:pPr>
      <w:rPr>
        <w:rFonts w:hint="default"/>
        <w:lang w:val="en-gb" w:eastAsia="en-gb" w:bidi="en-gb"/>
      </w:rPr>
    </w:lvl>
    <w:lvl w:ilvl="1">
      <w:start w:val="9"/>
      <w:numFmt w:val="decimal"/>
      <w:lvlText w:val="%1.%2"/>
      <w:lvlJc w:val="left"/>
      <w:pPr>
        <w:ind w:left="1507" w:hanging="681"/>
        <w:jc w:val="left"/>
      </w:pPr>
      <w:rPr>
        <w:rFonts w:hint="default"/>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4381" w:hanging="681"/>
      </w:pPr>
      <w:rPr>
        <w:rFonts w:hint="default"/>
        <w:lang w:val="en-gb" w:eastAsia="en-gb" w:bidi="en-gb"/>
      </w:rPr>
    </w:lvl>
    <w:lvl w:ilvl="4">
      <w:start w:val="0"/>
      <w:numFmt w:val="bullet"/>
      <w:lvlText w:val="•"/>
      <w:lvlJc w:val="left"/>
      <w:pPr>
        <w:ind w:left="5342" w:hanging="681"/>
      </w:pPr>
      <w:rPr>
        <w:rFonts w:hint="default"/>
        <w:lang w:val="en-gb" w:eastAsia="en-gb" w:bidi="en-gb"/>
      </w:rPr>
    </w:lvl>
    <w:lvl w:ilvl="5">
      <w:start w:val="0"/>
      <w:numFmt w:val="bullet"/>
      <w:lvlText w:val="•"/>
      <w:lvlJc w:val="left"/>
      <w:pPr>
        <w:ind w:left="6302" w:hanging="681"/>
      </w:pPr>
      <w:rPr>
        <w:rFonts w:hint="default"/>
        <w:lang w:val="en-gb" w:eastAsia="en-gb" w:bidi="en-gb"/>
      </w:rPr>
    </w:lvl>
    <w:lvl w:ilvl="6">
      <w:start w:val="0"/>
      <w:numFmt w:val="bullet"/>
      <w:lvlText w:val="•"/>
      <w:lvlJc w:val="left"/>
      <w:pPr>
        <w:ind w:left="7263" w:hanging="681"/>
      </w:pPr>
      <w:rPr>
        <w:rFonts w:hint="default"/>
        <w:lang w:val="en-gb" w:eastAsia="en-gb" w:bidi="en-gb"/>
      </w:rPr>
    </w:lvl>
    <w:lvl w:ilvl="7">
      <w:start w:val="0"/>
      <w:numFmt w:val="bullet"/>
      <w:lvlText w:val="•"/>
      <w:lvlJc w:val="left"/>
      <w:pPr>
        <w:ind w:left="8223" w:hanging="681"/>
      </w:pPr>
      <w:rPr>
        <w:rFonts w:hint="default"/>
        <w:lang w:val="en-gb" w:eastAsia="en-gb" w:bidi="en-gb"/>
      </w:rPr>
    </w:lvl>
    <w:lvl w:ilvl="8">
      <w:start w:val="0"/>
      <w:numFmt w:val="bullet"/>
      <w:lvlText w:val="•"/>
      <w:lvlJc w:val="left"/>
      <w:pPr>
        <w:ind w:left="9184" w:hanging="681"/>
      </w:pPr>
      <w:rPr>
        <w:rFonts w:hint="default"/>
        <w:lang w:val="en-gb" w:eastAsia="en-gb" w:bidi="en-gb"/>
      </w:rPr>
    </w:lvl>
  </w:abstractNum>
  <w:abstractNum w:abstractNumId="107">
    <w:multiLevelType w:val="hybridMultilevel"/>
    <w:lvl w:ilvl="0">
      <w:start w:val="5"/>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2244" w:hanging="681"/>
        <w:jc w:val="left"/>
      </w:pPr>
      <w:rPr>
        <w:rFonts w:hint="default" w:ascii="Calibri" w:hAnsi="Calibri" w:eastAsia="Calibri" w:cs="Calibri"/>
        <w:spacing w:val="-18"/>
        <w:w w:val="125"/>
        <w:sz w:val="20"/>
        <w:szCs w:val="20"/>
        <w:lang w:val="en-gb" w:eastAsia="en-gb" w:bidi="en-gb"/>
      </w:rPr>
    </w:lvl>
    <w:lvl w:ilvl="3">
      <w:start w:val="1"/>
      <w:numFmt w:val="decimal"/>
      <w:lvlText w:val="%1.%2.%3.%4"/>
      <w:lvlJc w:val="left"/>
      <w:pPr>
        <w:ind w:left="3151" w:hanging="908"/>
        <w:jc w:val="left"/>
      </w:pPr>
      <w:rPr>
        <w:rFonts w:hint="default" w:ascii="Calibri" w:hAnsi="Calibri" w:eastAsia="Calibri" w:cs="Calibri"/>
        <w:spacing w:val="-18"/>
        <w:w w:val="125"/>
        <w:sz w:val="20"/>
        <w:szCs w:val="20"/>
        <w:lang w:val="en-gb" w:eastAsia="en-gb" w:bidi="en-gb"/>
      </w:rPr>
    </w:lvl>
    <w:lvl w:ilvl="4">
      <w:start w:val="0"/>
      <w:numFmt w:val="bullet"/>
      <w:lvlText w:val="•"/>
      <w:lvlJc w:val="left"/>
      <w:pPr>
        <w:ind w:left="4295" w:hanging="908"/>
      </w:pPr>
      <w:rPr>
        <w:rFonts w:hint="default"/>
        <w:lang w:val="en-gb" w:eastAsia="en-gb" w:bidi="en-gb"/>
      </w:rPr>
    </w:lvl>
    <w:lvl w:ilvl="5">
      <w:start w:val="0"/>
      <w:numFmt w:val="bullet"/>
      <w:lvlText w:val="•"/>
      <w:lvlJc w:val="left"/>
      <w:pPr>
        <w:ind w:left="5430" w:hanging="908"/>
      </w:pPr>
      <w:rPr>
        <w:rFonts w:hint="default"/>
        <w:lang w:val="en-gb" w:eastAsia="en-gb" w:bidi="en-gb"/>
      </w:rPr>
    </w:lvl>
    <w:lvl w:ilvl="6">
      <w:start w:val="0"/>
      <w:numFmt w:val="bullet"/>
      <w:lvlText w:val="•"/>
      <w:lvlJc w:val="left"/>
      <w:pPr>
        <w:ind w:left="6565" w:hanging="908"/>
      </w:pPr>
      <w:rPr>
        <w:rFonts w:hint="default"/>
        <w:lang w:val="en-gb" w:eastAsia="en-gb" w:bidi="en-gb"/>
      </w:rPr>
    </w:lvl>
    <w:lvl w:ilvl="7">
      <w:start w:val="0"/>
      <w:numFmt w:val="bullet"/>
      <w:lvlText w:val="•"/>
      <w:lvlJc w:val="left"/>
      <w:pPr>
        <w:ind w:left="7700" w:hanging="908"/>
      </w:pPr>
      <w:rPr>
        <w:rFonts w:hint="default"/>
        <w:lang w:val="en-gb" w:eastAsia="en-gb" w:bidi="en-gb"/>
      </w:rPr>
    </w:lvl>
    <w:lvl w:ilvl="8">
      <w:start w:val="0"/>
      <w:numFmt w:val="bullet"/>
      <w:lvlText w:val="•"/>
      <w:lvlJc w:val="left"/>
      <w:pPr>
        <w:ind w:left="8835" w:hanging="908"/>
      </w:pPr>
      <w:rPr>
        <w:rFonts w:hint="default"/>
        <w:lang w:val="en-gb" w:eastAsia="en-gb" w:bidi="en-gb"/>
      </w:rPr>
    </w:lvl>
  </w:abstractNum>
  <w:abstractNum w:abstractNumId="106">
    <w:multiLevelType w:val="hybridMultilevel"/>
    <w:lvl w:ilvl="0">
      <w:start w:val="3"/>
      <w:numFmt w:val="decimal"/>
      <w:lvlText w:val="%1"/>
      <w:lvlJc w:val="left"/>
      <w:pPr>
        <w:ind w:left="1559" w:hanging="732"/>
        <w:jc w:val="left"/>
      </w:pPr>
      <w:rPr>
        <w:rFonts w:hint="default" w:ascii="Calibri" w:hAnsi="Calibri" w:eastAsia="Calibri" w:cs="Calibri"/>
        <w:w w:val="126"/>
        <w:sz w:val="18"/>
        <w:szCs w:val="18"/>
        <w:lang w:val="en-gb" w:eastAsia="en-gb" w:bidi="en-gb"/>
      </w:rPr>
    </w:lvl>
    <w:lvl w:ilvl="1">
      <w:start w:val="0"/>
      <w:numFmt w:val="bullet"/>
      <w:lvlText w:val=""/>
      <w:lvlJc w:val="left"/>
      <w:pPr>
        <w:ind w:left="2924" w:hanging="681"/>
      </w:pPr>
      <w:rPr>
        <w:rFonts w:hint="default" w:ascii="Symbol" w:hAnsi="Symbol" w:eastAsia="Symbol" w:cs="Symbol"/>
        <w:w w:val="110"/>
        <w:sz w:val="20"/>
        <w:szCs w:val="20"/>
        <w:lang w:val="en-gb" w:eastAsia="en-gb" w:bidi="en-gb"/>
      </w:rPr>
    </w:lvl>
    <w:lvl w:ilvl="2">
      <w:start w:val="0"/>
      <w:numFmt w:val="bullet"/>
      <w:lvlText w:val="•"/>
      <w:lvlJc w:val="left"/>
      <w:pPr>
        <w:ind w:left="3829" w:hanging="681"/>
      </w:pPr>
      <w:rPr>
        <w:rFonts w:hint="default"/>
        <w:lang w:val="en-gb" w:eastAsia="en-gb" w:bidi="en-gb"/>
      </w:rPr>
    </w:lvl>
    <w:lvl w:ilvl="3">
      <w:start w:val="0"/>
      <w:numFmt w:val="bullet"/>
      <w:lvlText w:val="•"/>
      <w:lvlJc w:val="left"/>
      <w:pPr>
        <w:ind w:left="4739" w:hanging="681"/>
      </w:pPr>
      <w:rPr>
        <w:rFonts w:hint="default"/>
        <w:lang w:val="en-gb" w:eastAsia="en-gb" w:bidi="en-gb"/>
      </w:rPr>
    </w:lvl>
    <w:lvl w:ilvl="4">
      <w:start w:val="0"/>
      <w:numFmt w:val="bullet"/>
      <w:lvlText w:val="•"/>
      <w:lvlJc w:val="left"/>
      <w:pPr>
        <w:ind w:left="5648" w:hanging="681"/>
      </w:pPr>
      <w:rPr>
        <w:rFonts w:hint="default"/>
        <w:lang w:val="en-gb" w:eastAsia="en-gb" w:bidi="en-gb"/>
      </w:rPr>
    </w:lvl>
    <w:lvl w:ilvl="5">
      <w:start w:val="0"/>
      <w:numFmt w:val="bullet"/>
      <w:lvlText w:val="•"/>
      <w:lvlJc w:val="left"/>
      <w:pPr>
        <w:ind w:left="6558" w:hanging="681"/>
      </w:pPr>
      <w:rPr>
        <w:rFonts w:hint="default"/>
        <w:lang w:val="en-gb" w:eastAsia="en-gb" w:bidi="en-gb"/>
      </w:rPr>
    </w:lvl>
    <w:lvl w:ilvl="6">
      <w:start w:val="0"/>
      <w:numFmt w:val="bullet"/>
      <w:lvlText w:val="•"/>
      <w:lvlJc w:val="left"/>
      <w:pPr>
        <w:ind w:left="7467" w:hanging="681"/>
      </w:pPr>
      <w:rPr>
        <w:rFonts w:hint="default"/>
        <w:lang w:val="en-gb" w:eastAsia="en-gb" w:bidi="en-gb"/>
      </w:rPr>
    </w:lvl>
    <w:lvl w:ilvl="7">
      <w:start w:val="0"/>
      <w:numFmt w:val="bullet"/>
      <w:lvlText w:val="•"/>
      <w:lvlJc w:val="left"/>
      <w:pPr>
        <w:ind w:left="8377" w:hanging="681"/>
      </w:pPr>
      <w:rPr>
        <w:rFonts w:hint="default"/>
        <w:lang w:val="en-gb" w:eastAsia="en-gb" w:bidi="en-gb"/>
      </w:rPr>
    </w:lvl>
    <w:lvl w:ilvl="8">
      <w:start w:val="0"/>
      <w:numFmt w:val="bullet"/>
      <w:lvlText w:val="•"/>
      <w:lvlJc w:val="left"/>
      <w:pPr>
        <w:ind w:left="9286" w:hanging="681"/>
      </w:pPr>
      <w:rPr>
        <w:rFonts w:hint="default"/>
        <w:lang w:val="en-gb" w:eastAsia="en-gb" w:bidi="en-gb"/>
      </w:rPr>
    </w:lvl>
  </w:abstractNum>
  <w:abstractNum w:abstractNumId="105">
    <w:multiLevelType w:val="hybridMultilevel"/>
    <w:lvl w:ilvl="0">
      <w:start w:val="0"/>
      <w:numFmt w:val="bullet"/>
      <w:lvlText w:val=""/>
      <w:lvlJc w:val="left"/>
      <w:pPr>
        <w:ind w:left="2187" w:hanging="681"/>
      </w:pPr>
      <w:rPr>
        <w:rFonts w:hint="default" w:ascii="Symbol" w:hAnsi="Symbol" w:eastAsia="Symbol" w:cs="Symbol"/>
        <w:w w:val="110"/>
        <w:sz w:val="20"/>
        <w:szCs w:val="20"/>
        <w:lang w:val="en-gb" w:eastAsia="en-gb" w:bidi="en-gb"/>
      </w:rPr>
    </w:lvl>
    <w:lvl w:ilvl="1">
      <w:start w:val="0"/>
      <w:numFmt w:val="bullet"/>
      <w:lvlText w:val="•"/>
      <w:lvlJc w:val="left"/>
      <w:pPr>
        <w:ind w:left="3072" w:hanging="681"/>
      </w:pPr>
      <w:rPr>
        <w:rFonts w:hint="default"/>
        <w:lang w:val="en-gb" w:eastAsia="en-gb" w:bidi="en-gb"/>
      </w:rPr>
    </w:lvl>
    <w:lvl w:ilvl="2">
      <w:start w:val="0"/>
      <w:numFmt w:val="bullet"/>
      <w:lvlText w:val="•"/>
      <w:lvlJc w:val="left"/>
      <w:pPr>
        <w:ind w:left="3965" w:hanging="681"/>
      </w:pPr>
      <w:rPr>
        <w:rFonts w:hint="default"/>
        <w:lang w:val="en-gb" w:eastAsia="en-gb" w:bidi="en-gb"/>
      </w:rPr>
    </w:lvl>
    <w:lvl w:ilvl="3">
      <w:start w:val="0"/>
      <w:numFmt w:val="bullet"/>
      <w:lvlText w:val="•"/>
      <w:lvlJc w:val="left"/>
      <w:pPr>
        <w:ind w:left="4857" w:hanging="681"/>
      </w:pPr>
      <w:rPr>
        <w:rFonts w:hint="default"/>
        <w:lang w:val="en-gb" w:eastAsia="en-gb" w:bidi="en-gb"/>
      </w:rPr>
    </w:lvl>
    <w:lvl w:ilvl="4">
      <w:start w:val="0"/>
      <w:numFmt w:val="bullet"/>
      <w:lvlText w:val="•"/>
      <w:lvlJc w:val="left"/>
      <w:pPr>
        <w:ind w:left="5750" w:hanging="681"/>
      </w:pPr>
      <w:rPr>
        <w:rFonts w:hint="default"/>
        <w:lang w:val="en-gb" w:eastAsia="en-gb" w:bidi="en-gb"/>
      </w:rPr>
    </w:lvl>
    <w:lvl w:ilvl="5">
      <w:start w:val="0"/>
      <w:numFmt w:val="bullet"/>
      <w:lvlText w:val="•"/>
      <w:lvlJc w:val="left"/>
      <w:pPr>
        <w:ind w:left="6642" w:hanging="681"/>
      </w:pPr>
      <w:rPr>
        <w:rFonts w:hint="default"/>
        <w:lang w:val="en-gb" w:eastAsia="en-gb" w:bidi="en-gb"/>
      </w:rPr>
    </w:lvl>
    <w:lvl w:ilvl="6">
      <w:start w:val="0"/>
      <w:numFmt w:val="bullet"/>
      <w:lvlText w:val="•"/>
      <w:lvlJc w:val="left"/>
      <w:pPr>
        <w:ind w:left="7535" w:hanging="681"/>
      </w:pPr>
      <w:rPr>
        <w:rFonts w:hint="default"/>
        <w:lang w:val="en-gb" w:eastAsia="en-gb" w:bidi="en-gb"/>
      </w:rPr>
    </w:lvl>
    <w:lvl w:ilvl="7">
      <w:start w:val="0"/>
      <w:numFmt w:val="bullet"/>
      <w:lvlText w:val="•"/>
      <w:lvlJc w:val="left"/>
      <w:pPr>
        <w:ind w:left="8427" w:hanging="681"/>
      </w:pPr>
      <w:rPr>
        <w:rFonts w:hint="default"/>
        <w:lang w:val="en-gb" w:eastAsia="en-gb" w:bidi="en-gb"/>
      </w:rPr>
    </w:lvl>
    <w:lvl w:ilvl="8">
      <w:start w:val="0"/>
      <w:numFmt w:val="bullet"/>
      <w:lvlText w:val="•"/>
      <w:lvlJc w:val="left"/>
      <w:pPr>
        <w:ind w:left="9320" w:hanging="681"/>
      </w:pPr>
      <w:rPr>
        <w:rFonts w:hint="default"/>
        <w:lang w:val="en-gb" w:eastAsia="en-gb" w:bidi="en-gb"/>
      </w:rPr>
    </w:lvl>
  </w:abstractNum>
  <w:abstractNum w:abstractNumId="104">
    <w:multiLevelType w:val="hybridMultilevel"/>
    <w:lvl w:ilvl="0">
      <w:start w:val="4"/>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1"/>
      <w:numFmt w:val="decimal"/>
      <w:lvlText w:val="%1.%2.%3.%4"/>
      <w:lvlJc w:val="left"/>
      <w:pPr>
        <w:ind w:left="2414" w:hanging="908"/>
        <w:jc w:val="left"/>
      </w:pPr>
      <w:rPr>
        <w:rFonts w:hint="default" w:ascii="Calibri" w:hAnsi="Calibri" w:eastAsia="Calibri" w:cs="Calibri"/>
        <w:spacing w:val="-18"/>
        <w:w w:val="125"/>
        <w:sz w:val="20"/>
        <w:szCs w:val="20"/>
        <w:lang w:val="en-gb" w:eastAsia="en-gb" w:bidi="en-gb"/>
      </w:rPr>
    </w:lvl>
    <w:lvl w:ilvl="4">
      <w:start w:val="0"/>
      <w:numFmt w:val="bullet"/>
      <w:lvlText w:val="•"/>
      <w:lvlJc w:val="left"/>
      <w:pPr>
        <w:ind w:left="3660" w:hanging="908"/>
      </w:pPr>
      <w:rPr>
        <w:rFonts w:hint="default"/>
        <w:lang w:val="en-gb" w:eastAsia="en-gb" w:bidi="en-gb"/>
      </w:rPr>
    </w:lvl>
    <w:lvl w:ilvl="5">
      <w:start w:val="0"/>
      <w:numFmt w:val="bullet"/>
      <w:lvlText w:val="•"/>
      <w:lvlJc w:val="left"/>
      <w:pPr>
        <w:ind w:left="4901" w:hanging="908"/>
      </w:pPr>
      <w:rPr>
        <w:rFonts w:hint="default"/>
        <w:lang w:val="en-gb" w:eastAsia="en-gb" w:bidi="en-gb"/>
      </w:rPr>
    </w:lvl>
    <w:lvl w:ilvl="6">
      <w:start w:val="0"/>
      <w:numFmt w:val="bullet"/>
      <w:lvlText w:val="•"/>
      <w:lvlJc w:val="left"/>
      <w:pPr>
        <w:ind w:left="6142" w:hanging="908"/>
      </w:pPr>
      <w:rPr>
        <w:rFonts w:hint="default"/>
        <w:lang w:val="en-gb" w:eastAsia="en-gb" w:bidi="en-gb"/>
      </w:rPr>
    </w:lvl>
    <w:lvl w:ilvl="7">
      <w:start w:val="0"/>
      <w:numFmt w:val="bullet"/>
      <w:lvlText w:val="•"/>
      <w:lvlJc w:val="left"/>
      <w:pPr>
        <w:ind w:left="7383" w:hanging="908"/>
      </w:pPr>
      <w:rPr>
        <w:rFonts w:hint="default"/>
        <w:lang w:val="en-gb" w:eastAsia="en-gb" w:bidi="en-gb"/>
      </w:rPr>
    </w:lvl>
    <w:lvl w:ilvl="8">
      <w:start w:val="0"/>
      <w:numFmt w:val="bullet"/>
      <w:lvlText w:val="•"/>
      <w:lvlJc w:val="left"/>
      <w:pPr>
        <w:ind w:left="8623" w:hanging="908"/>
      </w:pPr>
      <w:rPr>
        <w:rFonts w:hint="default"/>
        <w:lang w:val="en-gb" w:eastAsia="en-gb" w:bidi="en-gb"/>
      </w:rPr>
    </w:lvl>
  </w:abstractNum>
  <w:abstractNum w:abstractNumId="103">
    <w:multiLevelType w:val="hybridMultilevel"/>
    <w:lvl w:ilvl="0">
      <w:start w:val="1"/>
      <w:numFmt w:val="lowerLetter"/>
      <w:lvlText w:val="%1)"/>
      <w:lvlJc w:val="left"/>
      <w:pPr>
        <w:ind w:left="218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3072" w:hanging="681"/>
      </w:pPr>
      <w:rPr>
        <w:rFonts w:hint="default"/>
        <w:lang w:val="en-gb" w:eastAsia="en-gb" w:bidi="en-gb"/>
      </w:rPr>
    </w:lvl>
    <w:lvl w:ilvl="2">
      <w:start w:val="0"/>
      <w:numFmt w:val="bullet"/>
      <w:lvlText w:val="•"/>
      <w:lvlJc w:val="left"/>
      <w:pPr>
        <w:ind w:left="3965" w:hanging="681"/>
      </w:pPr>
      <w:rPr>
        <w:rFonts w:hint="default"/>
        <w:lang w:val="en-gb" w:eastAsia="en-gb" w:bidi="en-gb"/>
      </w:rPr>
    </w:lvl>
    <w:lvl w:ilvl="3">
      <w:start w:val="0"/>
      <w:numFmt w:val="bullet"/>
      <w:lvlText w:val="•"/>
      <w:lvlJc w:val="left"/>
      <w:pPr>
        <w:ind w:left="4857" w:hanging="681"/>
      </w:pPr>
      <w:rPr>
        <w:rFonts w:hint="default"/>
        <w:lang w:val="en-gb" w:eastAsia="en-gb" w:bidi="en-gb"/>
      </w:rPr>
    </w:lvl>
    <w:lvl w:ilvl="4">
      <w:start w:val="0"/>
      <w:numFmt w:val="bullet"/>
      <w:lvlText w:val="•"/>
      <w:lvlJc w:val="left"/>
      <w:pPr>
        <w:ind w:left="5750" w:hanging="681"/>
      </w:pPr>
      <w:rPr>
        <w:rFonts w:hint="default"/>
        <w:lang w:val="en-gb" w:eastAsia="en-gb" w:bidi="en-gb"/>
      </w:rPr>
    </w:lvl>
    <w:lvl w:ilvl="5">
      <w:start w:val="0"/>
      <w:numFmt w:val="bullet"/>
      <w:lvlText w:val="•"/>
      <w:lvlJc w:val="left"/>
      <w:pPr>
        <w:ind w:left="6642" w:hanging="681"/>
      </w:pPr>
      <w:rPr>
        <w:rFonts w:hint="default"/>
        <w:lang w:val="en-gb" w:eastAsia="en-gb" w:bidi="en-gb"/>
      </w:rPr>
    </w:lvl>
    <w:lvl w:ilvl="6">
      <w:start w:val="0"/>
      <w:numFmt w:val="bullet"/>
      <w:lvlText w:val="•"/>
      <w:lvlJc w:val="left"/>
      <w:pPr>
        <w:ind w:left="7535" w:hanging="681"/>
      </w:pPr>
      <w:rPr>
        <w:rFonts w:hint="default"/>
        <w:lang w:val="en-gb" w:eastAsia="en-gb" w:bidi="en-gb"/>
      </w:rPr>
    </w:lvl>
    <w:lvl w:ilvl="7">
      <w:start w:val="0"/>
      <w:numFmt w:val="bullet"/>
      <w:lvlText w:val="•"/>
      <w:lvlJc w:val="left"/>
      <w:pPr>
        <w:ind w:left="8427" w:hanging="681"/>
      </w:pPr>
      <w:rPr>
        <w:rFonts w:hint="default"/>
        <w:lang w:val="en-gb" w:eastAsia="en-gb" w:bidi="en-gb"/>
      </w:rPr>
    </w:lvl>
    <w:lvl w:ilvl="8">
      <w:start w:val="0"/>
      <w:numFmt w:val="bullet"/>
      <w:lvlText w:val="•"/>
      <w:lvlJc w:val="left"/>
      <w:pPr>
        <w:ind w:left="9320" w:hanging="681"/>
      </w:pPr>
      <w:rPr>
        <w:rFonts w:hint="default"/>
        <w:lang w:val="en-gb" w:eastAsia="en-gb" w:bidi="en-gb"/>
      </w:rPr>
    </w:lvl>
  </w:abstractNum>
  <w:abstractNum w:abstractNumId="102">
    <w:multiLevelType w:val="hybridMultilevel"/>
    <w:lvl w:ilvl="0">
      <w:start w:val="0"/>
      <w:numFmt w:val="bullet"/>
      <w:lvlText w:val=""/>
      <w:lvlJc w:val="left"/>
      <w:pPr>
        <w:ind w:left="2187" w:hanging="681"/>
      </w:pPr>
      <w:rPr>
        <w:rFonts w:hint="default" w:ascii="Symbol" w:hAnsi="Symbol" w:eastAsia="Symbol" w:cs="Symbol"/>
        <w:w w:val="110"/>
        <w:sz w:val="20"/>
        <w:szCs w:val="20"/>
        <w:lang w:val="en-gb" w:eastAsia="en-gb" w:bidi="en-gb"/>
      </w:rPr>
    </w:lvl>
    <w:lvl w:ilvl="1">
      <w:start w:val="0"/>
      <w:numFmt w:val="bullet"/>
      <w:lvlText w:val="•"/>
      <w:lvlJc w:val="left"/>
      <w:pPr>
        <w:ind w:left="3072" w:hanging="681"/>
      </w:pPr>
      <w:rPr>
        <w:rFonts w:hint="default"/>
        <w:lang w:val="en-gb" w:eastAsia="en-gb" w:bidi="en-gb"/>
      </w:rPr>
    </w:lvl>
    <w:lvl w:ilvl="2">
      <w:start w:val="0"/>
      <w:numFmt w:val="bullet"/>
      <w:lvlText w:val="•"/>
      <w:lvlJc w:val="left"/>
      <w:pPr>
        <w:ind w:left="3965" w:hanging="681"/>
      </w:pPr>
      <w:rPr>
        <w:rFonts w:hint="default"/>
        <w:lang w:val="en-gb" w:eastAsia="en-gb" w:bidi="en-gb"/>
      </w:rPr>
    </w:lvl>
    <w:lvl w:ilvl="3">
      <w:start w:val="0"/>
      <w:numFmt w:val="bullet"/>
      <w:lvlText w:val="•"/>
      <w:lvlJc w:val="left"/>
      <w:pPr>
        <w:ind w:left="4857" w:hanging="681"/>
      </w:pPr>
      <w:rPr>
        <w:rFonts w:hint="default"/>
        <w:lang w:val="en-gb" w:eastAsia="en-gb" w:bidi="en-gb"/>
      </w:rPr>
    </w:lvl>
    <w:lvl w:ilvl="4">
      <w:start w:val="0"/>
      <w:numFmt w:val="bullet"/>
      <w:lvlText w:val="•"/>
      <w:lvlJc w:val="left"/>
      <w:pPr>
        <w:ind w:left="5750" w:hanging="681"/>
      </w:pPr>
      <w:rPr>
        <w:rFonts w:hint="default"/>
        <w:lang w:val="en-gb" w:eastAsia="en-gb" w:bidi="en-gb"/>
      </w:rPr>
    </w:lvl>
    <w:lvl w:ilvl="5">
      <w:start w:val="0"/>
      <w:numFmt w:val="bullet"/>
      <w:lvlText w:val="•"/>
      <w:lvlJc w:val="left"/>
      <w:pPr>
        <w:ind w:left="6642" w:hanging="681"/>
      </w:pPr>
      <w:rPr>
        <w:rFonts w:hint="default"/>
        <w:lang w:val="en-gb" w:eastAsia="en-gb" w:bidi="en-gb"/>
      </w:rPr>
    </w:lvl>
    <w:lvl w:ilvl="6">
      <w:start w:val="0"/>
      <w:numFmt w:val="bullet"/>
      <w:lvlText w:val="•"/>
      <w:lvlJc w:val="left"/>
      <w:pPr>
        <w:ind w:left="7535" w:hanging="681"/>
      </w:pPr>
      <w:rPr>
        <w:rFonts w:hint="default"/>
        <w:lang w:val="en-gb" w:eastAsia="en-gb" w:bidi="en-gb"/>
      </w:rPr>
    </w:lvl>
    <w:lvl w:ilvl="7">
      <w:start w:val="0"/>
      <w:numFmt w:val="bullet"/>
      <w:lvlText w:val="•"/>
      <w:lvlJc w:val="left"/>
      <w:pPr>
        <w:ind w:left="8427" w:hanging="681"/>
      </w:pPr>
      <w:rPr>
        <w:rFonts w:hint="default"/>
        <w:lang w:val="en-gb" w:eastAsia="en-gb" w:bidi="en-gb"/>
      </w:rPr>
    </w:lvl>
    <w:lvl w:ilvl="8">
      <w:start w:val="0"/>
      <w:numFmt w:val="bullet"/>
      <w:lvlText w:val="•"/>
      <w:lvlJc w:val="left"/>
      <w:pPr>
        <w:ind w:left="9320" w:hanging="681"/>
      </w:pPr>
      <w:rPr>
        <w:rFonts w:hint="default"/>
        <w:lang w:val="en-gb" w:eastAsia="en-gb" w:bidi="en-gb"/>
      </w:rPr>
    </w:lvl>
  </w:abstractNum>
  <w:abstractNum w:abstractNumId="101">
    <w:multiLevelType w:val="hybridMultilevel"/>
    <w:lvl w:ilvl="0">
      <w:start w:val="3"/>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2924" w:hanging="681"/>
      </w:pPr>
      <w:rPr>
        <w:rFonts w:hint="default" w:ascii="Symbol" w:hAnsi="Symbol" w:eastAsia="Symbol" w:cs="Symbol"/>
        <w:w w:val="110"/>
        <w:sz w:val="20"/>
        <w:szCs w:val="20"/>
        <w:lang w:val="en-gb" w:eastAsia="en-gb" w:bidi="en-gb"/>
      </w:rPr>
    </w:lvl>
    <w:lvl w:ilvl="4">
      <w:start w:val="0"/>
      <w:numFmt w:val="bullet"/>
      <w:lvlText w:val="•"/>
      <w:lvlJc w:val="left"/>
      <w:pPr>
        <w:ind w:left="4089" w:hanging="681"/>
      </w:pPr>
      <w:rPr>
        <w:rFonts w:hint="default"/>
        <w:lang w:val="en-gb" w:eastAsia="en-gb" w:bidi="en-gb"/>
      </w:rPr>
    </w:lvl>
    <w:lvl w:ilvl="5">
      <w:start w:val="0"/>
      <w:numFmt w:val="bullet"/>
      <w:lvlText w:val="•"/>
      <w:lvlJc w:val="left"/>
      <w:pPr>
        <w:ind w:left="5258" w:hanging="681"/>
      </w:pPr>
      <w:rPr>
        <w:rFonts w:hint="default"/>
        <w:lang w:val="en-gb" w:eastAsia="en-gb" w:bidi="en-gb"/>
      </w:rPr>
    </w:lvl>
    <w:lvl w:ilvl="6">
      <w:start w:val="0"/>
      <w:numFmt w:val="bullet"/>
      <w:lvlText w:val="•"/>
      <w:lvlJc w:val="left"/>
      <w:pPr>
        <w:ind w:left="6428" w:hanging="681"/>
      </w:pPr>
      <w:rPr>
        <w:rFonts w:hint="default"/>
        <w:lang w:val="en-gb" w:eastAsia="en-gb" w:bidi="en-gb"/>
      </w:rPr>
    </w:lvl>
    <w:lvl w:ilvl="7">
      <w:start w:val="0"/>
      <w:numFmt w:val="bullet"/>
      <w:lvlText w:val="•"/>
      <w:lvlJc w:val="left"/>
      <w:pPr>
        <w:ind w:left="7597" w:hanging="681"/>
      </w:pPr>
      <w:rPr>
        <w:rFonts w:hint="default"/>
        <w:lang w:val="en-gb" w:eastAsia="en-gb" w:bidi="en-gb"/>
      </w:rPr>
    </w:lvl>
    <w:lvl w:ilvl="8">
      <w:start w:val="0"/>
      <w:numFmt w:val="bullet"/>
      <w:lvlText w:val="•"/>
      <w:lvlJc w:val="left"/>
      <w:pPr>
        <w:ind w:left="8766" w:hanging="681"/>
      </w:pPr>
      <w:rPr>
        <w:rFonts w:hint="default"/>
        <w:lang w:val="en-gb" w:eastAsia="en-gb" w:bidi="en-gb"/>
      </w:rPr>
    </w:lvl>
  </w:abstractNum>
  <w:abstractNum w:abstractNumId="100">
    <w:multiLevelType w:val="hybridMultilevel"/>
    <w:lvl w:ilvl="0">
      <w:start w:val="2"/>
      <w:numFmt w:val="decimal"/>
      <w:lvlText w:val="%1"/>
      <w:lvlJc w:val="left"/>
      <w:pPr>
        <w:ind w:left="1507" w:hanging="681"/>
        <w:jc w:val="left"/>
      </w:pPr>
      <w:rPr>
        <w:rFonts w:hint="default"/>
        <w:lang w:val="en-gb" w:eastAsia="en-gb" w:bidi="en-gb"/>
      </w:rPr>
    </w:lvl>
    <w:lvl w:ilvl="1">
      <w:start w:val="1"/>
      <w:numFmt w:val="decimal"/>
      <w:lvlText w:val="%1.%2"/>
      <w:lvlJc w:val="left"/>
      <w:pPr>
        <w:ind w:left="1507" w:hanging="681"/>
        <w:jc w:val="left"/>
      </w:pPr>
      <w:rPr>
        <w:rFonts w:hint="default"/>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2187" w:hanging="681"/>
      </w:pPr>
      <w:rPr>
        <w:rFonts w:hint="default" w:ascii="Symbol" w:hAnsi="Symbol" w:eastAsia="Symbol" w:cs="Symbol"/>
        <w:w w:val="110"/>
        <w:sz w:val="20"/>
        <w:szCs w:val="20"/>
        <w:lang w:val="en-gb" w:eastAsia="en-gb" w:bidi="en-gb"/>
      </w:rPr>
    </w:lvl>
    <w:lvl w:ilvl="4">
      <w:start w:val="0"/>
      <w:numFmt w:val="bullet"/>
      <w:lvlText w:val="•"/>
      <w:lvlJc w:val="left"/>
      <w:pPr>
        <w:ind w:left="5155" w:hanging="681"/>
      </w:pPr>
      <w:rPr>
        <w:rFonts w:hint="default"/>
        <w:lang w:val="en-gb" w:eastAsia="en-gb" w:bidi="en-gb"/>
      </w:rPr>
    </w:lvl>
    <w:lvl w:ilvl="5">
      <w:start w:val="0"/>
      <w:numFmt w:val="bullet"/>
      <w:lvlText w:val="•"/>
      <w:lvlJc w:val="left"/>
      <w:pPr>
        <w:ind w:left="6146" w:hanging="681"/>
      </w:pPr>
      <w:rPr>
        <w:rFonts w:hint="default"/>
        <w:lang w:val="en-gb" w:eastAsia="en-gb" w:bidi="en-gb"/>
      </w:rPr>
    </w:lvl>
    <w:lvl w:ilvl="6">
      <w:start w:val="0"/>
      <w:numFmt w:val="bullet"/>
      <w:lvlText w:val="•"/>
      <w:lvlJc w:val="left"/>
      <w:pPr>
        <w:ind w:left="7138" w:hanging="681"/>
      </w:pPr>
      <w:rPr>
        <w:rFonts w:hint="default"/>
        <w:lang w:val="en-gb" w:eastAsia="en-gb" w:bidi="en-gb"/>
      </w:rPr>
    </w:lvl>
    <w:lvl w:ilvl="7">
      <w:start w:val="0"/>
      <w:numFmt w:val="bullet"/>
      <w:lvlText w:val="•"/>
      <w:lvlJc w:val="left"/>
      <w:pPr>
        <w:ind w:left="8130" w:hanging="681"/>
      </w:pPr>
      <w:rPr>
        <w:rFonts w:hint="default"/>
        <w:lang w:val="en-gb" w:eastAsia="en-gb" w:bidi="en-gb"/>
      </w:rPr>
    </w:lvl>
    <w:lvl w:ilvl="8">
      <w:start w:val="0"/>
      <w:numFmt w:val="bullet"/>
      <w:lvlText w:val="•"/>
      <w:lvlJc w:val="left"/>
      <w:pPr>
        <w:ind w:left="9122" w:hanging="681"/>
      </w:pPr>
      <w:rPr>
        <w:rFonts w:hint="default"/>
        <w:lang w:val="en-gb" w:eastAsia="en-gb" w:bidi="en-gb"/>
      </w:rPr>
    </w:lvl>
  </w:abstractNum>
  <w:abstractNum w:abstractNumId="99">
    <w:multiLevelType w:val="hybridMultilevel"/>
    <w:lvl w:ilvl="0">
      <w:start w:val="2"/>
      <w:numFmt w:val="decimal"/>
      <w:lvlText w:val="%1"/>
      <w:lvlJc w:val="left"/>
      <w:pPr>
        <w:ind w:left="1323" w:hanging="681"/>
        <w:jc w:val="left"/>
      </w:pPr>
      <w:rPr>
        <w:rFonts w:hint="default"/>
        <w:lang w:val="en-gb" w:eastAsia="en-gb" w:bidi="en-gb"/>
      </w:rPr>
    </w:lvl>
    <w:lvl w:ilvl="1">
      <w:start w:val="1"/>
      <w:numFmt w:val="decimal"/>
      <w:lvlText w:val="%1.%2"/>
      <w:lvlJc w:val="left"/>
      <w:pPr>
        <w:ind w:left="1323" w:hanging="681"/>
        <w:jc w:val="right"/>
      </w:pPr>
      <w:rPr>
        <w:rFonts w:hint="default" w:ascii="Calibri" w:hAnsi="Calibri" w:eastAsia="Calibri" w:cs="Calibri"/>
        <w:spacing w:val="-18"/>
        <w:w w:val="125"/>
        <w:sz w:val="20"/>
        <w:szCs w:val="20"/>
        <w:lang w:val="en-gb" w:eastAsia="en-gb" w:bidi="en-gb"/>
      </w:rPr>
    </w:lvl>
    <w:lvl w:ilvl="2">
      <w:start w:val="1"/>
      <w:numFmt w:val="decimal"/>
      <w:lvlText w:val="%1.%2.%3"/>
      <w:lvlJc w:val="left"/>
      <w:pPr>
        <w:ind w:left="150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3348" w:hanging="681"/>
      </w:pPr>
      <w:rPr>
        <w:rFonts w:hint="default"/>
        <w:lang w:val="en-gb" w:eastAsia="en-gb" w:bidi="en-gb"/>
      </w:rPr>
    </w:lvl>
    <w:lvl w:ilvl="4">
      <w:start w:val="0"/>
      <w:numFmt w:val="bullet"/>
      <w:lvlText w:val="•"/>
      <w:lvlJc w:val="left"/>
      <w:pPr>
        <w:ind w:left="4456" w:hanging="681"/>
      </w:pPr>
      <w:rPr>
        <w:rFonts w:hint="default"/>
        <w:lang w:val="en-gb" w:eastAsia="en-gb" w:bidi="en-gb"/>
      </w:rPr>
    </w:lvl>
    <w:lvl w:ilvl="5">
      <w:start w:val="0"/>
      <w:numFmt w:val="bullet"/>
      <w:lvlText w:val="•"/>
      <w:lvlJc w:val="left"/>
      <w:pPr>
        <w:ind w:left="5564" w:hanging="681"/>
      </w:pPr>
      <w:rPr>
        <w:rFonts w:hint="default"/>
        <w:lang w:val="en-gb" w:eastAsia="en-gb" w:bidi="en-gb"/>
      </w:rPr>
    </w:lvl>
    <w:lvl w:ilvl="6">
      <w:start w:val="0"/>
      <w:numFmt w:val="bullet"/>
      <w:lvlText w:val="•"/>
      <w:lvlJc w:val="left"/>
      <w:pPr>
        <w:ind w:left="6672" w:hanging="681"/>
      </w:pPr>
      <w:rPr>
        <w:rFonts w:hint="default"/>
        <w:lang w:val="en-gb" w:eastAsia="en-gb" w:bidi="en-gb"/>
      </w:rPr>
    </w:lvl>
    <w:lvl w:ilvl="7">
      <w:start w:val="0"/>
      <w:numFmt w:val="bullet"/>
      <w:lvlText w:val="•"/>
      <w:lvlJc w:val="left"/>
      <w:pPr>
        <w:ind w:left="7780" w:hanging="681"/>
      </w:pPr>
      <w:rPr>
        <w:rFonts w:hint="default"/>
        <w:lang w:val="en-gb" w:eastAsia="en-gb" w:bidi="en-gb"/>
      </w:rPr>
    </w:lvl>
    <w:lvl w:ilvl="8">
      <w:start w:val="0"/>
      <w:numFmt w:val="bullet"/>
      <w:lvlText w:val="•"/>
      <w:lvlJc w:val="left"/>
      <w:pPr>
        <w:ind w:left="8889" w:hanging="681"/>
      </w:pPr>
      <w:rPr>
        <w:rFonts w:hint="default"/>
        <w:lang w:val="en-gb" w:eastAsia="en-gb" w:bidi="en-gb"/>
      </w:rPr>
    </w:lvl>
  </w:abstractNum>
  <w:abstractNum w:abstractNumId="98">
    <w:multiLevelType w:val="hybridMultilevel"/>
    <w:lvl w:ilvl="0">
      <w:start w:val="1"/>
      <w:numFmt w:val="decimal"/>
      <w:lvlText w:val="%1"/>
      <w:lvlJc w:val="left"/>
      <w:pPr>
        <w:ind w:left="1323" w:hanging="681"/>
        <w:jc w:val="left"/>
      </w:pPr>
      <w:rPr>
        <w:rFonts w:hint="default"/>
        <w:lang w:val="en-gb" w:eastAsia="en-gb" w:bidi="en-gb"/>
      </w:rPr>
    </w:lvl>
    <w:lvl w:ilvl="1">
      <w:start w:val="1"/>
      <w:numFmt w:val="decimal"/>
      <w:lvlText w:val="%1.%2"/>
      <w:lvlJc w:val="left"/>
      <w:pPr>
        <w:ind w:left="1323"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277" w:hanging="681"/>
      </w:pPr>
      <w:rPr>
        <w:rFonts w:hint="default"/>
        <w:lang w:val="en-gb" w:eastAsia="en-gb" w:bidi="en-gb"/>
      </w:rPr>
    </w:lvl>
    <w:lvl w:ilvl="3">
      <w:start w:val="0"/>
      <w:numFmt w:val="bullet"/>
      <w:lvlText w:val="•"/>
      <w:lvlJc w:val="left"/>
      <w:pPr>
        <w:ind w:left="4255" w:hanging="681"/>
      </w:pPr>
      <w:rPr>
        <w:rFonts w:hint="default"/>
        <w:lang w:val="en-gb" w:eastAsia="en-gb" w:bidi="en-gb"/>
      </w:rPr>
    </w:lvl>
    <w:lvl w:ilvl="4">
      <w:start w:val="0"/>
      <w:numFmt w:val="bullet"/>
      <w:lvlText w:val="•"/>
      <w:lvlJc w:val="left"/>
      <w:pPr>
        <w:ind w:left="523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191" w:hanging="681"/>
      </w:pPr>
      <w:rPr>
        <w:rFonts w:hint="default"/>
        <w:lang w:val="en-gb" w:eastAsia="en-gb" w:bidi="en-gb"/>
      </w:rPr>
    </w:lvl>
    <w:lvl w:ilvl="7">
      <w:start w:val="0"/>
      <w:numFmt w:val="bullet"/>
      <w:lvlText w:val="•"/>
      <w:lvlJc w:val="left"/>
      <w:pPr>
        <w:ind w:left="8169" w:hanging="681"/>
      </w:pPr>
      <w:rPr>
        <w:rFonts w:hint="default"/>
        <w:lang w:val="en-gb" w:eastAsia="en-gb" w:bidi="en-gb"/>
      </w:rPr>
    </w:lvl>
    <w:lvl w:ilvl="8">
      <w:start w:val="0"/>
      <w:numFmt w:val="bullet"/>
      <w:lvlText w:val="•"/>
      <w:lvlJc w:val="left"/>
      <w:pPr>
        <w:ind w:left="9148" w:hanging="681"/>
      </w:pPr>
      <w:rPr>
        <w:rFonts w:hint="default"/>
        <w:lang w:val="en-gb" w:eastAsia="en-gb" w:bidi="en-gb"/>
      </w:rPr>
    </w:lvl>
  </w:abstractNum>
  <w:abstractNum w:abstractNumId="96">
    <w:multiLevelType w:val="hybridMultilevel"/>
    <w:lvl w:ilvl="0">
      <w:start w:val="1"/>
      <w:numFmt w:val="decimal"/>
      <w:lvlText w:val="%1."/>
      <w:lvlJc w:val="left"/>
      <w:pPr>
        <w:ind w:left="827" w:hanging="681"/>
        <w:jc w:val="right"/>
      </w:pPr>
      <w:rPr>
        <w:rFonts w:hint="default" w:ascii="Calibri" w:hAnsi="Calibri" w:eastAsia="Calibri" w:cs="Calibri"/>
        <w:spacing w:val="-13"/>
        <w:w w:val="125"/>
        <w:sz w:val="20"/>
        <w:szCs w:val="20"/>
        <w:lang w:val="en-gb" w:eastAsia="en-gb" w:bidi="en-gb"/>
      </w:rPr>
    </w:lvl>
    <w:lvl w:ilvl="1">
      <w:start w:val="0"/>
      <w:numFmt w:val="bullet"/>
      <w:lvlText w:val="•"/>
      <w:lvlJc w:val="left"/>
      <w:pPr>
        <w:ind w:left="1848" w:hanging="681"/>
      </w:pPr>
      <w:rPr>
        <w:rFonts w:hint="default"/>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95">
    <w:multiLevelType w:val="hybridMultilevel"/>
    <w:lvl w:ilvl="0">
      <w:start w:val="29"/>
      <w:numFmt w:val="decimal"/>
      <w:lvlText w:val="%1."/>
      <w:lvlJc w:val="left"/>
      <w:pPr>
        <w:ind w:left="80" w:hanging="681"/>
        <w:jc w:val="left"/>
      </w:pPr>
      <w:rPr>
        <w:rFonts w:hint="default" w:ascii="Stone Sans II ITC Std Bk" w:hAnsi="Stone Sans II ITC Std Bk" w:eastAsia="Stone Sans II ITC Std Bk" w:cs="Stone Sans II ITC Std Bk"/>
        <w:b/>
        <w:bCs/>
        <w:w w:val="110"/>
        <w:sz w:val="20"/>
        <w:szCs w:val="20"/>
        <w:lang w:val="en-gb" w:eastAsia="en-gb" w:bidi="en-gb"/>
      </w:rPr>
    </w:lvl>
    <w:lvl w:ilvl="1">
      <w:start w:val="0"/>
      <w:numFmt w:val="bullet"/>
      <w:lvlText w:val="•"/>
      <w:lvlJc w:val="left"/>
      <w:pPr>
        <w:ind w:left="729" w:hanging="681"/>
      </w:pPr>
      <w:rPr>
        <w:rFonts w:hint="default"/>
        <w:lang w:val="en-gb" w:eastAsia="en-gb" w:bidi="en-gb"/>
      </w:rPr>
    </w:lvl>
    <w:lvl w:ilvl="2">
      <w:start w:val="0"/>
      <w:numFmt w:val="bullet"/>
      <w:lvlText w:val="•"/>
      <w:lvlJc w:val="left"/>
      <w:pPr>
        <w:ind w:left="1378" w:hanging="681"/>
      </w:pPr>
      <w:rPr>
        <w:rFonts w:hint="default"/>
        <w:lang w:val="en-gb" w:eastAsia="en-gb" w:bidi="en-gb"/>
      </w:rPr>
    </w:lvl>
    <w:lvl w:ilvl="3">
      <w:start w:val="0"/>
      <w:numFmt w:val="bullet"/>
      <w:lvlText w:val="•"/>
      <w:lvlJc w:val="left"/>
      <w:pPr>
        <w:ind w:left="2027" w:hanging="681"/>
      </w:pPr>
      <w:rPr>
        <w:rFonts w:hint="default"/>
        <w:lang w:val="en-gb" w:eastAsia="en-gb" w:bidi="en-gb"/>
      </w:rPr>
    </w:lvl>
    <w:lvl w:ilvl="4">
      <w:start w:val="0"/>
      <w:numFmt w:val="bullet"/>
      <w:lvlText w:val="•"/>
      <w:lvlJc w:val="left"/>
      <w:pPr>
        <w:ind w:left="2676" w:hanging="681"/>
      </w:pPr>
      <w:rPr>
        <w:rFonts w:hint="default"/>
        <w:lang w:val="en-gb" w:eastAsia="en-gb" w:bidi="en-gb"/>
      </w:rPr>
    </w:lvl>
    <w:lvl w:ilvl="5">
      <w:start w:val="0"/>
      <w:numFmt w:val="bullet"/>
      <w:lvlText w:val="•"/>
      <w:lvlJc w:val="left"/>
      <w:pPr>
        <w:ind w:left="3326" w:hanging="681"/>
      </w:pPr>
      <w:rPr>
        <w:rFonts w:hint="default"/>
        <w:lang w:val="en-gb" w:eastAsia="en-gb" w:bidi="en-gb"/>
      </w:rPr>
    </w:lvl>
    <w:lvl w:ilvl="6">
      <w:start w:val="0"/>
      <w:numFmt w:val="bullet"/>
      <w:lvlText w:val="•"/>
      <w:lvlJc w:val="left"/>
      <w:pPr>
        <w:ind w:left="3975" w:hanging="681"/>
      </w:pPr>
      <w:rPr>
        <w:rFonts w:hint="default"/>
        <w:lang w:val="en-gb" w:eastAsia="en-gb" w:bidi="en-gb"/>
      </w:rPr>
    </w:lvl>
    <w:lvl w:ilvl="7">
      <w:start w:val="0"/>
      <w:numFmt w:val="bullet"/>
      <w:lvlText w:val="•"/>
      <w:lvlJc w:val="left"/>
      <w:pPr>
        <w:ind w:left="4624" w:hanging="681"/>
      </w:pPr>
      <w:rPr>
        <w:rFonts w:hint="default"/>
        <w:lang w:val="en-gb" w:eastAsia="en-gb" w:bidi="en-gb"/>
      </w:rPr>
    </w:lvl>
    <w:lvl w:ilvl="8">
      <w:start w:val="0"/>
      <w:numFmt w:val="bullet"/>
      <w:lvlText w:val="•"/>
      <w:lvlJc w:val="left"/>
      <w:pPr>
        <w:ind w:left="5273" w:hanging="681"/>
      </w:pPr>
      <w:rPr>
        <w:rFonts w:hint="default"/>
        <w:lang w:val="en-gb" w:eastAsia="en-gb" w:bidi="en-gb"/>
      </w:rPr>
    </w:lvl>
  </w:abstractNum>
  <w:abstractNum w:abstractNumId="94">
    <w:multiLevelType w:val="hybridMultilevel"/>
    <w:lvl w:ilvl="0">
      <w:start w:val="1"/>
      <w:numFmt w:val="decimal"/>
      <w:lvlText w:val="%1."/>
      <w:lvlJc w:val="left"/>
      <w:pPr>
        <w:ind w:left="827"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1848" w:hanging="681"/>
      </w:pPr>
      <w:rPr>
        <w:rFonts w:hint="default"/>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93">
    <w:multiLevelType w:val="hybridMultilevel"/>
    <w:lvl w:ilvl="0">
      <w:start w:val="1"/>
      <w:numFmt w:val="decimal"/>
      <w:lvlText w:val="%1."/>
      <w:lvlJc w:val="left"/>
      <w:pPr>
        <w:ind w:left="1507"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2460" w:hanging="681"/>
      </w:pPr>
      <w:rPr>
        <w:rFonts w:hint="default"/>
        <w:lang w:val="en-gb" w:eastAsia="en-gb" w:bidi="en-gb"/>
      </w:rPr>
    </w:lvl>
    <w:lvl w:ilvl="2">
      <w:start w:val="0"/>
      <w:numFmt w:val="bullet"/>
      <w:lvlText w:val="•"/>
      <w:lvlJc w:val="left"/>
      <w:pPr>
        <w:ind w:left="3421" w:hanging="681"/>
      </w:pPr>
      <w:rPr>
        <w:rFonts w:hint="default"/>
        <w:lang w:val="en-gb" w:eastAsia="en-gb" w:bidi="en-gb"/>
      </w:rPr>
    </w:lvl>
    <w:lvl w:ilvl="3">
      <w:start w:val="0"/>
      <w:numFmt w:val="bullet"/>
      <w:lvlText w:val="•"/>
      <w:lvlJc w:val="left"/>
      <w:pPr>
        <w:ind w:left="4381" w:hanging="681"/>
      </w:pPr>
      <w:rPr>
        <w:rFonts w:hint="default"/>
        <w:lang w:val="en-gb" w:eastAsia="en-gb" w:bidi="en-gb"/>
      </w:rPr>
    </w:lvl>
    <w:lvl w:ilvl="4">
      <w:start w:val="0"/>
      <w:numFmt w:val="bullet"/>
      <w:lvlText w:val="•"/>
      <w:lvlJc w:val="left"/>
      <w:pPr>
        <w:ind w:left="5342" w:hanging="681"/>
      </w:pPr>
      <w:rPr>
        <w:rFonts w:hint="default"/>
        <w:lang w:val="en-gb" w:eastAsia="en-gb" w:bidi="en-gb"/>
      </w:rPr>
    </w:lvl>
    <w:lvl w:ilvl="5">
      <w:start w:val="0"/>
      <w:numFmt w:val="bullet"/>
      <w:lvlText w:val="•"/>
      <w:lvlJc w:val="left"/>
      <w:pPr>
        <w:ind w:left="6302" w:hanging="681"/>
      </w:pPr>
      <w:rPr>
        <w:rFonts w:hint="default"/>
        <w:lang w:val="en-gb" w:eastAsia="en-gb" w:bidi="en-gb"/>
      </w:rPr>
    </w:lvl>
    <w:lvl w:ilvl="6">
      <w:start w:val="0"/>
      <w:numFmt w:val="bullet"/>
      <w:lvlText w:val="•"/>
      <w:lvlJc w:val="left"/>
      <w:pPr>
        <w:ind w:left="7263" w:hanging="681"/>
      </w:pPr>
      <w:rPr>
        <w:rFonts w:hint="default"/>
        <w:lang w:val="en-gb" w:eastAsia="en-gb" w:bidi="en-gb"/>
      </w:rPr>
    </w:lvl>
    <w:lvl w:ilvl="7">
      <w:start w:val="0"/>
      <w:numFmt w:val="bullet"/>
      <w:lvlText w:val="•"/>
      <w:lvlJc w:val="left"/>
      <w:pPr>
        <w:ind w:left="8223" w:hanging="681"/>
      </w:pPr>
      <w:rPr>
        <w:rFonts w:hint="default"/>
        <w:lang w:val="en-gb" w:eastAsia="en-gb" w:bidi="en-gb"/>
      </w:rPr>
    </w:lvl>
    <w:lvl w:ilvl="8">
      <w:start w:val="0"/>
      <w:numFmt w:val="bullet"/>
      <w:lvlText w:val="•"/>
      <w:lvlJc w:val="left"/>
      <w:pPr>
        <w:ind w:left="9184" w:hanging="681"/>
      </w:pPr>
      <w:rPr>
        <w:rFonts w:hint="default"/>
        <w:lang w:val="en-gb" w:eastAsia="en-gb" w:bidi="en-gb"/>
      </w:rPr>
    </w:lvl>
  </w:abstractNum>
  <w:abstractNum w:abstractNumId="92">
    <w:multiLevelType w:val="hybridMultilevel"/>
    <w:lvl w:ilvl="0">
      <w:start w:val="1"/>
      <w:numFmt w:val="decimal"/>
      <w:lvlText w:val="%1."/>
      <w:lvlJc w:val="left"/>
      <w:pPr>
        <w:ind w:left="1507"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2460" w:hanging="681"/>
      </w:pPr>
      <w:rPr>
        <w:rFonts w:hint="default"/>
        <w:lang w:val="en-gb" w:eastAsia="en-gb" w:bidi="en-gb"/>
      </w:rPr>
    </w:lvl>
    <w:lvl w:ilvl="2">
      <w:start w:val="0"/>
      <w:numFmt w:val="bullet"/>
      <w:lvlText w:val="•"/>
      <w:lvlJc w:val="left"/>
      <w:pPr>
        <w:ind w:left="3421" w:hanging="681"/>
      </w:pPr>
      <w:rPr>
        <w:rFonts w:hint="default"/>
        <w:lang w:val="en-gb" w:eastAsia="en-gb" w:bidi="en-gb"/>
      </w:rPr>
    </w:lvl>
    <w:lvl w:ilvl="3">
      <w:start w:val="0"/>
      <w:numFmt w:val="bullet"/>
      <w:lvlText w:val="•"/>
      <w:lvlJc w:val="left"/>
      <w:pPr>
        <w:ind w:left="4381" w:hanging="681"/>
      </w:pPr>
      <w:rPr>
        <w:rFonts w:hint="default"/>
        <w:lang w:val="en-gb" w:eastAsia="en-gb" w:bidi="en-gb"/>
      </w:rPr>
    </w:lvl>
    <w:lvl w:ilvl="4">
      <w:start w:val="0"/>
      <w:numFmt w:val="bullet"/>
      <w:lvlText w:val="•"/>
      <w:lvlJc w:val="left"/>
      <w:pPr>
        <w:ind w:left="5342" w:hanging="681"/>
      </w:pPr>
      <w:rPr>
        <w:rFonts w:hint="default"/>
        <w:lang w:val="en-gb" w:eastAsia="en-gb" w:bidi="en-gb"/>
      </w:rPr>
    </w:lvl>
    <w:lvl w:ilvl="5">
      <w:start w:val="0"/>
      <w:numFmt w:val="bullet"/>
      <w:lvlText w:val="•"/>
      <w:lvlJc w:val="left"/>
      <w:pPr>
        <w:ind w:left="6302" w:hanging="681"/>
      </w:pPr>
      <w:rPr>
        <w:rFonts w:hint="default"/>
        <w:lang w:val="en-gb" w:eastAsia="en-gb" w:bidi="en-gb"/>
      </w:rPr>
    </w:lvl>
    <w:lvl w:ilvl="6">
      <w:start w:val="0"/>
      <w:numFmt w:val="bullet"/>
      <w:lvlText w:val="•"/>
      <w:lvlJc w:val="left"/>
      <w:pPr>
        <w:ind w:left="7263" w:hanging="681"/>
      </w:pPr>
      <w:rPr>
        <w:rFonts w:hint="default"/>
        <w:lang w:val="en-gb" w:eastAsia="en-gb" w:bidi="en-gb"/>
      </w:rPr>
    </w:lvl>
    <w:lvl w:ilvl="7">
      <w:start w:val="0"/>
      <w:numFmt w:val="bullet"/>
      <w:lvlText w:val="•"/>
      <w:lvlJc w:val="left"/>
      <w:pPr>
        <w:ind w:left="8223" w:hanging="681"/>
      </w:pPr>
      <w:rPr>
        <w:rFonts w:hint="default"/>
        <w:lang w:val="en-gb" w:eastAsia="en-gb" w:bidi="en-gb"/>
      </w:rPr>
    </w:lvl>
    <w:lvl w:ilvl="8">
      <w:start w:val="0"/>
      <w:numFmt w:val="bullet"/>
      <w:lvlText w:val="•"/>
      <w:lvlJc w:val="left"/>
      <w:pPr>
        <w:ind w:left="9184" w:hanging="681"/>
      </w:pPr>
      <w:rPr>
        <w:rFonts w:hint="default"/>
        <w:lang w:val="en-gb" w:eastAsia="en-gb" w:bidi="en-gb"/>
      </w:rPr>
    </w:lvl>
  </w:abstractNum>
  <w:abstractNum w:abstractNumId="91">
    <w:multiLevelType w:val="hybridMultilevel"/>
    <w:lvl w:ilvl="0">
      <w:start w:val="1"/>
      <w:numFmt w:val="decimal"/>
      <w:lvlText w:val="%1."/>
      <w:lvlJc w:val="left"/>
      <w:pPr>
        <w:ind w:left="827" w:hanging="681"/>
        <w:jc w:val="left"/>
      </w:pPr>
      <w:rPr>
        <w:rFonts w:hint="default" w:ascii="Calibri" w:hAnsi="Calibri" w:eastAsia="Calibri" w:cs="Calibri"/>
        <w:spacing w:val="-13"/>
        <w:w w:val="125"/>
        <w:sz w:val="20"/>
        <w:szCs w:val="20"/>
        <w:lang w:val="en-gb" w:eastAsia="en-gb" w:bidi="en-gb"/>
      </w:rPr>
    </w:lvl>
    <w:lvl w:ilvl="1">
      <w:start w:val="1"/>
      <w:numFmt w:val="decimal"/>
      <w:lvlText w:val="%2."/>
      <w:lvlJc w:val="left"/>
      <w:pPr>
        <w:ind w:left="1564" w:hanging="681"/>
        <w:jc w:val="right"/>
      </w:pPr>
      <w:rPr>
        <w:rFonts w:hint="default" w:ascii="Calibri" w:hAnsi="Calibri" w:eastAsia="Calibri" w:cs="Calibri"/>
        <w:spacing w:val="-13"/>
        <w:w w:val="125"/>
        <w:sz w:val="20"/>
        <w:szCs w:val="20"/>
        <w:lang w:val="en-gb" w:eastAsia="en-gb" w:bidi="en-gb"/>
      </w:rPr>
    </w:lvl>
    <w:lvl w:ilvl="2">
      <w:start w:val="0"/>
      <w:numFmt w:val="bullet"/>
      <w:lvlText w:val="•"/>
      <w:lvlJc w:val="left"/>
      <w:pPr>
        <w:ind w:left="2620" w:hanging="681"/>
      </w:pPr>
      <w:rPr>
        <w:rFonts w:hint="default"/>
        <w:lang w:val="en-gb" w:eastAsia="en-gb" w:bidi="en-gb"/>
      </w:rPr>
    </w:lvl>
    <w:lvl w:ilvl="3">
      <w:start w:val="0"/>
      <w:numFmt w:val="bullet"/>
      <w:lvlText w:val="•"/>
      <w:lvlJc w:val="left"/>
      <w:pPr>
        <w:ind w:left="3681" w:hanging="681"/>
      </w:pPr>
      <w:rPr>
        <w:rFonts w:hint="default"/>
        <w:lang w:val="en-gb" w:eastAsia="en-gb" w:bidi="en-gb"/>
      </w:rPr>
    </w:lvl>
    <w:lvl w:ilvl="4">
      <w:start w:val="0"/>
      <w:numFmt w:val="bullet"/>
      <w:lvlText w:val="•"/>
      <w:lvlJc w:val="left"/>
      <w:pPr>
        <w:ind w:left="4741" w:hanging="681"/>
      </w:pPr>
      <w:rPr>
        <w:rFonts w:hint="default"/>
        <w:lang w:val="en-gb" w:eastAsia="en-gb" w:bidi="en-gb"/>
      </w:rPr>
    </w:lvl>
    <w:lvl w:ilvl="5">
      <w:start w:val="0"/>
      <w:numFmt w:val="bullet"/>
      <w:lvlText w:val="•"/>
      <w:lvlJc w:val="left"/>
      <w:pPr>
        <w:ind w:left="5802" w:hanging="681"/>
      </w:pPr>
      <w:rPr>
        <w:rFonts w:hint="default"/>
        <w:lang w:val="en-gb" w:eastAsia="en-gb" w:bidi="en-gb"/>
      </w:rPr>
    </w:lvl>
    <w:lvl w:ilvl="6">
      <w:start w:val="0"/>
      <w:numFmt w:val="bullet"/>
      <w:lvlText w:val="•"/>
      <w:lvlJc w:val="left"/>
      <w:pPr>
        <w:ind w:left="6863" w:hanging="681"/>
      </w:pPr>
      <w:rPr>
        <w:rFonts w:hint="default"/>
        <w:lang w:val="en-gb" w:eastAsia="en-gb" w:bidi="en-gb"/>
      </w:rPr>
    </w:lvl>
    <w:lvl w:ilvl="7">
      <w:start w:val="0"/>
      <w:numFmt w:val="bullet"/>
      <w:lvlText w:val="•"/>
      <w:lvlJc w:val="left"/>
      <w:pPr>
        <w:ind w:left="7923" w:hanging="681"/>
      </w:pPr>
      <w:rPr>
        <w:rFonts w:hint="default"/>
        <w:lang w:val="en-gb" w:eastAsia="en-gb" w:bidi="en-gb"/>
      </w:rPr>
    </w:lvl>
    <w:lvl w:ilvl="8">
      <w:start w:val="0"/>
      <w:numFmt w:val="bullet"/>
      <w:lvlText w:val="•"/>
      <w:lvlJc w:val="left"/>
      <w:pPr>
        <w:ind w:left="8984" w:hanging="681"/>
      </w:pPr>
      <w:rPr>
        <w:rFonts w:hint="default"/>
        <w:lang w:val="en-gb" w:eastAsia="en-gb" w:bidi="en-gb"/>
      </w:rPr>
    </w:lvl>
  </w:abstractNum>
  <w:abstractNum w:abstractNumId="90">
    <w:multiLevelType w:val="hybridMultilevel"/>
    <w:lvl w:ilvl="0">
      <w:start w:val="1"/>
      <w:numFmt w:val="decimal"/>
      <w:lvlText w:val="%1."/>
      <w:lvlJc w:val="left"/>
      <w:pPr>
        <w:ind w:left="827" w:hanging="681"/>
        <w:jc w:val="right"/>
      </w:pPr>
      <w:rPr>
        <w:rFonts w:hint="default" w:ascii="Calibri" w:hAnsi="Calibri" w:eastAsia="Calibri" w:cs="Calibri"/>
        <w:spacing w:val="-13"/>
        <w:w w:val="125"/>
        <w:sz w:val="20"/>
        <w:szCs w:val="20"/>
        <w:lang w:val="en-gb" w:eastAsia="en-gb" w:bidi="en-gb"/>
      </w:rPr>
    </w:lvl>
    <w:lvl w:ilvl="1">
      <w:start w:val="0"/>
      <w:numFmt w:val="bullet"/>
      <w:lvlText w:val="•"/>
      <w:lvlJc w:val="left"/>
      <w:pPr>
        <w:ind w:left="1848" w:hanging="681"/>
      </w:pPr>
      <w:rPr>
        <w:rFonts w:hint="default"/>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89">
    <w:multiLevelType w:val="hybridMultilevel"/>
    <w:lvl w:ilvl="0">
      <w:start w:val="0"/>
      <w:numFmt w:val="bullet"/>
      <w:lvlText w:val=""/>
      <w:lvlJc w:val="left"/>
      <w:pPr>
        <w:ind w:left="2244" w:hanging="681"/>
      </w:pPr>
      <w:rPr>
        <w:rFonts w:hint="default" w:ascii="Symbol" w:hAnsi="Symbol" w:eastAsia="Symbol" w:cs="Symbol"/>
        <w:w w:val="110"/>
        <w:sz w:val="20"/>
        <w:szCs w:val="20"/>
        <w:lang w:val="en-gb" w:eastAsia="en-gb" w:bidi="en-gb"/>
      </w:rPr>
    </w:lvl>
    <w:lvl w:ilvl="1">
      <w:start w:val="0"/>
      <w:numFmt w:val="bullet"/>
      <w:lvlText w:val="•"/>
      <w:lvlJc w:val="left"/>
      <w:pPr>
        <w:ind w:left="3126" w:hanging="681"/>
      </w:pPr>
      <w:rPr>
        <w:rFonts w:hint="default"/>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88">
    <w:multiLevelType w:val="hybridMultilevel"/>
    <w:lvl w:ilvl="0">
      <w:start w:val="6"/>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1"/>
      <w:numFmt w:val="decimal"/>
      <w:lvlText w:val="%3."/>
      <w:lvlJc w:val="left"/>
      <w:pPr>
        <w:ind w:left="1564" w:hanging="681"/>
        <w:jc w:val="left"/>
      </w:pPr>
      <w:rPr>
        <w:rFonts w:hint="default" w:ascii="Calibri" w:hAnsi="Calibri" w:eastAsia="Calibri" w:cs="Calibri"/>
        <w:spacing w:val="-13"/>
        <w:w w:val="125"/>
        <w:sz w:val="20"/>
        <w:szCs w:val="20"/>
        <w:lang w:val="en-gb" w:eastAsia="en-gb" w:bidi="en-gb"/>
      </w:rPr>
    </w:lvl>
    <w:lvl w:ilvl="3">
      <w:start w:val="0"/>
      <w:numFmt w:val="bullet"/>
      <w:lvlText w:val="•"/>
      <w:lvlJc w:val="left"/>
      <w:pPr>
        <w:ind w:left="3681" w:hanging="681"/>
      </w:pPr>
      <w:rPr>
        <w:rFonts w:hint="default"/>
        <w:lang w:val="en-gb" w:eastAsia="en-gb" w:bidi="en-gb"/>
      </w:rPr>
    </w:lvl>
    <w:lvl w:ilvl="4">
      <w:start w:val="0"/>
      <w:numFmt w:val="bullet"/>
      <w:lvlText w:val="•"/>
      <w:lvlJc w:val="left"/>
      <w:pPr>
        <w:ind w:left="4741" w:hanging="681"/>
      </w:pPr>
      <w:rPr>
        <w:rFonts w:hint="default"/>
        <w:lang w:val="en-gb" w:eastAsia="en-gb" w:bidi="en-gb"/>
      </w:rPr>
    </w:lvl>
    <w:lvl w:ilvl="5">
      <w:start w:val="0"/>
      <w:numFmt w:val="bullet"/>
      <w:lvlText w:val="•"/>
      <w:lvlJc w:val="left"/>
      <w:pPr>
        <w:ind w:left="5802" w:hanging="681"/>
      </w:pPr>
      <w:rPr>
        <w:rFonts w:hint="default"/>
        <w:lang w:val="en-gb" w:eastAsia="en-gb" w:bidi="en-gb"/>
      </w:rPr>
    </w:lvl>
    <w:lvl w:ilvl="6">
      <w:start w:val="0"/>
      <w:numFmt w:val="bullet"/>
      <w:lvlText w:val="•"/>
      <w:lvlJc w:val="left"/>
      <w:pPr>
        <w:ind w:left="6863" w:hanging="681"/>
      </w:pPr>
      <w:rPr>
        <w:rFonts w:hint="default"/>
        <w:lang w:val="en-gb" w:eastAsia="en-gb" w:bidi="en-gb"/>
      </w:rPr>
    </w:lvl>
    <w:lvl w:ilvl="7">
      <w:start w:val="0"/>
      <w:numFmt w:val="bullet"/>
      <w:lvlText w:val="•"/>
      <w:lvlJc w:val="left"/>
      <w:pPr>
        <w:ind w:left="7923" w:hanging="681"/>
      </w:pPr>
      <w:rPr>
        <w:rFonts w:hint="default"/>
        <w:lang w:val="en-gb" w:eastAsia="en-gb" w:bidi="en-gb"/>
      </w:rPr>
    </w:lvl>
    <w:lvl w:ilvl="8">
      <w:start w:val="0"/>
      <w:numFmt w:val="bullet"/>
      <w:lvlText w:val="•"/>
      <w:lvlJc w:val="left"/>
      <w:pPr>
        <w:ind w:left="8984" w:hanging="681"/>
      </w:pPr>
      <w:rPr>
        <w:rFonts w:hint="default"/>
        <w:lang w:val="en-gb" w:eastAsia="en-gb" w:bidi="en-gb"/>
      </w:rPr>
    </w:lvl>
  </w:abstractNum>
  <w:abstractNum w:abstractNumId="87">
    <w:multiLevelType w:val="hybridMultilevel"/>
    <w:lvl w:ilvl="0">
      <w:start w:val="4"/>
      <w:numFmt w:val="decimal"/>
      <w:lvlText w:val="%1"/>
      <w:lvlJc w:val="left"/>
      <w:pPr>
        <w:ind w:left="1507" w:hanging="681"/>
        <w:jc w:val="left"/>
      </w:pPr>
      <w:rPr>
        <w:rFonts w:hint="default"/>
        <w:lang w:val="en-gb" w:eastAsia="en-gb" w:bidi="en-gb"/>
      </w:rPr>
    </w:lvl>
    <w:lvl w:ilvl="1">
      <w:start w:val="1"/>
      <w:numFmt w:val="decimal"/>
      <w:lvlText w:val="%1.%2"/>
      <w:lvlJc w:val="left"/>
      <w:pPr>
        <w:ind w:left="150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21" w:hanging="681"/>
      </w:pPr>
      <w:rPr>
        <w:rFonts w:hint="default"/>
        <w:lang w:val="en-gb" w:eastAsia="en-gb" w:bidi="en-gb"/>
      </w:rPr>
    </w:lvl>
    <w:lvl w:ilvl="3">
      <w:start w:val="0"/>
      <w:numFmt w:val="bullet"/>
      <w:lvlText w:val="•"/>
      <w:lvlJc w:val="left"/>
      <w:pPr>
        <w:ind w:left="4381" w:hanging="681"/>
      </w:pPr>
      <w:rPr>
        <w:rFonts w:hint="default"/>
        <w:lang w:val="en-gb" w:eastAsia="en-gb" w:bidi="en-gb"/>
      </w:rPr>
    </w:lvl>
    <w:lvl w:ilvl="4">
      <w:start w:val="0"/>
      <w:numFmt w:val="bullet"/>
      <w:lvlText w:val="•"/>
      <w:lvlJc w:val="left"/>
      <w:pPr>
        <w:ind w:left="5342" w:hanging="681"/>
      </w:pPr>
      <w:rPr>
        <w:rFonts w:hint="default"/>
        <w:lang w:val="en-gb" w:eastAsia="en-gb" w:bidi="en-gb"/>
      </w:rPr>
    </w:lvl>
    <w:lvl w:ilvl="5">
      <w:start w:val="0"/>
      <w:numFmt w:val="bullet"/>
      <w:lvlText w:val="•"/>
      <w:lvlJc w:val="left"/>
      <w:pPr>
        <w:ind w:left="6302" w:hanging="681"/>
      </w:pPr>
      <w:rPr>
        <w:rFonts w:hint="default"/>
        <w:lang w:val="en-gb" w:eastAsia="en-gb" w:bidi="en-gb"/>
      </w:rPr>
    </w:lvl>
    <w:lvl w:ilvl="6">
      <w:start w:val="0"/>
      <w:numFmt w:val="bullet"/>
      <w:lvlText w:val="•"/>
      <w:lvlJc w:val="left"/>
      <w:pPr>
        <w:ind w:left="7263" w:hanging="681"/>
      </w:pPr>
      <w:rPr>
        <w:rFonts w:hint="default"/>
        <w:lang w:val="en-gb" w:eastAsia="en-gb" w:bidi="en-gb"/>
      </w:rPr>
    </w:lvl>
    <w:lvl w:ilvl="7">
      <w:start w:val="0"/>
      <w:numFmt w:val="bullet"/>
      <w:lvlText w:val="•"/>
      <w:lvlJc w:val="left"/>
      <w:pPr>
        <w:ind w:left="8223" w:hanging="681"/>
      </w:pPr>
      <w:rPr>
        <w:rFonts w:hint="default"/>
        <w:lang w:val="en-gb" w:eastAsia="en-gb" w:bidi="en-gb"/>
      </w:rPr>
    </w:lvl>
    <w:lvl w:ilvl="8">
      <w:start w:val="0"/>
      <w:numFmt w:val="bullet"/>
      <w:lvlText w:val="•"/>
      <w:lvlJc w:val="left"/>
      <w:pPr>
        <w:ind w:left="9184" w:hanging="681"/>
      </w:pPr>
      <w:rPr>
        <w:rFonts w:hint="default"/>
        <w:lang w:val="en-gb" w:eastAsia="en-gb" w:bidi="en-gb"/>
      </w:rPr>
    </w:lvl>
  </w:abstractNum>
  <w:abstractNum w:abstractNumId="86">
    <w:multiLevelType w:val="hybridMultilevel"/>
    <w:lvl w:ilvl="0">
      <w:start w:val="1"/>
      <w:numFmt w:val="lowerLetter"/>
      <w:lvlText w:val="%1)"/>
      <w:lvlJc w:val="left"/>
      <w:pPr>
        <w:ind w:left="150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460" w:hanging="681"/>
      </w:pPr>
      <w:rPr>
        <w:rFonts w:hint="default"/>
        <w:lang w:val="en-gb" w:eastAsia="en-gb" w:bidi="en-gb"/>
      </w:rPr>
    </w:lvl>
    <w:lvl w:ilvl="2">
      <w:start w:val="0"/>
      <w:numFmt w:val="bullet"/>
      <w:lvlText w:val="•"/>
      <w:lvlJc w:val="left"/>
      <w:pPr>
        <w:ind w:left="3421" w:hanging="681"/>
      </w:pPr>
      <w:rPr>
        <w:rFonts w:hint="default"/>
        <w:lang w:val="en-gb" w:eastAsia="en-gb" w:bidi="en-gb"/>
      </w:rPr>
    </w:lvl>
    <w:lvl w:ilvl="3">
      <w:start w:val="0"/>
      <w:numFmt w:val="bullet"/>
      <w:lvlText w:val="•"/>
      <w:lvlJc w:val="left"/>
      <w:pPr>
        <w:ind w:left="4381" w:hanging="681"/>
      </w:pPr>
      <w:rPr>
        <w:rFonts w:hint="default"/>
        <w:lang w:val="en-gb" w:eastAsia="en-gb" w:bidi="en-gb"/>
      </w:rPr>
    </w:lvl>
    <w:lvl w:ilvl="4">
      <w:start w:val="0"/>
      <w:numFmt w:val="bullet"/>
      <w:lvlText w:val="•"/>
      <w:lvlJc w:val="left"/>
      <w:pPr>
        <w:ind w:left="5342" w:hanging="681"/>
      </w:pPr>
      <w:rPr>
        <w:rFonts w:hint="default"/>
        <w:lang w:val="en-gb" w:eastAsia="en-gb" w:bidi="en-gb"/>
      </w:rPr>
    </w:lvl>
    <w:lvl w:ilvl="5">
      <w:start w:val="0"/>
      <w:numFmt w:val="bullet"/>
      <w:lvlText w:val="•"/>
      <w:lvlJc w:val="left"/>
      <w:pPr>
        <w:ind w:left="6302" w:hanging="681"/>
      </w:pPr>
      <w:rPr>
        <w:rFonts w:hint="default"/>
        <w:lang w:val="en-gb" w:eastAsia="en-gb" w:bidi="en-gb"/>
      </w:rPr>
    </w:lvl>
    <w:lvl w:ilvl="6">
      <w:start w:val="0"/>
      <w:numFmt w:val="bullet"/>
      <w:lvlText w:val="•"/>
      <w:lvlJc w:val="left"/>
      <w:pPr>
        <w:ind w:left="7263" w:hanging="681"/>
      </w:pPr>
      <w:rPr>
        <w:rFonts w:hint="default"/>
        <w:lang w:val="en-gb" w:eastAsia="en-gb" w:bidi="en-gb"/>
      </w:rPr>
    </w:lvl>
    <w:lvl w:ilvl="7">
      <w:start w:val="0"/>
      <w:numFmt w:val="bullet"/>
      <w:lvlText w:val="•"/>
      <w:lvlJc w:val="left"/>
      <w:pPr>
        <w:ind w:left="8223" w:hanging="681"/>
      </w:pPr>
      <w:rPr>
        <w:rFonts w:hint="default"/>
        <w:lang w:val="en-gb" w:eastAsia="en-gb" w:bidi="en-gb"/>
      </w:rPr>
    </w:lvl>
    <w:lvl w:ilvl="8">
      <w:start w:val="0"/>
      <w:numFmt w:val="bullet"/>
      <w:lvlText w:val="•"/>
      <w:lvlJc w:val="left"/>
      <w:pPr>
        <w:ind w:left="9184" w:hanging="681"/>
      </w:pPr>
      <w:rPr>
        <w:rFonts w:hint="default"/>
        <w:lang w:val="en-gb" w:eastAsia="en-gb" w:bidi="en-gb"/>
      </w:rPr>
    </w:lvl>
  </w:abstractNum>
  <w:abstractNum w:abstractNumId="85">
    <w:multiLevelType w:val="hybridMultilevel"/>
    <w:lvl w:ilvl="0">
      <w:start w:val="3"/>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84">
    <w:multiLevelType w:val="hybridMultilevel"/>
    <w:lvl w:ilvl="0">
      <w:start w:val="2"/>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83">
    <w:multiLevelType w:val="hybridMultilevel"/>
    <w:lvl w:ilvl="0">
      <w:start w:val="1"/>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82">
    <w:multiLevelType w:val="hybridMultilevel"/>
    <w:lvl w:ilvl="0">
      <w:start w:val="3"/>
      <w:numFmt w:val="decimal"/>
      <w:lvlText w:val="%1."/>
      <w:lvlJc w:val="left"/>
      <w:pPr>
        <w:ind w:left="1564" w:hanging="681"/>
        <w:jc w:val="right"/>
      </w:pPr>
      <w:rPr>
        <w:rFonts w:hint="default" w:ascii="Calibri" w:hAnsi="Calibri" w:eastAsia="Calibri" w:cs="Calibri"/>
        <w:spacing w:val="-4"/>
        <w:w w:val="125"/>
        <w:sz w:val="20"/>
        <w:szCs w:val="20"/>
        <w:lang w:val="en-gb" w:eastAsia="en-gb" w:bidi="en-gb"/>
      </w:rPr>
    </w:lvl>
    <w:lvl w:ilvl="1">
      <w:start w:val="0"/>
      <w:numFmt w:val="bullet"/>
      <w:lvlText w:val="•"/>
      <w:lvlJc w:val="left"/>
      <w:pPr>
        <w:ind w:left="2514" w:hanging="681"/>
      </w:pPr>
      <w:rPr>
        <w:rFonts w:hint="default"/>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81">
    <w:multiLevelType w:val="hybridMultilevel"/>
    <w:lvl w:ilvl="0">
      <w:start w:val="2"/>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79">
    <w:multiLevelType w:val="hybridMultilevel"/>
    <w:lvl w:ilvl="0">
      <w:start w:val="1"/>
      <w:numFmt w:val="decimal"/>
      <w:lvlText w:val="%1."/>
      <w:lvlJc w:val="left"/>
      <w:pPr>
        <w:ind w:left="827" w:hanging="681"/>
        <w:jc w:val="right"/>
      </w:pPr>
      <w:rPr>
        <w:rFonts w:hint="default" w:ascii="Calibri" w:hAnsi="Calibri" w:eastAsia="Calibri" w:cs="Calibri"/>
        <w:spacing w:val="-13"/>
        <w:w w:val="125"/>
        <w:sz w:val="20"/>
        <w:szCs w:val="20"/>
        <w:lang w:val="en-gb" w:eastAsia="en-gb" w:bidi="en-gb"/>
      </w:rPr>
    </w:lvl>
    <w:lvl w:ilvl="1">
      <w:start w:val="0"/>
      <w:numFmt w:val="bullet"/>
      <w:lvlText w:val="•"/>
      <w:lvlJc w:val="left"/>
      <w:pPr>
        <w:ind w:left="1848" w:hanging="681"/>
      </w:pPr>
      <w:rPr>
        <w:rFonts w:hint="default"/>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78">
    <w:multiLevelType w:val="hybridMultilevel"/>
    <w:lvl w:ilvl="0">
      <w:start w:val="0"/>
      <w:numFmt w:val="bullet"/>
      <w:lvlText w:val=""/>
      <w:lvlJc w:val="left"/>
      <w:pPr>
        <w:ind w:left="760" w:hanging="681"/>
      </w:pPr>
      <w:rPr>
        <w:rFonts w:hint="default" w:ascii="Symbol" w:hAnsi="Symbol" w:eastAsia="Symbol" w:cs="Symbol"/>
        <w:w w:val="110"/>
        <w:sz w:val="20"/>
        <w:szCs w:val="20"/>
        <w:lang w:val="en-gb" w:eastAsia="en-gb" w:bidi="en-gb"/>
      </w:rPr>
    </w:lvl>
    <w:lvl w:ilvl="1">
      <w:start w:val="0"/>
      <w:numFmt w:val="bullet"/>
      <w:lvlText w:val="•"/>
      <w:lvlJc w:val="left"/>
      <w:pPr>
        <w:ind w:left="1341" w:hanging="681"/>
      </w:pPr>
      <w:rPr>
        <w:rFonts w:hint="default"/>
        <w:lang w:val="en-gb" w:eastAsia="en-gb" w:bidi="en-gb"/>
      </w:rPr>
    </w:lvl>
    <w:lvl w:ilvl="2">
      <w:start w:val="0"/>
      <w:numFmt w:val="bullet"/>
      <w:lvlText w:val="•"/>
      <w:lvlJc w:val="left"/>
      <w:pPr>
        <w:ind w:left="1922" w:hanging="681"/>
      </w:pPr>
      <w:rPr>
        <w:rFonts w:hint="default"/>
        <w:lang w:val="en-gb" w:eastAsia="en-gb" w:bidi="en-gb"/>
      </w:rPr>
    </w:lvl>
    <w:lvl w:ilvl="3">
      <w:start w:val="0"/>
      <w:numFmt w:val="bullet"/>
      <w:lvlText w:val="•"/>
      <w:lvlJc w:val="left"/>
      <w:pPr>
        <w:ind w:left="2503" w:hanging="681"/>
      </w:pPr>
      <w:rPr>
        <w:rFonts w:hint="default"/>
        <w:lang w:val="en-gb" w:eastAsia="en-gb" w:bidi="en-gb"/>
      </w:rPr>
    </w:lvl>
    <w:lvl w:ilvl="4">
      <w:start w:val="0"/>
      <w:numFmt w:val="bullet"/>
      <w:lvlText w:val="•"/>
      <w:lvlJc w:val="left"/>
      <w:pPr>
        <w:ind w:left="3084" w:hanging="681"/>
      </w:pPr>
      <w:rPr>
        <w:rFonts w:hint="default"/>
        <w:lang w:val="en-gb" w:eastAsia="en-gb" w:bidi="en-gb"/>
      </w:rPr>
    </w:lvl>
    <w:lvl w:ilvl="5">
      <w:start w:val="0"/>
      <w:numFmt w:val="bullet"/>
      <w:lvlText w:val="•"/>
      <w:lvlJc w:val="left"/>
      <w:pPr>
        <w:ind w:left="3666" w:hanging="681"/>
      </w:pPr>
      <w:rPr>
        <w:rFonts w:hint="default"/>
        <w:lang w:val="en-gb" w:eastAsia="en-gb" w:bidi="en-gb"/>
      </w:rPr>
    </w:lvl>
    <w:lvl w:ilvl="6">
      <w:start w:val="0"/>
      <w:numFmt w:val="bullet"/>
      <w:lvlText w:val="•"/>
      <w:lvlJc w:val="left"/>
      <w:pPr>
        <w:ind w:left="4247" w:hanging="681"/>
      </w:pPr>
      <w:rPr>
        <w:rFonts w:hint="default"/>
        <w:lang w:val="en-gb" w:eastAsia="en-gb" w:bidi="en-gb"/>
      </w:rPr>
    </w:lvl>
    <w:lvl w:ilvl="7">
      <w:start w:val="0"/>
      <w:numFmt w:val="bullet"/>
      <w:lvlText w:val="•"/>
      <w:lvlJc w:val="left"/>
      <w:pPr>
        <w:ind w:left="4828" w:hanging="681"/>
      </w:pPr>
      <w:rPr>
        <w:rFonts w:hint="default"/>
        <w:lang w:val="en-gb" w:eastAsia="en-gb" w:bidi="en-gb"/>
      </w:rPr>
    </w:lvl>
    <w:lvl w:ilvl="8">
      <w:start w:val="0"/>
      <w:numFmt w:val="bullet"/>
      <w:lvlText w:val="•"/>
      <w:lvlJc w:val="left"/>
      <w:pPr>
        <w:ind w:left="5409" w:hanging="681"/>
      </w:pPr>
      <w:rPr>
        <w:rFonts w:hint="default"/>
        <w:lang w:val="en-gb" w:eastAsia="en-gb" w:bidi="en-gb"/>
      </w:rPr>
    </w:lvl>
  </w:abstractNum>
  <w:abstractNum w:abstractNumId="77">
    <w:multiLevelType w:val="hybridMultilevel"/>
    <w:lvl w:ilvl="0">
      <w:start w:val="4"/>
      <w:numFmt w:val="decimal"/>
      <w:lvlText w:val="%1"/>
      <w:lvlJc w:val="left"/>
      <w:pPr>
        <w:ind w:left="827" w:hanging="681"/>
        <w:jc w:val="left"/>
      </w:pPr>
      <w:rPr>
        <w:rFonts w:hint="default"/>
        <w:lang w:val="en-gb" w:eastAsia="en-gb" w:bidi="en-gb"/>
      </w:rPr>
    </w:lvl>
    <w:lvl w:ilvl="1">
      <w:start w:val="4"/>
      <w:numFmt w:val="decimal"/>
      <w:lvlText w:val="%1.%2"/>
      <w:lvlJc w:val="left"/>
      <w:pPr>
        <w:ind w:left="827" w:hanging="681"/>
        <w:jc w:val="right"/>
      </w:pPr>
      <w:rPr>
        <w:rFonts w:hint="default" w:ascii="Calibri" w:hAnsi="Calibri" w:eastAsia="Calibri" w:cs="Calibri"/>
        <w:spacing w:val="-6"/>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76">
    <w:multiLevelType w:val="hybridMultilevel"/>
    <w:lvl w:ilvl="0">
      <w:start w:val="1"/>
      <w:numFmt w:val="decimal"/>
      <w:lvlText w:val="%1."/>
      <w:lvlJc w:val="left"/>
      <w:pPr>
        <w:ind w:left="1507"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827" w:hanging="681"/>
        <w:jc w:val="left"/>
      </w:pPr>
      <w:rPr>
        <w:rFonts w:hint="default" w:ascii="Calibri" w:hAnsi="Calibri" w:eastAsia="Calibri" w:cs="Calibri"/>
        <w:spacing w:val="-20"/>
        <w:w w:val="125"/>
        <w:sz w:val="20"/>
        <w:szCs w:val="20"/>
        <w:lang w:val="en-gb" w:eastAsia="en-gb" w:bidi="en-gb"/>
      </w:rPr>
    </w:lvl>
    <w:lvl w:ilvl="2">
      <w:start w:val="1"/>
      <w:numFmt w:val="decimal"/>
      <w:lvlText w:val="%1.%2.%3"/>
      <w:lvlJc w:val="left"/>
      <w:pPr>
        <w:ind w:left="1507" w:hanging="681"/>
        <w:jc w:val="right"/>
      </w:pPr>
      <w:rPr>
        <w:rFonts w:hint="default" w:ascii="Calibri" w:hAnsi="Calibri" w:eastAsia="Calibri" w:cs="Calibri"/>
        <w:spacing w:val="-18"/>
        <w:w w:val="125"/>
        <w:sz w:val="20"/>
        <w:szCs w:val="20"/>
        <w:lang w:val="en-gb" w:eastAsia="en-gb" w:bidi="en-gb"/>
      </w:rPr>
    </w:lvl>
    <w:lvl w:ilvl="3">
      <w:start w:val="0"/>
      <w:numFmt w:val="bullet"/>
      <w:lvlText w:val="•"/>
      <w:lvlJc w:val="left"/>
      <w:pPr>
        <w:ind w:left="2753" w:hanging="681"/>
      </w:pPr>
      <w:rPr>
        <w:rFonts w:hint="default"/>
        <w:lang w:val="en-gb" w:eastAsia="en-gb" w:bidi="en-gb"/>
      </w:rPr>
    </w:lvl>
    <w:lvl w:ilvl="4">
      <w:start w:val="0"/>
      <w:numFmt w:val="bullet"/>
      <w:lvlText w:val="•"/>
      <w:lvlJc w:val="left"/>
      <w:pPr>
        <w:ind w:left="3946" w:hanging="681"/>
      </w:pPr>
      <w:rPr>
        <w:rFonts w:hint="default"/>
        <w:lang w:val="en-gb" w:eastAsia="en-gb" w:bidi="en-gb"/>
      </w:rPr>
    </w:lvl>
    <w:lvl w:ilvl="5">
      <w:start w:val="0"/>
      <w:numFmt w:val="bullet"/>
      <w:lvlText w:val="•"/>
      <w:lvlJc w:val="left"/>
      <w:pPr>
        <w:ind w:left="5139" w:hanging="681"/>
      </w:pPr>
      <w:rPr>
        <w:rFonts w:hint="default"/>
        <w:lang w:val="en-gb" w:eastAsia="en-gb" w:bidi="en-gb"/>
      </w:rPr>
    </w:lvl>
    <w:lvl w:ilvl="6">
      <w:start w:val="0"/>
      <w:numFmt w:val="bullet"/>
      <w:lvlText w:val="•"/>
      <w:lvlJc w:val="left"/>
      <w:pPr>
        <w:ind w:left="6332" w:hanging="681"/>
      </w:pPr>
      <w:rPr>
        <w:rFonts w:hint="default"/>
        <w:lang w:val="en-gb" w:eastAsia="en-gb" w:bidi="en-gb"/>
      </w:rPr>
    </w:lvl>
    <w:lvl w:ilvl="7">
      <w:start w:val="0"/>
      <w:numFmt w:val="bullet"/>
      <w:lvlText w:val="•"/>
      <w:lvlJc w:val="left"/>
      <w:pPr>
        <w:ind w:left="7525" w:hanging="681"/>
      </w:pPr>
      <w:rPr>
        <w:rFonts w:hint="default"/>
        <w:lang w:val="en-gb" w:eastAsia="en-gb" w:bidi="en-gb"/>
      </w:rPr>
    </w:lvl>
    <w:lvl w:ilvl="8">
      <w:start w:val="0"/>
      <w:numFmt w:val="bullet"/>
      <w:lvlText w:val="•"/>
      <w:lvlJc w:val="left"/>
      <w:pPr>
        <w:ind w:left="8719" w:hanging="681"/>
      </w:pPr>
      <w:rPr>
        <w:rFonts w:hint="default"/>
        <w:lang w:val="en-gb" w:eastAsia="en-gb" w:bidi="en-gb"/>
      </w:rPr>
    </w:lvl>
  </w:abstractNum>
  <w:abstractNum w:abstractNumId="75">
    <w:multiLevelType w:val="hybridMultilevel"/>
    <w:lvl w:ilvl="0">
      <w:start w:val="1"/>
      <w:numFmt w:val="decimal"/>
      <w:lvlText w:val="%1."/>
      <w:lvlJc w:val="left"/>
      <w:pPr>
        <w:ind w:left="760"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1336" w:hanging="681"/>
      </w:pPr>
      <w:rPr>
        <w:rFonts w:hint="default"/>
        <w:lang w:val="en-gb" w:eastAsia="en-gb" w:bidi="en-gb"/>
      </w:rPr>
    </w:lvl>
    <w:lvl w:ilvl="2">
      <w:start w:val="0"/>
      <w:numFmt w:val="bullet"/>
      <w:lvlText w:val="•"/>
      <w:lvlJc w:val="left"/>
      <w:pPr>
        <w:ind w:left="1912" w:hanging="681"/>
      </w:pPr>
      <w:rPr>
        <w:rFonts w:hint="default"/>
        <w:lang w:val="en-gb" w:eastAsia="en-gb" w:bidi="en-gb"/>
      </w:rPr>
    </w:lvl>
    <w:lvl w:ilvl="3">
      <w:start w:val="0"/>
      <w:numFmt w:val="bullet"/>
      <w:lvlText w:val="•"/>
      <w:lvlJc w:val="left"/>
      <w:pPr>
        <w:ind w:left="2488" w:hanging="681"/>
      </w:pPr>
      <w:rPr>
        <w:rFonts w:hint="default"/>
        <w:lang w:val="en-gb" w:eastAsia="en-gb" w:bidi="en-gb"/>
      </w:rPr>
    </w:lvl>
    <w:lvl w:ilvl="4">
      <w:start w:val="0"/>
      <w:numFmt w:val="bullet"/>
      <w:lvlText w:val="•"/>
      <w:lvlJc w:val="left"/>
      <w:pPr>
        <w:ind w:left="3065" w:hanging="681"/>
      </w:pPr>
      <w:rPr>
        <w:rFonts w:hint="default"/>
        <w:lang w:val="en-gb" w:eastAsia="en-gb" w:bidi="en-gb"/>
      </w:rPr>
    </w:lvl>
    <w:lvl w:ilvl="5">
      <w:start w:val="0"/>
      <w:numFmt w:val="bullet"/>
      <w:lvlText w:val="•"/>
      <w:lvlJc w:val="left"/>
      <w:pPr>
        <w:ind w:left="3641" w:hanging="681"/>
      </w:pPr>
      <w:rPr>
        <w:rFonts w:hint="default"/>
        <w:lang w:val="en-gb" w:eastAsia="en-gb" w:bidi="en-gb"/>
      </w:rPr>
    </w:lvl>
    <w:lvl w:ilvl="6">
      <w:start w:val="0"/>
      <w:numFmt w:val="bullet"/>
      <w:lvlText w:val="•"/>
      <w:lvlJc w:val="left"/>
      <w:pPr>
        <w:ind w:left="4217" w:hanging="681"/>
      </w:pPr>
      <w:rPr>
        <w:rFonts w:hint="default"/>
        <w:lang w:val="en-gb" w:eastAsia="en-gb" w:bidi="en-gb"/>
      </w:rPr>
    </w:lvl>
    <w:lvl w:ilvl="7">
      <w:start w:val="0"/>
      <w:numFmt w:val="bullet"/>
      <w:lvlText w:val="•"/>
      <w:lvlJc w:val="left"/>
      <w:pPr>
        <w:ind w:left="4794" w:hanging="681"/>
      </w:pPr>
      <w:rPr>
        <w:rFonts w:hint="default"/>
        <w:lang w:val="en-gb" w:eastAsia="en-gb" w:bidi="en-gb"/>
      </w:rPr>
    </w:lvl>
    <w:lvl w:ilvl="8">
      <w:start w:val="0"/>
      <w:numFmt w:val="bullet"/>
      <w:lvlText w:val="•"/>
      <w:lvlJc w:val="left"/>
      <w:pPr>
        <w:ind w:left="5370" w:hanging="681"/>
      </w:pPr>
      <w:rPr>
        <w:rFonts w:hint="default"/>
        <w:lang w:val="en-gb" w:eastAsia="en-gb" w:bidi="en-gb"/>
      </w:rPr>
    </w:lvl>
  </w:abstractNum>
  <w:abstractNum w:abstractNumId="74">
    <w:multiLevelType w:val="hybridMultilevel"/>
    <w:lvl w:ilvl="0">
      <w:start w:val="1"/>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73">
    <w:multiLevelType w:val="hybridMultilevel"/>
    <w:lvl w:ilvl="0">
      <w:start w:val="8"/>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right"/>
      </w:pPr>
      <w:rPr>
        <w:rFonts w:hint="default" w:ascii="Calibri" w:hAnsi="Calibri" w:eastAsia="Calibri" w:cs="Calibri"/>
        <w:spacing w:val="-18"/>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72">
    <w:multiLevelType w:val="hybridMultilevel"/>
    <w:lvl w:ilvl="0">
      <w:start w:val="3"/>
      <w:numFmt w:val="decimal"/>
      <w:lvlText w:val="%1."/>
      <w:lvlJc w:val="left"/>
      <w:pPr>
        <w:ind w:left="1564" w:hanging="681"/>
        <w:jc w:val="left"/>
      </w:pPr>
      <w:rPr>
        <w:rFonts w:hint="default" w:ascii="Calibri" w:hAnsi="Calibri" w:eastAsia="Calibri" w:cs="Calibri"/>
        <w:spacing w:val="-4"/>
        <w:w w:val="125"/>
        <w:sz w:val="20"/>
        <w:szCs w:val="20"/>
        <w:lang w:val="en-gb" w:eastAsia="en-gb" w:bidi="en-gb"/>
      </w:rPr>
    </w:lvl>
    <w:lvl w:ilvl="1">
      <w:start w:val="0"/>
      <w:numFmt w:val="bullet"/>
      <w:lvlText w:val="•"/>
      <w:lvlJc w:val="left"/>
      <w:pPr>
        <w:ind w:left="2514" w:hanging="681"/>
      </w:pPr>
      <w:rPr>
        <w:rFonts w:hint="default"/>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71">
    <w:multiLevelType w:val="hybridMultilevel"/>
    <w:lvl w:ilvl="0">
      <w:start w:val="2"/>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244" w:hanging="681"/>
      </w:pPr>
      <w:rPr>
        <w:rFonts w:hint="default" w:ascii="Symbol" w:hAnsi="Symbol" w:eastAsia="Symbol" w:cs="Symbol"/>
        <w:w w:val="110"/>
        <w:sz w:val="20"/>
        <w:szCs w:val="20"/>
        <w:lang w:val="en-gb" w:eastAsia="en-gb" w:bidi="en-gb"/>
      </w:rPr>
    </w:lvl>
    <w:lvl w:ilvl="3">
      <w:start w:val="0"/>
      <w:numFmt w:val="bullet"/>
      <w:lvlText w:val="•"/>
      <w:lvlJc w:val="left"/>
      <w:pPr>
        <w:ind w:left="4210" w:hanging="681"/>
      </w:pPr>
      <w:rPr>
        <w:rFonts w:hint="default"/>
        <w:lang w:val="en-gb" w:eastAsia="en-gb" w:bidi="en-gb"/>
      </w:rPr>
    </w:lvl>
    <w:lvl w:ilvl="4">
      <w:start w:val="0"/>
      <w:numFmt w:val="bullet"/>
      <w:lvlText w:val="•"/>
      <w:lvlJc w:val="left"/>
      <w:pPr>
        <w:ind w:left="5195" w:hanging="681"/>
      </w:pPr>
      <w:rPr>
        <w:rFonts w:hint="default"/>
        <w:lang w:val="en-gb" w:eastAsia="en-gb" w:bidi="en-gb"/>
      </w:rPr>
    </w:lvl>
    <w:lvl w:ilvl="5">
      <w:start w:val="0"/>
      <w:numFmt w:val="bullet"/>
      <w:lvlText w:val="•"/>
      <w:lvlJc w:val="left"/>
      <w:pPr>
        <w:ind w:left="6180" w:hanging="681"/>
      </w:pPr>
      <w:rPr>
        <w:rFonts w:hint="default"/>
        <w:lang w:val="en-gb" w:eastAsia="en-gb" w:bidi="en-gb"/>
      </w:rPr>
    </w:lvl>
    <w:lvl w:ilvl="6">
      <w:start w:val="0"/>
      <w:numFmt w:val="bullet"/>
      <w:lvlText w:val="•"/>
      <w:lvlJc w:val="left"/>
      <w:pPr>
        <w:ind w:left="7165" w:hanging="681"/>
      </w:pPr>
      <w:rPr>
        <w:rFonts w:hint="default"/>
        <w:lang w:val="en-gb" w:eastAsia="en-gb" w:bidi="en-gb"/>
      </w:rPr>
    </w:lvl>
    <w:lvl w:ilvl="7">
      <w:start w:val="0"/>
      <w:numFmt w:val="bullet"/>
      <w:lvlText w:val="•"/>
      <w:lvlJc w:val="left"/>
      <w:pPr>
        <w:ind w:left="8150" w:hanging="681"/>
      </w:pPr>
      <w:rPr>
        <w:rFonts w:hint="default"/>
        <w:lang w:val="en-gb" w:eastAsia="en-gb" w:bidi="en-gb"/>
      </w:rPr>
    </w:lvl>
    <w:lvl w:ilvl="8">
      <w:start w:val="0"/>
      <w:numFmt w:val="bullet"/>
      <w:lvlText w:val="•"/>
      <w:lvlJc w:val="left"/>
      <w:pPr>
        <w:ind w:left="9135" w:hanging="681"/>
      </w:pPr>
      <w:rPr>
        <w:rFonts w:hint="default"/>
        <w:lang w:val="en-gb" w:eastAsia="en-gb" w:bidi="en-gb"/>
      </w:rPr>
    </w:lvl>
  </w:abstractNum>
  <w:abstractNum w:abstractNumId="70">
    <w:multiLevelType w:val="hybridMultilevel"/>
    <w:lvl w:ilvl="0">
      <w:start w:val="1"/>
      <w:numFmt w:val="decimal"/>
      <w:lvlText w:val="%1"/>
      <w:lvlJc w:val="left"/>
      <w:pPr>
        <w:ind w:left="827" w:hanging="681"/>
        <w:jc w:val="left"/>
      </w:pPr>
      <w:rPr>
        <w:rFonts w:hint="default"/>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69">
    <w:multiLevelType w:val="hybridMultilevel"/>
    <w:lvl w:ilvl="0">
      <w:start w:val="23"/>
      <w:numFmt w:val="decimal"/>
      <w:lvlText w:val="%1."/>
      <w:lvlJc w:val="left"/>
      <w:pPr>
        <w:ind w:left="80" w:hanging="681"/>
        <w:jc w:val="left"/>
      </w:pPr>
      <w:rPr>
        <w:rFonts w:hint="default" w:ascii="Stone Sans II ITC Std Bk" w:hAnsi="Stone Sans II ITC Std Bk" w:eastAsia="Stone Sans II ITC Std Bk" w:cs="Stone Sans II ITC Std Bk"/>
        <w:b/>
        <w:bCs/>
        <w:w w:val="110"/>
        <w:sz w:val="20"/>
        <w:szCs w:val="20"/>
        <w:lang w:val="en-gb" w:eastAsia="en-gb" w:bidi="en-gb"/>
      </w:rPr>
    </w:lvl>
    <w:lvl w:ilvl="1">
      <w:start w:val="0"/>
      <w:numFmt w:val="bullet"/>
      <w:lvlText w:val="•"/>
      <w:lvlJc w:val="left"/>
      <w:pPr>
        <w:ind w:left="729" w:hanging="681"/>
      </w:pPr>
      <w:rPr>
        <w:rFonts w:hint="default"/>
        <w:lang w:val="en-gb" w:eastAsia="en-gb" w:bidi="en-gb"/>
      </w:rPr>
    </w:lvl>
    <w:lvl w:ilvl="2">
      <w:start w:val="0"/>
      <w:numFmt w:val="bullet"/>
      <w:lvlText w:val="•"/>
      <w:lvlJc w:val="left"/>
      <w:pPr>
        <w:ind w:left="1378" w:hanging="681"/>
      </w:pPr>
      <w:rPr>
        <w:rFonts w:hint="default"/>
        <w:lang w:val="en-gb" w:eastAsia="en-gb" w:bidi="en-gb"/>
      </w:rPr>
    </w:lvl>
    <w:lvl w:ilvl="3">
      <w:start w:val="0"/>
      <w:numFmt w:val="bullet"/>
      <w:lvlText w:val="•"/>
      <w:lvlJc w:val="left"/>
      <w:pPr>
        <w:ind w:left="2027" w:hanging="681"/>
      </w:pPr>
      <w:rPr>
        <w:rFonts w:hint="default"/>
        <w:lang w:val="en-gb" w:eastAsia="en-gb" w:bidi="en-gb"/>
      </w:rPr>
    </w:lvl>
    <w:lvl w:ilvl="4">
      <w:start w:val="0"/>
      <w:numFmt w:val="bullet"/>
      <w:lvlText w:val="•"/>
      <w:lvlJc w:val="left"/>
      <w:pPr>
        <w:ind w:left="2676" w:hanging="681"/>
      </w:pPr>
      <w:rPr>
        <w:rFonts w:hint="default"/>
        <w:lang w:val="en-gb" w:eastAsia="en-gb" w:bidi="en-gb"/>
      </w:rPr>
    </w:lvl>
    <w:lvl w:ilvl="5">
      <w:start w:val="0"/>
      <w:numFmt w:val="bullet"/>
      <w:lvlText w:val="•"/>
      <w:lvlJc w:val="left"/>
      <w:pPr>
        <w:ind w:left="3326" w:hanging="681"/>
      </w:pPr>
      <w:rPr>
        <w:rFonts w:hint="default"/>
        <w:lang w:val="en-gb" w:eastAsia="en-gb" w:bidi="en-gb"/>
      </w:rPr>
    </w:lvl>
    <w:lvl w:ilvl="6">
      <w:start w:val="0"/>
      <w:numFmt w:val="bullet"/>
      <w:lvlText w:val="•"/>
      <w:lvlJc w:val="left"/>
      <w:pPr>
        <w:ind w:left="3975" w:hanging="681"/>
      </w:pPr>
      <w:rPr>
        <w:rFonts w:hint="default"/>
        <w:lang w:val="en-gb" w:eastAsia="en-gb" w:bidi="en-gb"/>
      </w:rPr>
    </w:lvl>
    <w:lvl w:ilvl="7">
      <w:start w:val="0"/>
      <w:numFmt w:val="bullet"/>
      <w:lvlText w:val="•"/>
      <w:lvlJc w:val="left"/>
      <w:pPr>
        <w:ind w:left="4624" w:hanging="681"/>
      </w:pPr>
      <w:rPr>
        <w:rFonts w:hint="default"/>
        <w:lang w:val="en-gb" w:eastAsia="en-gb" w:bidi="en-gb"/>
      </w:rPr>
    </w:lvl>
    <w:lvl w:ilvl="8">
      <w:start w:val="0"/>
      <w:numFmt w:val="bullet"/>
      <w:lvlText w:val="•"/>
      <w:lvlJc w:val="left"/>
      <w:pPr>
        <w:ind w:left="5273" w:hanging="681"/>
      </w:pPr>
      <w:rPr>
        <w:rFonts w:hint="default"/>
        <w:lang w:val="en-gb" w:eastAsia="en-gb" w:bidi="en-gb"/>
      </w:rPr>
    </w:lvl>
  </w:abstractNum>
  <w:abstractNum w:abstractNumId="68">
    <w:multiLevelType w:val="hybridMultilevel"/>
    <w:lvl w:ilvl="0">
      <w:start w:val="2"/>
      <w:numFmt w:val="decimalZero"/>
      <w:lvlText w:val="%1"/>
      <w:lvlJc w:val="left"/>
      <w:pPr>
        <w:ind w:left="2244" w:hanging="681"/>
        <w:jc w:val="left"/>
      </w:pPr>
      <w:rPr>
        <w:rFonts w:hint="default" w:ascii="Stone Sans II ITC Std Bk" w:hAnsi="Stone Sans II ITC Std Bk" w:eastAsia="Stone Sans II ITC Std Bk" w:cs="Stone Sans II ITC Std Bk"/>
        <w:b/>
        <w:bCs/>
        <w:spacing w:val="-9"/>
        <w:w w:val="112"/>
        <w:sz w:val="25"/>
        <w:szCs w:val="25"/>
        <w:lang w:val="en-gb" w:eastAsia="en-gb" w:bidi="en-gb"/>
      </w:rPr>
    </w:lvl>
    <w:lvl w:ilvl="1">
      <w:start w:val="0"/>
      <w:numFmt w:val="bullet"/>
      <w:lvlText w:val="•"/>
      <w:lvlJc w:val="left"/>
      <w:pPr>
        <w:ind w:left="3126" w:hanging="681"/>
      </w:pPr>
      <w:rPr>
        <w:rFonts w:hint="default"/>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66">
    <w:multiLevelType w:val="hybridMultilevel"/>
    <w:lvl w:ilvl="0">
      <w:start w:val="4"/>
      <w:numFmt w:val="decimal"/>
      <w:lvlText w:val="%1"/>
      <w:lvlJc w:val="left"/>
      <w:pPr>
        <w:ind w:left="1564" w:hanging="681"/>
        <w:jc w:val="left"/>
      </w:pPr>
      <w:rPr>
        <w:rFonts w:hint="default"/>
        <w:lang w:val="en-gb" w:eastAsia="en-gb" w:bidi="en-gb"/>
      </w:rPr>
    </w:lvl>
    <w:lvl w:ilvl="1">
      <w:start w:val="3"/>
      <w:numFmt w:val="decimal"/>
      <w:lvlText w:val="%1.%2"/>
      <w:lvlJc w:val="left"/>
      <w:pPr>
        <w:ind w:left="1564" w:hanging="681"/>
        <w:jc w:val="left"/>
      </w:pPr>
      <w:rPr>
        <w:rFonts w:hint="default" w:ascii="Calibri" w:hAnsi="Calibri" w:eastAsia="Calibri" w:cs="Calibri"/>
        <w:spacing w:val="-4"/>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65">
    <w:multiLevelType w:val="hybridMultilevel"/>
    <w:lvl w:ilvl="0">
      <w:start w:val="1"/>
      <w:numFmt w:val="decimal"/>
      <w:lvlText w:val="%1."/>
      <w:lvlJc w:val="left"/>
      <w:pPr>
        <w:ind w:left="1507" w:hanging="681"/>
        <w:jc w:val="right"/>
      </w:pPr>
      <w:rPr>
        <w:rFonts w:hint="default" w:ascii="Stone Sans II ITC Std Bk" w:hAnsi="Stone Sans II ITC Std Bk" w:eastAsia="Stone Sans II ITC Std Bk" w:cs="Stone Sans II ITC Std Bk"/>
        <w:b/>
        <w:bCs/>
        <w:spacing w:val="-15"/>
        <w:w w:val="110"/>
        <w:sz w:val="29"/>
        <w:szCs w:val="29"/>
        <w:lang w:val="en-gb" w:eastAsia="en-gb" w:bidi="en-gb"/>
      </w:rPr>
    </w:lvl>
    <w:lvl w:ilvl="1">
      <w:start w:val="1"/>
      <w:numFmt w:val="decimal"/>
      <w:lvlText w:val="%1.%2"/>
      <w:lvlJc w:val="left"/>
      <w:pPr>
        <w:ind w:left="827"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1560" w:hanging="681"/>
      </w:pPr>
      <w:rPr>
        <w:rFonts w:hint="default"/>
        <w:lang w:val="en-gb" w:eastAsia="en-gb" w:bidi="en-gb"/>
      </w:rPr>
    </w:lvl>
    <w:lvl w:ilvl="3">
      <w:start w:val="0"/>
      <w:numFmt w:val="bullet"/>
      <w:lvlText w:val="•"/>
      <w:lvlJc w:val="left"/>
      <w:pPr>
        <w:ind w:left="2753" w:hanging="681"/>
      </w:pPr>
      <w:rPr>
        <w:rFonts w:hint="default"/>
        <w:lang w:val="en-gb" w:eastAsia="en-gb" w:bidi="en-gb"/>
      </w:rPr>
    </w:lvl>
    <w:lvl w:ilvl="4">
      <w:start w:val="0"/>
      <w:numFmt w:val="bullet"/>
      <w:lvlText w:val="•"/>
      <w:lvlJc w:val="left"/>
      <w:pPr>
        <w:ind w:left="3946" w:hanging="681"/>
      </w:pPr>
      <w:rPr>
        <w:rFonts w:hint="default"/>
        <w:lang w:val="en-gb" w:eastAsia="en-gb" w:bidi="en-gb"/>
      </w:rPr>
    </w:lvl>
    <w:lvl w:ilvl="5">
      <w:start w:val="0"/>
      <w:numFmt w:val="bullet"/>
      <w:lvlText w:val="•"/>
      <w:lvlJc w:val="left"/>
      <w:pPr>
        <w:ind w:left="5139" w:hanging="681"/>
      </w:pPr>
      <w:rPr>
        <w:rFonts w:hint="default"/>
        <w:lang w:val="en-gb" w:eastAsia="en-gb" w:bidi="en-gb"/>
      </w:rPr>
    </w:lvl>
    <w:lvl w:ilvl="6">
      <w:start w:val="0"/>
      <w:numFmt w:val="bullet"/>
      <w:lvlText w:val="•"/>
      <w:lvlJc w:val="left"/>
      <w:pPr>
        <w:ind w:left="6332" w:hanging="681"/>
      </w:pPr>
      <w:rPr>
        <w:rFonts w:hint="default"/>
        <w:lang w:val="en-gb" w:eastAsia="en-gb" w:bidi="en-gb"/>
      </w:rPr>
    </w:lvl>
    <w:lvl w:ilvl="7">
      <w:start w:val="0"/>
      <w:numFmt w:val="bullet"/>
      <w:lvlText w:val="•"/>
      <w:lvlJc w:val="left"/>
      <w:pPr>
        <w:ind w:left="7525" w:hanging="681"/>
      </w:pPr>
      <w:rPr>
        <w:rFonts w:hint="default"/>
        <w:lang w:val="en-gb" w:eastAsia="en-gb" w:bidi="en-gb"/>
      </w:rPr>
    </w:lvl>
    <w:lvl w:ilvl="8">
      <w:start w:val="0"/>
      <w:numFmt w:val="bullet"/>
      <w:lvlText w:val="•"/>
      <w:lvlJc w:val="left"/>
      <w:pPr>
        <w:ind w:left="8719" w:hanging="681"/>
      </w:pPr>
      <w:rPr>
        <w:rFonts w:hint="default"/>
        <w:lang w:val="en-gb" w:eastAsia="en-gb" w:bidi="en-gb"/>
      </w:rPr>
    </w:lvl>
  </w:abstractNum>
  <w:abstractNum w:abstractNumId="64">
    <w:multiLevelType w:val="hybridMultilevel"/>
    <w:lvl w:ilvl="0">
      <w:start w:val="0"/>
      <w:numFmt w:val="bullet"/>
      <w:lvlText w:val=""/>
      <w:lvlJc w:val="left"/>
      <w:pPr>
        <w:ind w:left="1507" w:hanging="681"/>
      </w:pPr>
      <w:rPr>
        <w:rFonts w:hint="default" w:ascii="Symbol" w:hAnsi="Symbol" w:eastAsia="Symbol" w:cs="Symbol"/>
        <w:w w:val="110"/>
        <w:sz w:val="20"/>
        <w:szCs w:val="20"/>
        <w:lang w:val="en-gb" w:eastAsia="en-gb" w:bidi="en-gb"/>
      </w:rPr>
    </w:lvl>
    <w:lvl w:ilvl="1">
      <w:start w:val="0"/>
      <w:numFmt w:val="bullet"/>
      <w:lvlText w:val="•"/>
      <w:lvlJc w:val="left"/>
      <w:pPr>
        <w:ind w:left="1507" w:hanging="567"/>
      </w:pPr>
      <w:rPr>
        <w:rFonts w:hint="default" w:ascii="Calibri" w:hAnsi="Calibri" w:eastAsia="Calibri" w:cs="Calibri"/>
        <w:color w:val="707172"/>
        <w:w w:val="111"/>
        <w:sz w:val="18"/>
        <w:szCs w:val="18"/>
        <w:lang w:val="en-gb" w:eastAsia="en-gb" w:bidi="en-gb"/>
      </w:rPr>
    </w:lvl>
    <w:lvl w:ilvl="2">
      <w:start w:val="0"/>
      <w:numFmt w:val="bullet"/>
      <w:lvlText w:val="•"/>
      <w:lvlJc w:val="left"/>
      <w:pPr>
        <w:ind w:left="3421" w:hanging="567"/>
      </w:pPr>
      <w:rPr>
        <w:rFonts w:hint="default"/>
        <w:lang w:val="en-gb" w:eastAsia="en-gb" w:bidi="en-gb"/>
      </w:rPr>
    </w:lvl>
    <w:lvl w:ilvl="3">
      <w:start w:val="0"/>
      <w:numFmt w:val="bullet"/>
      <w:lvlText w:val="•"/>
      <w:lvlJc w:val="left"/>
      <w:pPr>
        <w:ind w:left="4381" w:hanging="567"/>
      </w:pPr>
      <w:rPr>
        <w:rFonts w:hint="default"/>
        <w:lang w:val="en-gb" w:eastAsia="en-gb" w:bidi="en-gb"/>
      </w:rPr>
    </w:lvl>
    <w:lvl w:ilvl="4">
      <w:start w:val="0"/>
      <w:numFmt w:val="bullet"/>
      <w:lvlText w:val="•"/>
      <w:lvlJc w:val="left"/>
      <w:pPr>
        <w:ind w:left="5342" w:hanging="567"/>
      </w:pPr>
      <w:rPr>
        <w:rFonts w:hint="default"/>
        <w:lang w:val="en-gb" w:eastAsia="en-gb" w:bidi="en-gb"/>
      </w:rPr>
    </w:lvl>
    <w:lvl w:ilvl="5">
      <w:start w:val="0"/>
      <w:numFmt w:val="bullet"/>
      <w:lvlText w:val="•"/>
      <w:lvlJc w:val="left"/>
      <w:pPr>
        <w:ind w:left="6302" w:hanging="567"/>
      </w:pPr>
      <w:rPr>
        <w:rFonts w:hint="default"/>
        <w:lang w:val="en-gb" w:eastAsia="en-gb" w:bidi="en-gb"/>
      </w:rPr>
    </w:lvl>
    <w:lvl w:ilvl="6">
      <w:start w:val="0"/>
      <w:numFmt w:val="bullet"/>
      <w:lvlText w:val="•"/>
      <w:lvlJc w:val="left"/>
      <w:pPr>
        <w:ind w:left="7263" w:hanging="567"/>
      </w:pPr>
      <w:rPr>
        <w:rFonts w:hint="default"/>
        <w:lang w:val="en-gb" w:eastAsia="en-gb" w:bidi="en-gb"/>
      </w:rPr>
    </w:lvl>
    <w:lvl w:ilvl="7">
      <w:start w:val="0"/>
      <w:numFmt w:val="bullet"/>
      <w:lvlText w:val="•"/>
      <w:lvlJc w:val="left"/>
      <w:pPr>
        <w:ind w:left="8223" w:hanging="567"/>
      </w:pPr>
      <w:rPr>
        <w:rFonts w:hint="default"/>
        <w:lang w:val="en-gb" w:eastAsia="en-gb" w:bidi="en-gb"/>
      </w:rPr>
    </w:lvl>
    <w:lvl w:ilvl="8">
      <w:start w:val="0"/>
      <w:numFmt w:val="bullet"/>
      <w:lvlText w:val="•"/>
      <w:lvlJc w:val="left"/>
      <w:pPr>
        <w:ind w:left="9184" w:hanging="567"/>
      </w:pPr>
      <w:rPr>
        <w:rFonts w:hint="default"/>
        <w:lang w:val="en-gb" w:eastAsia="en-gb" w:bidi="en-gb"/>
      </w:rPr>
    </w:lvl>
  </w:abstractNum>
  <w:abstractNum w:abstractNumId="63">
    <w:multiLevelType w:val="hybridMultilevel"/>
    <w:lvl w:ilvl="0">
      <w:start w:val="0"/>
      <w:numFmt w:val="bullet"/>
      <w:lvlText w:val=""/>
      <w:lvlJc w:val="left"/>
      <w:pPr>
        <w:ind w:left="2244" w:hanging="681"/>
      </w:pPr>
      <w:rPr>
        <w:rFonts w:hint="default" w:ascii="Symbol" w:hAnsi="Symbol" w:eastAsia="Symbol" w:cs="Symbol"/>
        <w:w w:val="110"/>
        <w:sz w:val="20"/>
        <w:szCs w:val="20"/>
        <w:lang w:val="en-gb" w:eastAsia="en-gb" w:bidi="en-gb"/>
      </w:rPr>
    </w:lvl>
    <w:lvl w:ilvl="1">
      <w:start w:val="0"/>
      <w:numFmt w:val="bullet"/>
      <w:lvlText w:val="•"/>
      <w:lvlJc w:val="left"/>
      <w:pPr>
        <w:ind w:left="3126" w:hanging="681"/>
      </w:pPr>
      <w:rPr>
        <w:rFonts w:hint="default"/>
        <w:lang w:val="en-gb" w:eastAsia="en-gb" w:bidi="en-gb"/>
      </w:rPr>
    </w:lvl>
    <w:lvl w:ilvl="2">
      <w:start w:val="0"/>
      <w:numFmt w:val="bullet"/>
      <w:lvlText w:val="•"/>
      <w:lvlJc w:val="left"/>
      <w:pPr>
        <w:ind w:left="4013" w:hanging="681"/>
      </w:pPr>
      <w:rPr>
        <w:rFonts w:hint="default"/>
        <w:lang w:val="en-gb" w:eastAsia="en-gb" w:bidi="en-gb"/>
      </w:rPr>
    </w:lvl>
    <w:lvl w:ilvl="3">
      <w:start w:val="0"/>
      <w:numFmt w:val="bullet"/>
      <w:lvlText w:val="•"/>
      <w:lvlJc w:val="left"/>
      <w:pPr>
        <w:ind w:left="4899" w:hanging="681"/>
      </w:pPr>
      <w:rPr>
        <w:rFonts w:hint="default"/>
        <w:lang w:val="en-gb" w:eastAsia="en-gb" w:bidi="en-gb"/>
      </w:rPr>
    </w:lvl>
    <w:lvl w:ilvl="4">
      <w:start w:val="0"/>
      <w:numFmt w:val="bullet"/>
      <w:lvlText w:val="•"/>
      <w:lvlJc w:val="left"/>
      <w:pPr>
        <w:ind w:left="5786" w:hanging="681"/>
      </w:pPr>
      <w:rPr>
        <w:rFonts w:hint="default"/>
        <w:lang w:val="en-gb" w:eastAsia="en-gb" w:bidi="en-gb"/>
      </w:rPr>
    </w:lvl>
    <w:lvl w:ilvl="5">
      <w:start w:val="0"/>
      <w:numFmt w:val="bullet"/>
      <w:lvlText w:val="•"/>
      <w:lvlJc w:val="left"/>
      <w:pPr>
        <w:ind w:left="6672" w:hanging="681"/>
      </w:pPr>
      <w:rPr>
        <w:rFonts w:hint="default"/>
        <w:lang w:val="en-gb" w:eastAsia="en-gb" w:bidi="en-gb"/>
      </w:rPr>
    </w:lvl>
    <w:lvl w:ilvl="6">
      <w:start w:val="0"/>
      <w:numFmt w:val="bullet"/>
      <w:lvlText w:val="•"/>
      <w:lvlJc w:val="left"/>
      <w:pPr>
        <w:ind w:left="7559" w:hanging="681"/>
      </w:pPr>
      <w:rPr>
        <w:rFonts w:hint="default"/>
        <w:lang w:val="en-gb" w:eastAsia="en-gb" w:bidi="en-gb"/>
      </w:rPr>
    </w:lvl>
    <w:lvl w:ilvl="7">
      <w:start w:val="0"/>
      <w:numFmt w:val="bullet"/>
      <w:lvlText w:val="•"/>
      <w:lvlJc w:val="left"/>
      <w:pPr>
        <w:ind w:left="8445" w:hanging="681"/>
      </w:pPr>
      <w:rPr>
        <w:rFonts w:hint="default"/>
        <w:lang w:val="en-gb" w:eastAsia="en-gb" w:bidi="en-gb"/>
      </w:rPr>
    </w:lvl>
    <w:lvl w:ilvl="8">
      <w:start w:val="0"/>
      <w:numFmt w:val="bullet"/>
      <w:lvlText w:val="•"/>
      <w:lvlJc w:val="left"/>
      <w:pPr>
        <w:ind w:left="9332" w:hanging="681"/>
      </w:pPr>
      <w:rPr>
        <w:rFonts w:hint="default"/>
        <w:lang w:val="en-gb" w:eastAsia="en-gb" w:bidi="en-gb"/>
      </w:rPr>
    </w:lvl>
  </w:abstractNum>
  <w:abstractNum w:abstractNumId="61">
    <w:multiLevelType w:val="hybridMultilevel"/>
    <w:lvl w:ilvl="0">
      <w:start w:val="0"/>
      <w:numFmt w:val="bullet"/>
      <w:lvlText w:val="•"/>
      <w:lvlJc w:val="left"/>
      <w:pPr>
        <w:ind w:left="760" w:hanging="681"/>
      </w:pPr>
      <w:rPr>
        <w:rFonts w:hint="default" w:ascii="Calibri" w:hAnsi="Calibri" w:eastAsia="Calibri" w:cs="Calibri"/>
        <w:w w:val="110"/>
        <w:sz w:val="20"/>
        <w:szCs w:val="20"/>
        <w:lang w:val="en-gb" w:eastAsia="en-gb" w:bidi="en-gb"/>
      </w:rPr>
    </w:lvl>
    <w:lvl w:ilvl="1">
      <w:start w:val="0"/>
      <w:numFmt w:val="bullet"/>
      <w:lvlText w:val="•"/>
      <w:lvlJc w:val="left"/>
      <w:pPr>
        <w:ind w:left="1341" w:hanging="681"/>
      </w:pPr>
      <w:rPr>
        <w:rFonts w:hint="default"/>
        <w:lang w:val="en-gb" w:eastAsia="en-gb" w:bidi="en-gb"/>
      </w:rPr>
    </w:lvl>
    <w:lvl w:ilvl="2">
      <w:start w:val="0"/>
      <w:numFmt w:val="bullet"/>
      <w:lvlText w:val="•"/>
      <w:lvlJc w:val="left"/>
      <w:pPr>
        <w:ind w:left="1922" w:hanging="681"/>
      </w:pPr>
      <w:rPr>
        <w:rFonts w:hint="default"/>
        <w:lang w:val="en-gb" w:eastAsia="en-gb" w:bidi="en-gb"/>
      </w:rPr>
    </w:lvl>
    <w:lvl w:ilvl="3">
      <w:start w:val="0"/>
      <w:numFmt w:val="bullet"/>
      <w:lvlText w:val="•"/>
      <w:lvlJc w:val="left"/>
      <w:pPr>
        <w:ind w:left="2503" w:hanging="681"/>
      </w:pPr>
      <w:rPr>
        <w:rFonts w:hint="default"/>
        <w:lang w:val="en-gb" w:eastAsia="en-gb" w:bidi="en-gb"/>
      </w:rPr>
    </w:lvl>
    <w:lvl w:ilvl="4">
      <w:start w:val="0"/>
      <w:numFmt w:val="bullet"/>
      <w:lvlText w:val="•"/>
      <w:lvlJc w:val="left"/>
      <w:pPr>
        <w:ind w:left="3084" w:hanging="681"/>
      </w:pPr>
      <w:rPr>
        <w:rFonts w:hint="default"/>
        <w:lang w:val="en-gb" w:eastAsia="en-gb" w:bidi="en-gb"/>
      </w:rPr>
    </w:lvl>
    <w:lvl w:ilvl="5">
      <w:start w:val="0"/>
      <w:numFmt w:val="bullet"/>
      <w:lvlText w:val="•"/>
      <w:lvlJc w:val="left"/>
      <w:pPr>
        <w:ind w:left="3666" w:hanging="681"/>
      </w:pPr>
      <w:rPr>
        <w:rFonts w:hint="default"/>
        <w:lang w:val="en-gb" w:eastAsia="en-gb" w:bidi="en-gb"/>
      </w:rPr>
    </w:lvl>
    <w:lvl w:ilvl="6">
      <w:start w:val="0"/>
      <w:numFmt w:val="bullet"/>
      <w:lvlText w:val="•"/>
      <w:lvlJc w:val="left"/>
      <w:pPr>
        <w:ind w:left="4247" w:hanging="681"/>
      </w:pPr>
      <w:rPr>
        <w:rFonts w:hint="default"/>
        <w:lang w:val="en-gb" w:eastAsia="en-gb" w:bidi="en-gb"/>
      </w:rPr>
    </w:lvl>
    <w:lvl w:ilvl="7">
      <w:start w:val="0"/>
      <w:numFmt w:val="bullet"/>
      <w:lvlText w:val="•"/>
      <w:lvlJc w:val="left"/>
      <w:pPr>
        <w:ind w:left="4828" w:hanging="681"/>
      </w:pPr>
      <w:rPr>
        <w:rFonts w:hint="default"/>
        <w:lang w:val="en-gb" w:eastAsia="en-gb" w:bidi="en-gb"/>
      </w:rPr>
    </w:lvl>
    <w:lvl w:ilvl="8">
      <w:start w:val="0"/>
      <w:numFmt w:val="bullet"/>
      <w:lvlText w:val="•"/>
      <w:lvlJc w:val="left"/>
      <w:pPr>
        <w:ind w:left="5409" w:hanging="681"/>
      </w:pPr>
      <w:rPr>
        <w:rFonts w:hint="default"/>
        <w:lang w:val="en-gb" w:eastAsia="en-gb" w:bidi="en-gb"/>
      </w:rPr>
    </w:lvl>
  </w:abstractNum>
  <w:abstractNum w:abstractNumId="60">
    <w:multiLevelType w:val="hybridMultilevel"/>
    <w:lvl w:ilvl="0">
      <w:start w:val="1"/>
      <w:numFmt w:val="decimal"/>
      <w:lvlText w:val="%1"/>
      <w:lvlJc w:val="left"/>
      <w:pPr>
        <w:ind w:left="1564" w:hanging="681"/>
        <w:jc w:val="left"/>
      </w:pPr>
      <w:rPr>
        <w:rFonts w:hint="default"/>
        <w:lang w:val="en-gb" w:eastAsia="en-gb" w:bidi="en-gb"/>
      </w:rPr>
    </w:lvl>
    <w:lvl w:ilvl="1">
      <w:start w:val="1"/>
      <w:numFmt w:val="decimal"/>
      <w:lvlText w:val="%1.%2"/>
      <w:lvlJc w:val="left"/>
      <w:pPr>
        <w:ind w:left="1564" w:hanging="681"/>
        <w:jc w:val="left"/>
      </w:pPr>
      <w:rPr>
        <w:rFonts w:hint="default" w:ascii="Calibri" w:hAnsi="Calibri" w:eastAsia="Calibri" w:cs="Calibri"/>
        <w:spacing w:val="-20"/>
        <w:w w:val="125"/>
        <w:sz w:val="20"/>
        <w:szCs w:val="20"/>
        <w:lang w:val="en-gb" w:eastAsia="en-gb" w:bidi="en-gb"/>
      </w:rPr>
    </w:lvl>
    <w:lvl w:ilvl="2">
      <w:start w:val="0"/>
      <w:numFmt w:val="bullet"/>
      <w:lvlText w:val="•"/>
      <w:lvlJc w:val="left"/>
      <w:pPr>
        <w:ind w:left="3469" w:hanging="681"/>
      </w:pPr>
      <w:rPr>
        <w:rFonts w:hint="default"/>
        <w:lang w:val="en-gb" w:eastAsia="en-gb" w:bidi="en-gb"/>
      </w:rPr>
    </w:lvl>
    <w:lvl w:ilvl="3">
      <w:start w:val="0"/>
      <w:numFmt w:val="bullet"/>
      <w:lvlText w:val="•"/>
      <w:lvlJc w:val="left"/>
      <w:pPr>
        <w:ind w:left="4423" w:hanging="681"/>
      </w:pPr>
      <w:rPr>
        <w:rFonts w:hint="default"/>
        <w:lang w:val="en-gb" w:eastAsia="en-gb" w:bidi="en-gb"/>
      </w:rPr>
    </w:lvl>
    <w:lvl w:ilvl="4">
      <w:start w:val="0"/>
      <w:numFmt w:val="bullet"/>
      <w:lvlText w:val="•"/>
      <w:lvlJc w:val="left"/>
      <w:pPr>
        <w:ind w:left="5378" w:hanging="681"/>
      </w:pPr>
      <w:rPr>
        <w:rFonts w:hint="default"/>
        <w:lang w:val="en-gb" w:eastAsia="en-gb" w:bidi="en-gb"/>
      </w:rPr>
    </w:lvl>
    <w:lvl w:ilvl="5">
      <w:start w:val="0"/>
      <w:numFmt w:val="bullet"/>
      <w:lvlText w:val="•"/>
      <w:lvlJc w:val="left"/>
      <w:pPr>
        <w:ind w:left="6332" w:hanging="681"/>
      </w:pPr>
      <w:rPr>
        <w:rFonts w:hint="default"/>
        <w:lang w:val="en-gb" w:eastAsia="en-gb" w:bidi="en-gb"/>
      </w:rPr>
    </w:lvl>
    <w:lvl w:ilvl="6">
      <w:start w:val="0"/>
      <w:numFmt w:val="bullet"/>
      <w:lvlText w:val="•"/>
      <w:lvlJc w:val="left"/>
      <w:pPr>
        <w:ind w:left="7287" w:hanging="681"/>
      </w:pPr>
      <w:rPr>
        <w:rFonts w:hint="default"/>
        <w:lang w:val="en-gb" w:eastAsia="en-gb" w:bidi="en-gb"/>
      </w:rPr>
    </w:lvl>
    <w:lvl w:ilvl="7">
      <w:start w:val="0"/>
      <w:numFmt w:val="bullet"/>
      <w:lvlText w:val="•"/>
      <w:lvlJc w:val="left"/>
      <w:pPr>
        <w:ind w:left="8241" w:hanging="681"/>
      </w:pPr>
      <w:rPr>
        <w:rFonts w:hint="default"/>
        <w:lang w:val="en-gb" w:eastAsia="en-gb" w:bidi="en-gb"/>
      </w:rPr>
    </w:lvl>
    <w:lvl w:ilvl="8">
      <w:start w:val="0"/>
      <w:numFmt w:val="bullet"/>
      <w:lvlText w:val="•"/>
      <w:lvlJc w:val="left"/>
      <w:pPr>
        <w:ind w:left="9196" w:hanging="681"/>
      </w:pPr>
      <w:rPr>
        <w:rFonts w:hint="default"/>
        <w:lang w:val="en-gb" w:eastAsia="en-gb" w:bidi="en-gb"/>
      </w:rPr>
    </w:lvl>
  </w:abstractNum>
  <w:abstractNum w:abstractNumId="59">
    <w:multiLevelType w:val="hybridMultilevel"/>
    <w:lvl w:ilvl="0">
      <w:start w:val="0"/>
      <w:numFmt w:val="bullet"/>
      <w:lvlText w:val=""/>
      <w:lvlJc w:val="left"/>
      <w:pPr>
        <w:ind w:left="793" w:hanging="681"/>
      </w:pPr>
      <w:rPr>
        <w:rFonts w:hint="default" w:ascii="Symbol" w:hAnsi="Symbol" w:eastAsia="Symbol" w:cs="Symbol"/>
        <w:w w:val="110"/>
        <w:sz w:val="20"/>
        <w:szCs w:val="20"/>
        <w:lang w:val="en-gb" w:eastAsia="en-gb" w:bidi="en-gb"/>
      </w:rPr>
    </w:lvl>
    <w:lvl w:ilvl="1">
      <w:start w:val="0"/>
      <w:numFmt w:val="bullet"/>
      <w:lvlText w:val="•"/>
      <w:lvlJc w:val="left"/>
      <w:pPr>
        <w:ind w:left="1584" w:hanging="681"/>
      </w:pPr>
      <w:rPr>
        <w:rFonts w:hint="default"/>
        <w:lang w:val="en-gb" w:eastAsia="en-gb" w:bidi="en-gb"/>
      </w:rPr>
    </w:lvl>
    <w:lvl w:ilvl="2">
      <w:start w:val="0"/>
      <w:numFmt w:val="bullet"/>
      <w:lvlText w:val="•"/>
      <w:lvlJc w:val="left"/>
      <w:pPr>
        <w:ind w:left="2369" w:hanging="681"/>
      </w:pPr>
      <w:rPr>
        <w:rFonts w:hint="default"/>
        <w:lang w:val="en-gb" w:eastAsia="en-gb" w:bidi="en-gb"/>
      </w:rPr>
    </w:lvl>
    <w:lvl w:ilvl="3">
      <w:start w:val="0"/>
      <w:numFmt w:val="bullet"/>
      <w:lvlText w:val="•"/>
      <w:lvlJc w:val="left"/>
      <w:pPr>
        <w:ind w:left="3154" w:hanging="681"/>
      </w:pPr>
      <w:rPr>
        <w:rFonts w:hint="default"/>
        <w:lang w:val="en-gb" w:eastAsia="en-gb" w:bidi="en-gb"/>
      </w:rPr>
    </w:lvl>
    <w:lvl w:ilvl="4">
      <w:start w:val="0"/>
      <w:numFmt w:val="bullet"/>
      <w:lvlText w:val="•"/>
      <w:lvlJc w:val="left"/>
      <w:pPr>
        <w:ind w:left="3939" w:hanging="681"/>
      </w:pPr>
      <w:rPr>
        <w:rFonts w:hint="default"/>
        <w:lang w:val="en-gb" w:eastAsia="en-gb" w:bidi="en-gb"/>
      </w:rPr>
    </w:lvl>
    <w:lvl w:ilvl="5">
      <w:start w:val="0"/>
      <w:numFmt w:val="bullet"/>
      <w:lvlText w:val="•"/>
      <w:lvlJc w:val="left"/>
      <w:pPr>
        <w:ind w:left="4724" w:hanging="681"/>
      </w:pPr>
      <w:rPr>
        <w:rFonts w:hint="default"/>
        <w:lang w:val="en-gb" w:eastAsia="en-gb" w:bidi="en-gb"/>
      </w:rPr>
    </w:lvl>
    <w:lvl w:ilvl="6">
      <w:start w:val="0"/>
      <w:numFmt w:val="bullet"/>
      <w:lvlText w:val="•"/>
      <w:lvlJc w:val="left"/>
      <w:pPr>
        <w:ind w:left="5509" w:hanging="681"/>
      </w:pPr>
      <w:rPr>
        <w:rFonts w:hint="default"/>
        <w:lang w:val="en-gb" w:eastAsia="en-gb" w:bidi="en-gb"/>
      </w:rPr>
    </w:lvl>
    <w:lvl w:ilvl="7">
      <w:start w:val="0"/>
      <w:numFmt w:val="bullet"/>
      <w:lvlText w:val="•"/>
      <w:lvlJc w:val="left"/>
      <w:pPr>
        <w:ind w:left="6294" w:hanging="681"/>
      </w:pPr>
      <w:rPr>
        <w:rFonts w:hint="default"/>
        <w:lang w:val="en-gb" w:eastAsia="en-gb" w:bidi="en-gb"/>
      </w:rPr>
    </w:lvl>
    <w:lvl w:ilvl="8">
      <w:start w:val="0"/>
      <w:numFmt w:val="bullet"/>
      <w:lvlText w:val="•"/>
      <w:lvlJc w:val="left"/>
      <w:pPr>
        <w:ind w:left="7079" w:hanging="681"/>
      </w:pPr>
      <w:rPr>
        <w:rFonts w:hint="default"/>
        <w:lang w:val="en-gb" w:eastAsia="en-gb" w:bidi="en-gb"/>
      </w:rPr>
    </w:lvl>
  </w:abstractNum>
  <w:abstractNum w:abstractNumId="58">
    <w:multiLevelType w:val="hybridMultilevel"/>
    <w:lvl w:ilvl="0">
      <w:start w:val="0"/>
      <w:numFmt w:val="bullet"/>
      <w:lvlText w:val=""/>
      <w:lvlJc w:val="left"/>
      <w:pPr>
        <w:ind w:left="793" w:hanging="681"/>
      </w:pPr>
      <w:rPr>
        <w:rFonts w:hint="default" w:ascii="Symbol" w:hAnsi="Symbol" w:eastAsia="Symbol" w:cs="Symbol"/>
        <w:w w:val="110"/>
        <w:sz w:val="20"/>
        <w:szCs w:val="20"/>
        <w:lang w:val="en-gb" w:eastAsia="en-gb" w:bidi="en-gb"/>
      </w:rPr>
    </w:lvl>
    <w:lvl w:ilvl="1">
      <w:start w:val="0"/>
      <w:numFmt w:val="bullet"/>
      <w:lvlText w:val="•"/>
      <w:lvlJc w:val="left"/>
      <w:pPr>
        <w:ind w:left="1584" w:hanging="681"/>
      </w:pPr>
      <w:rPr>
        <w:rFonts w:hint="default"/>
        <w:lang w:val="en-gb" w:eastAsia="en-gb" w:bidi="en-gb"/>
      </w:rPr>
    </w:lvl>
    <w:lvl w:ilvl="2">
      <w:start w:val="0"/>
      <w:numFmt w:val="bullet"/>
      <w:lvlText w:val="•"/>
      <w:lvlJc w:val="left"/>
      <w:pPr>
        <w:ind w:left="2369" w:hanging="681"/>
      </w:pPr>
      <w:rPr>
        <w:rFonts w:hint="default"/>
        <w:lang w:val="en-gb" w:eastAsia="en-gb" w:bidi="en-gb"/>
      </w:rPr>
    </w:lvl>
    <w:lvl w:ilvl="3">
      <w:start w:val="0"/>
      <w:numFmt w:val="bullet"/>
      <w:lvlText w:val="•"/>
      <w:lvlJc w:val="left"/>
      <w:pPr>
        <w:ind w:left="3154" w:hanging="681"/>
      </w:pPr>
      <w:rPr>
        <w:rFonts w:hint="default"/>
        <w:lang w:val="en-gb" w:eastAsia="en-gb" w:bidi="en-gb"/>
      </w:rPr>
    </w:lvl>
    <w:lvl w:ilvl="4">
      <w:start w:val="0"/>
      <w:numFmt w:val="bullet"/>
      <w:lvlText w:val="•"/>
      <w:lvlJc w:val="left"/>
      <w:pPr>
        <w:ind w:left="3939" w:hanging="681"/>
      </w:pPr>
      <w:rPr>
        <w:rFonts w:hint="default"/>
        <w:lang w:val="en-gb" w:eastAsia="en-gb" w:bidi="en-gb"/>
      </w:rPr>
    </w:lvl>
    <w:lvl w:ilvl="5">
      <w:start w:val="0"/>
      <w:numFmt w:val="bullet"/>
      <w:lvlText w:val="•"/>
      <w:lvlJc w:val="left"/>
      <w:pPr>
        <w:ind w:left="4724" w:hanging="681"/>
      </w:pPr>
      <w:rPr>
        <w:rFonts w:hint="default"/>
        <w:lang w:val="en-gb" w:eastAsia="en-gb" w:bidi="en-gb"/>
      </w:rPr>
    </w:lvl>
    <w:lvl w:ilvl="6">
      <w:start w:val="0"/>
      <w:numFmt w:val="bullet"/>
      <w:lvlText w:val="•"/>
      <w:lvlJc w:val="left"/>
      <w:pPr>
        <w:ind w:left="5508" w:hanging="681"/>
      </w:pPr>
      <w:rPr>
        <w:rFonts w:hint="default"/>
        <w:lang w:val="en-gb" w:eastAsia="en-gb" w:bidi="en-gb"/>
      </w:rPr>
    </w:lvl>
    <w:lvl w:ilvl="7">
      <w:start w:val="0"/>
      <w:numFmt w:val="bullet"/>
      <w:lvlText w:val="•"/>
      <w:lvlJc w:val="left"/>
      <w:pPr>
        <w:ind w:left="6293" w:hanging="681"/>
      </w:pPr>
      <w:rPr>
        <w:rFonts w:hint="default"/>
        <w:lang w:val="en-gb" w:eastAsia="en-gb" w:bidi="en-gb"/>
      </w:rPr>
    </w:lvl>
    <w:lvl w:ilvl="8">
      <w:start w:val="0"/>
      <w:numFmt w:val="bullet"/>
      <w:lvlText w:val="•"/>
      <w:lvlJc w:val="left"/>
      <w:pPr>
        <w:ind w:left="7078" w:hanging="681"/>
      </w:pPr>
      <w:rPr>
        <w:rFonts w:hint="default"/>
        <w:lang w:val="en-gb" w:eastAsia="en-gb" w:bidi="en-gb"/>
      </w:rPr>
    </w:lvl>
  </w:abstractNum>
  <w:abstractNum w:abstractNumId="57">
    <w:multiLevelType w:val="hybridMultilevel"/>
    <w:lvl w:ilvl="0">
      <w:start w:val="0"/>
      <w:numFmt w:val="bullet"/>
      <w:lvlText w:val=""/>
      <w:lvlJc w:val="left"/>
      <w:pPr>
        <w:ind w:left="793" w:hanging="681"/>
      </w:pPr>
      <w:rPr>
        <w:rFonts w:hint="default" w:ascii="Symbol" w:hAnsi="Symbol" w:eastAsia="Symbol" w:cs="Symbol"/>
        <w:w w:val="110"/>
        <w:sz w:val="20"/>
        <w:szCs w:val="20"/>
        <w:lang w:val="en-gb" w:eastAsia="en-gb" w:bidi="en-gb"/>
      </w:rPr>
    </w:lvl>
    <w:lvl w:ilvl="1">
      <w:start w:val="0"/>
      <w:numFmt w:val="bullet"/>
      <w:lvlText w:val="•"/>
      <w:lvlJc w:val="left"/>
      <w:pPr>
        <w:ind w:left="1584" w:hanging="681"/>
      </w:pPr>
      <w:rPr>
        <w:rFonts w:hint="default"/>
        <w:lang w:val="en-gb" w:eastAsia="en-gb" w:bidi="en-gb"/>
      </w:rPr>
    </w:lvl>
    <w:lvl w:ilvl="2">
      <w:start w:val="0"/>
      <w:numFmt w:val="bullet"/>
      <w:lvlText w:val="•"/>
      <w:lvlJc w:val="left"/>
      <w:pPr>
        <w:ind w:left="2369" w:hanging="681"/>
      </w:pPr>
      <w:rPr>
        <w:rFonts w:hint="default"/>
        <w:lang w:val="en-gb" w:eastAsia="en-gb" w:bidi="en-gb"/>
      </w:rPr>
    </w:lvl>
    <w:lvl w:ilvl="3">
      <w:start w:val="0"/>
      <w:numFmt w:val="bullet"/>
      <w:lvlText w:val="•"/>
      <w:lvlJc w:val="left"/>
      <w:pPr>
        <w:ind w:left="3154" w:hanging="681"/>
      </w:pPr>
      <w:rPr>
        <w:rFonts w:hint="default"/>
        <w:lang w:val="en-gb" w:eastAsia="en-gb" w:bidi="en-gb"/>
      </w:rPr>
    </w:lvl>
    <w:lvl w:ilvl="4">
      <w:start w:val="0"/>
      <w:numFmt w:val="bullet"/>
      <w:lvlText w:val="•"/>
      <w:lvlJc w:val="left"/>
      <w:pPr>
        <w:ind w:left="3939" w:hanging="681"/>
      </w:pPr>
      <w:rPr>
        <w:rFonts w:hint="default"/>
        <w:lang w:val="en-gb" w:eastAsia="en-gb" w:bidi="en-gb"/>
      </w:rPr>
    </w:lvl>
    <w:lvl w:ilvl="5">
      <w:start w:val="0"/>
      <w:numFmt w:val="bullet"/>
      <w:lvlText w:val="•"/>
      <w:lvlJc w:val="left"/>
      <w:pPr>
        <w:ind w:left="4724" w:hanging="681"/>
      </w:pPr>
      <w:rPr>
        <w:rFonts w:hint="default"/>
        <w:lang w:val="en-gb" w:eastAsia="en-gb" w:bidi="en-gb"/>
      </w:rPr>
    </w:lvl>
    <w:lvl w:ilvl="6">
      <w:start w:val="0"/>
      <w:numFmt w:val="bullet"/>
      <w:lvlText w:val="•"/>
      <w:lvlJc w:val="left"/>
      <w:pPr>
        <w:ind w:left="5508" w:hanging="681"/>
      </w:pPr>
      <w:rPr>
        <w:rFonts w:hint="default"/>
        <w:lang w:val="en-gb" w:eastAsia="en-gb" w:bidi="en-gb"/>
      </w:rPr>
    </w:lvl>
    <w:lvl w:ilvl="7">
      <w:start w:val="0"/>
      <w:numFmt w:val="bullet"/>
      <w:lvlText w:val="•"/>
      <w:lvlJc w:val="left"/>
      <w:pPr>
        <w:ind w:left="6293" w:hanging="681"/>
      </w:pPr>
      <w:rPr>
        <w:rFonts w:hint="default"/>
        <w:lang w:val="en-gb" w:eastAsia="en-gb" w:bidi="en-gb"/>
      </w:rPr>
    </w:lvl>
    <w:lvl w:ilvl="8">
      <w:start w:val="0"/>
      <w:numFmt w:val="bullet"/>
      <w:lvlText w:val="•"/>
      <w:lvlJc w:val="left"/>
      <w:pPr>
        <w:ind w:left="7078" w:hanging="681"/>
      </w:pPr>
      <w:rPr>
        <w:rFonts w:hint="default"/>
        <w:lang w:val="en-gb" w:eastAsia="en-gb" w:bidi="en-gb"/>
      </w:rPr>
    </w:lvl>
  </w:abstractNum>
  <w:abstractNum w:abstractNumId="56">
    <w:multiLevelType w:val="hybridMultilevel"/>
    <w:lvl w:ilvl="0">
      <w:start w:val="0"/>
      <w:numFmt w:val="bullet"/>
      <w:lvlText w:val=""/>
      <w:lvlJc w:val="left"/>
      <w:pPr>
        <w:ind w:left="793" w:hanging="681"/>
      </w:pPr>
      <w:rPr>
        <w:rFonts w:hint="default" w:ascii="Symbol" w:hAnsi="Symbol" w:eastAsia="Symbol" w:cs="Symbol"/>
        <w:w w:val="110"/>
        <w:sz w:val="20"/>
        <w:szCs w:val="20"/>
        <w:lang w:val="en-gb" w:eastAsia="en-gb" w:bidi="en-gb"/>
      </w:rPr>
    </w:lvl>
    <w:lvl w:ilvl="1">
      <w:start w:val="0"/>
      <w:numFmt w:val="bullet"/>
      <w:lvlText w:val="•"/>
      <w:lvlJc w:val="left"/>
      <w:pPr>
        <w:ind w:left="1585" w:hanging="681"/>
      </w:pPr>
      <w:rPr>
        <w:rFonts w:hint="default"/>
        <w:lang w:val="en-gb" w:eastAsia="en-gb" w:bidi="en-gb"/>
      </w:rPr>
    </w:lvl>
    <w:lvl w:ilvl="2">
      <w:start w:val="0"/>
      <w:numFmt w:val="bullet"/>
      <w:lvlText w:val="•"/>
      <w:lvlJc w:val="left"/>
      <w:pPr>
        <w:ind w:left="2370" w:hanging="681"/>
      </w:pPr>
      <w:rPr>
        <w:rFonts w:hint="default"/>
        <w:lang w:val="en-gb" w:eastAsia="en-gb" w:bidi="en-gb"/>
      </w:rPr>
    </w:lvl>
    <w:lvl w:ilvl="3">
      <w:start w:val="0"/>
      <w:numFmt w:val="bullet"/>
      <w:lvlText w:val="•"/>
      <w:lvlJc w:val="left"/>
      <w:pPr>
        <w:ind w:left="3155" w:hanging="681"/>
      </w:pPr>
      <w:rPr>
        <w:rFonts w:hint="default"/>
        <w:lang w:val="en-gb" w:eastAsia="en-gb" w:bidi="en-gb"/>
      </w:rPr>
    </w:lvl>
    <w:lvl w:ilvl="4">
      <w:start w:val="0"/>
      <w:numFmt w:val="bullet"/>
      <w:lvlText w:val="•"/>
      <w:lvlJc w:val="left"/>
      <w:pPr>
        <w:ind w:left="3940" w:hanging="681"/>
      </w:pPr>
      <w:rPr>
        <w:rFonts w:hint="default"/>
        <w:lang w:val="en-gb" w:eastAsia="en-gb" w:bidi="en-gb"/>
      </w:rPr>
    </w:lvl>
    <w:lvl w:ilvl="5">
      <w:start w:val="0"/>
      <w:numFmt w:val="bullet"/>
      <w:lvlText w:val="•"/>
      <w:lvlJc w:val="left"/>
      <w:pPr>
        <w:ind w:left="4725" w:hanging="681"/>
      </w:pPr>
      <w:rPr>
        <w:rFonts w:hint="default"/>
        <w:lang w:val="en-gb" w:eastAsia="en-gb" w:bidi="en-gb"/>
      </w:rPr>
    </w:lvl>
    <w:lvl w:ilvl="6">
      <w:start w:val="0"/>
      <w:numFmt w:val="bullet"/>
      <w:lvlText w:val="•"/>
      <w:lvlJc w:val="left"/>
      <w:pPr>
        <w:ind w:left="5510" w:hanging="681"/>
      </w:pPr>
      <w:rPr>
        <w:rFonts w:hint="default"/>
        <w:lang w:val="en-gb" w:eastAsia="en-gb" w:bidi="en-gb"/>
      </w:rPr>
    </w:lvl>
    <w:lvl w:ilvl="7">
      <w:start w:val="0"/>
      <w:numFmt w:val="bullet"/>
      <w:lvlText w:val="•"/>
      <w:lvlJc w:val="left"/>
      <w:pPr>
        <w:ind w:left="6295" w:hanging="681"/>
      </w:pPr>
      <w:rPr>
        <w:rFonts w:hint="default"/>
        <w:lang w:val="en-gb" w:eastAsia="en-gb" w:bidi="en-gb"/>
      </w:rPr>
    </w:lvl>
    <w:lvl w:ilvl="8">
      <w:start w:val="0"/>
      <w:numFmt w:val="bullet"/>
      <w:lvlText w:val="•"/>
      <w:lvlJc w:val="left"/>
      <w:pPr>
        <w:ind w:left="7080" w:hanging="681"/>
      </w:pPr>
      <w:rPr>
        <w:rFonts w:hint="default"/>
        <w:lang w:val="en-gb" w:eastAsia="en-gb" w:bidi="en-gb"/>
      </w:rPr>
    </w:lvl>
  </w:abstractNum>
  <w:abstractNum w:abstractNumId="55">
    <w:multiLevelType w:val="hybridMultilevel"/>
    <w:lvl w:ilvl="0">
      <w:start w:val="1"/>
      <w:numFmt w:val="decimal"/>
      <w:lvlText w:val="%1."/>
      <w:lvlJc w:val="left"/>
      <w:pPr>
        <w:ind w:left="827" w:hanging="681"/>
        <w:jc w:val="left"/>
      </w:pPr>
      <w:rPr>
        <w:rFonts w:hint="default" w:ascii="Calibri" w:hAnsi="Calibri" w:eastAsia="Calibri" w:cs="Calibri"/>
        <w:spacing w:val="-13"/>
        <w:w w:val="125"/>
        <w:sz w:val="20"/>
        <w:szCs w:val="20"/>
        <w:lang w:val="en-gb" w:eastAsia="en-gb" w:bidi="en-gb"/>
      </w:rPr>
    </w:lvl>
    <w:lvl w:ilvl="1">
      <w:start w:val="0"/>
      <w:numFmt w:val="bullet"/>
      <w:lvlText w:val="•"/>
      <w:lvlJc w:val="left"/>
      <w:pPr>
        <w:ind w:left="1848" w:hanging="681"/>
      </w:pPr>
      <w:rPr>
        <w:rFonts w:hint="default"/>
        <w:lang w:val="en-gb" w:eastAsia="en-gb" w:bidi="en-gb"/>
      </w:rPr>
    </w:lvl>
    <w:lvl w:ilvl="2">
      <w:start w:val="0"/>
      <w:numFmt w:val="bullet"/>
      <w:lvlText w:val="•"/>
      <w:lvlJc w:val="left"/>
      <w:pPr>
        <w:ind w:left="2877" w:hanging="681"/>
      </w:pPr>
      <w:rPr>
        <w:rFonts w:hint="default"/>
        <w:lang w:val="en-gb" w:eastAsia="en-gb" w:bidi="en-gb"/>
      </w:rPr>
    </w:lvl>
    <w:lvl w:ilvl="3">
      <w:start w:val="0"/>
      <w:numFmt w:val="bullet"/>
      <w:lvlText w:val="•"/>
      <w:lvlJc w:val="left"/>
      <w:pPr>
        <w:ind w:left="3905" w:hanging="681"/>
      </w:pPr>
      <w:rPr>
        <w:rFonts w:hint="default"/>
        <w:lang w:val="en-gb" w:eastAsia="en-gb" w:bidi="en-gb"/>
      </w:rPr>
    </w:lvl>
    <w:lvl w:ilvl="4">
      <w:start w:val="0"/>
      <w:numFmt w:val="bullet"/>
      <w:lvlText w:val="•"/>
      <w:lvlJc w:val="left"/>
      <w:pPr>
        <w:ind w:left="4934" w:hanging="681"/>
      </w:pPr>
      <w:rPr>
        <w:rFonts w:hint="default"/>
        <w:lang w:val="en-gb" w:eastAsia="en-gb" w:bidi="en-gb"/>
      </w:rPr>
    </w:lvl>
    <w:lvl w:ilvl="5">
      <w:start w:val="0"/>
      <w:numFmt w:val="bullet"/>
      <w:lvlText w:val="•"/>
      <w:lvlJc w:val="left"/>
      <w:pPr>
        <w:ind w:left="5962" w:hanging="681"/>
      </w:pPr>
      <w:rPr>
        <w:rFonts w:hint="default"/>
        <w:lang w:val="en-gb" w:eastAsia="en-gb" w:bidi="en-gb"/>
      </w:rPr>
    </w:lvl>
    <w:lvl w:ilvl="6">
      <w:start w:val="0"/>
      <w:numFmt w:val="bullet"/>
      <w:lvlText w:val="•"/>
      <w:lvlJc w:val="left"/>
      <w:pPr>
        <w:ind w:left="6991" w:hanging="681"/>
      </w:pPr>
      <w:rPr>
        <w:rFonts w:hint="default"/>
        <w:lang w:val="en-gb" w:eastAsia="en-gb" w:bidi="en-gb"/>
      </w:rPr>
    </w:lvl>
    <w:lvl w:ilvl="7">
      <w:start w:val="0"/>
      <w:numFmt w:val="bullet"/>
      <w:lvlText w:val="•"/>
      <w:lvlJc w:val="left"/>
      <w:pPr>
        <w:ind w:left="8019" w:hanging="681"/>
      </w:pPr>
      <w:rPr>
        <w:rFonts w:hint="default"/>
        <w:lang w:val="en-gb" w:eastAsia="en-gb" w:bidi="en-gb"/>
      </w:rPr>
    </w:lvl>
    <w:lvl w:ilvl="8">
      <w:start w:val="0"/>
      <w:numFmt w:val="bullet"/>
      <w:lvlText w:val="•"/>
      <w:lvlJc w:val="left"/>
      <w:pPr>
        <w:ind w:left="9048" w:hanging="681"/>
      </w:pPr>
      <w:rPr>
        <w:rFonts w:hint="default"/>
        <w:lang w:val="en-gb" w:eastAsia="en-gb" w:bidi="en-gb"/>
      </w:rPr>
    </w:lvl>
  </w:abstractNum>
  <w:abstractNum w:abstractNumId="54">
    <w:multiLevelType w:val="hybridMultilevel"/>
    <w:lvl w:ilvl="0">
      <w:start w:val="0"/>
      <w:numFmt w:val="bullet"/>
      <w:lvlText w:val="•"/>
      <w:lvlJc w:val="left"/>
      <w:pPr>
        <w:ind w:left="760" w:hanging="681"/>
      </w:pPr>
      <w:rPr>
        <w:rFonts w:hint="default" w:ascii="Calibri" w:hAnsi="Calibri" w:eastAsia="Calibri" w:cs="Calibri"/>
        <w:w w:val="110"/>
        <w:sz w:val="20"/>
        <w:szCs w:val="20"/>
        <w:lang w:val="en-gb" w:eastAsia="en-gb" w:bidi="en-gb"/>
      </w:rPr>
    </w:lvl>
    <w:lvl w:ilvl="1">
      <w:start w:val="0"/>
      <w:numFmt w:val="bullet"/>
      <w:lvlText w:val="•"/>
      <w:lvlJc w:val="left"/>
      <w:pPr>
        <w:ind w:left="1341" w:hanging="681"/>
      </w:pPr>
      <w:rPr>
        <w:rFonts w:hint="default"/>
        <w:lang w:val="en-gb" w:eastAsia="en-gb" w:bidi="en-gb"/>
      </w:rPr>
    </w:lvl>
    <w:lvl w:ilvl="2">
      <w:start w:val="0"/>
      <w:numFmt w:val="bullet"/>
      <w:lvlText w:val="•"/>
      <w:lvlJc w:val="left"/>
      <w:pPr>
        <w:ind w:left="1922" w:hanging="681"/>
      </w:pPr>
      <w:rPr>
        <w:rFonts w:hint="default"/>
        <w:lang w:val="en-gb" w:eastAsia="en-gb" w:bidi="en-gb"/>
      </w:rPr>
    </w:lvl>
    <w:lvl w:ilvl="3">
      <w:start w:val="0"/>
      <w:numFmt w:val="bullet"/>
      <w:lvlText w:val="•"/>
      <w:lvlJc w:val="left"/>
      <w:pPr>
        <w:ind w:left="2503" w:hanging="681"/>
      </w:pPr>
      <w:rPr>
        <w:rFonts w:hint="default"/>
        <w:lang w:val="en-gb" w:eastAsia="en-gb" w:bidi="en-gb"/>
      </w:rPr>
    </w:lvl>
    <w:lvl w:ilvl="4">
      <w:start w:val="0"/>
      <w:numFmt w:val="bullet"/>
      <w:lvlText w:val="•"/>
      <w:lvlJc w:val="left"/>
      <w:pPr>
        <w:ind w:left="3084" w:hanging="681"/>
      </w:pPr>
      <w:rPr>
        <w:rFonts w:hint="default"/>
        <w:lang w:val="en-gb" w:eastAsia="en-gb" w:bidi="en-gb"/>
      </w:rPr>
    </w:lvl>
    <w:lvl w:ilvl="5">
      <w:start w:val="0"/>
      <w:numFmt w:val="bullet"/>
      <w:lvlText w:val="•"/>
      <w:lvlJc w:val="left"/>
      <w:pPr>
        <w:ind w:left="3666" w:hanging="681"/>
      </w:pPr>
      <w:rPr>
        <w:rFonts w:hint="default"/>
        <w:lang w:val="en-gb" w:eastAsia="en-gb" w:bidi="en-gb"/>
      </w:rPr>
    </w:lvl>
    <w:lvl w:ilvl="6">
      <w:start w:val="0"/>
      <w:numFmt w:val="bullet"/>
      <w:lvlText w:val="•"/>
      <w:lvlJc w:val="left"/>
      <w:pPr>
        <w:ind w:left="4247" w:hanging="681"/>
      </w:pPr>
      <w:rPr>
        <w:rFonts w:hint="default"/>
        <w:lang w:val="en-gb" w:eastAsia="en-gb" w:bidi="en-gb"/>
      </w:rPr>
    </w:lvl>
    <w:lvl w:ilvl="7">
      <w:start w:val="0"/>
      <w:numFmt w:val="bullet"/>
      <w:lvlText w:val="•"/>
      <w:lvlJc w:val="left"/>
      <w:pPr>
        <w:ind w:left="4828" w:hanging="681"/>
      </w:pPr>
      <w:rPr>
        <w:rFonts w:hint="default"/>
        <w:lang w:val="en-gb" w:eastAsia="en-gb" w:bidi="en-gb"/>
      </w:rPr>
    </w:lvl>
    <w:lvl w:ilvl="8">
      <w:start w:val="0"/>
      <w:numFmt w:val="bullet"/>
      <w:lvlText w:val="•"/>
      <w:lvlJc w:val="left"/>
      <w:pPr>
        <w:ind w:left="5409" w:hanging="681"/>
      </w:pPr>
      <w:rPr>
        <w:rFonts w:hint="default"/>
        <w:lang w:val="en-gb" w:eastAsia="en-gb" w:bidi="en-gb"/>
      </w:rPr>
    </w:lvl>
  </w:abstractNum>
  <w:abstractNum w:abstractNumId="53">
    <w:multiLevelType w:val="hybridMultilevel"/>
    <w:lvl w:ilvl="0">
      <w:start w:val="0"/>
      <w:numFmt w:val="bullet"/>
      <w:lvlText w:val=""/>
      <w:lvlJc w:val="left"/>
      <w:pPr>
        <w:ind w:left="268" w:hanging="249"/>
      </w:pPr>
      <w:rPr>
        <w:rFonts w:hint="default" w:ascii="Symbol" w:hAnsi="Symbol" w:eastAsia="Symbol" w:cs="Symbol"/>
        <w:color w:val="7EAABF"/>
        <w:w w:val="104"/>
        <w:sz w:val="23"/>
        <w:szCs w:val="23"/>
        <w:lang w:val="en-gb" w:eastAsia="en-gb" w:bidi="en-gb"/>
      </w:rPr>
    </w:lvl>
    <w:lvl w:ilvl="1">
      <w:start w:val="0"/>
      <w:numFmt w:val="bullet"/>
      <w:lvlText w:val="•"/>
      <w:lvlJc w:val="left"/>
      <w:pPr>
        <w:ind w:left="527" w:hanging="249"/>
      </w:pPr>
      <w:rPr>
        <w:rFonts w:hint="default"/>
        <w:lang w:val="en-gb" w:eastAsia="en-gb" w:bidi="en-gb"/>
      </w:rPr>
    </w:lvl>
    <w:lvl w:ilvl="2">
      <w:start w:val="0"/>
      <w:numFmt w:val="bullet"/>
      <w:lvlText w:val="•"/>
      <w:lvlJc w:val="left"/>
      <w:pPr>
        <w:ind w:left="795" w:hanging="249"/>
      </w:pPr>
      <w:rPr>
        <w:rFonts w:hint="default"/>
        <w:lang w:val="en-gb" w:eastAsia="en-gb" w:bidi="en-gb"/>
      </w:rPr>
    </w:lvl>
    <w:lvl w:ilvl="3">
      <w:start w:val="0"/>
      <w:numFmt w:val="bullet"/>
      <w:lvlText w:val="•"/>
      <w:lvlJc w:val="left"/>
      <w:pPr>
        <w:ind w:left="1063" w:hanging="249"/>
      </w:pPr>
      <w:rPr>
        <w:rFonts w:hint="default"/>
        <w:lang w:val="en-gb" w:eastAsia="en-gb" w:bidi="en-gb"/>
      </w:rPr>
    </w:lvl>
    <w:lvl w:ilvl="4">
      <w:start w:val="0"/>
      <w:numFmt w:val="bullet"/>
      <w:lvlText w:val="•"/>
      <w:lvlJc w:val="left"/>
      <w:pPr>
        <w:ind w:left="1331" w:hanging="249"/>
      </w:pPr>
      <w:rPr>
        <w:rFonts w:hint="default"/>
        <w:lang w:val="en-gb" w:eastAsia="en-gb" w:bidi="en-gb"/>
      </w:rPr>
    </w:lvl>
    <w:lvl w:ilvl="5">
      <w:start w:val="0"/>
      <w:numFmt w:val="bullet"/>
      <w:lvlText w:val="•"/>
      <w:lvlJc w:val="left"/>
      <w:pPr>
        <w:ind w:left="1599" w:hanging="249"/>
      </w:pPr>
      <w:rPr>
        <w:rFonts w:hint="default"/>
        <w:lang w:val="en-gb" w:eastAsia="en-gb" w:bidi="en-gb"/>
      </w:rPr>
    </w:lvl>
    <w:lvl w:ilvl="6">
      <w:start w:val="0"/>
      <w:numFmt w:val="bullet"/>
      <w:lvlText w:val="•"/>
      <w:lvlJc w:val="left"/>
      <w:pPr>
        <w:ind w:left="1867" w:hanging="249"/>
      </w:pPr>
      <w:rPr>
        <w:rFonts w:hint="default"/>
        <w:lang w:val="en-gb" w:eastAsia="en-gb" w:bidi="en-gb"/>
      </w:rPr>
    </w:lvl>
    <w:lvl w:ilvl="7">
      <w:start w:val="0"/>
      <w:numFmt w:val="bullet"/>
      <w:lvlText w:val="•"/>
      <w:lvlJc w:val="left"/>
      <w:pPr>
        <w:ind w:left="2135" w:hanging="249"/>
      </w:pPr>
      <w:rPr>
        <w:rFonts w:hint="default"/>
        <w:lang w:val="en-gb" w:eastAsia="en-gb" w:bidi="en-gb"/>
      </w:rPr>
    </w:lvl>
    <w:lvl w:ilvl="8">
      <w:start w:val="0"/>
      <w:numFmt w:val="bullet"/>
      <w:lvlText w:val="•"/>
      <w:lvlJc w:val="left"/>
      <w:pPr>
        <w:ind w:left="2403" w:hanging="249"/>
      </w:pPr>
      <w:rPr>
        <w:rFonts w:hint="default"/>
        <w:lang w:val="en-gb" w:eastAsia="en-gb" w:bidi="en-gb"/>
      </w:rPr>
    </w:lvl>
  </w:abstractNum>
  <w:abstractNum w:abstractNumId="52">
    <w:multiLevelType w:val="hybridMultilevel"/>
    <w:lvl w:ilvl="0">
      <w:start w:val="1"/>
      <w:numFmt w:val="lowerLetter"/>
      <w:lvlText w:val="%1)"/>
      <w:lvlJc w:val="left"/>
      <w:pPr>
        <w:ind w:left="190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30" w:hanging="681"/>
      </w:pPr>
      <w:rPr>
        <w:rFonts w:hint="default"/>
        <w:lang w:val="en-gb" w:eastAsia="en-gb" w:bidi="en-gb"/>
      </w:rPr>
    </w:lvl>
    <w:lvl w:ilvl="2">
      <w:start w:val="0"/>
      <w:numFmt w:val="bullet"/>
      <w:lvlText w:val="•"/>
      <w:lvlJc w:val="left"/>
      <w:pPr>
        <w:ind w:left="3761" w:hanging="681"/>
      </w:pPr>
      <w:rPr>
        <w:rFonts w:hint="default"/>
        <w:lang w:val="en-gb" w:eastAsia="en-gb" w:bidi="en-gb"/>
      </w:rPr>
    </w:lvl>
    <w:lvl w:ilvl="3">
      <w:start w:val="0"/>
      <w:numFmt w:val="bullet"/>
      <w:lvlText w:val="•"/>
      <w:lvlJc w:val="left"/>
      <w:pPr>
        <w:ind w:left="4691" w:hanging="681"/>
      </w:pPr>
      <w:rPr>
        <w:rFonts w:hint="default"/>
        <w:lang w:val="en-gb" w:eastAsia="en-gb" w:bidi="en-gb"/>
      </w:rPr>
    </w:lvl>
    <w:lvl w:ilvl="4">
      <w:start w:val="0"/>
      <w:numFmt w:val="bullet"/>
      <w:lvlText w:val="•"/>
      <w:lvlJc w:val="left"/>
      <w:pPr>
        <w:ind w:left="5622" w:hanging="681"/>
      </w:pPr>
      <w:rPr>
        <w:rFonts w:hint="default"/>
        <w:lang w:val="en-gb" w:eastAsia="en-gb" w:bidi="en-gb"/>
      </w:rPr>
    </w:lvl>
    <w:lvl w:ilvl="5">
      <w:start w:val="0"/>
      <w:numFmt w:val="bullet"/>
      <w:lvlText w:val="•"/>
      <w:lvlJc w:val="left"/>
      <w:pPr>
        <w:ind w:left="6552" w:hanging="681"/>
      </w:pPr>
      <w:rPr>
        <w:rFonts w:hint="default"/>
        <w:lang w:val="en-gb" w:eastAsia="en-gb" w:bidi="en-gb"/>
      </w:rPr>
    </w:lvl>
    <w:lvl w:ilvl="6">
      <w:start w:val="0"/>
      <w:numFmt w:val="bullet"/>
      <w:lvlText w:val="•"/>
      <w:lvlJc w:val="left"/>
      <w:pPr>
        <w:ind w:left="7483" w:hanging="681"/>
      </w:pPr>
      <w:rPr>
        <w:rFonts w:hint="default"/>
        <w:lang w:val="en-gb" w:eastAsia="en-gb" w:bidi="en-gb"/>
      </w:rPr>
    </w:lvl>
    <w:lvl w:ilvl="7">
      <w:start w:val="0"/>
      <w:numFmt w:val="bullet"/>
      <w:lvlText w:val="•"/>
      <w:lvlJc w:val="left"/>
      <w:pPr>
        <w:ind w:left="8413" w:hanging="681"/>
      </w:pPr>
      <w:rPr>
        <w:rFonts w:hint="default"/>
        <w:lang w:val="en-gb" w:eastAsia="en-gb" w:bidi="en-gb"/>
      </w:rPr>
    </w:lvl>
    <w:lvl w:ilvl="8">
      <w:start w:val="0"/>
      <w:numFmt w:val="bullet"/>
      <w:lvlText w:val="•"/>
      <w:lvlJc w:val="left"/>
      <w:pPr>
        <w:ind w:left="9344" w:hanging="681"/>
      </w:pPr>
      <w:rPr>
        <w:rFonts w:hint="default"/>
        <w:lang w:val="en-gb" w:eastAsia="en-gb" w:bidi="en-gb"/>
      </w:rPr>
    </w:lvl>
  </w:abstractNum>
  <w:abstractNum w:abstractNumId="51">
    <w:multiLevelType w:val="hybridMultilevel"/>
    <w:lvl w:ilvl="0">
      <w:start w:val="1"/>
      <w:numFmt w:val="lowerLetter"/>
      <w:lvlText w:val="%1)"/>
      <w:lvlJc w:val="left"/>
      <w:pPr>
        <w:ind w:left="122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50">
    <w:multiLevelType w:val="hybridMultilevel"/>
    <w:lvl w:ilvl="0">
      <w:start w:val="2"/>
      <w:numFmt w:val="upperLetter"/>
      <w:lvlText w:val="%1"/>
      <w:lvlJc w:val="left"/>
      <w:pPr>
        <w:ind w:left="2644" w:hanging="681"/>
        <w:jc w:val="left"/>
      </w:pPr>
      <w:rPr>
        <w:rFonts w:hint="default" w:ascii="Calibri" w:hAnsi="Calibri" w:eastAsia="Calibri" w:cs="Calibri"/>
        <w:w w:val="115"/>
        <w:sz w:val="20"/>
        <w:szCs w:val="20"/>
        <w:lang w:val="en-gb" w:eastAsia="en-gb" w:bidi="en-gb"/>
      </w:rPr>
    </w:lvl>
    <w:lvl w:ilvl="1">
      <w:start w:val="0"/>
      <w:numFmt w:val="bullet"/>
      <w:lvlText w:val="•"/>
      <w:lvlJc w:val="left"/>
      <w:pPr>
        <w:ind w:left="3496" w:hanging="681"/>
      </w:pPr>
      <w:rPr>
        <w:rFonts w:hint="default"/>
        <w:lang w:val="en-gb" w:eastAsia="en-gb" w:bidi="en-gb"/>
      </w:rPr>
    </w:lvl>
    <w:lvl w:ilvl="2">
      <w:start w:val="0"/>
      <w:numFmt w:val="bullet"/>
      <w:lvlText w:val="•"/>
      <w:lvlJc w:val="left"/>
      <w:pPr>
        <w:ind w:left="4353" w:hanging="681"/>
      </w:pPr>
      <w:rPr>
        <w:rFonts w:hint="default"/>
        <w:lang w:val="en-gb" w:eastAsia="en-gb" w:bidi="en-gb"/>
      </w:rPr>
    </w:lvl>
    <w:lvl w:ilvl="3">
      <w:start w:val="0"/>
      <w:numFmt w:val="bullet"/>
      <w:lvlText w:val="•"/>
      <w:lvlJc w:val="left"/>
      <w:pPr>
        <w:ind w:left="5209" w:hanging="681"/>
      </w:pPr>
      <w:rPr>
        <w:rFonts w:hint="default"/>
        <w:lang w:val="en-gb" w:eastAsia="en-gb" w:bidi="en-gb"/>
      </w:rPr>
    </w:lvl>
    <w:lvl w:ilvl="4">
      <w:start w:val="0"/>
      <w:numFmt w:val="bullet"/>
      <w:lvlText w:val="•"/>
      <w:lvlJc w:val="left"/>
      <w:pPr>
        <w:ind w:left="6066" w:hanging="681"/>
      </w:pPr>
      <w:rPr>
        <w:rFonts w:hint="default"/>
        <w:lang w:val="en-gb" w:eastAsia="en-gb" w:bidi="en-gb"/>
      </w:rPr>
    </w:lvl>
    <w:lvl w:ilvl="5">
      <w:start w:val="0"/>
      <w:numFmt w:val="bullet"/>
      <w:lvlText w:val="•"/>
      <w:lvlJc w:val="left"/>
      <w:pPr>
        <w:ind w:left="6922" w:hanging="681"/>
      </w:pPr>
      <w:rPr>
        <w:rFonts w:hint="default"/>
        <w:lang w:val="en-gb" w:eastAsia="en-gb" w:bidi="en-gb"/>
      </w:rPr>
    </w:lvl>
    <w:lvl w:ilvl="6">
      <w:start w:val="0"/>
      <w:numFmt w:val="bullet"/>
      <w:lvlText w:val="•"/>
      <w:lvlJc w:val="left"/>
      <w:pPr>
        <w:ind w:left="7779" w:hanging="681"/>
      </w:pPr>
      <w:rPr>
        <w:rFonts w:hint="default"/>
        <w:lang w:val="en-gb" w:eastAsia="en-gb" w:bidi="en-gb"/>
      </w:rPr>
    </w:lvl>
    <w:lvl w:ilvl="7">
      <w:start w:val="0"/>
      <w:numFmt w:val="bullet"/>
      <w:lvlText w:val="•"/>
      <w:lvlJc w:val="left"/>
      <w:pPr>
        <w:ind w:left="8635" w:hanging="681"/>
      </w:pPr>
      <w:rPr>
        <w:rFonts w:hint="default"/>
        <w:lang w:val="en-gb" w:eastAsia="en-gb" w:bidi="en-gb"/>
      </w:rPr>
    </w:lvl>
    <w:lvl w:ilvl="8">
      <w:start w:val="0"/>
      <w:numFmt w:val="bullet"/>
      <w:lvlText w:val="•"/>
      <w:lvlJc w:val="left"/>
      <w:pPr>
        <w:ind w:left="9492" w:hanging="681"/>
      </w:pPr>
      <w:rPr>
        <w:rFonts w:hint="default"/>
        <w:lang w:val="en-gb" w:eastAsia="en-gb" w:bidi="en-gb"/>
      </w:rPr>
    </w:lvl>
  </w:abstractNum>
  <w:abstractNum w:abstractNumId="49">
    <w:multiLevelType w:val="hybridMultilevel"/>
    <w:lvl w:ilvl="0">
      <w:start w:val="1"/>
      <w:numFmt w:val="lowerLetter"/>
      <w:lvlText w:val="(%1)"/>
      <w:lvlJc w:val="left"/>
      <w:pPr>
        <w:ind w:left="1227" w:hanging="760"/>
        <w:jc w:val="left"/>
      </w:pPr>
      <w:rPr>
        <w:rFonts w:hint="default" w:ascii="Calibri" w:hAnsi="Calibri" w:eastAsia="Calibri" w:cs="Calibri"/>
        <w:spacing w:val="-18"/>
        <w:w w:val="113"/>
        <w:sz w:val="20"/>
        <w:szCs w:val="20"/>
        <w:lang w:val="en-gb" w:eastAsia="en-gb" w:bidi="en-gb"/>
      </w:rPr>
    </w:lvl>
    <w:lvl w:ilvl="1">
      <w:start w:val="1"/>
      <w:numFmt w:val="lowerLetter"/>
      <w:lvlText w:val="(%2)"/>
      <w:lvlJc w:val="left"/>
      <w:pPr>
        <w:ind w:left="1964" w:hanging="760"/>
        <w:jc w:val="left"/>
      </w:pPr>
      <w:rPr>
        <w:rFonts w:hint="default" w:ascii="Calibri" w:hAnsi="Calibri" w:eastAsia="Calibri" w:cs="Calibri"/>
        <w:spacing w:val="-18"/>
        <w:w w:val="113"/>
        <w:sz w:val="20"/>
        <w:szCs w:val="20"/>
        <w:lang w:val="en-gb" w:eastAsia="en-gb" w:bidi="en-gb"/>
      </w:rPr>
    </w:lvl>
    <w:lvl w:ilvl="2">
      <w:start w:val="0"/>
      <w:numFmt w:val="bullet"/>
      <w:lvlText w:val="•"/>
      <w:lvlJc w:val="left"/>
      <w:pPr>
        <w:ind w:left="2987" w:hanging="760"/>
      </w:pPr>
      <w:rPr>
        <w:rFonts w:hint="default"/>
        <w:lang w:val="en-gb" w:eastAsia="en-gb" w:bidi="en-gb"/>
      </w:rPr>
    </w:lvl>
    <w:lvl w:ilvl="3">
      <w:start w:val="0"/>
      <w:numFmt w:val="bullet"/>
      <w:lvlText w:val="•"/>
      <w:lvlJc w:val="left"/>
      <w:pPr>
        <w:ind w:left="4014" w:hanging="760"/>
      </w:pPr>
      <w:rPr>
        <w:rFonts w:hint="default"/>
        <w:lang w:val="en-gb" w:eastAsia="en-gb" w:bidi="en-gb"/>
      </w:rPr>
    </w:lvl>
    <w:lvl w:ilvl="4">
      <w:start w:val="0"/>
      <w:numFmt w:val="bullet"/>
      <w:lvlText w:val="•"/>
      <w:lvlJc w:val="left"/>
      <w:pPr>
        <w:ind w:left="5041" w:hanging="760"/>
      </w:pPr>
      <w:rPr>
        <w:rFonts w:hint="default"/>
        <w:lang w:val="en-gb" w:eastAsia="en-gb" w:bidi="en-gb"/>
      </w:rPr>
    </w:lvl>
    <w:lvl w:ilvl="5">
      <w:start w:val="0"/>
      <w:numFmt w:val="bullet"/>
      <w:lvlText w:val="•"/>
      <w:lvlJc w:val="left"/>
      <w:pPr>
        <w:ind w:left="6069" w:hanging="760"/>
      </w:pPr>
      <w:rPr>
        <w:rFonts w:hint="default"/>
        <w:lang w:val="en-gb" w:eastAsia="en-gb" w:bidi="en-gb"/>
      </w:rPr>
    </w:lvl>
    <w:lvl w:ilvl="6">
      <w:start w:val="0"/>
      <w:numFmt w:val="bullet"/>
      <w:lvlText w:val="•"/>
      <w:lvlJc w:val="left"/>
      <w:pPr>
        <w:ind w:left="7096" w:hanging="760"/>
      </w:pPr>
      <w:rPr>
        <w:rFonts w:hint="default"/>
        <w:lang w:val="en-gb" w:eastAsia="en-gb" w:bidi="en-gb"/>
      </w:rPr>
    </w:lvl>
    <w:lvl w:ilvl="7">
      <w:start w:val="0"/>
      <w:numFmt w:val="bullet"/>
      <w:lvlText w:val="•"/>
      <w:lvlJc w:val="left"/>
      <w:pPr>
        <w:ind w:left="8123" w:hanging="760"/>
      </w:pPr>
      <w:rPr>
        <w:rFonts w:hint="default"/>
        <w:lang w:val="en-gb" w:eastAsia="en-gb" w:bidi="en-gb"/>
      </w:rPr>
    </w:lvl>
    <w:lvl w:ilvl="8">
      <w:start w:val="0"/>
      <w:numFmt w:val="bullet"/>
      <w:lvlText w:val="•"/>
      <w:lvlJc w:val="left"/>
      <w:pPr>
        <w:ind w:left="9150" w:hanging="760"/>
      </w:pPr>
      <w:rPr>
        <w:rFonts w:hint="default"/>
        <w:lang w:val="en-gb" w:eastAsia="en-gb" w:bidi="en-gb"/>
      </w:rPr>
    </w:lvl>
  </w:abstractNum>
  <w:abstractNum w:abstractNumId="48">
    <w:multiLevelType w:val="hybridMultilevel"/>
    <w:lvl w:ilvl="0">
      <w:start w:val="1"/>
      <w:numFmt w:val="lowerLetter"/>
      <w:lvlText w:val="%1)"/>
      <w:lvlJc w:val="left"/>
      <w:pPr>
        <w:ind w:left="190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30" w:hanging="681"/>
      </w:pPr>
      <w:rPr>
        <w:rFonts w:hint="default"/>
        <w:lang w:val="en-gb" w:eastAsia="en-gb" w:bidi="en-gb"/>
      </w:rPr>
    </w:lvl>
    <w:lvl w:ilvl="2">
      <w:start w:val="0"/>
      <w:numFmt w:val="bullet"/>
      <w:lvlText w:val="•"/>
      <w:lvlJc w:val="left"/>
      <w:pPr>
        <w:ind w:left="3761" w:hanging="681"/>
      </w:pPr>
      <w:rPr>
        <w:rFonts w:hint="default"/>
        <w:lang w:val="en-gb" w:eastAsia="en-gb" w:bidi="en-gb"/>
      </w:rPr>
    </w:lvl>
    <w:lvl w:ilvl="3">
      <w:start w:val="0"/>
      <w:numFmt w:val="bullet"/>
      <w:lvlText w:val="•"/>
      <w:lvlJc w:val="left"/>
      <w:pPr>
        <w:ind w:left="4691" w:hanging="681"/>
      </w:pPr>
      <w:rPr>
        <w:rFonts w:hint="default"/>
        <w:lang w:val="en-gb" w:eastAsia="en-gb" w:bidi="en-gb"/>
      </w:rPr>
    </w:lvl>
    <w:lvl w:ilvl="4">
      <w:start w:val="0"/>
      <w:numFmt w:val="bullet"/>
      <w:lvlText w:val="•"/>
      <w:lvlJc w:val="left"/>
      <w:pPr>
        <w:ind w:left="5622" w:hanging="681"/>
      </w:pPr>
      <w:rPr>
        <w:rFonts w:hint="default"/>
        <w:lang w:val="en-gb" w:eastAsia="en-gb" w:bidi="en-gb"/>
      </w:rPr>
    </w:lvl>
    <w:lvl w:ilvl="5">
      <w:start w:val="0"/>
      <w:numFmt w:val="bullet"/>
      <w:lvlText w:val="•"/>
      <w:lvlJc w:val="left"/>
      <w:pPr>
        <w:ind w:left="6552" w:hanging="681"/>
      </w:pPr>
      <w:rPr>
        <w:rFonts w:hint="default"/>
        <w:lang w:val="en-gb" w:eastAsia="en-gb" w:bidi="en-gb"/>
      </w:rPr>
    </w:lvl>
    <w:lvl w:ilvl="6">
      <w:start w:val="0"/>
      <w:numFmt w:val="bullet"/>
      <w:lvlText w:val="•"/>
      <w:lvlJc w:val="left"/>
      <w:pPr>
        <w:ind w:left="7483" w:hanging="681"/>
      </w:pPr>
      <w:rPr>
        <w:rFonts w:hint="default"/>
        <w:lang w:val="en-gb" w:eastAsia="en-gb" w:bidi="en-gb"/>
      </w:rPr>
    </w:lvl>
    <w:lvl w:ilvl="7">
      <w:start w:val="0"/>
      <w:numFmt w:val="bullet"/>
      <w:lvlText w:val="•"/>
      <w:lvlJc w:val="left"/>
      <w:pPr>
        <w:ind w:left="8413" w:hanging="681"/>
      </w:pPr>
      <w:rPr>
        <w:rFonts w:hint="default"/>
        <w:lang w:val="en-gb" w:eastAsia="en-gb" w:bidi="en-gb"/>
      </w:rPr>
    </w:lvl>
    <w:lvl w:ilvl="8">
      <w:start w:val="0"/>
      <w:numFmt w:val="bullet"/>
      <w:lvlText w:val="•"/>
      <w:lvlJc w:val="left"/>
      <w:pPr>
        <w:ind w:left="9344" w:hanging="681"/>
      </w:pPr>
      <w:rPr>
        <w:rFonts w:hint="default"/>
        <w:lang w:val="en-gb" w:eastAsia="en-gb" w:bidi="en-gb"/>
      </w:rPr>
    </w:lvl>
  </w:abstractNum>
  <w:abstractNum w:abstractNumId="47">
    <w:multiLevelType w:val="hybridMultilevel"/>
    <w:lvl w:ilvl="0">
      <w:start w:val="1"/>
      <w:numFmt w:val="lowerLetter"/>
      <w:lvlText w:val="%1)"/>
      <w:lvlJc w:val="left"/>
      <w:pPr>
        <w:ind w:left="1964" w:hanging="681"/>
        <w:jc w:val="left"/>
      </w:pPr>
      <w:rPr>
        <w:rFonts w:hint="default" w:ascii="Calibri" w:hAnsi="Calibri" w:eastAsia="Calibri" w:cs="Calibri"/>
        <w:spacing w:val="-13"/>
        <w:w w:val="113"/>
        <w:sz w:val="20"/>
        <w:szCs w:val="20"/>
        <w:lang w:val="en-gb" w:eastAsia="en-gb" w:bidi="en-gb"/>
      </w:rPr>
    </w:lvl>
    <w:lvl w:ilvl="1">
      <w:start w:val="1"/>
      <w:numFmt w:val="lowerLetter"/>
      <w:lvlText w:val="%2)"/>
      <w:lvlJc w:val="left"/>
      <w:pPr>
        <w:ind w:left="2644" w:hanging="681"/>
        <w:jc w:val="right"/>
      </w:pPr>
      <w:rPr>
        <w:rFonts w:hint="default" w:ascii="Calibri" w:hAnsi="Calibri" w:eastAsia="Calibri" w:cs="Calibri"/>
        <w:spacing w:val="-13"/>
        <w:w w:val="113"/>
        <w:sz w:val="20"/>
        <w:szCs w:val="20"/>
        <w:lang w:val="en-gb" w:eastAsia="en-gb" w:bidi="en-gb"/>
      </w:rPr>
    </w:lvl>
    <w:lvl w:ilvl="2">
      <w:start w:val="0"/>
      <w:numFmt w:val="bullet"/>
      <w:lvlText w:val="•"/>
      <w:lvlJc w:val="left"/>
      <w:pPr>
        <w:ind w:left="3591" w:hanging="681"/>
      </w:pPr>
      <w:rPr>
        <w:rFonts w:hint="default"/>
        <w:lang w:val="en-gb" w:eastAsia="en-gb" w:bidi="en-gb"/>
      </w:rPr>
    </w:lvl>
    <w:lvl w:ilvl="3">
      <w:start w:val="0"/>
      <w:numFmt w:val="bullet"/>
      <w:lvlText w:val="•"/>
      <w:lvlJc w:val="left"/>
      <w:pPr>
        <w:ind w:left="4543" w:hanging="681"/>
      </w:pPr>
      <w:rPr>
        <w:rFonts w:hint="default"/>
        <w:lang w:val="en-gb" w:eastAsia="en-gb" w:bidi="en-gb"/>
      </w:rPr>
    </w:lvl>
    <w:lvl w:ilvl="4">
      <w:start w:val="0"/>
      <w:numFmt w:val="bullet"/>
      <w:lvlText w:val="•"/>
      <w:lvlJc w:val="left"/>
      <w:pPr>
        <w:ind w:left="5495" w:hanging="681"/>
      </w:pPr>
      <w:rPr>
        <w:rFonts w:hint="default"/>
        <w:lang w:val="en-gb" w:eastAsia="en-gb" w:bidi="en-gb"/>
      </w:rPr>
    </w:lvl>
    <w:lvl w:ilvl="5">
      <w:start w:val="0"/>
      <w:numFmt w:val="bullet"/>
      <w:lvlText w:val="•"/>
      <w:lvlJc w:val="left"/>
      <w:pPr>
        <w:ind w:left="6446" w:hanging="681"/>
      </w:pPr>
      <w:rPr>
        <w:rFonts w:hint="default"/>
        <w:lang w:val="en-gb" w:eastAsia="en-gb" w:bidi="en-gb"/>
      </w:rPr>
    </w:lvl>
    <w:lvl w:ilvl="6">
      <w:start w:val="0"/>
      <w:numFmt w:val="bullet"/>
      <w:lvlText w:val="•"/>
      <w:lvlJc w:val="left"/>
      <w:pPr>
        <w:ind w:left="7398" w:hanging="681"/>
      </w:pPr>
      <w:rPr>
        <w:rFonts w:hint="default"/>
        <w:lang w:val="en-gb" w:eastAsia="en-gb" w:bidi="en-gb"/>
      </w:rPr>
    </w:lvl>
    <w:lvl w:ilvl="7">
      <w:start w:val="0"/>
      <w:numFmt w:val="bullet"/>
      <w:lvlText w:val="•"/>
      <w:lvlJc w:val="left"/>
      <w:pPr>
        <w:ind w:left="8350" w:hanging="681"/>
      </w:pPr>
      <w:rPr>
        <w:rFonts w:hint="default"/>
        <w:lang w:val="en-gb" w:eastAsia="en-gb" w:bidi="en-gb"/>
      </w:rPr>
    </w:lvl>
    <w:lvl w:ilvl="8">
      <w:start w:val="0"/>
      <w:numFmt w:val="bullet"/>
      <w:lvlText w:val="•"/>
      <w:lvlJc w:val="left"/>
      <w:pPr>
        <w:ind w:left="9302" w:hanging="681"/>
      </w:pPr>
      <w:rPr>
        <w:rFonts w:hint="default"/>
        <w:lang w:val="en-gb" w:eastAsia="en-gb" w:bidi="en-gb"/>
      </w:rPr>
    </w:lvl>
  </w:abstractNum>
  <w:abstractNum w:abstractNumId="46">
    <w:multiLevelType w:val="hybridMultilevel"/>
    <w:lvl w:ilvl="0">
      <w:start w:val="1"/>
      <w:numFmt w:val="decimal"/>
      <w:lvlText w:val="%1"/>
      <w:lvlJc w:val="left"/>
      <w:pPr>
        <w:ind w:left="1318" w:hanging="772"/>
        <w:jc w:val="left"/>
      </w:pPr>
      <w:rPr>
        <w:rFonts w:hint="default" w:ascii="Calibri" w:hAnsi="Calibri" w:eastAsia="Calibri" w:cs="Calibri"/>
        <w:w w:val="126"/>
        <w:sz w:val="18"/>
        <w:szCs w:val="18"/>
        <w:lang w:val="en-gb" w:eastAsia="en-gb" w:bidi="en-gb"/>
      </w:rPr>
    </w:lvl>
    <w:lvl w:ilvl="1">
      <w:start w:val="1"/>
      <w:numFmt w:val="decimal"/>
      <w:lvlText w:val="%2."/>
      <w:lvlJc w:val="left"/>
      <w:pPr>
        <w:ind w:left="2244" w:hanging="681"/>
        <w:jc w:val="left"/>
      </w:pPr>
      <w:rPr>
        <w:rFonts w:hint="default" w:ascii="Stone Sans II ITC Std Bk" w:hAnsi="Stone Sans II ITC Std Bk" w:eastAsia="Stone Sans II ITC Std Bk" w:cs="Stone Sans II ITC Std Bk"/>
        <w:b/>
        <w:bCs/>
        <w:spacing w:val="-15"/>
        <w:w w:val="110"/>
        <w:sz w:val="29"/>
        <w:szCs w:val="29"/>
        <w:lang w:val="en-gb" w:eastAsia="en-gb" w:bidi="en-gb"/>
      </w:rPr>
    </w:lvl>
    <w:lvl w:ilvl="2">
      <w:start w:val="1"/>
      <w:numFmt w:val="decimal"/>
      <w:lvlText w:val="%2.%3"/>
      <w:lvlJc w:val="left"/>
      <w:pPr>
        <w:ind w:left="1564"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2240" w:hanging="681"/>
      </w:pPr>
      <w:rPr>
        <w:rFonts w:hint="default"/>
        <w:lang w:val="en-gb" w:eastAsia="en-gb" w:bidi="en-gb"/>
      </w:rPr>
    </w:lvl>
    <w:lvl w:ilvl="4">
      <w:start w:val="0"/>
      <w:numFmt w:val="bullet"/>
      <w:lvlText w:val="•"/>
      <w:lvlJc w:val="left"/>
      <w:pPr>
        <w:ind w:left="3466" w:hanging="681"/>
      </w:pPr>
      <w:rPr>
        <w:rFonts w:hint="default"/>
        <w:lang w:val="en-gb" w:eastAsia="en-gb" w:bidi="en-gb"/>
      </w:rPr>
    </w:lvl>
    <w:lvl w:ilvl="5">
      <w:start w:val="0"/>
      <w:numFmt w:val="bullet"/>
      <w:lvlText w:val="•"/>
      <w:lvlJc w:val="left"/>
      <w:pPr>
        <w:ind w:left="4693" w:hanging="681"/>
      </w:pPr>
      <w:rPr>
        <w:rFonts w:hint="default"/>
        <w:lang w:val="en-gb" w:eastAsia="en-gb" w:bidi="en-gb"/>
      </w:rPr>
    </w:lvl>
    <w:lvl w:ilvl="6">
      <w:start w:val="0"/>
      <w:numFmt w:val="bullet"/>
      <w:lvlText w:val="•"/>
      <w:lvlJc w:val="left"/>
      <w:pPr>
        <w:ind w:left="5919" w:hanging="681"/>
      </w:pPr>
      <w:rPr>
        <w:rFonts w:hint="default"/>
        <w:lang w:val="en-gb" w:eastAsia="en-gb" w:bidi="en-gb"/>
      </w:rPr>
    </w:lvl>
    <w:lvl w:ilvl="7">
      <w:start w:val="0"/>
      <w:numFmt w:val="bullet"/>
      <w:lvlText w:val="•"/>
      <w:lvlJc w:val="left"/>
      <w:pPr>
        <w:ind w:left="7146" w:hanging="681"/>
      </w:pPr>
      <w:rPr>
        <w:rFonts w:hint="default"/>
        <w:lang w:val="en-gb" w:eastAsia="en-gb" w:bidi="en-gb"/>
      </w:rPr>
    </w:lvl>
    <w:lvl w:ilvl="8">
      <w:start w:val="0"/>
      <w:numFmt w:val="bullet"/>
      <w:lvlText w:val="•"/>
      <w:lvlJc w:val="left"/>
      <w:pPr>
        <w:ind w:left="8372" w:hanging="681"/>
      </w:pPr>
      <w:rPr>
        <w:rFonts w:hint="default"/>
        <w:lang w:val="en-gb" w:eastAsia="en-gb" w:bidi="en-gb"/>
      </w:rPr>
    </w:lvl>
  </w:abstractNum>
  <w:abstractNum w:abstractNumId="45">
    <w:multiLevelType w:val="hybridMultilevel"/>
    <w:lvl w:ilvl="0">
      <w:start w:val="19"/>
      <w:numFmt w:val="lowerRoman"/>
      <w:lvlText w:val="%1)"/>
      <w:lvlJc w:val="left"/>
      <w:pPr>
        <w:ind w:left="1227" w:hanging="681"/>
        <w:jc w:val="right"/>
      </w:pPr>
      <w:rPr>
        <w:rFonts w:hint="default" w:ascii="Calibri" w:hAnsi="Calibri" w:eastAsia="Calibri" w:cs="Calibri"/>
        <w:spacing w:val="-10"/>
        <w:w w:val="120"/>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44">
    <w:multiLevelType w:val="hybridMultilevel"/>
    <w:lvl w:ilvl="0">
      <w:start w:val="9"/>
      <w:numFmt w:val="lowerRoman"/>
      <w:lvlText w:val="%1)"/>
      <w:lvlJc w:val="left"/>
      <w:pPr>
        <w:ind w:left="1227" w:hanging="681"/>
        <w:jc w:val="left"/>
      </w:pPr>
      <w:rPr>
        <w:rFonts w:hint="default" w:ascii="Calibri" w:hAnsi="Calibri" w:eastAsia="Calibri" w:cs="Calibri"/>
        <w:spacing w:val="-10"/>
        <w:w w:val="120"/>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43">
    <w:multiLevelType w:val="hybridMultilevel"/>
    <w:lvl w:ilvl="0">
      <w:start w:val="1"/>
      <w:numFmt w:val="lowerRoman"/>
      <w:lvlText w:val="%1)"/>
      <w:lvlJc w:val="left"/>
      <w:pPr>
        <w:ind w:left="1227" w:hanging="681"/>
        <w:jc w:val="left"/>
      </w:pPr>
      <w:rPr>
        <w:rFonts w:hint="default" w:ascii="Calibri" w:hAnsi="Calibri" w:eastAsia="Calibri" w:cs="Calibri"/>
        <w:spacing w:val="-4"/>
        <w:w w:val="122"/>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41">
    <w:multiLevelType w:val="hybridMultilevel"/>
    <w:lvl w:ilvl="0">
      <w:start w:val="1"/>
      <w:numFmt w:val="lowerLetter"/>
      <w:lvlText w:val="%1)"/>
      <w:lvlJc w:val="left"/>
      <w:pPr>
        <w:ind w:left="1032" w:hanging="681"/>
        <w:jc w:val="left"/>
      </w:pPr>
      <w:rPr>
        <w:rFonts w:hint="default" w:ascii="Stone Sans II ITC Std Bk" w:hAnsi="Stone Sans II ITC Std Bk" w:eastAsia="Stone Sans II ITC Std Bk" w:cs="Stone Sans II ITC Std Bk"/>
        <w:b/>
        <w:bCs/>
        <w:spacing w:val="-13"/>
        <w:w w:val="110"/>
        <w:sz w:val="20"/>
        <w:szCs w:val="20"/>
        <w:lang w:val="en-gb" w:eastAsia="en-gb" w:bidi="en-gb"/>
      </w:rPr>
    </w:lvl>
    <w:lvl w:ilvl="1">
      <w:start w:val="0"/>
      <w:numFmt w:val="bullet"/>
      <w:lvlText w:val="•"/>
      <w:lvlJc w:val="left"/>
      <w:pPr>
        <w:ind w:left="1790" w:hanging="681"/>
      </w:pPr>
      <w:rPr>
        <w:rFonts w:hint="default"/>
        <w:lang w:val="en-gb" w:eastAsia="en-gb" w:bidi="en-gb"/>
      </w:rPr>
    </w:lvl>
    <w:lvl w:ilvl="2">
      <w:start w:val="0"/>
      <w:numFmt w:val="bullet"/>
      <w:lvlText w:val="•"/>
      <w:lvlJc w:val="left"/>
      <w:pPr>
        <w:ind w:left="2541" w:hanging="681"/>
      </w:pPr>
      <w:rPr>
        <w:rFonts w:hint="default"/>
        <w:lang w:val="en-gb" w:eastAsia="en-gb" w:bidi="en-gb"/>
      </w:rPr>
    </w:lvl>
    <w:lvl w:ilvl="3">
      <w:start w:val="0"/>
      <w:numFmt w:val="bullet"/>
      <w:lvlText w:val="•"/>
      <w:lvlJc w:val="left"/>
      <w:pPr>
        <w:ind w:left="3292" w:hanging="681"/>
      </w:pPr>
      <w:rPr>
        <w:rFonts w:hint="default"/>
        <w:lang w:val="en-gb" w:eastAsia="en-gb" w:bidi="en-gb"/>
      </w:rPr>
    </w:lvl>
    <w:lvl w:ilvl="4">
      <w:start w:val="0"/>
      <w:numFmt w:val="bullet"/>
      <w:lvlText w:val="•"/>
      <w:lvlJc w:val="left"/>
      <w:pPr>
        <w:ind w:left="4043" w:hanging="681"/>
      </w:pPr>
      <w:rPr>
        <w:rFonts w:hint="default"/>
        <w:lang w:val="en-gb" w:eastAsia="en-gb" w:bidi="en-gb"/>
      </w:rPr>
    </w:lvl>
    <w:lvl w:ilvl="5">
      <w:start w:val="0"/>
      <w:numFmt w:val="bullet"/>
      <w:lvlText w:val="•"/>
      <w:lvlJc w:val="left"/>
      <w:pPr>
        <w:ind w:left="4794" w:hanging="681"/>
      </w:pPr>
      <w:rPr>
        <w:rFonts w:hint="default"/>
        <w:lang w:val="en-gb" w:eastAsia="en-gb" w:bidi="en-gb"/>
      </w:rPr>
    </w:lvl>
    <w:lvl w:ilvl="6">
      <w:start w:val="0"/>
      <w:numFmt w:val="bullet"/>
      <w:lvlText w:val="•"/>
      <w:lvlJc w:val="left"/>
      <w:pPr>
        <w:ind w:left="5545" w:hanging="681"/>
      </w:pPr>
      <w:rPr>
        <w:rFonts w:hint="default"/>
        <w:lang w:val="en-gb" w:eastAsia="en-gb" w:bidi="en-gb"/>
      </w:rPr>
    </w:lvl>
    <w:lvl w:ilvl="7">
      <w:start w:val="0"/>
      <w:numFmt w:val="bullet"/>
      <w:lvlText w:val="•"/>
      <w:lvlJc w:val="left"/>
      <w:pPr>
        <w:ind w:left="6296" w:hanging="681"/>
      </w:pPr>
      <w:rPr>
        <w:rFonts w:hint="default"/>
        <w:lang w:val="en-gb" w:eastAsia="en-gb" w:bidi="en-gb"/>
      </w:rPr>
    </w:lvl>
    <w:lvl w:ilvl="8">
      <w:start w:val="0"/>
      <w:numFmt w:val="bullet"/>
      <w:lvlText w:val="•"/>
      <w:lvlJc w:val="left"/>
      <w:pPr>
        <w:ind w:left="7047" w:hanging="681"/>
      </w:pPr>
      <w:rPr>
        <w:rFonts w:hint="default"/>
        <w:lang w:val="en-gb" w:eastAsia="en-gb" w:bidi="en-gb"/>
      </w:rPr>
    </w:lvl>
  </w:abstractNum>
  <w:abstractNum w:abstractNumId="40">
    <w:multiLevelType w:val="hybridMultilevel"/>
    <w:lvl w:ilvl="0">
      <w:start w:val="8"/>
      <w:numFmt w:val="decimal"/>
      <w:lvlText w:val="%1."/>
      <w:lvlJc w:val="left"/>
      <w:pPr>
        <w:ind w:left="352" w:hanging="681"/>
        <w:jc w:val="left"/>
      </w:pPr>
      <w:rPr>
        <w:rFonts w:hint="default" w:ascii="Stone Sans II ITC Std Bk" w:hAnsi="Stone Sans II ITC Std Bk" w:eastAsia="Stone Sans II ITC Std Bk" w:cs="Stone Sans II ITC Std Bk"/>
        <w:b/>
        <w:bCs/>
        <w:w w:val="110"/>
        <w:sz w:val="20"/>
        <w:szCs w:val="20"/>
        <w:lang w:val="en-gb" w:eastAsia="en-gb" w:bidi="en-gb"/>
      </w:rPr>
    </w:lvl>
    <w:lvl w:ilvl="1">
      <w:start w:val="0"/>
      <w:numFmt w:val="bullet"/>
      <w:lvlText w:val="•"/>
      <w:lvlJc w:val="left"/>
      <w:pPr>
        <w:ind w:left="1178" w:hanging="681"/>
      </w:pPr>
      <w:rPr>
        <w:rFonts w:hint="default"/>
        <w:lang w:val="en-gb" w:eastAsia="en-gb" w:bidi="en-gb"/>
      </w:rPr>
    </w:lvl>
    <w:lvl w:ilvl="2">
      <w:start w:val="0"/>
      <w:numFmt w:val="bullet"/>
      <w:lvlText w:val="•"/>
      <w:lvlJc w:val="left"/>
      <w:pPr>
        <w:ind w:left="1997" w:hanging="681"/>
      </w:pPr>
      <w:rPr>
        <w:rFonts w:hint="default"/>
        <w:lang w:val="en-gb" w:eastAsia="en-gb" w:bidi="en-gb"/>
      </w:rPr>
    </w:lvl>
    <w:lvl w:ilvl="3">
      <w:start w:val="0"/>
      <w:numFmt w:val="bullet"/>
      <w:lvlText w:val="•"/>
      <w:lvlJc w:val="left"/>
      <w:pPr>
        <w:ind w:left="2816" w:hanging="681"/>
      </w:pPr>
      <w:rPr>
        <w:rFonts w:hint="default"/>
        <w:lang w:val="en-gb" w:eastAsia="en-gb" w:bidi="en-gb"/>
      </w:rPr>
    </w:lvl>
    <w:lvl w:ilvl="4">
      <w:start w:val="0"/>
      <w:numFmt w:val="bullet"/>
      <w:lvlText w:val="•"/>
      <w:lvlJc w:val="left"/>
      <w:pPr>
        <w:ind w:left="3635" w:hanging="681"/>
      </w:pPr>
      <w:rPr>
        <w:rFonts w:hint="default"/>
        <w:lang w:val="en-gb" w:eastAsia="en-gb" w:bidi="en-gb"/>
      </w:rPr>
    </w:lvl>
    <w:lvl w:ilvl="5">
      <w:start w:val="0"/>
      <w:numFmt w:val="bullet"/>
      <w:lvlText w:val="•"/>
      <w:lvlJc w:val="left"/>
      <w:pPr>
        <w:ind w:left="4454" w:hanging="681"/>
      </w:pPr>
      <w:rPr>
        <w:rFonts w:hint="default"/>
        <w:lang w:val="en-gb" w:eastAsia="en-gb" w:bidi="en-gb"/>
      </w:rPr>
    </w:lvl>
    <w:lvl w:ilvl="6">
      <w:start w:val="0"/>
      <w:numFmt w:val="bullet"/>
      <w:lvlText w:val="•"/>
      <w:lvlJc w:val="left"/>
      <w:pPr>
        <w:ind w:left="5273" w:hanging="681"/>
      </w:pPr>
      <w:rPr>
        <w:rFonts w:hint="default"/>
        <w:lang w:val="en-gb" w:eastAsia="en-gb" w:bidi="en-gb"/>
      </w:rPr>
    </w:lvl>
    <w:lvl w:ilvl="7">
      <w:start w:val="0"/>
      <w:numFmt w:val="bullet"/>
      <w:lvlText w:val="•"/>
      <w:lvlJc w:val="left"/>
      <w:pPr>
        <w:ind w:left="6092" w:hanging="681"/>
      </w:pPr>
      <w:rPr>
        <w:rFonts w:hint="default"/>
        <w:lang w:val="en-gb" w:eastAsia="en-gb" w:bidi="en-gb"/>
      </w:rPr>
    </w:lvl>
    <w:lvl w:ilvl="8">
      <w:start w:val="0"/>
      <w:numFmt w:val="bullet"/>
      <w:lvlText w:val="•"/>
      <w:lvlJc w:val="left"/>
      <w:pPr>
        <w:ind w:left="6911" w:hanging="681"/>
      </w:pPr>
      <w:rPr>
        <w:rFonts w:hint="default"/>
        <w:lang w:val="en-gb" w:eastAsia="en-gb" w:bidi="en-gb"/>
      </w:rPr>
    </w:lvl>
  </w:abstractNum>
  <w:abstractNum w:abstractNumId="39">
    <w:multiLevelType w:val="hybridMultilevel"/>
    <w:lvl w:ilvl="0">
      <w:start w:val="1"/>
      <w:numFmt w:val="lowerLetter"/>
      <w:lvlText w:val="%1)"/>
      <w:lvlJc w:val="left"/>
      <w:pPr>
        <w:ind w:left="760" w:hanging="681"/>
        <w:jc w:val="left"/>
      </w:pPr>
      <w:rPr>
        <w:rFonts w:hint="default" w:ascii="Stone Sans II ITC Std Bk" w:hAnsi="Stone Sans II ITC Std Bk" w:eastAsia="Stone Sans II ITC Std Bk" w:cs="Stone Sans II ITC Std Bk"/>
        <w:b/>
        <w:bCs/>
        <w:spacing w:val="-13"/>
        <w:w w:val="110"/>
        <w:sz w:val="20"/>
        <w:szCs w:val="20"/>
        <w:lang w:val="en-gb" w:eastAsia="en-gb" w:bidi="en-gb"/>
      </w:rPr>
    </w:lvl>
    <w:lvl w:ilvl="1">
      <w:start w:val="0"/>
      <w:numFmt w:val="bullet"/>
      <w:lvlText w:val="•"/>
      <w:lvlJc w:val="left"/>
      <w:pPr>
        <w:ind w:left="1368" w:hanging="681"/>
      </w:pPr>
      <w:rPr>
        <w:rFonts w:hint="default"/>
        <w:lang w:val="en-gb" w:eastAsia="en-gb" w:bidi="en-gb"/>
      </w:rPr>
    </w:lvl>
    <w:lvl w:ilvl="2">
      <w:start w:val="0"/>
      <w:numFmt w:val="bullet"/>
      <w:lvlText w:val="•"/>
      <w:lvlJc w:val="left"/>
      <w:pPr>
        <w:ind w:left="1976" w:hanging="681"/>
      </w:pPr>
      <w:rPr>
        <w:rFonts w:hint="default"/>
        <w:lang w:val="en-gb" w:eastAsia="en-gb" w:bidi="en-gb"/>
      </w:rPr>
    </w:lvl>
    <w:lvl w:ilvl="3">
      <w:start w:val="0"/>
      <w:numFmt w:val="bullet"/>
      <w:lvlText w:val="•"/>
      <w:lvlJc w:val="left"/>
      <w:pPr>
        <w:ind w:left="2584" w:hanging="681"/>
      </w:pPr>
      <w:rPr>
        <w:rFonts w:hint="default"/>
        <w:lang w:val="en-gb" w:eastAsia="en-gb" w:bidi="en-gb"/>
      </w:rPr>
    </w:lvl>
    <w:lvl w:ilvl="4">
      <w:start w:val="0"/>
      <w:numFmt w:val="bullet"/>
      <w:lvlText w:val="•"/>
      <w:lvlJc w:val="left"/>
      <w:pPr>
        <w:ind w:left="3192" w:hanging="681"/>
      </w:pPr>
      <w:rPr>
        <w:rFonts w:hint="default"/>
        <w:lang w:val="en-gb" w:eastAsia="en-gb" w:bidi="en-gb"/>
      </w:rPr>
    </w:lvl>
    <w:lvl w:ilvl="5">
      <w:start w:val="0"/>
      <w:numFmt w:val="bullet"/>
      <w:lvlText w:val="•"/>
      <w:lvlJc w:val="left"/>
      <w:pPr>
        <w:ind w:left="3801" w:hanging="681"/>
      </w:pPr>
      <w:rPr>
        <w:rFonts w:hint="default"/>
        <w:lang w:val="en-gb" w:eastAsia="en-gb" w:bidi="en-gb"/>
      </w:rPr>
    </w:lvl>
    <w:lvl w:ilvl="6">
      <w:start w:val="0"/>
      <w:numFmt w:val="bullet"/>
      <w:lvlText w:val="•"/>
      <w:lvlJc w:val="left"/>
      <w:pPr>
        <w:ind w:left="4409" w:hanging="681"/>
      </w:pPr>
      <w:rPr>
        <w:rFonts w:hint="default"/>
        <w:lang w:val="en-gb" w:eastAsia="en-gb" w:bidi="en-gb"/>
      </w:rPr>
    </w:lvl>
    <w:lvl w:ilvl="7">
      <w:start w:val="0"/>
      <w:numFmt w:val="bullet"/>
      <w:lvlText w:val="•"/>
      <w:lvlJc w:val="left"/>
      <w:pPr>
        <w:ind w:left="5017" w:hanging="681"/>
      </w:pPr>
      <w:rPr>
        <w:rFonts w:hint="default"/>
        <w:lang w:val="en-gb" w:eastAsia="en-gb" w:bidi="en-gb"/>
      </w:rPr>
    </w:lvl>
    <w:lvl w:ilvl="8">
      <w:start w:val="0"/>
      <w:numFmt w:val="bullet"/>
      <w:lvlText w:val="•"/>
      <w:lvlJc w:val="left"/>
      <w:pPr>
        <w:ind w:left="5625" w:hanging="681"/>
      </w:pPr>
      <w:rPr>
        <w:rFonts w:hint="default"/>
        <w:lang w:val="en-gb" w:eastAsia="en-gb" w:bidi="en-gb"/>
      </w:rPr>
    </w:lvl>
  </w:abstractNum>
  <w:abstractNum w:abstractNumId="38">
    <w:multiLevelType w:val="hybridMultilevel"/>
    <w:lvl w:ilvl="0">
      <w:start w:val="1"/>
      <w:numFmt w:val="lowerLetter"/>
      <w:lvlText w:val="%1)"/>
      <w:lvlJc w:val="left"/>
      <w:pPr>
        <w:ind w:left="760" w:hanging="681"/>
        <w:jc w:val="left"/>
      </w:pPr>
      <w:rPr>
        <w:rFonts w:hint="default" w:ascii="Stone Sans II ITC Std Bk" w:hAnsi="Stone Sans II ITC Std Bk" w:eastAsia="Stone Sans II ITC Std Bk" w:cs="Stone Sans II ITC Std Bk"/>
        <w:b/>
        <w:bCs/>
        <w:spacing w:val="-13"/>
        <w:w w:val="110"/>
        <w:sz w:val="20"/>
        <w:szCs w:val="20"/>
        <w:lang w:val="en-gb" w:eastAsia="en-gb" w:bidi="en-gb"/>
      </w:rPr>
    </w:lvl>
    <w:lvl w:ilvl="1">
      <w:start w:val="0"/>
      <w:numFmt w:val="bullet"/>
      <w:lvlText w:val="•"/>
      <w:lvlJc w:val="left"/>
      <w:pPr>
        <w:ind w:left="1368" w:hanging="681"/>
      </w:pPr>
      <w:rPr>
        <w:rFonts w:hint="default"/>
        <w:lang w:val="en-gb" w:eastAsia="en-gb" w:bidi="en-gb"/>
      </w:rPr>
    </w:lvl>
    <w:lvl w:ilvl="2">
      <w:start w:val="0"/>
      <w:numFmt w:val="bullet"/>
      <w:lvlText w:val="•"/>
      <w:lvlJc w:val="left"/>
      <w:pPr>
        <w:ind w:left="1976" w:hanging="681"/>
      </w:pPr>
      <w:rPr>
        <w:rFonts w:hint="default"/>
        <w:lang w:val="en-gb" w:eastAsia="en-gb" w:bidi="en-gb"/>
      </w:rPr>
    </w:lvl>
    <w:lvl w:ilvl="3">
      <w:start w:val="0"/>
      <w:numFmt w:val="bullet"/>
      <w:lvlText w:val="•"/>
      <w:lvlJc w:val="left"/>
      <w:pPr>
        <w:ind w:left="2584" w:hanging="681"/>
      </w:pPr>
      <w:rPr>
        <w:rFonts w:hint="default"/>
        <w:lang w:val="en-gb" w:eastAsia="en-gb" w:bidi="en-gb"/>
      </w:rPr>
    </w:lvl>
    <w:lvl w:ilvl="4">
      <w:start w:val="0"/>
      <w:numFmt w:val="bullet"/>
      <w:lvlText w:val="•"/>
      <w:lvlJc w:val="left"/>
      <w:pPr>
        <w:ind w:left="3192" w:hanging="681"/>
      </w:pPr>
      <w:rPr>
        <w:rFonts w:hint="default"/>
        <w:lang w:val="en-gb" w:eastAsia="en-gb" w:bidi="en-gb"/>
      </w:rPr>
    </w:lvl>
    <w:lvl w:ilvl="5">
      <w:start w:val="0"/>
      <w:numFmt w:val="bullet"/>
      <w:lvlText w:val="•"/>
      <w:lvlJc w:val="left"/>
      <w:pPr>
        <w:ind w:left="3801" w:hanging="681"/>
      </w:pPr>
      <w:rPr>
        <w:rFonts w:hint="default"/>
        <w:lang w:val="en-gb" w:eastAsia="en-gb" w:bidi="en-gb"/>
      </w:rPr>
    </w:lvl>
    <w:lvl w:ilvl="6">
      <w:start w:val="0"/>
      <w:numFmt w:val="bullet"/>
      <w:lvlText w:val="•"/>
      <w:lvlJc w:val="left"/>
      <w:pPr>
        <w:ind w:left="4409" w:hanging="681"/>
      </w:pPr>
      <w:rPr>
        <w:rFonts w:hint="default"/>
        <w:lang w:val="en-gb" w:eastAsia="en-gb" w:bidi="en-gb"/>
      </w:rPr>
    </w:lvl>
    <w:lvl w:ilvl="7">
      <w:start w:val="0"/>
      <w:numFmt w:val="bullet"/>
      <w:lvlText w:val="•"/>
      <w:lvlJc w:val="left"/>
      <w:pPr>
        <w:ind w:left="5017" w:hanging="681"/>
      </w:pPr>
      <w:rPr>
        <w:rFonts w:hint="default"/>
        <w:lang w:val="en-gb" w:eastAsia="en-gb" w:bidi="en-gb"/>
      </w:rPr>
    </w:lvl>
    <w:lvl w:ilvl="8">
      <w:start w:val="0"/>
      <w:numFmt w:val="bullet"/>
      <w:lvlText w:val="•"/>
      <w:lvlJc w:val="left"/>
      <w:pPr>
        <w:ind w:left="5625" w:hanging="681"/>
      </w:pPr>
      <w:rPr>
        <w:rFonts w:hint="default"/>
        <w:lang w:val="en-gb" w:eastAsia="en-gb" w:bidi="en-gb"/>
      </w:rPr>
    </w:lvl>
  </w:abstractNum>
  <w:abstractNum w:abstractNumId="36">
    <w:multiLevelType w:val="hybridMultilevel"/>
    <w:lvl w:ilvl="0">
      <w:start w:val="1"/>
      <w:numFmt w:val="lowerLetter"/>
      <w:lvlText w:val="%1)"/>
      <w:lvlJc w:val="left"/>
      <w:pPr>
        <w:ind w:left="1964"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84" w:hanging="681"/>
      </w:pPr>
      <w:rPr>
        <w:rFonts w:hint="default"/>
        <w:lang w:val="en-gb" w:eastAsia="en-gb" w:bidi="en-gb"/>
      </w:rPr>
    </w:lvl>
    <w:lvl w:ilvl="2">
      <w:start w:val="0"/>
      <w:numFmt w:val="bullet"/>
      <w:lvlText w:val="•"/>
      <w:lvlJc w:val="left"/>
      <w:pPr>
        <w:ind w:left="3809" w:hanging="681"/>
      </w:pPr>
      <w:rPr>
        <w:rFonts w:hint="default"/>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35">
    <w:multiLevelType w:val="hybridMultilevel"/>
    <w:lvl w:ilvl="0">
      <w:start w:val="1"/>
      <w:numFmt w:val="lowerLetter"/>
      <w:lvlText w:val="%1)"/>
      <w:lvlJc w:val="left"/>
      <w:pPr>
        <w:ind w:left="122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34">
    <w:multiLevelType w:val="hybridMultilevel"/>
    <w:lvl w:ilvl="0">
      <w:start w:val="1"/>
      <w:numFmt w:val="lowerLetter"/>
      <w:lvlText w:val="%1)"/>
      <w:lvlJc w:val="left"/>
      <w:pPr>
        <w:ind w:left="1964"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84" w:hanging="681"/>
      </w:pPr>
      <w:rPr>
        <w:rFonts w:hint="default"/>
        <w:lang w:val="en-gb" w:eastAsia="en-gb" w:bidi="en-gb"/>
      </w:rPr>
    </w:lvl>
    <w:lvl w:ilvl="2">
      <w:start w:val="0"/>
      <w:numFmt w:val="bullet"/>
      <w:lvlText w:val="•"/>
      <w:lvlJc w:val="left"/>
      <w:pPr>
        <w:ind w:left="3809" w:hanging="681"/>
      </w:pPr>
      <w:rPr>
        <w:rFonts w:hint="default"/>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33">
    <w:multiLevelType w:val="hybridMultilevel"/>
    <w:lvl w:ilvl="0">
      <w:start w:val="7"/>
      <w:numFmt w:val="decimal"/>
      <w:lvlText w:val="%1"/>
      <w:lvlJc w:val="left"/>
      <w:pPr>
        <w:ind w:left="1964" w:hanging="681"/>
        <w:jc w:val="left"/>
      </w:pPr>
      <w:rPr>
        <w:rFonts w:hint="default"/>
        <w:lang w:val="en-gb" w:eastAsia="en-gb" w:bidi="en-gb"/>
      </w:rPr>
    </w:lvl>
    <w:lvl w:ilvl="1">
      <w:start w:val="3"/>
      <w:numFmt w:val="decimal"/>
      <w:lvlText w:val="%1.%2"/>
      <w:lvlJc w:val="left"/>
      <w:pPr>
        <w:ind w:left="1964" w:hanging="681"/>
        <w:jc w:val="left"/>
      </w:pPr>
      <w:rPr>
        <w:rFonts w:hint="default"/>
        <w:lang w:val="en-gb" w:eastAsia="en-gb" w:bidi="en-gb"/>
      </w:rPr>
    </w:lvl>
    <w:lvl w:ilvl="2">
      <w:start w:val="1"/>
      <w:numFmt w:val="decimal"/>
      <w:lvlText w:val="%1.%2.%3"/>
      <w:lvlJc w:val="left"/>
      <w:pPr>
        <w:ind w:left="1964" w:hanging="681"/>
        <w:jc w:val="left"/>
      </w:pPr>
      <w:rPr>
        <w:rFonts w:hint="default" w:ascii="Calibri" w:hAnsi="Calibri" w:eastAsia="Calibri" w:cs="Calibri"/>
        <w:spacing w:val="-25"/>
        <w:w w:val="125"/>
        <w:sz w:val="20"/>
        <w:szCs w:val="20"/>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32">
    <w:multiLevelType w:val="hybridMultilevel"/>
    <w:lvl w:ilvl="0">
      <w:start w:val="1"/>
      <w:numFmt w:val="lowerLetter"/>
      <w:lvlText w:val="%1)"/>
      <w:lvlJc w:val="left"/>
      <w:pPr>
        <w:ind w:left="1227" w:hanging="681"/>
        <w:jc w:val="right"/>
      </w:pPr>
      <w:rPr>
        <w:rFonts w:hint="default" w:ascii="Calibri" w:hAnsi="Calibri" w:eastAsia="Calibri" w:cs="Calibri"/>
        <w:spacing w:val="-13"/>
        <w:w w:val="113"/>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31">
    <w:multiLevelType w:val="hybridMultilevel"/>
    <w:lvl w:ilvl="0">
      <w:start w:val="7"/>
      <w:numFmt w:val="decimal"/>
      <w:lvlText w:val="%1"/>
      <w:lvlJc w:val="left"/>
      <w:pPr>
        <w:ind w:left="1227" w:hanging="681"/>
        <w:jc w:val="left"/>
      </w:pPr>
      <w:rPr>
        <w:rFonts w:hint="default"/>
        <w:lang w:val="en-gb" w:eastAsia="en-gb" w:bidi="en-gb"/>
      </w:rPr>
    </w:lvl>
    <w:lvl w:ilvl="1">
      <w:start w:val="2"/>
      <w:numFmt w:val="decimal"/>
      <w:lvlText w:val="%1.%2"/>
      <w:lvlJc w:val="left"/>
      <w:pPr>
        <w:ind w:left="1227" w:hanging="681"/>
        <w:jc w:val="left"/>
      </w:pPr>
      <w:rPr>
        <w:rFonts w:hint="default"/>
        <w:lang w:val="en-gb" w:eastAsia="en-gb" w:bidi="en-gb"/>
      </w:rPr>
    </w:lvl>
    <w:lvl w:ilvl="2">
      <w:start w:val="1"/>
      <w:numFmt w:val="decimal"/>
      <w:lvlText w:val="%1.%2.%3"/>
      <w:lvlJc w:val="left"/>
      <w:pPr>
        <w:ind w:left="1227" w:hanging="681"/>
        <w:jc w:val="right"/>
      </w:pPr>
      <w:rPr>
        <w:rFonts w:hint="default" w:ascii="Calibri" w:hAnsi="Calibri" w:eastAsia="Calibri" w:cs="Calibri"/>
        <w:spacing w:val="-25"/>
        <w:w w:val="125"/>
        <w:sz w:val="20"/>
        <w:szCs w:val="20"/>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30">
    <w:multiLevelType w:val="hybridMultilevel"/>
    <w:lvl w:ilvl="0">
      <w:start w:val="7"/>
      <w:numFmt w:val="decimal"/>
      <w:lvlText w:val="%1"/>
      <w:lvlJc w:val="left"/>
      <w:pPr>
        <w:ind w:left="1284" w:hanging="681"/>
        <w:jc w:val="left"/>
      </w:pPr>
      <w:rPr>
        <w:rFonts w:hint="default"/>
        <w:lang w:val="en-gb" w:eastAsia="en-gb" w:bidi="en-gb"/>
      </w:rPr>
    </w:lvl>
    <w:lvl w:ilvl="1">
      <w:start w:val="1"/>
      <w:numFmt w:val="decimal"/>
      <w:lvlText w:val="%1.%2"/>
      <w:lvlJc w:val="left"/>
      <w:pPr>
        <w:ind w:left="1284" w:hanging="681"/>
        <w:jc w:val="left"/>
      </w:pPr>
      <w:rPr>
        <w:rFonts w:hint="default"/>
        <w:lang w:val="en-gb" w:eastAsia="en-gb" w:bidi="en-gb"/>
      </w:rPr>
    </w:lvl>
    <w:lvl w:ilvl="2">
      <w:start w:val="1"/>
      <w:numFmt w:val="decimal"/>
      <w:lvlText w:val="%1.%2.%3"/>
      <w:lvlJc w:val="left"/>
      <w:pPr>
        <w:ind w:left="1284" w:hanging="681"/>
        <w:jc w:val="left"/>
      </w:pPr>
      <w:rPr>
        <w:rFonts w:hint="default" w:ascii="Calibri" w:hAnsi="Calibri" w:eastAsia="Calibri" w:cs="Calibri"/>
        <w:spacing w:val="-25"/>
        <w:w w:val="125"/>
        <w:sz w:val="20"/>
        <w:szCs w:val="20"/>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29">
    <w:multiLevelType w:val="hybridMultilevel"/>
    <w:lvl w:ilvl="0">
      <w:start w:val="6"/>
      <w:numFmt w:val="decimal"/>
      <w:lvlText w:val="%1"/>
      <w:lvlJc w:val="left"/>
      <w:pPr>
        <w:ind w:left="1213" w:hanging="681"/>
        <w:jc w:val="left"/>
      </w:pPr>
      <w:rPr>
        <w:rFonts w:hint="default"/>
        <w:lang w:val="en-gb" w:eastAsia="en-gb" w:bidi="en-gb"/>
      </w:rPr>
    </w:lvl>
    <w:lvl w:ilvl="1">
      <w:start w:val="3"/>
      <w:numFmt w:val="decimal"/>
      <w:lvlText w:val="%1.%2"/>
      <w:lvlJc w:val="left"/>
      <w:pPr>
        <w:ind w:left="1213" w:hanging="681"/>
        <w:jc w:val="left"/>
      </w:pPr>
      <w:rPr>
        <w:rFonts w:hint="default" w:ascii="Calibri" w:hAnsi="Calibri" w:eastAsia="Calibri" w:cs="Calibri"/>
        <w:spacing w:val="-4"/>
        <w:w w:val="125"/>
        <w:sz w:val="20"/>
        <w:szCs w:val="20"/>
        <w:lang w:val="en-gb" w:eastAsia="en-gb" w:bidi="en-gb"/>
      </w:rPr>
    </w:lvl>
    <w:lvl w:ilvl="2">
      <w:start w:val="1"/>
      <w:numFmt w:val="decimal"/>
      <w:lvlText w:val="%1.%2.%3"/>
      <w:lvlJc w:val="left"/>
      <w:pPr>
        <w:ind w:left="533" w:hanging="681"/>
        <w:jc w:val="right"/>
      </w:pPr>
      <w:rPr>
        <w:rFonts w:hint="default" w:ascii="Calibri" w:hAnsi="Calibri" w:eastAsia="Calibri" w:cs="Calibri"/>
        <w:spacing w:val="-18"/>
        <w:w w:val="125"/>
        <w:sz w:val="20"/>
        <w:szCs w:val="20"/>
        <w:lang w:val="en-gb" w:eastAsia="en-gb" w:bidi="en-gb"/>
      </w:rPr>
    </w:lvl>
    <w:lvl w:ilvl="3">
      <w:start w:val="0"/>
      <w:numFmt w:val="bullet"/>
      <w:lvlText w:val="•"/>
      <w:lvlJc w:val="left"/>
      <w:pPr>
        <w:ind w:left="3439" w:hanging="681"/>
      </w:pPr>
      <w:rPr>
        <w:rFonts w:hint="default"/>
        <w:lang w:val="en-gb" w:eastAsia="en-gb" w:bidi="en-gb"/>
      </w:rPr>
    </w:lvl>
    <w:lvl w:ilvl="4">
      <w:start w:val="0"/>
      <w:numFmt w:val="bullet"/>
      <w:lvlText w:val="•"/>
      <w:lvlJc w:val="left"/>
      <w:pPr>
        <w:ind w:left="4548" w:hanging="681"/>
      </w:pPr>
      <w:rPr>
        <w:rFonts w:hint="default"/>
        <w:lang w:val="en-gb" w:eastAsia="en-gb" w:bidi="en-gb"/>
      </w:rPr>
    </w:lvl>
    <w:lvl w:ilvl="5">
      <w:start w:val="0"/>
      <w:numFmt w:val="bullet"/>
      <w:lvlText w:val="•"/>
      <w:lvlJc w:val="left"/>
      <w:pPr>
        <w:ind w:left="5658" w:hanging="681"/>
      </w:pPr>
      <w:rPr>
        <w:rFonts w:hint="default"/>
        <w:lang w:val="en-gb" w:eastAsia="en-gb" w:bidi="en-gb"/>
      </w:rPr>
    </w:lvl>
    <w:lvl w:ilvl="6">
      <w:start w:val="0"/>
      <w:numFmt w:val="bullet"/>
      <w:lvlText w:val="•"/>
      <w:lvlJc w:val="left"/>
      <w:pPr>
        <w:ind w:left="6767" w:hanging="681"/>
      </w:pPr>
      <w:rPr>
        <w:rFonts w:hint="default"/>
        <w:lang w:val="en-gb" w:eastAsia="en-gb" w:bidi="en-gb"/>
      </w:rPr>
    </w:lvl>
    <w:lvl w:ilvl="7">
      <w:start w:val="0"/>
      <w:numFmt w:val="bullet"/>
      <w:lvlText w:val="•"/>
      <w:lvlJc w:val="left"/>
      <w:pPr>
        <w:ind w:left="7877" w:hanging="681"/>
      </w:pPr>
      <w:rPr>
        <w:rFonts w:hint="default"/>
        <w:lang w:val="en-gb" w:eastAsia="en-gb" w:bidi="en-gb"/>
      </w:rPr>
    </w:lvl>
    <w:lvl w:ilvl="8">
      <w:start w:val="0"/>
      <w:numFmt w:val="bullet"/>
      <w:lvlText w:val="•"/>
      <w:lvlJc w:val="left"/>
      <w:pPr>
        <w:ind w:left="8986" w:hanging="681"/>
      </w:pPr>
      <w:rPr>
        <w:rFonts w:hint="default"/>
        <w:lang w:val="en-gb" w:eastAsia="en-gb" w:bidi="en-gb"/>
      </w:rPr>
    </w:lvl>
  </w:abstractNum>
  <w:abstractNum w:abstractNumId="28">
    <w:multiLevelType w:val="hybridMultilevel"/>
    <w:lvl w:ilvl="0">
      <w:start w:val="1"/>
      <w:numFmt w:val="lowerLetter"/>
      <w:lvlText w:val="%1)"/>
      <w:lvlJc w:val="left"/>
      <w:pPr>
        <w:ind w:left="1213"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27">
    <w:multiLevelType w:val="hybridMultilevel"/>
    <w:lvl w:ilvl="0">
      <w:start w:val="6"/>
      <w:numFmt w:val="decimal"/>
      <w:lvlText w:val="%1"/>
      <w:lvlJc w:val="left"/>
      <w:pPr>
        <w:ind w:left="1213" w:hanging="681"/>
        <w:jc w:val="left"/>
      </w:pPr>
      <w:rPr>
        <w:rFonts w:hint="default"/>
        <w:lang w:val="en-gb" w:eastAsia="en-gb" w:bidi="en-gb"/>
      </w:rPr>
    </w:lvl>
    <w:lvl w:ilvl="1">
      <w:start w:val="2"/>
      <w:numFmt w:val="decimal"/>
      <w:lvlText w:val="%1.%2"/>
      <w:lvlJc w:val="left"/>
      <w:pPr>
        <w:ind w:left="1213" w:hanging="681"/>
        <w:jc w:val="left"/>
      </w:pPr>
      <w:rPr>
        <w:rFonts w:hint="default"/>
        <w:lang w:val="en-gb" w:eastAsia="en-gb" w:bidi="en-gb"/>
      </w:rPr>
    </w:lvl>
    <w:lvl w:ilvl="2">
      <w:start w:val="1"/>
      <w:numFmt w:val="decimal"/>
      <w:lvlText w:val="%1.%2.%3"/>
      <w:lvlJc w:val="left"/>
      <w:pPr>
        <w:ind w:left="1213"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26">
    <w:multiLevelType w:val="hybridMultilevel"/>
    <w:lvl w:ilvl="0">
      <w:start w:val="1"/>
      <w:numFmt w:val="lowerLetter"/>
      <w:lvlText w:val="%1)"/>
      <w:lvlJc w:val="left"/>
      <w:pPr>
        <w:ind w:left="1964"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84" w:hanging="681"/>
      </w:pPr>
      <w:rPr>
        <w:rFonts w:hint="default"/>
        <w:lang w:val="en-gb" w:eastAsia="en-gb" w:bidi="en-gb"/>
      </w:rPr>
    </w:lvl>
    <w:lvl w:ilvl="2">
      <w:start w:val="0"/>
      <w:numFmt w:val="bullet"/>
      <w:lvlText w:val="•"/>
      <w:lvlJc w:val="left"/>
      <w:pPr>
        <w:ind w:left="3809" w:hanging="681"/>
      </w:pPr>
      <w:rPr>
        <w:rFonts w:hint="default"/>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24">
    <w:multiLevelType w:val="hybridMultilevel"/>
    <w:lvl w:ilvl="0">
      <w:start w:val="1"/>
      <w:numFmt w:val="decimal"/>
      <w:lvlText w:val="%1."/>
      <w:lvlJc w:val="left"/>
      <w:pPr>
        <w:ind w:left="547" w:hanging="681"/>
        <w:jc w:val="left"/>
      </w:pPr>
      <w:rPr>
        <w:rFonts w:hint="default" w:ascii="Calibri" w:hAnsi="Calibri" w:eastAsia="Calibri" w:cs="Calibri"/>
        <w:spacing w:val="-13"/>
        <w:w w:val="125"/>
        <w:sz w:val="20"/>
        <w:szCs w:val="20"/>
        <w:lang w:val="en-gb" w:eastAsia="en-gb" w:bidi="en-gb"/>
      </w:rPr>
    </w:lvl>
    <w:lvl w:ilvl="1">
      <w:start w:val="1"/>
      <w:numFmt w:val="decimal"/>
      <w:lvlText w:val="%2."/>
      <w:lvlJc w:val="left"/>
      <w:pPr>
        <w:ind w:left="1964" w:hanging="681"/>
        <w:jc w:val="right"/>
      </w:pPr>
      <w:rPr>
        <w:rFonts w:hint="default" w:ascii="Calibri" w:hAnsi="Calibri" w:eastAsia="Calibri" w:cs="Calibri"/>
        <w:spacing w:val="-13"/>
        <w:w w:val="125"/>
        <w:sz w:val="20"/>
        <w:szCs w:val="20"/>
        <w:lang w:val="en-gb" w:eastAsia="en-gb" w:bidi="en-gb"/>
      </w:rPr>
    </w:lvl>
    <w:lvl w:ilvl="2">
      <w:start w:val="0"/>
      <w:numFmt w:val="bullet"/>
      <w:lvlText w:val="•"/>
      <w:lvlJc w:val="left"/>
      <w:pPr>
        <w:ind w:left="2987" w:hanging="681"/>
      </w:pPr>
      <w:rPr>
        <w:rFonts w:hint="default"/>
        <w:lang w:val="en-gb" w:eastAsia="en-gb" w:bidi="en-gb"/>
      </w:rPr>
    </w:lvl>
    <w:lvl w:ilvl="3">
      <w:start w:val="0"/>
      <w:numFmt w:val="bullet"/>
      <w:lvlText w:val="•"/>
      <w:lvlJc w:val="left"/>
      <w:pPr>
        <w:ind w:left="4014" w:hanging="681"/>
      </w:pPr>
      <w:rPr>
        <w:rFonts w:hint="default"/>
        <w:lang w:val="en-gb" w:eastAsia="en-gb" w:bidi="en-gb"/>
      </w:rPr>
    </w:lvl>
    <w:lvl w:ilvl="4">
      <w:start w:val="0"/>
      <w:numFmt w:val="bullet"/>
      <w:lvlText w:val="•"/>
      <w:lvlJc w:val="left"/>
      <w:pPr>
        <w:ind w:left="5041" w:hanging="681"/>
      </w:pPr>
      <w:rPr>
        <w:rFonts w:hint="default"/>
        <w:lang w:val="en-gb" w:eastAsia="en-gb" w:bidi="en-gb"/>
      </w:rPr>
    </w:lvl>
    <w:lvl w:ilvl="5">
      <w:start w:val="0"/>
      <w:numFmt w:val="bullet"/>
      <w:lvlText w:val="•"/>
      <w:lvlJc w:val="left"/>
      <w:pPr>
        <w:ind w:left="6069" w:hanging="681"/>
      </w:pPr>
      <w:rPr>
        <w:rFonts w:hint="default"/>
        <w:lang w:val="en-gb" w:eastAsia="en-gb" w:bidi="en-gb"/>
      </w:rPr>
    </w:lvl>
    <w:lvl w:ilvl="6">
      <w:start w:val="0"/>
      <w:numFmt w:val="bullet"/>
      <w:lvlText w:val="•"/>
      <w:lvlJc w:val="left"/>
      <w:pPr>
        <w:ind w:left="7096" w:hanging="681"/>
      </w:pPr>
      <w:rPr>
        <w:rFonts w:hint="default"/>
        <w:lang w:val="en-gb" w:eastAsia="en-gb" w:bidi="en-gb"/>
      </w:rPr>
    </w:lvl>
    <w:lvl w:ilvl="7">
      <w:start w:val="0"/>
      <w:numFmt w:val="bullet"/>
      <w:lvlText w:val="•"/>
      <w:lvlJc w:val="left"/>
      <w:pPr>
        <w:ind w:left="8123" w:hanging="681"/>
      </w:pPr>
      <w:rPr>
        <w:rFonts w:hint="default"/>
        <w:lang w:val="en-gb" w:eastAsia="en-gb" w:bidi="en-gb"/>
      </w:rPr>
    </w:lvl>
    <w:lvl w:ilvl="8">
      <w:start w:val="0"/>
      <w:numFmt w:val="bullet"/>
      <w:lvlText w:val="•"/>
      <w:lvlJc w:val="left"/>
      <w:pPr>
        <w:ind w:left="9150" w:hanging="681"/>
      </w:pPr>
      <w:rPr>
        <w:rFonts w:hint="default"/>
        <w:lang w:val="en-gb" w:eastAsia="en-gb" w:bidi="en-gb"/>
      </w:rPr>
    </w:lvl>
  </w:abstractNum>
  <w:abstractNum w:abstractNumId="23">
    <w:multiLevelType w:val="hybridMultilevel"/>
    <w:lvl w:ilvl="0">
      <w:start w:val="1"/>
      <w:numFmt w:val="lowerLetter"/>
      <w:lvlText w:val="%1)"/>
      <w:lvlJc w:val="left"/>
      <w:pPr>
        <w:ind w:left="1227"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218" w:hanging="681"/>
      </w:pPr>
      <w:rPr>
        <w:rFonts w:hint="default"/>
        <w:lang w:val="en-gb" w:eastAsia="en-gb" w:bidi="en-gb"/>
      </w:rPr>
    </w:lvl>
    <w:lvl w:ilvl="2">
      <w:start w:val="0"/>
      <w:numFmt w:val="bullet"/>
      <w:lvlText w:val="•"/>
      <w:lvlJc w:val="left"/>
      <w:pPr>
        <w:ind w:left="3217" w:hanging="681"/>
      </w:pPr>
      <w:rPr>
        <w:rFonts w:hint="default"/>
        <w:lang w:val="en-gb" w:eastAsia="en-gb" w:bidi="en-gb"/>
      </w:rPr>
    </w:lvl>
    <w:lvl w:ilvl="3">
      <w:start w:val="0"/>
      <w:numFmt w:val="bullet"/>
      <w:lvlText w:val="•"/>
      <w:lvlJc w:val="left"/>
      <w:pPr>
        <w:ind w:left="4215" w:hanging="681"/>
      </w:pPr>
      <w:rPr>
        <w:rFonts w:hint="default"/>
        <w:lang w:val="en-gb" w:eastAsia="en-gb" w:bidi="en-gb"/>
      </w:rPr>
    </w:lvl>
    <w:lvl w:ilvl="4">
      <w:start w:val="0"/>
      <w:numFmt w:val="bullet"/>
      <w:lvlText w:val="•"/>
      <w:lvlJc w:val="left"/>
      <w:pPr>
        <w:ind w:left="5214" w:hanging="681"/>
      </w:pPr>
      <w:rPr>
        <w:rFonts w:hint="default"/>
        <w:lang w:val="en-gb" w:eastAsia="en-gb" w:bidi="en-gb"/>
      </w:rPr>
    </w:lvl>
    <w:lvl w:ilvl="5">
      <w:start w:val="0"/>
      <w:numFmt w:val="bullet"/>
      <w:lvlText w:val="•"/>
      <w:lvlJc w:val="left"/>
      <w:pPr>
        <w:ind w:left="6212" w:hanging="681"/>
      </w:pPr>
      <w:rPr>
        <w:rFonts w:hint="default"/>
        <w:lang w:val="en-gb" w:eastAsia="en-gb" w:bidi="en-gb"/>
      </w:rPr>
    </w:lvl>
    <w:lvl w:ilvl="6">
      <w:start w:val="0"/>
      <w:numFmt w:val="bullet"/>
      <w:lvlText w:val="•"/>
      <w:lvlJc w:val="left"/>
      <w:pPr>
        <w:ind w:left="7211" w:hanging="681"/>
      </w:pPr>
      <w:rPr>
        <w:rFonts w:hint="default"/>
        <w:lang w:val="en-gb" w:eastAsia="en-gb" w:bidi="en-gb"/>
      </w:rPr>
    </w:lvl>
    <w:lvl w:ilvl="7">
      <w:start w:val="0"/>
      <w:numFmt w:val="bullet"/>
      <w:lvlText w:val="•"/>
      <w:lvlJc w:val="left"/>
      <w:pPr>
        <w:ind w:left="8209" w:hanging="681"/>
      </w:pPr>
      <w:rPr>
        <w:rFonts w:hint="default"/>
        <w:lang w:val="en-gb" w:eastAsia="en-gb" w:bidi="en-gb"/>
      </w:rPr>
    </w:lvl>
    <w:lvl w:ilvl="8">
      <w:start w:val="0"/>
      <w:numFmt w:val="bullet"/>
      <w:lvlText w:val="•"/>
      <w:lvlJc w:val="left"/>
      <w:pPr>
        <w:ind w:left="9208" w:hanging="681"/>
      </w:pPr>
      <w:rPr>
        <w:rFonts w:hint="default"/>
        <w:lang w:val="en-gb" w:eastAsia="en-gb" w:bidi="en-gb"/>
      </w:rPr>
    </w:lvl>
  </w:abstractNum>
  <w:abstractNum w:abstractNumId="22">
    <w:multiLevelType w:val="hybridMultilevel"/>
    <w:lvl w:ilvl="0">
      <w:start w:val="5"/>
      <w:numFmt w:val="decimal"/>
      <w:lvlText w:val="%1"/>
      <w:lvlJc w:val="left"/>
      <w:pPr>
        <w:ind w:left="547" w:hanging="681"/>
        <w:jc w:val="left"/>
      </w:pPr>
      <w:rPr>
        <w:rFonts w:hint="default"/>
        <w:lang w:val="en-gb" w:eastAsia="en-gb" w:bidi="en-gb"/>
      </w:rPr>
    </w:lvl>
    <w:lvl w:ilvl="1">
      <w:start w:val="6"/>
      <w:numFmt w:val="decimal"/>
      <w:lvlText w:val="%1.%2"/>
      <w:lvlJc w:val="left"/>
      <w:pPr>
        <w:ind w:left="547" w:hanging="681"/>
        <w:jc w:val="left"/>
      </w:pPr>
      <w:rPr>
        <w:rFonts w:hint="default"/>
        <w:lang w:val="en-gb" w:eastAsia="en-gb" w:bidi="en-gb"/>
      </w:rPr>
    </w:lvl>
    <w:lvl w:ilvl="2">
      <w:start w:val="1"/>
      <w:numFmt w:val="decimal"/>
      <w:lvlText w:val="%1.%2.%3"/>
      <w:lvlJc w:val="left"/>
      <w:pPr>
        <w:ind w:left="54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1964" w:hanging="681"/>
      </w:pPr>
      <w:rPr>
        <w:rFonts w:hint="default" w:ascii="Symbol" w:hAnsi="Symbol" w:eastAsia="Symbol" w:cs="Symbol"/>
        <w:w w:val="110"/>
        <w:position w:val="-3"/>
        <w:sz w:val="20"/>
        <w:szCs w:val="20"/>
        <w:lang w:val="en-gb" w:eastAsia="en-gb" w:bidi="en-gb"/>
      </w:rPr>
    </w:lvl>
    <w:lvl w:ilvl="4">
      <w:start w:val="0"/>
      <w:numFmt w:val="bullet"/>
      <w:lvlText w:val="•"/>
      <w:lvlJc w:val="left"/>
      <w:pPr>
        <w:ind w:left="5041" w:hanging="681"/>
      </w:pPr>
      <w:rPr>
        <w:rFonts w:hint="default"/>
        <w:lang w:val="en-gb" w:eastAsia="en-gb" w:bidi="en-gb"/>
      </w:rPr>
    </w:lvl>
    <w:lvl w:ilvl="5">
      <w:start w:val="0"/>
      <w:numFmt w:val="bullet"/>
      <w:lvlText w:val="•"/>
      <w:lvlJc w:val="left"/>
      <w:pPr>
        <w:ind w:left="6069" w:hanging="681"/>
      </w:pPr>
      <w:rPr>
        <w:rFonts w:hint="default"/>
        <w:lang w:val="en-gb" w:eastAsia="en-gb" w:bidi="en-gb"/>
      </w:rPr>
    </w:lvl>
    <w:lvl w:ilvl="6">
      <w:start w:val="0"/>
      <w:numFmt w:val="bullet"/>
      <w:lvlText w:val="•"/>
      <w:lvlJc w:val="left"/>
      <w:pPr>
        <w:ind w:left="7096" w:hanging="681"/>
      </w:pPr>
      <w:rPr>
        <w:rFonts w:hint="default"/>
        <w:lang w:val="en-gb" w:eastAsia="en-gb" w:bidi="en-gb"/>
      </w:rPr>
    </w:lvl>
    <w:lvl w:ilvl="7">
      <w:start w:val="0"/>
      <w:numFmt w:val="bullet"/>
      <w:lvlText w:val="•"/>
      <w:lvlJc w:val="left"/>
      <w:pPr>
        <w:ind w:left="8123" w:hanging="681"/>
      </w:pPr>
      <w:rPr>
        <w:rFonts w:hint="default"/>
        <w:lang w:val="en-gb" w:eastAsia="en-gb" w:bidi="en-gb"/>
      </w:rPr>
    </w:lvl>
    <w:lvl w:ilvl="8">
      <w:start w:val="0"/>
      <w:numFmt w:val="bullet"/>
      <w:lvlText w:val="•"/>
      <w:lvlJc w:val="left"/>
      <w:pPr>
        <w:ind w:left="9150" w:hanging="681"/>
      </w:pPr>
      <w:rPr>
        <w:rFonts w:hint="default"/>
        <w:lang w:val="en-gb" w:eastAsia="en-gb" w:bidi="en-gb"/>
      </w:rPr>
    </w:lvl>
  </w:abstractNum>
  <w:abstractNum w:abstractNumId="21">
    <w:multiLevelType w:val="hybridMultilevel"/>
    <w:lvl w:ilvl="0">
      <w:start w:val="4"/>
      <w:numFmt w:val="decimal"/>
      <w:lvlText w:val="%1"/>
      <w:lvlJc w:val="left"/>
      <w:pPr>
        <w:ind w:left="1227" w:hanging="681"/>
        <w:jc w:val="left"/>
      </w:pPr>
      <w:rPr>
        <w:rFonts w:hint="default"/>
        <w:lang w:val="en-gb" w:eastAsia="en-gb" w:bidi="en-gb"/>
      </w:rPr>
    </w:lvl>
    <w:lvl w:ilvl="1">
      <w:start w:val="1"/>
      <w:numFmt w:val="decimal"/>
      <w:lvlText w:val="%1.%2"/>
      <w:lvlJc w:val="left"/>
      <w:pPr>
        <w:ind w:left="1227" w:hanging="681"/>
        <w:jc w:val="right"/>
      </w:pPr>
      <w:rPr>
        <w:rFonts w:hint="default" w:ascii="Stone Sans II ITC Std Bk" w:hAnsi="Stone Sans II ITC Std Bk" w:eastAsia="Stone Sans II ITC Std Bk" w:cs="Stone Sans II ITC Std Bk"/>
        <w:b/>
        <w:bCs/>
        <w:spacing w:val="-23"/>
        <w:w w:val="110"/>
        <w:sz w:val="29"/>
        <w:szCs w:val="29"/>
        <w:lang w:val="en-gb" w:eastAsia="en-gb" w:bidi="en-gb"/>
      </w:rPr>
    </w:lvl>
    <w:lvl w:ilvl="2">
      <w:start w:val="1"/>
      <w:numFmt w:val="decimal"/>
      <w:lvlText w:val="%1.%2.%3"/>
      <w:lvlJc w:val="left"/>
      <w:pPr>
        <w:ind w:left="1936" w:hanging="681"/>
        <w:jc w:val="right"/>
      </w:pPr>
      <w:rPr>
        <w:rFonts w:hint="default"/>
        <w:b/>
        <w:bCs/>
        <w:spacing w:val="-18"/>
        <w:w w:val="110"/>
        <w:lang w:val="en-gb" w:eastAsia="en-gb" w:bidi="en-gb"/>
      </w:rPr>
    </w:lvl>
    <w:lvl w:ilvl="3">
      <w:start w:val="0"/>
      <w:numFmt w:val="bullet"/>
      <w:lvlText w:val="•"/>
      <w:lvlJc w:val="left"/>
      <w:pPr>
        <w:ind w:left="3098" w:hanging="681"/>
      </w:pPr>
      <w:rPr>
        <w:rFonts w:hint="default"/>
        <w:lang w:val="en-gb" w:eastAsia="en-gb" w:bidi="en-gb"/>
      </w:rPr>
    </w:lvl>
    <w:lvl w:ilvl="4">
      <w:start w:val="0"/>
      <w:numFmt w:val="bullet"/>
      <w:lvlText w:val="•"/>
      <w:lvlJc w:val="left"/>
      <w:pPr>
        <w:ind w:left="4256" w:hanging="681"/>
      </w:pPr>
      <w:rPr>
        <w:rFonts w:hint="default"/>
        <w:lang w:val="en-gb" w:eastAsia="en-gb" w:bidi="en-gb"/>
      </w:rPr>
    </w:lvl>
    <w:lvl w:ilvl="5">
      <w:start w:val="0"/>
      <w:numFmt w:val="bullet"/>
      <w:lvlText w:val="•"/>
      <w:lvlJc w:val="left"/>
      <w:pPr>
        <w:ind w:left="5414" w:hanging="681"/>
      </w:pPr>
      <w:rPr>
        <w:rFonts w:hint="default"/>
        <w:lang w:val="en-gb" w:eastAsia="en-gb" w:bidi="en-gb"/>
      </w:rPr>
    </w:lvl>
    <w:lvl w:ilvl="6">
      <w:start w:val="0"/>
      <w:numFmt w:val="bullet"/>
      <w:lvlText w:val="•"/>
      <w:lvlJc w:val="left"/>
      <w:pPr>
        <w:ind w:left="6572" w:hanging="681"/>
      </w:pPr>
      <w:rPr>
        <w:rFonts w:hint="default"/>
        <w:lang w:val="en-gb" w:eastAsia="en-gb" w:bidi="en-gb"/>
      </w:rPr>
    </w:lvl>
    <w:lvl w:ilvl="7">
      <w:start w:val="0"/>
      <w:numFmt w:val="bullet"/>
      <w:lvlText w:val="•"/>
      <w:lvlJc w:val="left"/>
      <w:pPr>
        <w:ind w:left="7730" w:hanging="681"/>
      </w:pPr>
      <w:rPr>
        <w:rFonts w:hint="default"/>
        <w:lang w:val="en-gb" w:eastAsia="en-gb" w:bidi="en-gb"/>
      </w:rPr>
    </w:lvl>
    <w:lvl w:ilvl="8">
      <w:start w:val="0"/>
      <w:numFmt w:val="bullet"/>
      <w:lvlText w:val="•"/>
      <w:lvlJc w:val="left"/>
      <w:pPr>
        <w:ind w:left="8889" w:hanging="681"/>
      </w:pPr>
      <w:rPr>
        <w:rFonts w:hint="default"/>
        <w:lang w:val="en-gb" w:eastAsia="en-gb" w:bidi="en-gb"/>
      </w:rPr>
    </w:lvl>
  </w:abstractNum>
  <w:abstractNum w:abstractNumId="20">
    <w:multiLevelType w:val="hybridMultilevel"/>
    <w:lvl w:ilvl="0">
      <w:start w:val="0"/>
      <w:numFmt w:val="bullet"/>
      <w:lvlText w:val=""/>
      <w:lvlJc w:val="left"/>
      <w:pPr>
        <w:ind w:left="1227" w:hanging="681"/>
      </w:pPr>
      <w:rPr>
        <w:rFonts w:hint="default" w:ascii="Symbol" w:hAnsi="Symbol" w:eastAsia="Symbol" w:cs="Symbol"/>
        <w:w w:val="110"/>
        <w:sz w:val="20"/>
        <w:szCs w:val="20"/>
        <w:lang w:val="en-gb" w:eastAsia="en-gb" w:bidi="en-gb"/>
      </w:rPr>
    </w:lvl>
    <w:lvl w:ilvl="1">
      <w:start w:val="0"/>
      <w:numFmt w:val="bullet"/>
      <w:lvlText w:val=""/>
      <w:lvlJc w:val="left"/>
      <w:pPr>
        <w:ind w:left="1964" w:hanging="681"/>
      </w:pPr>
      <w:rPr>
        <w:rFonts w:hint="default" w:ascii="Symbol" w:hAnsi="Symbol" w:eastAsia="Symbol" w:cs="Symbol"/>
        <w:w w:val="110"/>
        <w:sz w:val="20"/>
        <w:szCs w:val="20"/>
        <w:lang w:val="en-gb" w:eastAsia="en-gb" w:bidi="en-gb"/>
      </w:rPr>
    </w:lvl>
    <w:lvl w:ilvl="2">
      <w:start w:val="0"/>
      <w:numFmt w:val="bullet"/>
      <w:lvlText w:val="•"/>
      <w:lvlJc w:val="left"/>
      <w:pPr>
        <w:ind w:left="2987" w:hanging="681"/>
      </w:pPr>
      <w:rPr>
        <w:rFonts w:hint="default"/>
        <w:lang w:val="en-gb" w:eastAsia="en-gb" w:bidi="en-gb"/>
      </w:rPr>
    </w:lvl>
    <w:lvl w:ilvl="3">
      <w:start w:val="0"/>
      <w:numFmt w:val="bullet"/>
      <w:lvlText w:val="•"/>
      <w:lvlJc w:val="left"/>
      <w:pPr>
        <w:ind w:left="4014" w:hanging="681"/>
      </w:pPr>
      <w:rPr>
        <w:rFonts w:hint="default"/>
        <w:lang w:val="en-gb" w:eastAsia="en-gb" w:bidi="en-gb"/>
      </w:rPr>
    </w:lvl>
    <w:lvl w:ilvl="4">
      <w:start w:val="0"/>
      <w:numFmt w:val="bullet"/>
      <w:lvlText w:val="•"/>
      <w:lvlJc w:val="left"/>
      <w:pPr>
        <w:ind w:left="5041" w:hanging="681"/>
      </w:pPr>
      <w:rPr>
        <w:rFonts w:hint="default"/>
        <w:lang w:val="en-gb" w:eastAsia="en-gb" w:bidi="en-gb"/>
      </w:rPr>
    </w:lvl>
    <w:lvl w:ilvl="5">
      <w:start w:val="0"/>
      <w:numFmt w:val="bullet"/>
      <w:lvlText w:val="•"/>
      <w:lvlJc w:val="left"/>
      <w:pPr>
        <w:ind w:left="6069" w:hanging="681"/>
      </w:pPr>
      <w:rPr>
        <w:rFonts w:hint="default"/>
        <w:lang w:val="en-gb" w:eastAsia="en-gb" w:bidi="en-gb"/>
      </w:rPr>
    </w:lvl>
    <w:lvl w:ilvl="6">
      <w:start w:val="0"/>
      <w:numFmt w:val="bullet"/>
      <w:lvlText w:val="•"/>
      <w:lvlJc w:val="left"/>
      <w:pPr>
        <w:ind w:left="7096" w:hanging="681"/>
      </w:pPr>
      <w:rPr>
        <w:rFonts w:hint="default"/>
        <w:lang w:val="en-gb" w:eastAsia="en-gb" w:bidi="en-gb"/>
      </w:rPr>
    </w:lvl>
    <w:lvl w:ilvl="7">
      <w:start w:val="0"/>
      <w:numFmt w:val="bullet"/>
      <w:lvlText w:val="•"/>
      <w:lvlJc w:val="left"/>
      <w:pPr>
        <w:ind w:left="8123" w:hanging="681"/>
      </w:pPr>
      <w:rPr>
        <w:rFonts w:hint="default"/>
        <w:lang w:val="en-gb" w:eastAsia="en-gb" w:bidi="en-gb"/>
      </w:rPr>
    </w:lvl>
    <w:lvl w:ilvl="8">
      <w:start w:val="0"/>
      <w:numFmt w:val="bullet"/>
      <w:lvlText w:val="•"/>
      <w:lvlJc w:val="left"/>
      <w:pPr>
        <w:ind w:left="9150" w:hanging="681"/>
      </w:pPr>
      <w:rPr>
        <w:rFonts w:hint="default"/>
        <w:lang w:val="en-gb" w:eastAsia="en-gb" w:bidi="en-gb"/>
      </w:rPr>
    </w:lvl>
  </w:abstractNum>
  <w:abstractNum w:abstractNumId="18">
    <w:multiLevelType w:val="hybridMultilevel"/>
    <w:lvl w:ilvl="0">
      <w:start w:val="4"/>
      <w:numFmt w:val="decimal"/>
      <w:lvlText w:val="%1."/>
      <w:lvlJc w:val="left"/>
      <w:pPr>
        <w:ind w:left="1284" w:hanging="681"/>
        <w:jc w:val="left"/>
      </w:pPr>
      <w:rPr>
        <w:rFonts w:hint="default" w:ascii="Calibri" w:hAnsi="Calibri" w:eastAsia="Calibri" w:cs="Calibri"/>
        <w:spacing w:val="-4"/>
        <w:w w:val="125"/>
        <w:sz w:val="20"/>
        <w:szCs w:val="20"/>
        <w:lang w:val="en-gb" w:eastAsia="en-gb" w:bidi="en-gb"/>
      </w:rPr>
    </w:lvl>
    <w:lvl w:ilvl="1">
      <w:start w:val="0"/>
      <w:numFmt w:val="bullet"/>
      <w:lvlText w:val="•"/>
      <w:lvlJc w:val="left"/>
      <w:pPr>
        <w:ind w:left="2272" w:hanging="681"/>
      </w:pPr>
      <w:rPr>
        <w:rFonts w:hint="default"/>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17">
    <w:multiLevelType w:val="hybridMultilevel"/>
    <w:lvl w:ilvl="0">
      <w:start w:val="3"/>
      <w:numFmt w:val="decimal"/>
      <w:lvlText w:val="%1"/>
      <w:lvlJc w:val="left"/>
      <w:pPr>
        <w:ind w:left="1284" w:hanging="681"/>
        <w:jc w:val="left"/>
      </w:pPr>
      <w:rPr>
        <w:rFonts w:hint="default"/>
        <w:lang w:val="en-gb" w:eastAsia="en-gb" w:bidi="en-gb"/>
      </w:rPr>
    </w:lvl>
    <w:lvl w:ilvl="1">
      <w:start w:val="1"/>
      <w:numFmt w:val="decimal"/>
      <w:lvlText w:val="%1.%2"/>
      <w:lvlJc w:val="left"/>
      <w:pPr>
        <w:ind w:left="128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15">
    <w:multiLevelType w:val="hybridMultilevel"/>
    <w:lvl w:ilvl="0">
      <w:start w:val="3"/>
      <w:numFmt w:val="decimal"/>
      <w:lvlText w:val="%1"/>
      <w:lvlJc w:val="left"/>
      <w:pPr>
        <w:ind w:left="1284" w:hanging="681"/>
        <w:jc w:val="left"/>
      </w:pPr>
      <w:rPr>
        <w:rFonts w:hint="default"/>
        <w:lang w:val="en-gb" w:eastAsia="en-gb" w:bidi="en-gb"/>
      </w:rPr>
    </w:lvl>
    <w:lvl w:ilvl="1">
      <w:start w:val="18"/>
      <w:numFmt w:val="decimal"/>
      <w:lvlText w:val="%1.%2"/>
      <w:lvlJc w:val="left"/>
      <w:pPr>
        <w:ind w:left="128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14">
    <w:multiLevelType w:val="hybridMultilevel"/>
    <w:lvl w:ilvl="0">
      <w:start w:val="3"/>
      <w:numFmt w:val="decimal"/>
      <w:lvlText w:val="%1."/>
      <w:lvlJc w:val="left"/>
      <w:pPr>
        <w:ind w:left="1964" w:hanging="681"/>
        <w:jc w:val="left"/>
      </w:pPr>
      <w:rPr>
        <w:rFonts w:hint="default" w:ascii="Stone Sans II ITC Std Bk" w:hAnsi="Stone Sans II ITC Std Bk" w:eastAsia="Stone Sans II ITC Std Bk" w:cs="Stone Sans II ITC Std Bk"/>
        <w:b/>
        <w:bCs/>
        <w:spacing w:val="-3"/>
        <w:w w:val="110"/>
        <w:sz w:val="29"/>
        <w:szCs w:val="29"/>
        <w:lang w:val="en-gb" w:eastAsia="en-gb" w:bidi="en-gb"/>
      </w:rPr>
    </w:lvl>
    <w:lvl w:ilvl="1">
      <w:start w:val="1"/>
      <w:numFmt w:val="decimal"/>
      <w:lvlText w:val="%1.%2"/>
      <w:lvlJc w:val="left"/>
      <w:pPr>
        <w:ind w:left="1284" w:hanging="681"/>
        <w:jc w:val="right"/>
      </w:pPr>
      <w:rPr>
        <w:rFonts w:hint="default"/>
        <w:spacing w:val="-18"/>
        <w:w w:val="125"/>
        <w:lang w:val="en-gb" w:eastAsia="en-gb" w:bidi="en-gb"/>
      </w:rPr>
    </w:lvl>
    <w:lvl w:ilvl="2">
      <w:start w:val="1"/>
      <w:numFmt w:val="decimal"/>
      <w:lvlText w:val="%1.%2.%3"/>
      <w:lvlJc w:val="left"/>
      <w:pPr>
        <w:ind w:left="1227" w:hanging="681"/>
        <w:jc w:val="left"/>
      </w:pPr>
      <w:rPr>
        <w:rFonts w:hint="default" w:ascii="Calibri" w:hAnsi="Calibri" w:eastAsia="Calibri" w:cs="Calibri"/>
        <w:spacing w:val="-18"/>
        <w:w w:val="125"/>
        <w:sz w:val="20"/>
        <w:szCs w:val="20"/>
        <w:lang w:val="en-gb" w:eastAsia="en-gb" w:bidi="en-gb"/>
      </w:rPr>
    </w:lvl>
    <w:lvl w:ilvl="3">
      <w:start w:val="0"/>
      <w:numFmt w:val="bullet"/>
      <w:lvlText w:val="•"/>
      <w:lvlJc w:val="left"/>
      <w:pPr>
        <w:ind w:left="3115" w:hanging="681"/>
      </w:pPr>
      <w:rPr>
        <w:rFonts w:hint="default"/>
        <w:lang w:val="en-gb" w:eastAsia="en-gb" w:bidi="en-gb"/>
      </w:rPr>
    </w:lvl>
    <w:lvl w:ilvl="4">
      <w:start w:val="0"/>
      <w:numFmt w:val="bullet"/>
      <w:lvlText w:val="•"/>
      <w:lvlJc w:val="left"/>
      <w:pPr>
        <w:ind w:left="4271" w:hanging="681"/>
      </w:pPr>
      <w:rPr>
        <w:rFonts w:hint="default"/>
        <w:lang w:val="en-gb" w:eastAsia="en-gb" w:bidi="en-gb"/>
      </w:rPr>
    </w:lvl>
    <w:lvl w:ilvl="5">
      <w:start w:val="0"/>
      <w:numFmt w:val="bullet"/>
      <w:lvlText w:val="•"/>
      <w:lvlJc w:val="left"/>
      <w:pPr>
        <w:ind w:left="5427" w:hanging="681"/>
      </w:pPr>
      <w:rPr>
        <w:rFonts w:hint="default"/>
        <w:lang w:val="en-gb" w:eastAsia="en-gb" w:bidi="en-gb"/>
      </w:rPr>
    </w:lvl>
    <w:lvl w:ilvl="6">
      <w:start w:val="0"/>
      <w:numFmt w:val="bullet"/>
      <w:lvlText w:val="•"/>
      <w:lvlJc w:val="left"/>
      <w:pPr>
        <w:ind w:left="6582" w:hanging="681"/>
      </w:pPr>
      <w:rPr>
        <w:rFonts w:hint="default"/>
        <w:lang w:val="en-gb" w:eastAsia="en-gb" w:bidi="en-gb"/>
      </w:rPr>
    </w:lvl>
    <w:lvl w:ilvl="7">
      <w:start w:val="0"/>
      <w:numFmt w:val="bullet"/>
      <w:lvlText w:val="•"/>
      <w:lvlJc w:val="left"/>
      <w:pPr>
        <w:ind w:left="7738" w:hanging="681"/>
      </w:pPr>
      <w:rPr>
        <w:rFonts w:hint="default"/>
        <w:lang w:val="en-gb" w:eastAsia="en-gb" w:bidi="en-gb"/>
      </w:rPr>
    </w:lvl>
    <w:lvl w:ilvl="8">
      <w:start w:val="0"/>
      <w:numFmt w:val="bullet"/>
      <w:lvlText w:val="•"/>
      <w:lvlJc w:val="left"/>
      <w:pPr>
        <w:ind w:left="8894" w:hanging="681"/>
      </w:pPr>
      <w:rPr>
        <w:rFonts w:hint="default"/>
        <w:lang w:val="en-gb" w:eastAsia="en-gb" w:bidi="en-gb"/>
      </w:rPr>
    </w:lvl>
  </w:abstractNum>
  <w:abstractNum w:abstractNumId="12">
    <w:multiLevelType w:val="hybridMultilevel"/>
    <w:lvl w:ilvl="0">
      <w:start w:val="0"/>
      <w:numFmt w:val="bullet"/>
      <w:lvlText w:val=""/>
      <w:lvlJc w:val="left"/>
      <w:pPr>
        <w:ind w:left="261" w:hanging="182"/>
      </w:pPr>
      <w:rPr>
        <w:rFonts w:hint="default" w:ascii="Symbol" w:hAnsi="Symbol" w:eastAsia="Symbol" w:cs="Symbol"/>
        <w:w w:val="110"/>
        <w:sz w:val="20"/>
        <w:szCs w:val="20"/>
        <w:lang w:val="en-gb" w:eastAsia="en-gb" w:bidi="en-gb"/>
      </w:rPr>
    </w:lvl>
    <w:lvl w:ilvl="1">
      <w:start w:val="0"/>
      <w:numFmt w:val="bullet"/>
      <w:lvlText w:val="•"/>
      <w:lvlJc w:val="left"/>
      <w:pPr>
        <w:ind w:left="891" w:hanging="182"/>
      </w:pPr>
      <w:rPr>
        <w:rFonts w:hint="default"/>
        <w:lang w:val="en-gb" w:eastAsia="en-gb" w:bidi="en-gb"/>
      </w:rPr>
    </w:lvl>
    <w:lvl w:ilvl="2">
      <w:start w:val="0"/>
      <w:numFmt w:val="bullet"/>
      <w:lvlText w:val="•"/>
      <w:lvlJc w:val="left"/>
      <w:pPr>
        <w:ind w:left="1522" w:hanging="182"/>
      </w:pPr>
      <w:rPr>
        <w:rFonts w:hint="default"/>
        <w:lang w:val="en-gb" w:eastAsia="en-gb" w:bidi="en-gb"/>
      </w:rPr>
    </w:lvl>
    <w:lvl w:ilvl="3">
      <w:start w:val="0"/>
      <w:numFmt w:val="bullet"/>
      <w:lvlText w:val="•"/>
      <w:lvlJc w:val="left"/>
      <w:pPr>
        <w:ind w:left="2153" w:hanging="182"/>
      </w:pPr>
      <w:rPr>
        <w:rFonts w:hint="default"/>
        <w:lang w:val="en-gb" w:eastAsia="en-gb" w:bidi="en-gb"/>
      </w:rPr>
    </w:lvl>
    <w:lvl w:ilvl="4">
      <w:start w:val="0"/>
      <w:numFmt w:val="bullet"/>
      <w:lvlText w:val="•"/>
      <w:lvlJc w:val="left"/>
      <w:pPr>
        <w:ind w:left="2784" w:hanging="182"/>
      </w:pPr>
      <w:rPr>
        <w:rFonts w:hint="default"/>
        <w:lang w:val="en-gb" w:eastAsia="en-gb" w:bidi="en-gb"/>
      </w:rPr>
    </w:lvl>
    <w:lvl w:ilvl="5">
      <w:start w:val="0"/>
      <w:numFmt w:val="bullet"/>
      <w:lvlText w:val="•"/>
      <w:lvlJc w:val="left"/>
      <w:pPr>
        <w:ind w:left="3416" w:hanging="182"/>
      </w:pPr>
      <w:rPr>
        <w:rFonts w:hint="default"/>
        <w:lang w:val="en-gb" w:eastAsia="en-gb" w:bidi="en-gb"/>
      </w:rPr>
    </w:lvl>
    <w:lvl w:ilvl="6">
      <w:start w:val="0"/>
      <w:numFmt w:val="bullet"/>
      <w:lvlText w:val="•"/>
      <w:lvlJc w:val="left"/>
      <w:pPr>
        <w:ind w:left="4047" w:hanging="182"/>
      </w:pPr>
      <w:rPr>
        <w:rFonts w:hint="default"/>
        <w:lang w:val="en-gb" w:eastAsia="en-gb" w:bidi="en-gb"/>
      </w:rPr>
    </w:lvl>
    <w:lvl w:ilvl="7">
      <w:start w:val="0"/>
      <w:numFmt w:val="bullet"/>
      <w:lvlText w:val="•"/>
      <w:lvlJc w:val="left"/>
      <w:pPr>
        <w:ind w:left="4678" w:hanging="182"/>
      </w:pPr>
      <w:rPr>
        <w:rFonts w:hint="default"/>
        <w:lang w:val="en-gb" w:eastAsia="en-gb" w:bidi="en-gb"/>
      </w:rPr>
    </w:lvl>
    <w:lvl w:ilvl="8">
      <w:start w:val="0"/>
      <w:numFmt w:val="bullet"/>
      <w:lvlText w:val="•"/>
      <w:lvlJc w:val="left"/>
      <w:pPr>
        <w:ind w:left="5309" w:hanging="182"/>
      </w:pPr>
      <w:rPr>
        <w:rFonts w:hint="default"/>
        <w:lang w:val="en-gb" w:eastAsia="en-gb" w:bidi="en-gb"/>
      </w:rPr>
    </w:lvl>
  </w:abstractNum>
  <w:abstractNum w:abstractNumId="11">
    <w:multiLevelType w:val="hybridMultilevel"/>
    <w:lvl w:ilvl="0">
      <w:start w:val="0"/>
      <w:numFmt w:val="bullet"/>
      <w:lvlText w:val=""/>
      <w:lvlJc w:val="left"/>
      <w:pPr>
        <w:ind w:left="261" w:hanging="182"/>
      </w:pPr>
      <w:rPr>
        <w:rFonts w:hint="default" w:ascii="Symbol" w:hAnsi="Symbol" w:eastAsia="Symbol" w:cs="Symbol"/>
        <w:w w:val="110"/>
        <w:sz w:val="20"/>
        <w:szCs w:val="20"/>
        <w:lang w:val="en-gb" w:eastAsia="en-gb" w:bidi="en-gb"/>
      </w:rPr>
    </w:lvl>
    <w:lvl w:ilvl="1">
      <w:start w:val="0"/>
      <w:numFmt w:val="bullet"/>
      <w:lvlText w:val="•"/>
      <w:lvlJc w:val="left"/>
      <w:pPr>
        <w:ind w:left="891" w:hanging="182"/>
      </w:pPr>
      <w:rPr>
        <w:rFonts w:hint="default"/>
        <w:lang w:val="en-gb" w:eastAsia="en-gb" w:bidi="en-gb"/>
      </w:rPr>
    </w:lvl>
    <w:lvl w:ilvl="2">
      <w:start w:val="0"/>
      <w:numFmt w:val="bullet"/>
      <w:lvlText w:val="•"/>
      <w:lvlJc w:val="left"/>
      <w:pPr>
        <w:ind w:left="1522" w:hanging="182"/>
      </w:pPr>
      <w:rPr>
        <w:rFonts w:hint="default"/>
        <w:lang w:val="en-gb" w:eastAsia="en-gb" w:bidi="en-gb"/>
      </w:rPr>
    </w:lvl>
    <w:lvl w:ilvl="3">
      <w:start w:val="0"/>
      <w:numFmt w:val="bullet"/>
      <w:lvlText w:val="•"/>
      <w:lvlJc w:val="left"/>
      <w:pPr>
        <w:ind w:left="2153" w:hanging="182"/>
      </w:pPr>
      <w:rPr>
        <w:rFonts w:hint="default"/>
        <w:lang w:val="en-gb" w:eastAsia="en-gb" w:bidi="en-gb"/>
      </w:rPr>
    </w:lvl>
    <w:lvl w:ilvl="4">
      <w:start w:val="0"/>
      <w:numFmt w:val="bullet"/>
      <w:lvlText w:val="•"/>
      <w:lvlJc w:val="left"/>
      <w:pPr>
        <w:ind w:left="2784" w:hanging="182"/>
      </w:pPr>
      <w:rPr>
        <w:rFonts w:hint="default"/>
        <w:lang w:val="en-gb" w:eastAsia="en-gb" w:bidi="en-gb"/>
      </w:rPr>
    </w:lvl>
    <w:lvl w:ilvl="5">
      <w:start w:val="0"/>
      <w:numFmt w:val="bullet"/>
      <w:lvlText w:val="•"/>
      <w:lvlJc w:val="left"/>
      <w:pPr>
        <w:ind w:left="3416" w:hanging="182"/>
      </w:pPr>
      <w:rPr>
        <w:rFonts w:hint="default"/>
        <w:lang w:val="en-gb" w:eastAsia="en-gb" w:bidi="en-gb"/>
      </w:rPr>
    </w:lvl>
    <w:lvl w:ilvl="6">
      <w:start w:val="0"/>
      <w:numFmt w:val="bullet"/>
      <w:lvlText w:val="•"/>
      <w:lvlJc w:val="left"/>
      <w:pPr>
        <w:ind w:left="4047" w:hanging="182"/>
      </w:pPr>
      <w:rPr>
        <w:rFonts w:hint="default"/>
        <w:lang w:val="en-gb" w:eastAsia="en-gb" w:bidi="en-gb"/>
      </w:rPr>
    </w:lvl>
    <w:lvl w:ilvl="7">
      <w:start w:val="0"/>
      <w:numFmt w:val="bullet"/>
      <w:lvlText w:val="•"/>
      <w:lvlJc w:val="left"/>
      <w:pPr>
        <w:ind w:left="4678" w:hanging="182"/>
      </w:pPr>
      <w:rPr>
        <w:rFonts w:hint="default"/>
        <w:lang w:val="en-gb" w:eastAsia="en-gb" w:bidi="en-gb"/>
      </w:rPr>
    </w:lvl>
    <w:lvl w:ilvl="8">
      <w:start w:val="0"/>
      <w:numFmt w:val="bullet"/>
      <w:lvlText w:val="•"/>
      <w:lvlJc w:val="left"/>
      <w:pPr>
        <w:ind w:left="5309" w:hanging="182"/>
      </w:pPr>
      <w:rPr>
        <w:rFonts w:hint="default"/>
        <w:lang w:val="en-gb" w:eastAsia="en-gb" w:bidi="en-gb"/>
      </w:rPr>
    </w:lvl>
  </w:abstractNum>
  <w:abstractNum w:abstractNumId="10">
    <w:multiLevelType w:val="hybridMultilevel"/>
    <w:lvl w:ilvl="0">
      <w:start w:val="4"/>
      <w:numFmt w:val="decimal"/>
      <w:lvlText w:val="%1"/>
      <w:lvlJc w:val="left"/>
      <w:pPr>
        <w:ind w:left="1284" w:hanging="681"/>
        <w:jc w:val="left"/>
      </w:pPr>
      <w:rPr>
        <w:rFonts w:hint="default"/>
        <w:lang w:val="en-gb" w:eastAsia="en-gb" w:bidi="en-gb"/>
      </w:rPr>
    </w:lvl>
    <w:lvl w:ilvl="1">
      <w:start w:val="1"/>
      <w:numFmt w:val="decimal"/>
      <w:lvlText w:val="%1.%2"/>
      <w:lvlJc w:val="left"/>
      <w:pPr>
        <w:ind w:left="128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9">
    <w:multiLevelType w:val="hybridMultilevel"/>
    <w:lvl w:ilvl="0">
      <w:start w:val="3"/>
      <w:numFmt w:val="decimal"/>
      <w:lvlText w:val="%1"/>
      <w:lvlJc w:val="left"/>
      <w:pPr>
        <w:ind w:left="1284" w:hanging="681"/>
        <w:jc w:val="left"/>
      </w:pPr>
      <w:rPr>
        <w:rFonts w:hint="default"/>
        <w:lang w:val="en-gb" w:eastAsia="en-gb" w:bidi="en-gb"/>
      </w:rPr>
    </w:lvl>
    <w:lvl w:ilvl="1">
      <w:start w:val="1"/>
      <w:numFmt w:val="decimal"/>
      <w:lvlText w:val="%1.%2"/>
      <w:lvlJc w:val="left"/>
      <w:pPr>
        <w:ind w:left="128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7">
    <w:multiLevelType w:val="hybridMultilevel"/>
    <w:lvl w:ilvl="0">
      <w:start w:val="1"/>
      <w:numFmt w:val="decimal"/>
      <w:lvlText w:val="%1."/>
      <w:lvlJc w:val="left"/>
      <w:pPr>
        <w:ind w:left="79" w:hanging="721"/>
        <w:jc w:val="left"/>
      </w:pPr>
      <w:rPr>
        <w:rFonts w:hint="default" w:ascii="Stone Sans II ITC Std Bk" w:hAnsi="Stone Sans II ITC Std Bk" w:eastAsia="Stone Sans II ITC Std Bk" w:cs="Stone Sans II ITC Std Bk"/>
        <w:b/>
        <w:bCs/>
        <w:spacing w:val="-13"/>
        <w:w w:val="110"/>
        <w:sz w:val="20"/>
        <w:szCs w:val="20"/>
        <w:lang w:val="en-gb" w:eastAsia="en-gb" w:bidi="en-gb"/>
      </w:rPr>
    </w:lvl>
    <w:lvl w:ilvl="1">
      <w:start w:val="0"/>
      <w:numFmt w:val="bullet"/>
      <w:lvlText w:val="•"/>
      <w:lvlJc w:val="left"/>
      <w:pPr>
        <w:ind w:left="724" w:hanging="721"/>
      </w:pPr>
      <w:rPr>
        <w:rFonts w:hint="default"/>
        <w:lang w:val="en-gb" w:eastAsia="en-gb" w:bidi="en-gb"/>
      </w:rPr>
    </w:lvl>
    <w:lvl w:ilvl="2">
      <w:start w:val="0"/>
      <w:numFmt w:val="bullet"/>
      <w:lvlText w:val="•"/>
      <w:lvlJc w:val="left"/>
      <w:pPr>
        <w:ind w:left="1368" w:hanging="721"/>
      </w:pPr>
      <w:rPr>
        <w:rFonts w:hint="default"/>
        <w:lang w:val="en-gb" w:eastAsia="en-gb" w:bidi="en-gb"/>
      </w:rPr>
    </w:lvl>
    <w:lvl w:ilvl="3">
      <w:start w:val="0"/>
      <w:numFmt w:val="bullet"/>
      <w:lvlText w:val="•"/>
      <w:lvlJc w:val="left"/>
      <w:pPr>
        <w:ind w:left="2013" w:hanging="721"/>
      </w:pPr>
      <w:rPr>
        <w:rFonts w:hint="default"/>
        <w:lang w:val="en-gb" w:eastAsia="en-gb" w:bidi="en-gb"/>
      </w:rPr>
    </w:lvl>
    <w:lvl w:ilvl="4">
      <w:start w:val="0"/>
      <w:numFmt w:val="bullet"/>
      <w:lvlText w:val="•"/>
      <w:lvlJc w:val="left"/>
      <w:pPr>
        <w:ind w:left="2657" w:hanging="721"/>
      </w:pPr>
      <w:rPr>
        <w:rFonts w:hint="default"/>
        <w:lang w:val="en-gb" w:eastAsia="en-gb" w:bidi="en-gb"/>
      </w:rPr>
    </w:lvl>
    <w:lvl w:ilvl="5">
      <w:start w:val="0"/>
      <w:numFmt w:val="bullet"/>
      <w:lvlText w:val="•"/>
      <w:lvlJc w:val="left"/>
      <w:pPr>
        <w:ind w:left="3302" w:hanging="721"/>
      </w:pPr>
      <w:rPr>
        <w:rFonts w:hint="default"/>
        <w:lang w:val="en-gb" w:eastAsia="en-gb" w:bidi="en-gb"/>
      </w:rPr>
    </w:lvl>
    <w:lvl w:ilvl="6">
      <w:start w:val="0"/>
      <w:numFmt w:val="bullet"/>
      <w:lvlText w:val="•"/>
      <w:lvlJc w:val="left"/>
      <w:pPr>
        <w:ind w:left="3946" w:hanging="721"/>
      </w:pPr>
      <w:rPr>
        <w:rFonts w:hint="default"/>
        <w:lang w:val="en-gb" w:eastAsia="en-gb" w:bidi="en-gb"/>
      </w:rPr>
    </w:lvl>
    <w:lvl w:ilvl="7">
      <w:start w:val="0"/>
      <w:numFmt w:val="bullet"/>
      <w:lvlText w:val="•"/>
      <w:lvlJc w:val="left"/>
      <w:pPr>
        <w:ind w:left="4590" w:hanging="721"/>
      </w:pPr>
      <w:rPr>
        <w:rFonts w:hint="default"/>
        <w:lang w:val="en-gb" w:eastAsia="en-gb" w:bidi="en-gb"/>
      </w:rPr>
    </w:lvl>
    <w:lvl w:ilvl="8">
      <w:start w:val="0"/>
      <w:numFmt w:val="bullet"/>
      <w:lvlText w:val="•"/>
      <w:lvlJc w:val="left"/>
      <w:pPr>
        <w:ind w:left="5235" w:hanging="721"/>
      </w:pPr>
      <w:rPr>
        <w:rFonts w:hint="default"/>
        <w:lang w:val="en-gb" w:eastAsia="en-gb" w:bidi="en-gb"/>
      </w:rPr>
    </w:lvl>
  </w:abstractNum>
  <w:abstractNum w:abstractNumId="6">
    <w:multiLevelType w:val="hybridMultilevel"/>
    <w:lvl w:ilvl="0">
      <w:start w:val="0"/>
      <w:numFmt w:val="bullet"/>
      <w:lvlText w:val=""/>
      <w:lvlJc w:val="left"/>
      <w:pPr>
        <w:ind w:left="1964" w:hanging="681"/>
      </w:pPr>
      <w:rPr>
        <w:rFonts w:hint="default" w:ascii="Symbol" w:hAnsi="Symbol" w:eastAsia="Symbol" w:cs="Symbol"/>
        <w:w w:val="110"/>
        <w:sz w:val="20"/>
        <w:szCs w:val="20"/>
        <w:lang w:val="en-gb" w:eastAsia="en-gb" w:bidi="en-gb"/>
      </w:rPr>
    </w:lvl>
    <w:lvl w:ilvl="1">
      <w:start w:val="0"/>
      <w:numFmt w:val="bullet"/>
      <w:lvlText w:val="•"/>
      <w:lvlJc w:val="left"/>
      <w:pPr>
        <w:ind w:left="2884" w:hanging="681"/>
      </w:pPr>
      <w:rPr>
        <w:rFonts w:hint="default"/>
        <w:lang w:val="en-gb" w:eastAsia="en-gb" w:bidi="en-gb"/>
      </w:rPr>
    </w:lvl>
    <w:lvl w:ilvl="2">
      <w:start w:val="0"/>
      <w:numFmt w:val="bullet"/>
      <w:lvlText w:val="•"/>
      <w:lvlJc w:val="left"/>
      <w:pPr>
        <w:ind w:left="3809" w:hanging="681"/>
      </w:pPr>
      <w:rPr>
        <w:rFonts w:hint="default"/>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5">
    <w:multiLevelType w:val="hybridMultilevel"/>
    <w:lvl w:ilvl="0">
      <w:start w:val="2"/>
      <w:numFmt w:val="decimal"/>
      <w:lvlText w:val="%1."/>
      <w:lvlJc w:val="left"/>
      <w:pPr>
        <w:ind w:left="1284" w:hanging="681"/>
        <w:jc w:val="left"/>
      </w:pPr>
      <w:rPr>
        <w:rFonts w:hint="default" w:ascii="Calibri" w:hAnsi="Calibri" w:eastAsia="Calibri" w:cs="Calibri"/>
        <w:spacing w:val="-2"/>
        <w:w w:val="125"/>
        <w:sz w:val="20"/>
        <w:szCs w:val="20"/>
        <w:lang w:val="en-gb" w:eastAsia="en-gb" w:bidi="en-gb"/>
      </w:rPr>
    </w:lvl>
    <w:lvl w:ilvl="1">
      <w:start w:val="0"/>
      <w:numFmt w:val="bullet"/>
      <w:lvlText w:val="•"/>
      <w:lvlJc w:val="left"/>
      <w:pPr>
        <w:ind w:left="2272" w:hanging="681"/>
      </w:pPr>
      <w:rPr>
        <w:rFonts w:hint="default"/>
        <w:lang w:val="en-gb" w:eastAsia="en-gb" w:bidi="en-gb"/>
      </w:rPr>
    </w:lvl>
    <w:lvl w:ilvl="2">
      <w:start w:val="0"/>
      <w:numFmt w:val="bullet"/>
      <w:lvlText w:val="•"/>
      <w:lvlJc w:val="left"/>
      <w:pPr>
        <w:ind w:left="3265" w:hanging="681"/>
      </w:pPr>
      <w:rPr>
        <w:rFonts w:hint="default"/>
        <w:lang w:val="en-gb" w:eastAsia="en-gb" w:bidi="en-gb"/>
      </w:rPr>
    </w:lvl>
    <w:lvl w:ilvl="3">
      <w:start w:val="0"/>
      <w:numFmt w:val="bullet"/>
      <w:lvlText w:val="•"/>
      <w:lvlJc w:val="left"/>
      <w:pPr>
        <w:ind w:left="4257" w:hanging="681"/>
      </w:pPr>
      <w:rPr>
        <w:rFonts w:hint="default"/>
        <w:lang w:val="en-gb" w:eastAsia="en-gb" w:bidi="en-gb"/>
      </w:rPr>
    </w:lvl>
    <w:lvl w:ilvl="4">
      <w:start w:val="0"/>
      <w:numFmt w:val="bullet"/>
      <w:lvlText w:val="•"/>
      <w:lvlJc w:val="left"/>
      <w:pPr>
        <w:ind w:left="5250" w:hanging="681"/>
      </w:pPr>
      <w:rPr>
        <w:rFonts w:hint="default"/>
        <w:lang w:val="en-gb" w:eastAsia="en-gb" w:bidi="en-gb"/>
      </w:rPr>
    </w:lvl>
    <w:lvl w:ilvl="5">
      <w:start w:val="0"/>
      <w:numFmt w:val="bullet"/>
      <w:lvlText w:val="•"/>
      <w:lvlJc w:val="left"/>
      <w:pPr>
        <w:ind w:left="6242" w:hanging="681"/>
      </w:pPr>
      <w:rPr>
        <w:rFonts w:hint="default"/>
        <w:lang w:val="en-gb" w:eastAsia="en-gb" w:bidi="en-gb"/>
      </w:rPr>
    </w:lvl>
    <w:lvl w:ilvl="6">
      <w:start w:val="0"/>
      <w:numFmt w:val="bullet"/>
      <w:lvlText w:val="•"/>
      <w:lvlJc w:val="left"/>
      <w:pPr>
        <w:ind w:left="7235" w:hanging="681"/>
      </w:pPr>
      <w:rPr>
        <w:rFonts w:hint="default"/>
        <w:lang w:val="en-gb" w:eastAsia="en-gb" w:bidi="en-gb"/>
      </w:rPr>
    </w:lvl>
    <w:lvl w:ilvl="7">
      <w:start w:val="0"/>
      <w:numFmt w:val="bullet"/>
      <w:lvlText w:val="•"/>
      <w:lvlJc w:val="left"/>
      <w:pPr>
        <w:ind w:left="8227" w:hanging="681"/>
      </w:pPr>
      <w:rPr>
        <w:rFonts w:hint="default"/>
        <w:lang w:val="en-gb" w:eastAsia="en-gb" w:bidi="en-gb"/>
      </w:rPr>
    </w:lvl>
    <w:lvl w:ilvl="8">
      <w:start w:val="0"/>
      <w:numFmt w:val="bullet"/>
      <w:lvlText w:val="•"/>
      <w:lvlJc w:val="left"/>
      <w:pPr>
        <w:ind w:left="9220" w:hanging="681"/>
      </w:pPr>
      <w:rPr>
        <w:rFonts w:hint="default"/>
        <w:lang w:val="en-gb" w:eastAsia="en-gb" w:bidi="en-gb"/>
      </w:rPr>
    </w:lvl>
  </w:abstractNum>
  <w:abstractNum w:abstractNumId="4">
    <w:multiLevelType w:val="hybridMultilevel"/>
    <w:lvl w:ilvl="0">
      <w:start w:val="1"/>
      <w:numFmt w:val="lowerLetter"/>
      <w:lvlText w:val="%1)"/>
      <w:lvlJc w:val="left"/>
      <w:pPr>
        <w:ind w:left="1964" w:hanging="681"/>
        <w:jc w:val="left"/>
      </w:pPr>
      <w:rPr>
        <w:rFonts w:hint="default" w:ascii="Calibri" w:hAnsi="Calibri" w:eastAsia="Calibri" w:cs="Calibri"/>
        <w:spacing w:val="-13"/>
        <w:w w:val="113"/>
        <w:sz w:val="20"/>
        <w:szCs w:val="20"/>
        <w:lang w:val="en-gb" w:eastAsia="en-gb" w:bidi="en-gb"/>
      </w:rPr>
    </w:lvl>
    <w:lvl w:ilvl="1">
      <w:start w:val="0"/>
      <w:numFmt w:val="bullet"/>
      <w:lvlText w:val="•"/>
      <w:lvlJc w:val="left"/>
      <w:pPr>
        <w:ind w:left="2884" w:hanging="681"/>
      </w:pPr>
      <w:rPr>
        <w:rFonts w:hint="default"/>
        <w:lang w:val="en-gb" w:eastAsia="en-gb" w:bidi="en-gb"/>
      </w:rPr>
    </w:lvl>
    <w:lvl w:ilvl="2">
      <w:start w:val="0"/>
      <w:numFmt w:val="bullet"/>
      <w:lvlText w:val="•"/>
      <w:lvlJc w:val="left"/>
      <w:pPr>
        <w:ind w:left="3809" w:hanging="681"/>
      </w:pPr>
      <w:rPr>
        <w:rFonts w:hint="default"/>
        <w:lang w:val="en-gb" w:eastAsia="en-gb" w:bidi="en-gb"/>
      </w:rPr>
    </w:lvl>
    <w:lvl w:ilvl="3">
      <w:start w:val="0"/>
      <w:numFmt w:val="bullet"/>
      <w:lvlText w:val="•"/>
      <w:lvlJc w:val="left"/>
      <w:pPr>
        <w:ind w:left="4733" w:hanging="681"/>
      </w:pPr>
      <w:rPr>
        <w:rFonts w:hint="default"/>
        <w:lang w:val="en-gb" w:eastAsia="en-gb" w:bidi="en-gb"/>
      </w:rPr>
    </w:lvl>
    <w:lvl w:ilvl="4">
      <w:start w:val="0"/>
      <w:numFmt w:val="bullet"/>
      <w:lvlText w:val="•"/>
      <w:lvlJc w:val="left"/>
      <w:pPr>
        <w:ind w:left="5658" w:hanging="681"/>
      </w:pPr>
      <w:rPr>
        <w:rFonts w:hint="default"/>
        <w:lang w:val="en-gb" w:eastAsia="en-gb" w:bidi="en-gb"/>
      </w:rPr>
    </w:lvl>
    <w:lvl w:ilvl="5">
      <w:start w:val="0"/>
      <w:numFmt w:val="bullet"/>
      <w:lvlText w:val="•"/>
      <w:lvlJc w:val="left"/>
      <w:pPr>
        <w:ind w:left="6582" w:hanging="681"/>
      </w:pPr>
      <w:rPr>
        <w:rFonts w:hint="default"/>
        <w:lang w:val="en-gb" w:eastAsia="en-gb" w:bidi="en-gb"/>
      </w:rPr>
    </w:lvl>
    <w:lvl w:ilvl="6">
      <w:start w:val="0"/>
      <w:numFmt w:val="bullet"/>
      <w:lvlText w:val="•"/>
      <w:lvlJc w:val="left"/>
      <w:pPr>
        <w:ind w:left="7507" w:hanging="681"/>
      </w:pPr>
      <w:rPr>
        <w:rFonts w:hint="default"/>
        <w:lang w:val="en-gb" w:eastAsia="en-gb" w:bidi="en-gb"/>
      </w:rPr>
    </w:lvl>
    <w:lvl w:ilvl="7">
      <w:start w:val="0"/>
      <w:numFmt w:val="bullet"/>
      <w:lvlText w:val="•"/>
      <w:lvlJc w:val="left"/>
      <w:pPr>
        <w:ind w:left="8431" w:hanging="681"/>
      </w:pPr>
      <w:rPr>
        <w:rFonts w:hint="default"/>
        <w:lang w:val="en-gb" w:eastAsia="en-gb" w:bidi="en-gb"/>
      </w:rPr>
    </w:lvl>
    <w:lvl w:ilvl="8">
      <w:start w:val="0"/>
      <w:numFmt w:val="bullet"/>
      <w:lvlText w:val="•"/>
      <w:lvlJc w:val="left"/>
      <w:pPr>
        <w:ind w:left="9356" w:hanging="681"/>
      </w:pPr>
      <w:rPr>
        <w:rFonts w:hint="default"/>
        <w:lang w:val="en-gb" w:eastAsia="en-gb" w:bidi="en-gb"/>
      </w:rPr>
    </w:lvl>
  </w:abstractNum>
  <w:abstractNum w:abstractNumId="3">
    <w:multiLevelType w:val="hybridMultilevel"/>
    <w:lvl w:ilvl="0">
      <w:start w:val="12"/>
      <w:numFmt w:val="decimal"/>
      <w:lvlText w:val="%1"/>
      <w:lvlJc w:val="left"/>
      <w:pPr>
        <w:ind w:left="991" w:hanging="445"/>
        <w:jc w:val="left"/>
      </w:pPr>
      <w:rPr>
        <w:rFonts w:hint="default" w:ascii="Stone Sans II ITC Std X Bd" w:hAnsi="Stone Sans II ITC Std X Bd" w:eastAsia="Stone Sans II ITC Std X Bd" w:cs="Stone Sans II ITC Std X Bd"/>
        <w:b/>
        <w:bCs/>
        <w:spacing w:val="-4"/>
        <w:w w:val="100"/>
        <w:sz w:val="24"/>
        <w:szCs w:val="24"/>
        <w:lang w:val="en-gb" w:eastAsia="en-gb" w:bidi="en-gb"/>
      </w:rPr>
    </w:lvl>
    <w:lvl w:ilvl="1">
      <w:start w:val="1"/>
      <w:numFmt w:val="decimal"/>
      <w:lvlText w:val="%1.%2"/>
      <w:lvlJc w:val="left"/>
      <w:pPr>
        <w:ind w:left="1284" w:hanging="681"/>
        <w:jc w:val="left"/>
      </w:pPr>
      <w:rPr>
        <w:rFonts w:hint="default" w:ascii="Calibri" w:hAnsi="Calibri" w:eastAsia="Calibri" w:cs="Calibri"/>
        <w:spacing w:val="-18"/>
        <w:w w:val="125"/>
        <w:sz w:val="20"/>
        <w:szCs w:val="20"/>
        <w:lang w:val="en-gb" w:eastAsia="en-gb" w:bidi="en-gb"/>
      </w:rPr>
    </w:lvl>
    <w:lvl w:ilvl="2">
      <w:start w:val="0"/>
      <w:numFmt w:val="bullet"/>
      <w:lvlText w:val="•"/>
      <w:lvlJc w:val="left"/>
      <w:pPr>
        <w:ind w:left="2382" w:hanging="681"/>
      </w:pPr>
      <w:rPr>
        <w:rFonts w:hint="default"/>
        <w:lang w:val="en-gb" w:eastAsia="en-gb" w:bidi="en-gb"/>
      </w:rPr>
    </w:lvl>
    <w:lvl w:ilvl="3">
      <w:start w:val="0"/>
      <w:numFmt w:val="bullet"/>
      <w:lvlText w:val="•"/>
      <w:lvlJc w:val="left"/>
      <w:pPr>
        <w:ind w:left="3485" w:hanging="681"/>
      </w:pPr>
      <w:rPr>
        <w:rFonts w:hint="default"/>
        <w:lang w:val="en-gb" w:eastAsia="en-gb" w:bidi="en-gb"/>
      </w:rPr>
    </w:lvl>
    <w:lvl w:ilvl="4">
      <w:start w:val="0"/>
      <w:numFmt w:val="bullet"/>
      <w:lvlText w:val="•"/>
      <w:lvlJc w:val="left"/>
      <w:pPr>
        <w:ind w:left="4588" w:hanging="681"/>
      </w:pPr>
      <w:rPr>
        <w:rFonts w:hint="default"/>
        <w:lang w:val="en-gb" w:eastAsia="en-gb" w:bidi="en-gb"/>
      </w:rPr>
    </w:lvl>
    <w:lvl w:ilvl="5">
      <w:start w:val="0"/>
      <w:numFmt w:val="bullet"/>
      <w:lvlText w:val="•"/>
      <w:lvlJc w:val="left"/>
      <w:pPr>
        <w:ind w:left="5691" w:hanging="681"/>
      </w:pPr>
      <w:rPr>
        <w:rFonts w:hint="default"/>
        <w:lang w:val="en-gb" w:eastAsia="en-gb" w:bidi="en-gb"/>
      </w:rPr>
    </w:lvl>
    <w:lvl w:ilvl="6">
      <w:start w:val="0"/>
      <w:numFmt w:val="bullet"/>
      <w:lvlText w:val="•"/>
      <w:lvlJc w:val="left"/>
      <w:pPr>
        <w:ind w:left="6794" w:hanging="681"/>
      </w:pPr>
      <w:rPr>
        <w:rFonts w:hint="default"/>
        <w:lang w:val="en-gb" w:eastAsia="en-gb" w:bidi="en-gb"/>
      </w:rPr>
    </w:lvl>
    <w:lvl w:ilvl="7">
      <w:start w:val="0"/>
      <w:numFmt w:val="bullet"/>
      <w:lvlText w:val="•"/>
      <w:lvlJc w:val="left"/>
      <w:pPr>
        <w:ind w:left="7897" w:hanging="681"/>
      </w:pPr>
      <w:rPr>
        <w:rFonts w:hint="default"/>
        <w:lang w:val="en-gb" w:eastAsia="en-gb" w:bidi="en-gb"/>
      </w:rPr>
    </w:lvl>
    <w:lvl w:ilvl="8">
      <w:start w:val="0"/>
      <w:numFmt w:val="bullet"/>
      <w:lvlText w:val="•"/>
      <w:lvlJc w:val="left"/>
      <w:pPr>
        <w:ind w:left="8999" w:hanging="681"/>
      </w:pPr>
      <w:rPr>
        <w:rFonts w:hint="default"/>
        <w:lang w:val="en-gb" w:eastAsia="en-gb" w:bidi="en-gb"/>
      </w:rPr>
    </w:lvl>
  </w:abstractNum>
  <w:abstractNum w:abstractNumId="1">
    <w:multiLevelType w:val="hybridMultilevel"/>
    <w:lvl w:ilvl="0">
      <w:start w:val="1"/>
      <w:numFmt w:val="decimal"/>
      <w:lvlText w:val="%1)"/>
      <w:lvlJc w:val="left"/>
      <w:pPr>
        <w:ind w:left="623" w:hanging="341"/>
        <w:jc w:val="left"/>
      </w:pPr>
      <w:rPr>
        <w:rFonts w:hint="default" w:ascii="Calibri" w:hAnsi="Calibri" w:eastAsia="Calibri" w:cs="Calibri"/>
        <w:spacing w:val="-19"/>
        <w:w w:val="125"/>
        <w:sz w:val="20"/>
        <w:szCs w:val="20"/>
        <w:lang w:val="en-gb" w:eastAsia="en-gb" w:bidi="en-gb"/>
      </w:rPr>
    </w:lvl>
    <w:lvl w:ilvl="1">
      <w:start w:val="0"/>
      <w:numFmt w:val="bullet"/>
      <w:lvlText w:val="•"/>
      <w:lvlJc w:val="left"/>
      <w:pPr>
        <w:ind w:left="1193" w:hanging="341"/>
      </w:pPr>
      <w:rPr>
        <w:rFonts w:hint="default"/>
        <w:lang w:val="en-gb" w:eastAsia="en-gb" w:bidi="en-gb"/>
      </w:rPr>
    </w:lvl>
    <w:lvl w:ilvl="2">
      <w:start w:val="0"/>
      <w:numFmt w:val="bullet"/>
      <w:lvlText w:val="•"/>
      <w:lvlJc w:val="left"/>
      <w:pPr>
        <w:ind w:left="1766" w:hanging="341"/>
      </w:pPr>
      <w:rPr>
        <w:rFonts w:hint="default"/>
        <w:lang w:val="en-gb" w:eastAsia="en-gb" w:bidi="en-gb"/>
      </w:rPr>
    </w:lvl>
    <w:lvl w:ilvl="3">
      <w:start w:val="0"/>
      <w:numFmt w:val="bullet"/>
      <w:lvlText w:val="•"/>
      <w:lvlJc w:val="left"/>
      <w:pPr>
        <w:ind w:left="2339" w:hanging="341"/>
      </w:pPr>
      <w:rPr>
        <w:rFonts w:hint="default"/>
        <w:lang w:val="en-gb" w:eastAsia="en-gb" w:bidi="en-gb"/>
      </w:rPr>
    </w:lvl>
    <w:lvl w:ilvl="4">
      <w:start w:val="0"/>
      <w:numFmt w:val="bullet"/>
      <w:lvlText w:val="•"/>
      <w:lvlJc w:val="left"/>
      <w:pPr>
        <w:ind w:left="2913" w:hanging="341"/>
      </w:pPr>
      <w:rPr>
        <w:rFonts w:hint="default"/>
        <w:lang w:val="en-gb" w:eastAsia="en-gb" w:bidi="en-gb"/>
      </w:rPr>
    </w:lvl>
    <w:lvl w:ilvl="5">
      <w:start w:val="0"/>
      <w:numFmt w:val="bullet"/>
      <w:lvlText w:val="•"/>
      <w:lvlJc w:val="left"/>
      <w:pPr>
        <w:ind w:left="3486" w:hanging="341"/>
      </w:pPr>
      <w:rPr>
        <w:rFonts w:hint="default"/>
        <w:lang w:val="en-gb" w:eastAsia="en-gb" w:bidi="en-gb"/>
      </w:rPr>
    </w:lvl>
    <w:lvl w:ilvl="6">
      <w:start w:val="0"/>
      <w:numFmt w:val="bullet"/>
      <w:lvlText w:val="•"/>
      <w:lvlJc w:val="left"/>
      <w:pPr>
        <w:ind w:left="4059" w:hanging="341"/>
      </w:pPr>
      <w:rPr>
        <w:rFonts w:hint="default"/>
        <w:lang w:val="en-gb" w:eastAsia="en-gb" w:bidi="en-gb"/>
      </w:rPr>
    </w:lvl>
    <w:lvl w:ilvl="7">
      <w:start w:val="0"/>
      <w:numFmt w:val="bullet"/>
      <w:lvlText w:val="•"/>
      <w:lvlJc w:val="left"/>
      <w:pPr>
        <w:ind w:left="4633" w:hanging="341"/>
      </w:pPr>
      <w:rPr>
        <w:rFonts w:hint="default"/>
        <w:lang w:val="en-gb" w:eastAsia="en-gb" w:bidi="en-gb"/>
      </w:rPr>
    </w:lvl>
    <w:lvl w:ilvl="8">
      <w:start w:val="0"/>
      <w:numFmt w:val="bullet"/>
      <w:lvlText w:val="•"/>
      <w:lvlJc w:val="left"/>
      <w:pPr>
        <w:ind w:left="5206" w:hanging="341"/>
      </w:pPr>
      <w:rPr>
        <w:rFonts w:hint="default"/>
        <w:lang w:val="en-gb" w:eastAsia="en-gb" w:bidi="en-gb"/>
      </w:rPr>
    </w:lvl>
  </w:abstractNum>
  <w:abstractNum w:abstractNumId="0">
    <w:multiLevelType w:val="hybridMultilevel"/>
    <w:lvl w:ilvl="0">
      <w:start w:val="0"/>
      <w:numFmt w:val="bullet"/>
      <w:lvlText w:val="-"/>
      <w:lvlJc w:val="left"/>
      <w:pPr>
        <w:ind w:left="1114" w:hanging="681"/>
      </w:pPr>
      <w:rPr>
        <w:rFonts w:hint="default" w:ascii="Calibri" w:hAnsi="Calibri" w:eastAsia="Calibri" w:cs="Calibri"/>
        <w:w w:val="117"/>
        <w:sz w:val="16"/>
        <w:szCs w:val="16"/>
        <w:lang w:val="en-gb" w:eastAsia="en-gb" w:bidi="en-gb"/>
      </w:rPr>
    </w:lvl>
    <w:lvl w:ilvl="1">
      <w:start w:val="0"/>
      <w:numFmt w:val="bullet"/>
      <w:lvlText w:val="•"/>
      <w:lvlJc w:val="left"/>
      <w:pPr>
        <w:ind w:left="2128" w:hanging="681"/>
      </w:pPr>
      <w:rPr>
        <w:rFonts w:hint="default"/>
        <w:lang w:val="en-gb" w:eastAsia="en-gb" w:bidi="en-gb"/>
      </w:rPr>
    </w:lvl>
    <w:lvl w:ilvl="2">
      <w:start w:val="0"/>
      <w:numFmt w:val="bullet"/>
      <w:lvlText w:val="•"/>
      <w:lvlJc w:val="left"/>
      <w:pPr>
        <w:ind w:left="3137" w:hanging="681"/>
      </w:pPr>
      <w:rPr>
        <w:rFonts w:hint="default"/>
        <w:lang w:val="en-gb" w:eastAsia="en-gb" w:bidi="en-gb"/>
      </w:rPr>
    </w:lvl>
    <w:lvl w:ilvl="3">
      <w:start w:val="0"/>
      <w:numFmt w:val="bullet"/>
      <w:lvlText w:val="•"/>
      <w:lvlJc w:val="left"/>
      <w:pPr>
        <w:ind w:left="4145" w:hanging="681"/>
      </w:pPr>
      <w:rPr>
        <w:rFonts w:hint="default"/>
        <w:lang w:val="en-gb" w:eastAsia="en-gb" w:bidi="en-gb"/>
      </w:rPr>
    </w:lvl>
    <w:lvl w:ilvl="4">
      <w:start w:val="0"/>
      <w:numFmt w:val="bullet"/>
      <w:lvlText w:val="•"/>
      <w:lvlJc w:val="left"/>
      <w:pPr>
        <w:ind w:left="5154" w:hanging="681"/>
      </w:pPr>
      <w:rPr>
        <w:rFonts w:hint="default"/>
        <w:lang w:val="en-gb" w:eastAsia="en-gb" w:bidi="en-gb"/>
      </w:rPr>
    </w:lvl>
    <w:lvl w:ilvl="5">
      <w:start w:val="0"/>
      <w:numFmt w:val="bullet"/>
      <w:lvlText w:val="•"/>
      <w:lvlJc w:val="left"/>
      <w:pPr>
        <w:ind w:left="6162" w:hanging="681"/>
      </w:pPr>
      <w:rPr>
        <w:rFonts w:hint="default"/>
        <w:lang w:val="en-gb" w:eastAsia="en-gb" w:bidi="en-gb"/>
      </w:rPr>
    </w:lvl>
    <w:lvl w:ilvl="6">
      <w:start w:val="0"/>
      <w:numFmt w:val="bullet"/>
      <w:lvlText w:val="•"/>
      <w:lvlJc w:val="left"/>
      <w:pPr>
        <w:ind w:left="7171" w:hanging="681"/>
      </w:pPr>
      <w:rPr>
        <w:rFonts w:hint="default"/>
        <w:lang w:val="en-gb" w:eastAsia="en-gb" w:bidi="en-gb"/>
      </w:rPr>
    </w:lvl>
    <w:lvl w:ilvl="7">
      <w:start w:val="0"/>
      <w:numFmt w:val="bullet"/>
      <w:lvlText w:val="•"/>
      <w:lvlJc w:val="left"/>
      <w:pPr>
        <w:ind w:left="8179" w:hanging="681"/>
      </w:pPr>
      <w:rPr>
        <w:rFonts w:hint="default"/>
        <w:lang w:val="en-gb" w:eastAsia="en-gb" w:bidi="en-gb"/>
      </w:rPr>
    </w:lvl>
    <w:lvl w:ilvl="8">
      <w:start w:val="0"/>
      <w:numFmt w:val="bullet"/>
      <w:lvlText w:val="•"/>
      <w:lvlJc w:val="left"/>
      <w:pPr>
        <w:ind w:left="9188" w:hanging="681"/>
      </w:pPr>
      <w:rPr>
        <w:rFonts w:hint="default"/>
        <w:lang w:val="en-gb" w:eastAsia="en-gb" w:bidi="en-gb"/>
      </w:rPr>
    </w:lvl>
  </w:abstractNum>
  <w:num w:numId="98">
    <w:abstractNumId w:val="97"/>
  </w:num>
  <w:num w:numId="81">
    <w:abstractNumId w:val="80"/>
  </w:num>
  <w:num w:numId="68">
    <w:abstractNumId w:val="67"/>
  </w:num>
  <w:num w:numId="63">
    <w:abstractNumId w:val="62"/>
  </w:num>
  <w:num w:numId="43">
    <w:abstractNumId w:val="42"/>
  </w:num>
  <w:num w:numId="38">
    <w:abstractNumId w:val="37"/>
  </w:num>
  <w:num w:numId="26">
    <w:abstractNumId w:val="25"/>
  </w:num>
  <w:num w:numId="20">
    <w:abstractNumId w:val="19"/>
  </w:num>
  <w:num w:numId="17">
    <w:abstractNumId w:val="16"/>
  </w:num>
  <w:num w:numId="14">
    <w:abstractNumId w:val="13"/>
  </w:num>
  <w:num w:numId="9">
    <w:abstractNumId w:val="8"/>
  </w:num>
  <w:num w:numId="3">
    <w:abstractNumId w:val="2"/>
  </w:num>
  <w:num w:numId="136">
    <w:abstractNumId w:val="135"/>
  </w:num>
  <w:num w:numId="137">
    <w:abstractNumId w:val="136"/>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6">
    <w:abstractNumId w:val="15"/>
  </w:num>
  <w:num w:numId="15">
    <w:abstractNumId w:val="14"/>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TOC1" w:type="paragraph">
    <w:name w:val="TOC 1"/>
    <w:basedOn w:val="Normal"/>
    <w:uiPriority w:val="1"/>
    <w:qFormat/>
    <w:pPr>
      <w:spacing w:before="46"/>
      <w:ind w:left="2631"/>
    </w:pPr>
    <w:rPr>
      <w:rFonts w:ascii="Stone Sans II ITC Std Sm" w:hAnsi="Stone Sans II ITC Std Sm" w:eastAsia="Stone Sans II ITC Std Sm" w:cs="Stone Sans II ITC Std Sm"/>
      <w:sz w:val="20"/>
      <w:szCs w:val="20"/>
      <w:lang w:val="en-gb" w:eastAsia="en-gb" w:bidi="en-gb"/>
    </w:rPr>
  </w:style>
  <w:style w:styleId="TOC2" w:type="paragraph">
    <w:name w:val="TOC 2"/>
    <w:basedOn w:val="Normal"/>
    <w:uiPriority w:val="1"/>
    <w:qFormat/>
    <w:pPr>
      <w:spacing w:before="59"/>
      <w:ind w:left="2915"/>
    </w:pPr>
    <w:rPr>
      <w:rFonts w:ascii="Calibri" w:hAnsi="Calibri" w:eastAsia="Calibri" w:cs="Calibri"/>
      <w:sz w:val="20"/>
      <w:szCs w:val="20"/>
      <w:lang w:val="en-gb" w:eastAsia="en-gb" w:bidi="en-gb"/>
    </w:rPr>
  </w:style>
  <w:style w:styleId="BodyText" w:type="paragraph">
    <w:name w:val="Body Text"/>
    <w:basedOn w:val="Normal"/>
    <w:uiPriority w:val="1"/>
    <w:qFormat/>
    <w:pPr/>
    <w:rPr>
      <w:rFonts w:ascii="Calibri" w:hAnsi="Calibri" w:eastAsia="Calibri" w:cs="Calibri"/>
      <w:sz w:val="20"/>
      <w:szCs w:val="20"/>
      <w:lang w:val="en-gb" w:eastAsia="en-gb" w:bidi="en-gb"/>
    </w:rPr>
  </w:style>
  <w:style w:styleId="Heading1" w:type="paragraph">
    <w:name w:val="Heading 1"/>
    <w:basedOn w:val="Normal"/>
    <w:uiPriority w:val="1"/>
    <w:qFormat/>
    <w:pPr>
      <w:spacing w:before="182"/>
      <w:ind w:left="20"/>
      <w:outlineLvl w:val="1"/>
    </w:pPr>
    <w:rPr>
      <w:rFonts w:ascii="Stone Sans II ITC Std X Bd" w:hAnsi="Stone Sans II ITC Std X Bd" w:eastAsia="Stone Sans II ITC Std X Bd" w:cs="Stone Sans II ITC Std X Bd"/>
      <w:b/>
      <w:bCs/>
      <w:sz w:val="65"/>
      <w:szCs w:val="65"/>
      <w:lang w:val="en-gb" w:eastAsia="en-gb" w:bidi="en-gb"/>
    </w:rPr>
  </w:style>
  <w:style w:styleId="Heading2" w:type="paragraph">
    <w:name w:val="Heading 2"/>
    <w:basedOn w:val="Normal"/>
    <w:uiPriority w:val="1"/>
    <w:qFormat/>
    <w:pPr>
      <w:spacing w:before="153"/>
      <w:ind w:left="1261"/>
      <w:outlineLvl w:val="2"/>
    </w:pPr>
    <w:rPr>
      <w:rFonts w:ascii="Stone Sans II ITC Std X Bd" w:hAnsi="Stone Sans II ITC Std X Bd" w:eastAsia="Stone Sans II ITC Std X Bd" w:cs="Stone Sans II ITC Std X Bd"/>
      <w:b/>
      <w:bCs/>
      <w:sz w:val="50"/>
      <w:szCs w:val="50"/>
      <w:lang w:val="en-gb" w:eastAsia="en-gb" w:bidi="en-gb"/>
    </w:rPr>
  </w:style>
  <w:style w:styleId="Heading3" w:type="paragraph">
    <w:name w:val="Heading 3"/>
    <w:basedOn w:val="Normal"/>
    <w:uiPriority w:val="1"/>
    <w:qFormat/>
    <w:pPr>
      <w:spacing w:before="29"/>
      <w:ind w:left="20"/>
      <w:outlineLvl w:val="3"/>
    </w:pPr>
    <w:rPr>
      <w:rFonts w:ascii="Calibri" w:hAnsi="Calibri" w:eastAsia="Calibri" w:cs="Calibri"/>
      <w:sz w:val="39"/>
      <w:szCs w:val="39"/>
      <w:lang w:val="en-gb" w:eastAsia="en-gb" w:bidi="en-gb"/>
    </w:rPr>
  </w:style>
  <w:style w:styleId="Heading4" w:type="paragraph">
    <w:name w:val="Heading 4"/>
    <w:basedOn w:val="Normal"/>
    <w:uiPriority w:val="1"/>
    <w:qFormat/>
    <w:pPr>
      <w:ind w:left="827" w:hanging="681"/>
      <w:outlineLvl w:val="4"/>
    </w:pPr>
    <w:rPr>
      <w:rFonts w:ascii="Stone Sans II ITC Std Bk" w:hAnsi="Stone Sans II ITC Std Bk" w:eastAsia="Stone Sans II ITC Std Bk" w:cs="Stone Sans II ITC Std Bk"/>
      <w:b/>
      <w:bCs/>
      <w:sz w:val="29"/>
      <w:szCs w:val="29"/>
      <w:lang w:val="en-gb" w:eastAsia="en-gb" w:bidi="en-gb"/>
    </w:rPr>
  </w:style>
  <w:style w:styleId="Heading5" w:type="paragraph">
    <w:name w:val="Heading 5"/>
    <w:basedOn w:val="Normal"/>
    <w:uiPriority w:val="1"/>
    <w:qFormat/>
    <w:pPr>
      <w:spacing w:before="108"/>
      <w:outlineLvl w:val="5"/>
    </w:pPr>
    <w:rPr>
      <w:rFonts w:ascii="Calibri" w:hAnsi="Calibri" w:eastAsia="Calibri" w:cs="Calibri"/>
      <w:sz w:val="26"/>
      <w:szCs w:val="26"/>
      <w:lang w:val="en-gb" w:eastAsia="en-gb" w:bidi="en-gb"/>
    </w:rPr>
  </w:style>
  <w:style w:styleId="Heading6" w:type="paragraph">
    <w:name w:val="Heading 6"/>
    <w:basedOn w:val="Normal"/>
    <w:uiPriority w:val="1"/>
    <w:qFormat/>
    <w:pPr>
      <w:ind w:left="827"/>
      <w:outlineLvl w:val="6"/>
    </w:pPr>
    <w:rPr>
      <w:rFonts w:ascii="Stone Sans II ITC Std Bk" w:hAnsi="Stone Sans II ITC Std Bk" w:eastAsia="Stone Sans II ITC Std Bk" w:cs="Stone Sans II ITC Std Bk"/>
      <w:b/>
      <w:bCs/>
      <w:sz w:val="25"/>
      <w:szCs w:val="25"/>
      <w:lang w:val="en-gb" w:eastAsia="en-gb" w:bidi="en-gb"/>
    </w:rPr>
  </w:style>
  <w:style w:styleId="Heading7" w:type="paragraph">
    <w:name w:val="Heading 7"/>
    <w:basedOn w:val="Normal"/>
    <w:uiPriority w:val="1"/>
    <w:qFormat/>
    <w:pPr>
      <w:spacing w:before="16"/>
      <w:ind w:left="20"/>
      <w:outlineLvl w:val="7"/>
    </w:pPr>
    <w:rPr>
      <w:rFonts w:ascii="Calibri" w:hAnsi="Calibri" w:eastAsia="Calibri" w:cs="Calibri"/>
      <w:sz w:val="23"/>
      <w:szCs w:val="23"/>
      <w:lang w:val="en-gb" w:eastAsia="en-gb" w:bidi="en-gb"/>
    </w:rPr>
  </w:style>
  <w:style w:styleId="Heading8" w:type="paragraph">
    <w:name w:val="Heading 8"/>
    <w:basedOn w:val="Normal"/>
    <w:uiPriority w:val="1"/>
    <w:qFormat/>
    <w:pPr>
      <w:spacing w:line="261" w:lineRule="exact"/>
      <w:ind w:left="2244" w:hanging="681"/>
      <w:outlineLvl w:val="8"/>
    </w:pPr>
    <w:rPr>
      <w:rFonts w:ascii="Stone Sans II ITC Std Bk" w:hAnsi="Stone Sans II ITC Std Bk" w:eastAsia="Stone Sans II ITC Std Bk" w:cs="Stone Sans II ITC Std Bk"/>
      <w:b/>
      <w:bCs/>
      <w:sz w:val="20"/>
      <w:szCs w:val="20"/>
      <w:lang w:val="en-gb" w:eastAsia="en-gb" w:bidi="en-gb"/>
    </w:rPr>
  </w:style>
  <w:style w:styleId="ListParagraph" w:type="paragraph">
    <w:name w:val="List Paragraph"/>
    <w:basedOn w:val="Normal"/>
    <w:uiPriority w:val="1"/>
    <w:qFormat/>
    <w:pPr>
      <w:ind w:left="1564"/>
    </w:pPr>
    <w:rPr>
      <w:rFonts w:ascii="Calibri" w:hAnsi="Calibri" w:eastAsia="Calibri" w:cs="Calibri"/>
      <w:lang w:val="en-gb" w:eastAsia="en-gb" w:bidi="en-gb"/>
    </w:rPr>
  </w:style>
  <w:style w:styleId="TableParagraph" w:type="paragraph">
    <w:name w:val="Table Paragraph"/>
    <w:basedOn w:val="Normal"/>
    <w:uiPriority w:val="1"/>
    <w:qFormat/>
    <w:pPr/>
    <w:rPr>
      <w:rFonts w:ascii="Calibri" w:hAnsi="Calibri" w:eastAsia="Calibri" w:cs="Calibri"/>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hyperlink" Target="mailto:graphics@urc.org.uk" TargetMode="External"/><Relationship Id="rId26" Type="http://schemas.openxmlformats.org/officeDocument/2006/relationships/image" Target="media/image21.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header" Target="header3.xml"/><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header" Target="header4.xml"/><Relationship Id="rId57" Type="http://schemas.openxmlformats.org/officeDocument/2006/relationships/image" Target="media/image48.jpeg"/><Relationship Id="rId58" Type="http://schemas.openxmlformats.org/officeDocument/2006/relationships/hyperlink" Target="mailto:john.proctor@urc.org.uk" TargetMode="External"/><Relationship Id="rId59" Type="http://schemas.openxmlformats.org/officeDocument/2006/relationships/header" Target="header5.xm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image" Target="media/image49.png"/><Relationship Id="rId63" Type="http://schemas.openxmlformats.org/officeDocument/2006/relationships/header" Target="header6.xml"/><Relationship Id="rId64" Type="http://schemas.openxmlformats.org/officeDocument/2006/relationships/image" Target="media/image50.png"/><Relationship Id="rId65" Type="http://schemas.openxmlformats.org/officeDocument/2006/relationships/hyperlink" Target="http://bit.ly/2017paperI3" TargetMode="External"/><Relationship Id="rId66" Type="http://schemas.openxmlformats.org/officeDocument/2006/relationships/header" Target="header7.xml"/><Relationship Id="rId67" Type="http://schemas.openxmlformats.org/officeDocument/2006/relationships/footer" Target="footer3.xml"/><Relationship Id="rId68" Type="http://schemas.openxmlformats.org/officeDocument/2006/relationships/footer" Target="footer4.xml"/><Relationship Id="rId69" Type="http://schemas.openxmlformats.org/officeDocument/2006/relationships/hyperlink" Target="http://bit.ly/paperH3" TargetMode="External"/><Relationship Id="rId70" Type="http://schemas.openxmlformats.org/officeDocument/2006/relationships/hyperlink" Target="http://bit.ly/paperG3" TargetMode="External"/><Relationship Id="rId71" Type="http://schemas.openxmlformats.org/officeDocument/2006/relationships/hyperlink" Target="http://bit.ly/sectionQ" TargetMode="External"/><Relationship Id="rId72" Type="http://schemas.openxmlformats.org/officeDocument/2006/relationships/header" Target="header8.xml"/><Relationship Id="rId73" Type="http://schemas.openxmlformats.org/officeDocument/2006/relationships/header" Target="header9.xml"/><Relationship Id="rId74" Type="http://schemas.openxmlformats.org/officeDocument/2006/relationships/footer" Target="footer5.xml"/><Relationship Id="rId75" Type="http://schemas.openxmlformats.org/officeDocument/2006/relationships/footer" Target="footer6.xml"/><Relationship Id="rId76" Type="http://schemas.openxmlformats.org/officeDocument/2006/relationships/header" Target="header10.xml"/><Relationship Id="rId77" Type="http://schemas.openxmlformats.org/officeDocument/2006/relationships/header" Target="header11.xml"/><Relationship Id="rId78" Type="http://schemas.openxmlformats.org/officeDocument/2006/relationships/footer" Target="footer7.xml"/><Relationship Id="rId79" Type="http://schemas.openxmlformats.org/officeDocument/2006/relationships/image" Target="media/image51.png"/><Relationship Id="rId80" Type="http://schemas.openxmlformats.org/officeDocument/2006/relationships/header" Target="header12.xml"/><Relationship Id="rId81" Type="http://schemas.openxmlformats.org/officeDocument/2006/relationships/footer" Target="footer8.xml"/><Relationship Id="rId82" Type="http://schemas.openxmlformats.org/officeDocument/2006/relationships/header" Target="header13.xml"/><Relationship Id="rId83" Type="http://schemas.openxmlformats.org/officeDocument/2006/relationships/footer" Target="footer9.xml"/><Relationship Id="rId84" Type="http://schemas.openxmlformats.org/officeDocument/2006/relationships/header" Target="header14.xml"/><Relationship Id="rId85" Type="http://schemas.openxmlformats.org/officeDocument/2006/relationships/footer" Target="footer10.xml"/><Relationship Id="rId86" Type="http://schemas.openxmlformats.org/officeDocument/2006/relationships/header" Target="header15.xml"/><Relationship Id="rId87" Type="http://schemas.openxmlformats.org/officeDocument/2006/relationships/footer" Target="footer11.xml"/><Relationship Id="rId88" Type="http://schemas.openxmlformats.org/officeDocument/2006/relationships/header" Target="header16.xml"/><Relationship Id="rId89" Type="http://schemas.openxmlformats.org/officeDocument/2006/relationships/footer" Target="footer12.xml"/><Relationship Id="rId90" Type="http://schemas.openxmlformats.org/officeDocument/2006/relationships/header" Target="header17.xml"/><Relationship Id="rId91" Type="http://schemas.openxmlformats.org/officeDocument/2006/relationships/footer" Target="footer13.xml"/><Relationship Id="rId92" Type="http://schemas.openxmlformats.org/officeDocument/2006/relationships/header" Target="header18.xml"/><Relationship Id="rId93" Type="http://schemas.openxmlformats.org/officeDocument/2006/relationships/footer" Target="footer14.xml"/><Relationship Id="rId94" Type="http://schemas.openxmlformats.org/officeDocument/2006/relationships/header" Target="header19.xml"/><Relationship Id="rId95" Type="http://schemas.openxmlformats.org/officeDocument/2006/relationships/footer" Target="footer15.xml"/><Relationship Id="rId96" Type="http://schemas.openxmlformats.org/officeDocument/2006/relationships/hyperlink" Target="mailto:dmt3@cam.ac.uk" TargetMode="External"/><Relationship Id="rId97" Type="http://schemas.openxmlformats.org/officeDocument/2006/relationships/header" Target="header20.xml"/><Relationship Id="rId98" Type="http://schemas.openxmlformats.org/officeDocument/2006/relationships/footer" Target="footer16.xml"/><Relationship Id="rId99" Type="http://schemas.openxmlformats.org/officeDocument/2006/relationships/header" Target="header21.xml"/><Relationship Id="rId100" Type="http://schemas.openxmlformats.org/officeDocument/2006/relationships/footer" Target="footer17.xml"/><Relationship Id="rId101" Type="http://schemas.openxmlformats.org/officeDocument/2006/relationships/hyperlink" Target="mailto:victoria.paulding@ntlworld.com" TargetMode="External"/><Relationship Id="rId102" Type="http://schemas.openxmlformats.org/officeDocument/2006/relationships/header" Target="header22.xml"/><Relationship Id="rId103" Type="http://schemas.openxmlformats.org/officeDocument/2006/relationships/footer" Target="footer18.xml"/><Relationship Id="rId104" Type="http://schemas.openxmlformats.org/officeDocument/2006/relationships/footer" Target="footer19.xml"/><Relationship Id="rId105" Type="http://schemas.openxmlformats.org/officeDocument/2006/relationships/header" Target="header23.xml"/><Relationship Id="rId106" Type="http://schemas.openxmlformats.org/officeDocument/2006/relationships/header" Target="header24.xml"/><Relationship Id="rId107" Type="http://schemas.openxmlformats.org/officeDocument/2006/relationships/footer" Target="footer20.xml"/><Relationship Id="rId108" Type="http://schemas.openxmlformats.org/officeDocument/2006/relationships/footer" Target="footer21.xml"/><Relationship Id="rId109" Type="http://schemas.openxmlformats.org/officeDocument/2006/relationships/header" Target="header25.xml"/><Relationship Id="rId110" Type="http://schemas.openxmlformats.org/officeDocument/2006/relationships/header" Target="header26.xml"/><Relationship Id="rId111" Type="http://schemas.openxmlformats.org/officeDocument/2006/relationships/footer" Target="footer22.xml"/><Relationship Id="rId112" Type="http://schemas.openxmlformats.org/officeDocument/2006/relationships/footer" Target="footer23.xml"/><Relationship Id="rId113" Type="http://schemas.openxmlformats.org/officeDocument/2006/relationships/header" Target="header27.xml"/><Relationship Id="rId114" Type="http://schemas.openxmlformats.org/officeDocument/2006/relationships/header" Target="header28.xml"/><Relationship Id="rId115" Type="http://schemas.openxmlformats.org/officeDocument/2006/relationships/footer" Target="footer24.xml"/><Relationship Id="rId116" Type="http://schemas.openxmlformats.org/officeDocument/2006/relationships/footer" Target="footer25.xml"/><Relationship Id="rId117" Type="http://schemas.openxmlformats.org/officeDocument/2006/relationships/header" Target="header29.xml"/><Relationship Id="rId118" Type="http://schemas.openxmlformats.org/officeDocument/2006/relationships/header" Target="header30.xml"/><Relationship Id="rId119" Type="http://schemas.openxmlformats.org/officeDocument/2006/relationships/footer" Target="footer26.xml"/><Relationship Id="rId120" Type="http://schemas.openxmlformats.org/officeDocument/2006/relationships/footer" Target="footer27.xml"/><Relationship Id="rId121" Type="http://schemas.openxmlformats.org/officeDocument/2006/relationships/header" Target="header31.xml"/><Relationship Id="rId122" Type="http://schemas.openxmlformats.org/officeDocument/2006/relationships/header" Target="header32.xml"/><Relationship Id="rId123" Type="http://schemas.openxmlformats.org/officeDocument/2006/relationships/footer" Target="footer28.xml"/><Relationship Id="rId124" Type="http://schemas.openxmlformats.org/officeDocument/2006/relationships/hyperlink" Target="mailto:ioannis.athanasiou@urc.org.uk" TargetMode="External"/><Relationship Id="rId125" Type="http://schemas.openxmlformats.org/officeDocument/2006/relationships/hyperlink" Target="mailto:richard.church@urc.org.uk" TargetMode="External"/><Relationship Id="rId126" Type="http://schemas.openxmlformats.org/officeDocument/2006/relationships/header" Target="header33.xml"/><Relationship Id="rId127" Type="http://schemas.openxmlformats.org/officeDocument/2006/relationships/footer" Target="footer29.xml"/><Relationship Id="rId128" Type="http://schemas.openxmlformats.org/officeDocument/2006/relationships/footer" Target="footer30.xml"/><Relationship Id="rId129" Type="http://schemas.openxmlformats.org/officeDocument/2006/relationships/image" Target="media/image52.jpeg"/><Relationship Id="rId130" Type="http://schemas.openxmlformats.org/officeDocument/2006/relationships/header" Target="header34.xml"/><Relationship Id="rId131" Type="http://schemas.openxmlformats.org/officeDocument/2006/relationships/header" Target="header35.xml"/><Relationship Id="rId132" Type="http://schemas.openxmlformats.org/officeDocument/2006/relationships/footer" Target="footer31.xml"/><Relationship Id="rId133" Type="http://schemas.openxmlformats.org/officeDocument/2006/relationships/footer" Target="footer32.xml"/><Relationship Id="rId134" Type="http://schemas.openxmlformats.org/officeDocument/2006/relationships/hyperlink" Target="http://www.ddc.uk.net/urc)" TargetMode="External"/><Relationship Id="rId135" Type="http://schemas.openxmlformats.org/officeDocument/2006/relationships/hyperlink" Target="http://www.gov.uk/find-out-dbs-check)" TargetMode="External"/><Relationship Id="rId136" Type="http://schemas.openxmlformats.org/officeDocument/2006/relationships/header" Target="header36.xml"/><Relationship Id="rId137" Type="http://schemas.openxmlformats.org/officeDocument/2006/relationships/header" Target="header37.xml"/><Relationship Id="rId138" Type="http://schemas.openxmlformats.org/officeDocument/2006/relationships/footer" Target="footer33.xml"/><Relationship Id="rId139" Type="http://schemas.openxmlformats.org/officeDocument/2006/relationships/image" Target="media/image53.jpeg"/><Relationship Id="rId140" Type="http://schemas.openxmlformats.org/officeDocument/2006/relationships/hyperlink" Target="mailto:Elizabeth.gray-king@urc.org.uk" TargetMode="External"/><Relationship Id="rId141" Type="http://schemas.openxmlformats.org/officeDocument/2006/relationships/header" Target="header38.xml"/><Relationship Id="rId142" Type="http://schemas.openxmlformats.org/officeDocument/2006/relationships/footer" Target="footer34.xml"/><Relationship Id="rId143" Type="http://schemas.openxmlformats.org/officeDocument/2006/relationships/footer" Target="footer35.xml"/><Relationship Id="rId144" Type="http://schemas.openxmlformats.org/officeDocument/2006/relationships/header" Target="header39.xml"/><Relationship Id="rId145" Type="http://schemas.openxmlformats.org/officeDocument/2006/relationships/header" Target="header40.xml"/><Relationship Id="rId146" Type="http://schemas.openxmlformats.org/officeDocument/2006/relationships/footer" Target="footer36.xml"/><Relationship Id="rId147" Type="http://schemas.openxmlformats.org/officeDocument/2006/relationships/footer" Target="footer37.xml"/><Relationship Id="rId148" Type="http://schemas.openxmlformats.org/officeDocument/2006/relationships/header" Target="header41.xml"/><Relationship Id="rId149" Type="http://schemas.openxmlformats.org/officeDocument/2006/relationships/header" Target="header42.xml"/><Relationship Id="rId150" Type="http://schemas.openxmlformats.org/officeDocument/2006/relationships/footer" Target="footer38.xml"/><Relationship Id="rId151" Type="http://schemas.openxmlformats.org/officeDocument/2006/relationships/footer" Target="footer39.xml"/><Relationship Id="rId152" Type="http://schemas.openxmlformats.org/officeDocument/2006/relationships/header" Target="header43.xml"/><Relationship Id="rId153" Type="http://schemas.openxmlformats.org/officeDocument/2006/relationships/header" Target="header44.xml"/><Relationship Id="rId154" Type="http://schemas.openxmlformats.org/officeDocument/2006/relationships/footer" Target="footer40.xml"/><Relationship Id="rId155" Type="http://schemas.openxmlformats.org/officeDocument/2006/relationships/footer" Target="footer41.xml"/><Relationship Id="rId156" Type="http://schemas.openxmlformats.org/officeDocument/2006/relationships/header" Target="header45.xml"/><Relationship Id="rId157" Type="http://schemas.openxmlformats.org/officeDocument/2006/relationships/header" Target="header46.xml"/><Relationship Id="rId158" Type="http://schemas.openxmlformats.org/officeDocument/2006/relationships/footer" Target="footer42.xml"/><Relationship Id="rId159" Type="http://schemas.openxmlformats.org/officeDocument/2006/relationships/header" Target="header47.xml"/><Relationship Id="rId160" Type="http://schemas.openxmlformats.org/officeDocument/2006/relationships/footer" Target="footer43.xml"/><Relationship Id="rId161" Type="http://schemas.openxmlformats.org/officeDocument/2006/relationships/hyperlink" Target="mailto:francis.brienen@urc.org.uk" TargetMode="External"/><Relationship Id="rId162" Type="http://schemas.openxmlformats.org/officeDocument/2006/relationships/header" Target="header48.xml"/><Relationship Id="rId163" Type="http://schemas.openxmlformats.org/officeDocument/2006/relationships/footer" Target="footer44.xml"/><Relationship Id="rId164" Type="http://schemas.openxmlformats.org/officeDocument/2006/relationships/header" Target="header49.xml"/><Relationship Id="rId165" Type="http://schemas.openxmlformats.org/officeDocument/2006/relationships/footer" Target="footer45.xml"/><Relationship Id="rId166" Type="http://schemas.openxmlformats.org/officeDocument/2006/relationships/header" Target="header50.xml"/><Relationship Id="rId167" Type="http://schemas.openxmlformats.org/officeDocument/2006/relationships/footer" Target="footer46.xml"/><Relationship Id="rId168" Type="http://schemas.openxmlformats.org/officeDocument/2006/relationships/hyperlink" Target="mailto:valmorrison7@btinternet.com" TargetMode="External"/><Relationship Id="rId169" Type="http://schemas.openxmlformats.org/officeDocument/2006/relationships/header" Target="header51.xml"/><Relationship Id="rId170" Type="http://schemas.openxmlformats.org/officeDocument/2006/relationships/footer" Target="footer47.xml"/><Relationship Id="rId171" Type="http://schemas.openxmlformats.org/officeDocument/2006/relationships/header" Target="header52.xml"/><Relationship Id="rId172" Type="http://schemas.openxmlformats.org/officeDocument/2006/relationships/footer" Target="footer48.xml"/><Relationship Id="rId173" Type="http://schemas.openxmlformats.org/officeDocument/2006/relationships/footer" Target="footer49.xml"/><Relationship Id="rId174" Type="http://schemas.openxmlformats.org/officeDocument/2006/relationships/header" Target="header53.xml"/><Relationship Id="rId175" Type="http://schemas.openxmlformats.org/officeDocument/2006/relationships/header" Target="header54.xml"/><Relationship Id="rId176" Type="http://schemas.openxmlformats.org/officeDocument/2006/relationships/footer" Target="footer50.xml"/><Relationship Id="rId177" Type="http://schemas.openxmlformats.org/officeDocument/2006/relationships/footer" Target="footer51.xml"/><Relationship Id="rId178" Type="http://schemas.openxmlformats.org/officeDocument/2006/relationships/header" Target="header55.xml"/><Relationship Id="rId179" Type="http://schemas.openxmlformats.org/officeDocument/2006/relationships/header" Target="header56.xml"/><Relationship Id="rId180" Type="http://schemas.openxmlformats.org/officeDocument/2006/relationships/footer" Target="footer52.xml"/><Relationship Id="rId181" Type="http://schemas.openxmlformats.org/officeDocument/2006/relationships/footer" Target="footer53.xml"/><Relationship Id="rId182" Type="http://schemas.openxmlformats.org/officeDocument/2006/relationships/header" Target="header57.xml"/><Relationship Id="rId183" Type="http://schemas.openxmlformats.org/officeDocument/2006/relationships/header" Target="header58.xml"/><Relationship Id="rId184" Type="http://schemas.openxmlformats.org/officeDocument/2006/relationships/footer" Target="footer54.xml"/><Relationship Id="rId185" Type="http://schemas.openxmlformats.org/officeDocument/2006/relationships/footer" Target="footer55.xml"/><Relationship Id="rId186" Type="http://schemas.openxmlformats.org/officeDocument/2006/relationships/header" Target="header59.xml"/><Relationship Id="rId187" Type="http://schemas.openxmlformats.org/officeDocument/2006/relationships/header" Target="header60.xml"/><Relationship Id="rId188" Type="http://schemas.openxmlformats.org/officeDocument/2006/relationships/footer" Target="footer56.xml"/><Relationship Id="rId189" Type="http://schemas.openxmlformats.org/officeDocument/2006/relationships/footer" Target="footer57.xml"/><Relationship Id="rId190" Type="http://schemas.openxmlformats.org/officeDocument/2006/relationships/header" Target="header61.xml"/><Relationship Id="rId191" Type="http://schemas.openxmlformats.org/officeDocument/2006/relationships/header" Target="header62.xml"/><Relationship Id="rId192" Type="http://schemas.openxmlformats.org/officeDocument/2006/relationships/footer" Target="footer58.xml"/><Relationship Id="rId193" Type="http://schemas.openxmlformats.org/officeDocument/2006/relationships/footer" Target="footer59.xml"/><Relationship Id="rId194" Type="http://schemas.openxmlformats.org/officeDocument/2006/relationships/header" Target="header63.xml"/><Relationship Id="rId195" Type="http://schemas.openxmlformats.org/officeDocument/2006/relationships/header" Target="header64.xml"/><Relationship Id="rId196" Type="http://schemas.openxmlformats.org/officeDocument/2006/relationships/footer" Target="footer60.xml"/><Relationship Id="rId197" Type="http://schemas.openxmlformats.org/officeDocument/2006/relationships/footer" Target="footer61.xml"/><Relationship Id="rId198" Type="http://schemas.openxmlformats.org/officeDocument/2006/relationships/header" Target="header65.xml"/><Relationship Id="rId199" Type="http://schemas.openxmlformats.org/officeDocument/2006/relationships/header" Target="header66.xml"/><Relationship Id="rId200" Type="http://schemas.openxmlformats.org/officeDocument/2006/relationships/footer" Target="footer62.xml"/><Relationship Id="rId201" Type="http://schemas.openxmlformats.org/officeDocument/2006/relationships/footer" Target="footer63.xml"/><Relationship Id="rId202" Type="http://schemas.openxmlformats.org/officeDocument/2006/relationships/header" Target="header67.xml"/><Relationship Id="rId203" Type="http://schemas.openxmlformats.org/officeDocument/2006/relationships/image" Target="media/image54.png"/><Relationship Id="rId204" Type="http://schemas.openxmlformats.org/officeDocument/2006/relationships/header" Target="header68.xml"/><Relationship Id="rId205" Type="http://schemas.openxmlformats.org/officeDocument/2006/relationships/footer" Target="footer64.xml"/><Relationship Id="rId206" Type="http://schemas.openxmlformats.org/officeDocument/2006/relationships/image" Target="media/image55.png"/><Relationship Id="rId207" Type="http://schemas.openxmlformats.org/officeDocument/2006/relationships/header" Target="header69.xml"/><Relationship Id="rId208" Type="http://schemas.openxmlformats.org/officeDocument/2006/relationships/footer" Target="footer65.xml"/><Relationship Id="rId209" Type="http://schemas.openxmlformats.org/officeDocument/2006/relationships/image" Target="media/image56.png"/><Relationship Id="rId210" Type="http://schemas.openxmlformats.org/officeDocument/2006/relationships/header" Target="header70.xml"/><Relationship Id="rId211" Type="http://schemas.openxmlformats.org/officeDocument/2006/relationships/footer" Target="footer66.xml"/><Relationship Id="rId212" Type="http://schemas.openxmlformats.org/officeDocument/2006/relationships/hyperlink" Target="mailto:moderator@urcthamesnorth.org.uk" TargetMode="External"/><Relationship Id="rId213" Type="http://schemas.openxmlformats.org/officeDocument/2006/relationships/hyperlink" Target="mailto:moderator@urcwessex.org.uk" TargetMode="External"/><Relationship Id="rId214" Type="http://schemas.openxmlformats.org/officeDocument/2006/relationships/header" Target="header71.xml"/><Relationship Id="rId215" Type="http://schemas.openxmlformats.org/officeDocument/2006/relationships/footer" Target="footer67.xml"/><Relationship Id="rId216" Type="http://schemas.openxmlformats.org/officeDocument/2006/relationships/footer" Target="footer68.xml"/><Relationship Id="rId217" Type="http://schemas.openxmlformats.org/officeDocument/2006/relationships/header" Target="header72.xml"/><Relationship Id="rId218" Type="http://schemas.openxmlformats.org/officeDocument/2006/relationships/header" Target="header73.xml"/><Relationship Id="rId219" Type="http://schemas.openxmlformats.org/officeDocument/2006/relationships/footer" Target="footer69.xml"/><Relationship Id="rId220" Type="http://schemas.openxmlformats.org/officeDocument/2006/relationships/footer" Target="footer70.xml"/><Relationship Id="rId221" Type="http://schemas.openxmlformats.org/officeDocument/2006/relationships/header" Target="header74.xml"/><Relationship Id="rId222" Type="http://schemas.openxmlformats.org/officeDocument/2006/relationships/header" Target="header75.xml"/><Relationship Id="rId223" Type="http://schemas.openxmlformats.org/officeDocument/2006/relationships/footer" Target="footer71.xml"/><Relationship Id="rId224" Type="http://schemas.openxmlformats.org/officeDocument/2006/relationships/footer" Target="footer72.xml"/><Relationship Id="rId225" Type="http://schemas.openxmlformats.org/officeDocument/2006/relationships/header" Target="header76.xml"/><Relationship Id="rId226" Type="http://schemas.openxmlformats.org/officeDocument/2006/relationships/header" Target="header77.xml"/><Relationship Id="rId227" Type="http://schemas.openxmlformats.org/officeDocument/2006/relationships/footer" Target="footer73.xml"/><Relationship Id="rId228" Type="http://schemas.openxmlformats.org/officeDocument/2006/relationships/header" Target="header78.xml"/><Relationship Id="rId229" Type="http://schemas.openxmlformats.org/officeDocument/2006/relationships/footer" Target="footer74.xml"/><Relationship Id="rId230" Type="http://schemas.openxmlformats.org/officeDocument/2006/relationships/image" Target="media/image57.png"/><Relationship Id="rId231" Type="http://schemas.openxmlformats.org/officeDocument/2006/relationships/image" Target="media/image58.png"/><Relationship Id="rId232" Type="http://schemas.openxmlformats.org/officeDocument/2006/relationships/image" Target="media/image59.png"/><Relationship Id="rId233" Type="http://schemas.openxmlformats.org/officeDocument/2006/relationships/image" Target="media/image60.png"/><Relationship Id="rId234" Type="http://schemas.openxmlformats.org/officeDocument/2006/relationships/image" Target="media/image61.png"/><Relationship Id="rId235" Type="http://schemas.openxmlformats.org/officeDocument/2006/relationships/image" Target="media/image62.png"/><Relationship Id="rId236" Type="http://schemas.openxmlformats.org/officeDocument/2006/relationships/image" Target="media/image63.png"/><Relationship Id="rId237" Type="http://schemas.openxmlformats.org/officeDocument/2006/relationships/image" Target="media/image64.png"/><Relationship Id="rId238" Type="http://schemas.openxmlformats.org/officeDocument/2006/relationships/image" Target="media/image65.png"/><Relationship Id="rId239" Type="http://schemas.openxmlformats.org/officeDocument/2006/relationships/image" Target="media/image66.png"/><Relationship Id="rId240" Type="http://schemas.openxmlformats.org/officeDocument/2006/relationships/image" Target="media/image67.png"/><Relationship Id="rId241" Type="http://schemas.openxmlformats.org/officeDocument/2006/relationships/image" Target="media/image68.png"/><Relationship Id="rId242" Type="http://schemas.openxmlformats.org/officeDocument/2006/relationships/image" Target="media/image69.png"/><Relationship Id="rId243" Type="http://schemas.openxmlformats.org/officeDocument/2006/relationships/header" Target="header79.xml"/><Relationship Id="rId244" Type="http://schemas.openxmlformats.org/officeDocument/2006/relationships/footer" Target="footer75.xml"/><Relationship Id="rId245" Type="http://schemas.openxmlformats.org/officeDocument/2006/relationships/image" Target="media/image70.png"/><Relationship Id="rId246" Type="http://schemas.openxmlformats.org/officeDocument/2006/relationships/hyperlink" Target="mailto:james_breslin2@outlook.com" TargetMode="External"/><Relationship Id="rId247" Type="http://schemas.openxmlformats.org/officeDocument/2006/relationships/header" Target="header80.xml"/><Relationship Id="rId248" Type="http://schemas.openxmlformats.org/officeDocument/2006/relationships/footer" Target="footer76.xml"/><Relationship Id="rId249" Type="http://schemas.openxmlformats.org/officeDocument/2006/relationships/header" Target="header81.xml"/><Relationship Id="rId250" Type="http://schemas.openxmlformats.org/officeDocument/2006/relationships/footer" Target="footer77.xml"/><Relationship Id="rId251" Type="http://schemas.openxmlformats.org/officeDocument/2006/relationships/hyperlink" Target="mailto:revdjmills@btinternet.com" TargetMode="External"/><Relationship Id="rId252" Type="http://schemas.openxmlformats.org/officeDocument/2006/relationships/hyperlink" Target="mailto:children.youth@urc.org" TargetMode="External"/><Relationship Id="rId253" Type="http://schemas.openxmlformats.org/officeDocument/2006/relationships/header" Target="header82.xml"/><Relationship Id="rId254" Type="http://schemas.openxmlformats.org/officeDocument/2006/relationships/footer" Target="footer78.xml"/><Relationship Id="rId255" Type="http://schemas.openxmlformats.org/officeDocument/2006/relationships/footer" Target="footer79.xml"/><Relationship Id="rId256" Type="http://schemas.openxmlformats.org/officeDocument/2006/relationships/header" Target="header83.xml"/><Relationship Id="rId257" Type="http://schemas.openxmlformats.org/officeDocument/2006/relationships/header" Target="header84.xml"/><Relationship Id="rId258" Type="http://schemas.openxmlformats.org/officeDocument/2006/relationships/footer" Target="footer80.xml"/><Relationship Id="rId259" Type="http://schemas.openxmlformats.org/officeDocument/2006/relationships/footer" Target="footer81.xml"/><Relationship Id="rId260" Type="http://schemas.openxmlformats.org/officeDocument/2006/relationships/image" Target="media/image71.jpeg"/><Relationship Id="rId261" Type="http://schemas.openxmlformats.org/officeDocument/2006/relationships/header" Target="header85.xml"/><Relationship Id="rId262" Type="http://schemas.openxmlformats.org/officeDocument/2006/relationships/hyperlink" Target="http://www.urc.org.uk/our-work/children-" TargetMode="External"/><Relationship Id="rId263" Type="http://schemas.openxmlformats.org/officeDocument/2006/relationships/header" Target="header86.xml"/><Relationship Id="rId264" Type="http://schemas.openxmlformats.org/officeDocument/2006/relationships/footer" Target="footer82.xml"/><Relationship Id="rId265" Type="http://schemas.openxmlformats.org/officeDocument/2006/relationships/hyperlink" Target="mailto:peterwknowles@gmail.com" TargetMode="External"/><Relationship Id="rId266" Type="http://schemas.openxmlformats.org/officeDocument/2006/relationships/header" Target="header87.xml"/><Relationship Id="rId267" Type="http://schemas.openxmlformats.org/officeDocument/2006/relationships/footer" Target="footer83.xml"/><Relationship Id="rId268" Type="http://schemas.openxmlformats.org/officeDocument/2006/relationships/footer" Target="footer84.xml"/><Relationship Id="rId269" Type="http://schemas.openxmlformats.org/officeDocument/2006/relationships/header" Target="header88.xml"/><Relationship Id="rId270" Type="http://schemas.openxmlformats.org/officeDocument/2006/relationships/hyperlink" Target="http://www.urc.org.uk/" TargetMode="External"/><Relationship Id="rId271" Type="http://schemas.openxmlformats.org/officeDocument/2006/relationships/header" Target="header89.xml"/><Relationship Id="rId272" Type="http://schemas.openxmlformats.org/officeDocument/2006/relationships/footer" Target="footer85.xml"/><Relationship Id="rId273" Type="http://schemas.openxmlformats.org/officeDocument/2006/relationships/footer" Target="footer86.xml"/><Relationship Id="rId274" Type="http://schemas.openxmlformats.org/officeDocument/2006/relationships/header" Target="header90.xml"/><Relationship Id="rId275" Type="http://schemas.openxmlformats.org/officeDocument/2006/relationships/header" Target="header91.xml"/><Relationship Id="rId276" Type="http://schemas.openxmlformats.org/officeDocument/2006/relationships/footer" Target="footer87.xml"/><Relationship Id="rId277" Type="http://schemas.openxmlformats.org/officeDocument/2006/relationships/hyperlink" Target="mailto:fiona.thomas@urc.org.uk" TargetMode="External"/><Relationship Id="rId278" Type="http://schemas.openxmlformats.org/officeDocument/2006/relationships/header" Target="header92.xml"/><Relationship Id="rId279" Type="http://schemas.openxmlformats.org/officeDocument/2006/relationships/footer" Target="footer88.xml"/><Relationship Id="rId280" Type="http://schemas.openxmlformats.org/officeDocument/2006/relationships/footer" Target="footer89.xml"/><Relationship Id="rId281" Type="http://schemas.openxmlformats.org/officeDocument/2006/relationships/hyperlink" Target="http://www.urc.org.uk/stepwise/" TargetMode="External"/><Relationship Id="rId282" Type="http://schemas.openxmlformats.org/officeDocument/2006/relationships/hyperlink" Target="http://www.appreciating.church/" TargetMode="External"/><Relationship Id="rId283" Type="http://schemas.openxmlformats.org/officeDocument/2006/relationships/header" Target="header93.xml"/><Relationship Id="rId284" Type="http://schemas.openxmlformats.org/officeDocument/2006/relationships/header" Target="header94.xml"/><Relationship Id="rId285" Type="http://schemas.openxmlformats.org/officeDocument/2006/relationships/footer" Target="footer90.xml"/><Relationship Id="rId286" Type="http://schemas.openxmlformats.org/officeDocument/2006/relationships/footer" Target="footer91.xml"/><Relationship Id="rId287" Type="http://schemas.openxmlformats.org/officeDocument/2006/relationships/header" Target="header95.xml"/><Relationship Id="rId288" Type="http://schemas.openxmlformats.org/officeDocument/2006/relationships/header" Target="header96.xml"/><Relationship Id="rId289" Type="http://schemas.openxmlformats.org/officeDocument/2006/relationships/footer" Target="footer92.xml"/><Relationship Id="rId290" Type="http://schemas.openxmlformats.org/officeDocument/2006/relationships/footer" Target="footer93.xml"/><Relationship Id="rId291" Type="http://schemas.openxmlformats.org/officeDocument/2006/relationships/header" Target="header97.xml"/><Relationship Id="rId292" Type="http://schemas.openxmlformats.org/officeDocument/2006/relationships/header" Target="header98.xml"/><Relationship Id="rId293" Type="http://schemas.openxmlformats.org/officeDocument/2006/relationships/footer" Target="footer94.xml"/><Relationship Id="rId294" Type="http://schemas.openxmlformats.org/officeDocument/2006/relationships/footer" Target="footer95.xml"/><Relationship Id="rId295" Type="http://schemas.openxmlformats.org/officeDocument/2006/relationships/header" Target="header99.xml"/><Relationship Id="rId296" Type="http://schemas.openxmlformats.org/officeDocument/2006/relationships/header" Target="header100.xml"/><Relationship Id="rId297" Type="http://schemas.openxmlformats.org/officeDocument/2006/relationships/footer" Target="footer96.xml"/><Relationship Id="rId298" Type="http://schemas.openxmlformats.org/officeDocument/2006/relationships/footer" Target="footer97.xml"/><Relationship Id="rId299" Type="http://schemas.openxmlformats.org/officeDocument/2006/relationships/header" Target="header101.xml"/><Relationship Id="rId300" Type="http://schemas.openxmlformats.org/officeDocument/2006/relationships/header" Target="header102.xml"/><Relationship Id="rId301" Type="http://schemas.openxmlformats.org/officeDocument/2006/relationships/footer" Target="footer98.xml"/><Relationship Id="rId302" Type="http://schemas.openxmlformats.org/officeDocument/2006/relationships/footer" Target="footer99.xml"/><Relationship Id="rId303" Type="http://schemas.openxmlformats.org/officeDocument/2006/relationships/header" Target="header103.xml"/><Relationship Id="rId304" Type="http://schemas.openxmlformats.org/officeDocument/2006/relationships/header" Target="header104.xml"/><Relationship Id="rId305" Type="http://schemas.openxmlformats.org/officeDocument/2006/relationships/footer" Target="footer100.xml"/><Relationship Id="rId306" Type="http://schemas.openxmlformats.org/officeDocument/2006/relationships/hyperlink" Target="mailto:hmmedin@aol.com" TargetMode="External"/><Relationship Id="rId307" Type="http://schemas.openxmlformats.org/officeDocument/2006/relationships/header" Target="header105.xml"/><Relationship Id="rId308" Type="http://schemas.openxmlformats.org/officeDocument/2006/relationships/footer" Target="footer101.xml"/><Relationship Id="rId309" Type="http://schemas.openxmlformats.org/officeDocument/2006/relationships/footer" Target="footer102.xml"/><Relationship Id="rId310" Type="http://schemas.openxmlformats.org/officeDocument/2006/relationships/header" Target="header106.xml"/><Relationship Id="rId311" Type="http://schemas.openxmlformats.org/officeDocument/2006/relationships/header" Target="header107.xml"/><Relationship Id="rId312" Type="http://schemas.openxmlformats.org/officeDocument/2006/relationships/footer" Target="footer103.xml"/><Relationship Id="rId313" Type="http://schemas.openxmlformats.org/officeDocument/2006/relationships/footer" Target="footer104.xml"/><Relationship Id="rId314" Type="http://schemas.openxmlformats.org/officeDocument/2006/relationships/header" Target="header108.xml"/><Relationship Id="rId315" Type="http://schemas.openxmlformats.org/officeDocument/2006/relationships/image" Target="media/image72.png"/><Relationship Id="rId316" Type="http://schemas.openxmlformats.org/officeDocument/2006/relationships/header" Target="header109.xml"/><Relationship Id="rId317" Type="http://schemas.openxmlformats.org/officeDocument/2006/relationships/footer" Target="footer105.xml"/><Relationship Id="rId318" Type="http://schemas.openxmlformats.org/officeDocument/2006/relationships/image" Target="media/image73.png"/><Relationship Id="rId319" Type="http://schemas.openxmlformats.org/officeDocument/2006/relationships/header" Target="header110.xml"/><Relationship Id="rId320" Type="http://schemas.openxmlformats.org/officeDocument/2006/relationships/footer" Target="footer106.xml"/><Relationship Id="rId321" Type="http://schemas.openxmlformats.org/officeDocument/2006/relationships/hyperlink" Target="mailto:alanandsheila@gmail.com" TargetMode="External"/><Relationship Id="rId322" Type="http://schemas.openxmlformats.org/officeDocument/2006/relationships/header" Target="header111.xml"/><Relationship Id="rId323" Type="http://schemas.openxmlformats.org/officeDocument/2006/relationships/footer" Target="footer107.xml"/><Relationship Id="rId324" Type="http://schemas.openxmlformats.org/officeDocument/2006/relationships/footer" Target="footer108.xml"/><Relationship Id="rId325" Type="http://schemas.openxmlformats.org/officeDocument/2006/relationships/hyperlink" Target="http://www.urc.org.uk/urc-" TargetMode="External"/><Relationship Id="rId326" Type="http://schemas.openxmlformats.org/officeDocument/2006/relationships/header" Target="header112.xml"/><Relationship Id="rId327" Type="http://schemas.openxmlformats.org/officeDocument/2006/relationships/hyperlink" Target="http://www.churchofengland.org/sites/" TargetMode="External"/><Relationship Id="rId328" Type="http://schemas.openxmlformats.org/officeDocument/2006/relationships/header" Target="header113.xml"/><Relationship Id="rId329" Type="http://schemas.openxmlformats.org/officeDocument/2006/relationships/footer" Target="footer109.xml"/><Relationship Id="rId330" Type="http://schemas.openxmlformats.org/officeDocument/2006/relationships/footer" Target="footer110.xml"/><Relationship Id="rId331" Type="http://schemas.openxmlformats.org/officeDocument/2006/relationships/header" Target="header114.xml"/><Relationship Id="rId332" Type="http://schemas.openxmlformats.org/officeDocument/2006/relationships/header" Target="header115.xml"/><Relationship Id="rId333" Type="http://schemas.openxmlformats.org/officeDocument/2006/relationships/footer" Target="footer111.xml"/><Relationship Id="rId334" Type="http://schemas.openxmlformats.org/officeDocument/2006/relationships/footer" Target="footer112.xml"/><Relationship Id="rId335" Type="http://schemas.openxmlformats.org/officeDocument/2006/relationships/header" Target="header116.xml"/><Relationship Id="rId336" Type="http://schemas.openxmlformats.org/officeDocument/2006/relationships/hyperlink" Target="mailto:ianzhardie@googlemail.com" TargetMode="External"/><Relationship Id="rId337" Type="http://schemas.openxmlformats.org/officeDocument/2006/relationships/header" Target="header117.xml"/><Relationship Id="rId338" Type="http://schemas.openxmlformats.org/officeDocument/2006/relationships/footer" Target="footer113.xml"/><Relationship Id="rId339" Type="http://schemas.openxmlformats.org/officeDocument/2006/relationships/footer" Target="footer114.xml"/><Relationship Id="rId340" Type="http://schemas.openxmlformats.org/officeDocument/2006/relationships/header" Target="header118.xml"/><Relationship Id="rId341" Type="http://schemas.openxmlformats.org/officeDocument/2006/relationships/header" Target="header119.xml"/><Relationship Id="rId342" Type="http://schemas.openxmlformats.org/officeDocument/2006/relationships/footer" Target="footer115.xml"/><Relationship Id="rId343" Type="http://schemas.openxmlformats.org/officeDocument/2006/relationships/header" Target="header120.xml"/><Relationship Id="rId344" Type="http://schemas.openxmlformats.org/officeDocument/2006/relationships/footer" Target="footer116.xml"/><Relationship Id="rId345" Type="http://schemas.openxmlformats.org/officeDocument/2006/relationships/header" Target="header121.xml"/><Relationship Id="rId346" Type="http://schemas.openxmlformats.org/officeDocument/2006/relationships/footer" Target="footer117.xml"/><Relationship Id="rId347" Type="http://schemas.openxmlformats.org/officeDocument/2006/relationships/hyperlink" Target="mailto:ministries@urc.org.uk" TargetMode="External"/><Relationship Id="rId348" Type="http://schemas.openxmlformats.org/officeDocument/2006/relationships/header" Target="header122.xml"/><Relationship Id="rId349" Type="http://schemas.openxmlformats.org/officeDocument/2006/relationships/footer" Target="footer118.xml"/><Relationship Id="rId350" Type="http://schemas.openxmlformats.org/officeDocument/2006/relationships/footer" Target="footer119.xml"/><Relationship Id="rId351" Type="http://schemas.openxmlformats.org/officeDocument/2006/relationships/header" Target="header123.xml"/><Relationship Id="rId352" Type="http://schemas.openxmlformats.org/officeDocument/2006/relationships/header" Target="header124.xml"/><Relationship Id="rId353" Type="http://schemas.openxmlformats.org/officeDocument/2006/relationships/footer" Target="footer120.xml"/><Relationship Id="rId354" Type="http://schemas.openxmlformats.org/officeDocument/2006/relationships/footer" Target="footer121.xml"/><Relationship Id="rId355" Type="http://schemas.openxmlformats.org/officeDocument/2006/relationships/header" Target="header125.xml"/><Relationship Id="rId356" Type="http://schemas.openxmlformats.org/officeDocument/2006/relationships/header" Target="header126.xml"/><Relationship Id="rId357" Type="http://schemas.openxmlformats.org/officeDocument/2006/relationships/footer" Target="footer122.xml"/><Relationship Id="rId358" Type="http://schemas.openxmlformats.org/officeDocument/2006/relationships/footer" Target="footer123.xml"/><Relationship Id="rId359" Type="http://schemas.openxmlformats.org/officeDocument/2006/relationships/header" Target="header127.xml"/><Relationship Id="rId360" Type="http://schemas.openxmlformats.org/officeDocument/2006/relationships/header" Target="header128.xml"/><Relationship Id="rId361" Type="http://schemas.openxmlformats.org/officeDocument/2006/relationships/footer" Target="footer124.xml"/><Relationship Id="rId362" Type="http://schemas.openxmlformats.org/officeDocument/2006/relationships/footer" Target="footer125.xml"/><Relationship Id="rId363" Type="http://schemas.openxmlformats.org/officeDocument/2006/relationships/hyperlink" Target="http://www.urc.org.uk/crcw-projects.html" TargetMode="External"/><Relationship Id="rId364" Type="http://schemas.openxmlformats.org/officeDocument/2006/relationships/hyperlink" Target="http://www.urc.org.uk/crcw-news-events" TargetMode="External"/><Relationship Id="rId365" Type="http://schemas.openxmlformats.org/officeDocument/2006/relationships/header" Target="header129.xml"/><Relationship Id="rId366" Type="http://schemas.openxmlformats.org/officeDocument/2006/relationships/header" Target="header130.xml"/><Relationship Id="rId367" Type="http://schemas.openxmlformats.org/officeDocument/2006/relationships/footer" Target="footer126.xml"/><Relationship Id="rId368" Type="http://schemas.openxmlformats.org/officeDocument/2006/relationships/footer" Target="footer127.xml"/><Relationship Id="rId369" Type="http://schemas.openxmlformats.org/officeDocument/2006/relationships/header" Target="header131.xml"/><Relationship Id="rId370" Type="http://schemas.openxmlformats.org/officeDocument/2006/relationships/header" Target="header132.xml"/><Relationship Id="rId371" Type="http://schemas.openxmlformats.org/officeDocument/2006/relationships/footer" Target="footer128.xml"/><Relationship Id="rId372" Type="http://schemas.openxmlformats.org/officeDocument/2006/relationships/hyperlink" Target="mailto:moderator@urceastern.org.uk" TargetMode="External"/><Relationship Id="rId373" Type="http://schemas.openxmlformats.org/officeDocument/2006/relationships/header" Target="header133.xml"/><Relationship Id="rId374" Type="http://schemas.openxmlformats.org/officeDocument/2006/relationships/footer" Target="footer129.xml"/><Relationship Id="rId375" Type="http://schemas.openxmlformats.org/officeDocument/2006/relationships/header" Target="header134.xml"/><Relationship Id="rId376" Type="http://schemas.openxmlformats.org/officeDocument/2006/relationships/footer" Target="footer130.xml"/><Relationship Id="rId377" Type="http://schemas.openxmlformats.org/officeDocument/2006/relationships/header" Target="header135.xml"/><Relationship Id="rId378" Type="http://schemas.openxmlformats.org/officeDocument/2006/relationships/footer" Target="footer131.xml"/><Relationship Id="rId379" Type="http://schemas.openxmlformats.org/officeDocument/2006/relationships/header" Target="header136.xml"/><Relationship Id="rId380" Type="http://schemas.openxmlformats.org/officeDocument/2006/relationships/footer" Target="footer132.xml"/><Relationship Id="rId381" Type="http://schemas.openxmlformats.org/officeDocument/2006/relationships/header" Target="header137.xml"/><Relationship Id="rId382" Type="http://schemas.openxmlformats.org/officeDocument/2006/relationships/footer" Target="footer133.xml"/><Relationship Id="rId383" Type="http://schemas.openxmlformats.org/officeDocument/2006/relationships/footer" Target="footer134.xml"/><Relationship Id="rId384" Type="http://schemas.openxmlformats.org/officeDocument/2006/relationships/header" Target="header138.xml"/><Relationship Id="rId385" Type="http://schemas.openxmlformats.org/officeDocument/2006/relationships/header" Target="header139.xml"/><Relationship Id="rId386" Type="http://schemas.openxmlformats.org/officeDocument/2006/relationships/footer" Target="footer135.xml"/><Relationship Id="rId387" Type="http://schemas.openxmlformats.org/officeDocument/2006/relationships/hyperlink" Target="mailto:bernie.collins@thecrocker.net" TargetMode="External"/><Relationship Id="rId388" Type="http://schemas.openxmlformats.org/officeDocument/2006/relationships/header" Target="header140.xml"/><Relationship Id="rId389" Type="http://schemas.openxmlformats.org/officeDocument/2006/relationships/footer" Target="footer136.xml"/><Relationship Id="rId390" Type="http://schemas.openxmlformats.org/officeDocument/2006/relationships/footer" Target="footer137.xml"/><Relationship Id="rId391" Type="http://schemas.openxmlformats.org/officeDocument/2006/relationships/header" Target="header141.xml"/><Relationship Id="rId392" Type="http://schemas.openxmlformats.org/officeDocument/2006/relationships/header" Target="header142.xml"/><Relationship Id="rId393" Type="http://schemas.openxmlformats.org/officeDocument/2006/relationships/footer" Target="footer138.xml"/><Relationship Id="rId394" Type="http://schemas.openxmlformats.org/officeDocument/2006/relationships/footer" Target="footer139.xml"/><Relationship Id="rId395" Type="http://schemas.openxmlformats.org/officeDocument/2006/relationships/header" Target="header143.xml"/><Relationship Id="rId396" Type="http://schemas.openxmlformats.org/officeDocument/2006/relationships/header" Target="header144.xml"/><Relationship Id="rId397" Type="http://schemas.openxmlformats.org/officeDocument/2006/relationships/footer" Target="footer140.xml"/><Relationship Id="rId398" Type="http://schemas.openxmlformats.org/officeDocument/2006/relationships/footer" Target="footer141.xml"/><Relationship Id="rId399" Type="http://schemas.openxmlformats.org/officeDocument/2006/relationships/hyperlink" Target="http://www.urc.org.uk/our-work/commitment-for-life.html)" TargetMode="External"/><Relationship Id="rId400" Type="http://schemas.openxmlformats.org/officeDocument/2006/relationships/header" Target="header145.xml"/><Relationship Id="rId401" Type="http://schemas.openxmlformats.org/officeDocument/2006/relationships/header" Target="header146.xml"/><Relationship Id="rId402" Type="http://schemas.openxmlformats.org/officeDocument/2006/relationships/footer" Target="footer142.xml"/><Relationship Id="rId403" Type="http://schemas.openxmlformats.org/officeDocument/2006/relationships/footer" Target="footer143.xml"/><Relationship Id="rId404" Type="http://schemas.openxmlformats.org/officeDocument/2006/relationships/header" Target="header147.xml"/><Relationship Id="rId405" Type="http://schemas.openxmlformats.org/officeDocument/2006/relationships/header" Target="header148.xml"/><Relationship Id="rId406" Type="http://schemas.openxmlformats.org/officeDocument/2006/relationships/footer" Target="footer144.xml"/><Relationship Id="rId407" Type="http://schemas.openxmlformats.org/officeDocument/2006/relationships/footer" Target="footer145.xml"/><Relationship Id="rId408" Type="http://schemas.openxmlformats.org/officeDocument/2006/relationships/header" Target="header149.xml"/><Relationship Id="rId409" Type="http://schemas.openxmlformats.org/officeDocument/2006/relationships/hyperlink" Target="http://www.oikoumene.org/en/press-centre/news/christian-organizations-" TargetMode="External"/><Relationship Id="rId410" Type="http://schemas.openxmlformats.org/officeDocument/2006/relationships/header" Target="header150.xml"/><Relationship Id="rId411" Type="http://schemas.openxmlformats.org/officeDocument/2006/relationships/footer" Target="footer146.xml"/><Relationship Id="rId412" Type="http://schemas.openxmlformats.org/officeDocument/2006/relationships/footer" Target="footer147.xml"/><Relationship Id="rId413" Type="http://schemas.openxmlformats.org/officeDocument/2006/relationships/header" Target="header151.xml"/><Relationship Id="rId414" Type="http://schemas.openxmlformats.org/officeDocument/2006/relationships/header" Target="header152.xml"/><Relationship Id="rId415" Type="http://schemas.openxmlformats.org/officeDocument/2006/relationships/footer" Target="footer148.xml"/><Relationship Id="rId416" Type="http://schemas.openxmlformats.org/officeDocument/2006/relationships/footer" Target="footer149.xml"/><Relationship Id="rId417" Type="http://schemas.openxmlformats.org/officeDocument/2006/relationships/header" Target="header153.xml"/><Relationship Id="rId418" Type="http://schemas.openxmlformats.org/officeDocument/2006/relationships/hyperlink" Target="http://www.facebook.com/urcglobalandinterculturalministries" TargetMode="External"/><Relationship Id="rId419" Type="http://schemas.openxmlformats.org/officeDocument/2006/relationships/hyperlink" Target="http://www.urc.org.uk/about-us/global-and-intercultural.html" TargetMode="External"/><Relationship Id="rId420" Type="http://schemas.openxmlformats.org/officeDocument/2006/relationships/header" Target="header154.xml"/><Relationship Id="rId421" Type="http://schemas.openxmlformats.org/officeDocument/2006/relationships/footer" Target="footer150.xml"/><Relationship Id="rId422" Type="http://schemas.openxmlformats.org/officeDocument/2006/relationships/footer" Target="footer151.xml"/><Relationship Id="rId423" Type="http://schemas.openxmlformats.org/officeDocument/2006/relationships/hyperlink" Target="http://www.urc.org.uk/vision2020.html" TargetMode="External"/><Relationship Id="rId424" Type="http://schemas.openxmlformats.org/officeDocument/2006/relationships/header" Target="header155.xml"/><Relationship Id="rId425" Type="http://schemas.openxmlformats.org/officeDocument/2006/relationships/hyperlink" Target="http://www.hopetogether.org.uk/" TargetMode="External"/><Relationship Id="rId426" Type="http://schemas.openxmlformats.org/officeDocument/2006/relationships/hyperlink" Target="http://www.remembrance100.co.uk/" TargetMode="External"/><Relationship Id="rId427" Type="http://schemas.openxmlformats.org/officeDocument/2006/relationships/header" Target="header156.xml"/><Relationship Id="rId428" Type="http://schemas.openxmlformats.org/officeDocument/2006/relationships/footer" Target="footer152.xml"/><Relationship Id="rId429" Type="http://schemas.openxmlformats.org/officeDocument/2006/relationships/footer" Target="footer153.xml"/><Relationship Id="rId430" Type="http://schemas.openxmlformats.org/officeDocument/2006/relationships/header" Target="header157.xml"/><Relationship Id="rId431" Type="http://schemas.openxmlformats.org/officeDocument/2006/relationships/hyperlink" Target="http://www.germinate.net/" TargetMode="External"/><Relationship Id="rId432" Type="http://schemas.openxmlformats.org/officeDocument/2006/relationships/header" Target="header158.xml"/><Relationship Id="rId433" Type="http://schemas.openxmlformats.org/officeDocument/2006/relationships/footer" Target="footer154.xml"/><Relationship Id="rId434" Type="http://schemas.openxmlformats.org/officeDocument/2006/relationships/hyperlink" Target="mailto:michael.jagessar@urc.org.uk" TargetMode="External"/><Relationship Id="rId435" Type="http://schemas.openxmlformats.org/officeDocument/2006/relationships/header" Target="header159.xml"/><Relationship Id="rId436" Type="http://schemas.openxmlformats.org/officeDocument/2006/relationships/footer" Target="footer155.xml"/><Relationship Id="rId437" Type="http://schemas.openxmlformats.org/officeDocument/2006/relationships/header" Target="header160.xml"/><Relationship Id="rId438" Type="http://schemas.openxmlformats.org/officeDocument/2006/relationships/footer" Target="footer156.xml"/><Relationship Id="rId439" Type="http://schemas.openxmlformats.org/officeDocument/2006/relationships/image" Target="media/image74.png"/><Relationship Id="rId440" Type="http://schemas.openxmlformats.org/officeDocument/2006/relationships/hyperlink" Target="mailto:ray.adams12@btinternet.com" TargetMode="External"/><Relationship Id="rId441" Type="http://schemas.openxmlformats.org/officeDocument/2006/relationships/hyperlink" Target="mailto:gfaris48@gmail.com" TargetMode="External"/><Relationship Id="rId442" Type="http://schemas.openxmlformats.org/officeDocument/2006/relationships/header" Target="header161.xml"/><Relationship Id="rId443" Type="http://schemas.openxmlformats.org/officeDocument/2006/relationships/footer" Target="footer157.xml"/><Relationship Id="rId444" Type="http://schemas.openxmlformats.org/officeDocument/2006/relationships/footer" Target="footer158.xml"/><Relationship Id="rId445" Type="http://schemas.openxmlformats.org/officeDocument/2006/relationships/image" Target="media/image75.png"/><Relationship Id="rId446" Type="http://schemas.openxmlformats.org/officeDocument/2006/relationships/header" Target="header162.xml"/><Relationship Id="rId447" Type="http://schemas.openxmlformats.org/officeDocument/2006/relationships/header" Target="header163.xml"/><Relationship Id="rId448" Type="http://schemas.openxmlformats.org/officeDocument/2006/relationships/footer" Target="footer159.xml"/><Relationship Id="rId449" Type="http://schemas.openxmlformats.org/officeDocument/2006/relationships/footer" Target="footer160.xml"/><Relationship Id="rId450" Type="http://schemas.openxmlformats.org/officeDocument/2006/relationships/header" Target="header164.xml"/><Relationship Id="rId451" Type="http://schemas.openxmlformats.org/officeDocument/2006/relationships/header" Target="header165.xml"/><Relationship Id="rId452" Type="http://schemas.openxmlformats.org/officeDocument/2006/relationships/footer" Target="footer161.xml"/><Relationship Id="rId453" Type="http://schemas.openxmlformats.org/officeDocument/2006/relationships/footer" Target="footer162.xml"/><Relationship Id="rId454" Type="http://schemas.openxmlformats.org/officeDocument/2006/relationships/header" Target="header166.xml"/><Relationship Id="rId455" Type="http://schemas.openxmlformats.org/officeDocument/2006/relationships/header" Target="header167.xml"/><Relationship Id="rId456" Type="http://schemas.openxmlformats.org/officeDocument/2006/relationships/footer" Target="footer163.xml"/><Relationship Id="rId457" Type="http://schemas.openxmlformats.org/officeDocument/2006/relationships/footer" Target="footer164.xml"/><Relationship Id="rId458" Type="http://schemas.openxmlformats.org/officeDocument/2006/relationships/header" Target="header168.xml"/><Relationship Id="rId459" Type="http://schemas.openxmlformats.org/officeDocument/2006/relationships/header" Target="header169.xml"/><Relationship Id="rId460" Type="http://schemas.openxmlformats.org/officeDocument/2006/relationships/footer" Target="footer165.xml"/><Relationship Id="rId461" Type="http://schemas.openxmlformats.org/officeDocument/2006/relationships/footer" Target="footer166.xml"/><Relationship Id="rId462" Type="http://schemas.openxmlformats.org/officeDocument/2006/relationships/header" Target="header170.xml"/><Relationship Id="rId463" Type="http://schemas.openxmlformats.org/officeDocument/2006/relationships/header" Target="header171.xml"/><Relationship Id="rId464" Type="http://schemas.openxmlformats.org/officeDocument/2006/relationships/footer" Target="footer167.xml"/><Relationship Id="rId465" Type="http://schemas.openxmlformats.org/officeDocument/2006/relationships/footer" Target="footer168.xml"/><Relationship Id="rId466" Type="http://schemas.openxmlformats.org/officeDocument/2006/relationships/header" Target="header172.xml"/><Relationship Id="rId467" Type="http://schemas.openxmlformats.org/officeDocument/2006/relationships/header" Target="header173.xml"/><Relationship Id="rId468" Type="http://schemas.openxmlformats.org/officeDocument/2006/relationships/footer" Target="footer169.xml"/><Relationship Id="rId469" Type="http://schemas.openxmlformats.org/officeDocument/2006/relationships/footer" Target="footer170.xml"/><Relationship Id="rId470" Type="http://schemas.openxmlformats.org/officeDocument/2006/relationships/header" Target="header174.xml"/><Relationship Id="rId471" Type="http://schemas.openxmlformats.org/officeDocument/2006/relationships/header" Target="header175.xml"/><Relationship Id="rId472" Type="http://schemas.openxmlformats.org/officeDocument/2006/relationships/footer" Target="footer171.xml"/><Relationship Id="rId473" Type="http://schemas.openxmlformats.org/officeDocument/2006/relationships/footer" Target="footer172.xml"/><Relationship Id="rId474" Type="http://schemas.openxmlformats.org/officeDocument/2006/relationships/header" Target="header176.xml"/><Relationship Id="rId475" Type="http://schemas.openxmlformats.org/officeDocument/2006/relationships/image" Target="media/image76.png"/><Relationship Id="rId476" Type="http://schemas.openxmlformats.org/officeDocument/2006/relationships/header" Target="header177.xml"/><Relationship Id="rId477" Type="http://schemas.openxmlformats.org/officeDocument/2006/relationships/footer" Target="footer173.xml"/><Relationship Id="rId478" Type="http://schemas.openxmlformats.org/officeDocument/2006/relationships/footer" Target="footer174.xml"/><Relationship Id="rId479" Type="http://schemas.openxmlformats.org/officeDocument/2006/relationships/image" Target="media/image77.png"/><Relationship Id="rId480" Type="http://schemas.openxmlformats.org/officeDocument/2006/relationships/header" Target="header178.xml"/><Relationship Id="rId481" Type="http://schemas.openxmlformats.org/officeDocument/2006/relationships/header" Target="header179.xml"/><Relationship Id="rId482" Type="http://schemas.openxmlformats.org/officeDocument/2006/relationships/footer" Target="footer175.xml"/><Relationship Id="rId483" Type="http://schemas.openxmlformats.org/officeDocument/2006/relationships/header" Target="header180.xml"/><Relationship Id="rId484" Type="http://schemas.openxmlformats.org/officeDocument/2006/relationships/footer" Target="footer176.xml"/><Relationship Id="rId485" Type="http://schemas.openxmlformats.org/officeDocument/2006/relationships/image" Target="media/image78.jpeg"/><Relationship Id="rId486" Type="http://schemas.openxmlformats.org/officeDocument/2006/relationships/image" Target="media/image79.png"/><Relationship Id="rId487" Type="http://schemas.openxmlformats.org/officeDocument/2006/relationships/image" Target="media/image80.png"/><Relationship Id="rId488" Type="http://schemas.openxmlformats.org/officeDocument/2006/relationships/header" Target="header181.xml"/><Relationship Id="rId489" Type="http://schemas.openxmlformats.org/officeDocument/2006/relationships/footer" Target="footer177.xml"/><Relationship Id="rId490" Type="http://schemas.openxmlformats.org/officeDocument/2006/relationships/footer" Target="footer178.xml"/><Relationship Id="rId491" Type="http://schemas.openxmlformats.org/officeDocument/2006/relationships/image" Target="media/image81.png"/><Relationship Id="rId492" Type="http://schemas.openxmlformats.org/officeDocument/2006/relationships/hyperlink" Target="http://www.urchistory.org.uk/" TargetMode="External"/><Relationship Id="rId493" Type="http://schemas.openxmlformats.org/officeDocument/2006/relationships/header" Target="header182.xml"/><Relationship Id="rId494" Type="http://schemas.openxmlformats.org/officeDocument/2006/relationships/hyperlink" Target="mailto:carannrog@aol.com" TargetMode="External"/><Relationship Id="rId495" Type="http://schemas.openxmlformats.org/officeDocument/2006/relationships/hyperlink" Target="http://www.urcmusic.org.uk/" TargetMode="External"/><Relationship Id="rId496" Type="http://schemas.openxmlformats.org/officeDocument/2006/relationships/header" Target="header183.xml"/><Relationship Id="rId497" Type="http://schemas.openxmlformats.org/officeDocument/2006/relationships/footer" Target="footer179.xml"/><Relationship Id="rId498" Type="http://schemas.openxmlformats.org/officeDocument/2006/relationships/footer" Target="footer180.xml"/><Relationship Id="rId499" Type="http://schemas.openxmlformats.org/officeDocument/2006/relationships/header" Target="header184.xml"/><Relationship Id="rId500" Type="http://schemas.openxmlformats.org/officeDocument/2006/relationships/hyperlink" Target="http://www.wwdp.org.uk/" TargetMode="External"/><Relationship Id="rId501" Type="http://schemas.openxmlformats.org/officeDocument/2006/relationships/header" Target="header185.xml"/><Relationship Id="rId502" Type="http://schemas.openxmlformats.org/officeDocument/2006/relationships/footer" Target="footer181.xml"/><Relationship Id="rId503" Type="http://schemas.openxmlformats.org/officeDocument/2006/relationships/image" Target="media/image82.jpeg"/><Relationship Id="rId504" Type="http://schemas.openxmlformats.org/officeDocument/2006/relationships/hyperlink" Target="http://www.wdpscotland.org.uk/" TargetMode="External"/><Relationship Id="rId505" Type="http://schemas.openxmlformats.org/officeDocument/2006/relationships/header" Target="header186.xml"/><Relationship Id="rId506" Type="http://schemas.openxmlformats.org/officeDocument/2006/relationships/footer" Target="footer182.xml"/><Relationship Id="rId507" Type="http://schemas.openxmlformats.org/officeDocument/2006/relationships/image" Target="media/image83.png"/><Relationship Id="rId508" Type="http://schemas.openxmlformats.org/officeDocument/2006/relationships/header" Target="header187.xml"/><Relationship Id="rId509" Type="http://schemas.openxmlformats.org/officeDocument/2006/relationships/footer" Target="footer183.xml"/><Relationship Id="rId510" Type="http://schemas.openxmlformats.org/officeDocument/2006/relationships/footer" Target="footer184.xml"/><Relationship Id="rId511" Type="http://schemas.openxmlformats.org/officeDocument/2006/relationships/image" Target="media/image84.png"/><Relationship Id="rId512" Type="http://schemas.openxmlformats.org/officeDocument/2006/relationships/header" Target="header188.xml"/><Relationship Id="rId513" Type="http://schemas.openxmlformats.org/officeDocument/2006/relationships/header" Target="header189.xml"/><Relationship Id="rId514" Type="http://schemas.openxmlformats.org/officeDocument/2006/relationships/footer" Target="footer185.xml"/><Relationship Id="rId515" Type="http://schemas.openxmlformats.org/officeDocument/2006/relationships/footer" Target="footer186.xml"/><Relationship Id="rId516" Type="http://schemas.openxmlformats.org/officeDocument/2006/relationships/header" Target="header190.xml"/><Relationship Id="rId517" Type="http://schemas.openxmlformats.org/officeDocument/2006/relationships/header" Target="header191.xml"/><Relationship Id="rId518" Type="http://schemas.openxmlformats.org/officeDocument/2006/relationships/footer" Target="footer187.xml"/><Relationship Id="rId519" Type="http://schemas.openxmlformats.org/officeDocument/2006/relationships/footer" Target="footer188.xml"/><Relationship Id="rId520" Type="http://schemas.openxmlformats.org/officeDocument/2006/relationships/header" Target="header192.xml"/><Relationship Id="rId521" Type="http://schemas.openxmlformats.org/officeDocument/2006/relationships/header" Target="header193.xml"/><Relationship Id="rId522" Type="http://schemas.openxmlformats.org/officeDocument/2006/relationships/footer" Target="footer189.xml"/><Relationship Id="rId523" Type="http://schemas.openxmlformats.org/officeDocument/2006/relationships/footer" Target="footer190.xml"/><Relationship Id="rId524" Type="http://schemas.openxmlformats.org/officeDocument/2006/relationships/header" Target="header194.xml"/><Relationship Id="rId525" Type="http://schemas.openxmlformats.org/officeDocument/2006/relationships/image" Target="media/image85.png"/><Relationship Id="rId526" Type="http://schemas.openxmlformats.org/officeDocument/2006/relationships/header" Target="header195.xml"/><Relationship Id="rId527" Type="http://schemas.openxmlformats.org/officeDocument/2006/relationships/footer" Target="footer191.xml"/><Relationship Id="rId528" Type="http://schemas.openxmlformats.org/officeDocument/2006/relationships/footer" Target="footer192.xml"/><Relationship Id="rId529" Type="http://schemas.openxmlformats.org/officeDocument/2006/relationships/image" Target="media/image86.png"/><Relationship Id="rId530" Type="http://schemas.openxmlformats.org/officeDocument/2006/relationships/header" Target="header196.xml"/><Relationship Id="rId531" Type="http://schemas.openxmlformats.org/officeDocument/2006/relationships/image" Target="media/image87.png"/><Relationship Id="rId532" Type="http://schemas.openxmlformats.org/officeDocument/2006/relationships/header" Target="header197.xml"/><Relationship Id="rId533" Type="http://schemas.openxmlformats.org/officeDocument/2006/relationships/footer" Target="footer193.xml"/><Relationship Id="rId534" Type="http://schemas.openxmlformats.org/officeDocument/2006/relationships/footer" Target="footer194.xml"/><Relationship Id="rId535" Type="http://schemas.openxmlformats.org/officeDocument/2006/relationships/header" Target="header198.xml"/><Relationship Id="rId536" Type="http://schemas.openxmlformats.org/officeDocument/2006/relationships/header" Target="header199.xml"/><Relationship Id="rId537" Type="http://schemas.openxmlformats.org/officeDocument/2006/relationships/footer" Target="footer195.xml"/><Relationship Id="rId538" Type="http://schemas.openxmlformats.org/officeDocument/2006/relationships/footer" Target="footer196.xml"/><Relationship Id="rId539" Type="http://schemas.openxmlformats.org/officeDocument/2006/relationships/header" Target="header200.xml"/><Relationship Id="rId540" Type="http://schemas.openxmlformats.org/officeDocument/2006/relationships/header" Target="header201.xml"/><Relationship Id="rId541" Type="http://schemas.openxmlformats.org/officeDocument/2006/relationships/footer" Target="footer197.xml"/><Relationship Id="rId542" Type="http://schemas.openxmlformats.org/officeDocument/2006/relationships/footer" Target="footer198.xml"/><Relationship Id="rId543" Type="http://schemas.openxmlformats.org/officeDocument/2006/relationships/header" Target="header202.xml"/><Relationship Id="rId544" Type="http://schemas.openxmlformats.org/officeDocument/2006/relationships/header" Target="header203.xml"/><Relationship Id="rId545" Type="http://schemas.openxmlformats.org/officeDocument/2006/relationships/footer" Target="footer199.xml"/><Relationship Id="rId546" Type="http://schemas.openxmlformats.org/officeDocument/2006/relationships/header" Target="header204.xml"/><Relationship Id="rId547" Type="http://schemas.openxmlformats.org/officeDocument/2006/relationships/footer" Target="footer200.xml"/><Relationship Id="rId548" Type="http://schemas.openxmlformats.org/officeDocument/2006/relationships/header" Target="header205.xml"/><Relationship Id="rId549" Type="http://schemas.openxmlformats.org/officeDocument/2006/relationships/footer" Target="footer201.xml"/><Relationship Id="rId550" Type="http://schemas.openxmlformats.org/officeDocument/2006/relationships/image" Target="media/image88.png"/><Relationship Id="rId5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2020-01-17T16:19:42Z</dcterms:created>
  <dcterms:modified xsi:type="dcterms:W3CDTF">2020-01-17T16:19:42Z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Adobe InDesign CC 13.1 (Windows)</vt:lpwstr>
  </property>
  <property fmtid="{D5CDD505-2E9C-101B-9397-08002B2CF9AE}" pid="4" name="LastSaved">
    <vt:filetime>2020-01-17T00:00:00Z</vt:filetime>
  </property>
</Properties>
</file>