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8"/>
        <w:rPr>
          <w:rFonts w:ascii="Times New Roman"/>
          <w:sz w:val="20"/>
        </w:rPr>
      </w:pPr>
      <w:r>
        <w:rPr>
          <w:rFonts w:ascii="Times New Roman"/>
          <w:sz w:val="20"/>
        </w:rPr>
        <w:drawing>
          <wp:inline distT="0" distB="0" distL="0" distR="0">
            <wp:extent cx="6998747" cy="992524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998747" cy="9925240"/>
                    </a:xfrm>
                    <a:prstGeom prst="rect">
                      <a:avLst/>
                    </a:prstGeom>
                  </pic:spPr>
                </pic:pic>
              </a:graphicData>
            </a:graphic>
          </wp:inline>
        </w:drawing>
      </w:r>
      <w:r>
        <w:rPr>
          <w:rFonts w:ascii="Times New Roman"/>
          <w:sz w:val="20"/>
        </w:rPr>
      </w:r>
    </w:p>
    <w:p>
      <w:pPr>
        <w:spacing w:after="0"/>
        <w:rPr>
          <w:rFonts w:ascii="Times New Roman"/>
          <w:sz w:val="20"/>
        </w:rPr>
        <w:sectPr>
          <w:type w:val="continuous"/>
          <w:pgSz w:w="11910" w:h="16840"/>
          <w:pgMar w:top="400" w:bottom="280" w:left="26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pStyle w:val="BodyText"/>
        <w:ind w:left="505"/>
        <w:rPr>
          <w:rFonts w:ascii="Times New Roman"/>
          <w:sz w:val="20"/>
        </w:rPr>
      </w:pPr>
      <w:r>
        <w:rPr>
          <w:rFonts w:ascii="Times New Roman"/>
          <w:sz w:val="20"/>
        </w:rPr>
        <w:drawing>
          <wp:inline distT="0" distB="0" distL="0" distR="0">
            <wp:extent cx="1081414" cy="1008888"/>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081414" cy="1008888"/>
                    </a:xfrm>
                    <a:prstGeom prst="rect">
                      <a:avLst/>
                    </a:prstGeom>
                  </pic:spPr>
                </pic:pic>
              </a:graphicData>
            </a:graphic>
          </wp:inline>
        </w:drawing>
      </w:r>
      <w:r>
        <w:rPr>
          <w:rFonts w:ascii="Times New Roman"/>
          <w:sz w:val="20"/>
        </w:rPr>
      </w:r>
    </w:p>
    <w:p>
      <w:pPr>
        <w:pStyle w:val="BodyText"/>
        <w:spacing w:before="8"/>
        <w:rPr>
          <w:rFonts w:ascii="Times New Roman"/>
          <w:sz w:val="12"/>
        </w:rPr>
      </w:pPr>
    </w:p>
    <w:p>
      <w:pPr>
        <w:spacing w:before="95"/>
        <w:ind w:left="505" w:right="0" w:firstLine="0"/>
        <w:jc w:val="left"/>
        <w:rPr>
          <w:rFonts w:ascii="Stone Sans II ITC Std Bk"/>
          <w:b/>
          <w:sz w:val="25"/>
        </w:rPr>
      </w:pPr>
      <w:hyperlink r:id="rId7">
        <w:r>
          <w:rPr>
            <w:rFonts w:ascii="Stone Sans II ITC Std Bk"/>
            <w:b/>
            <w:color w:val="005FA9"/>
            <w:w w:val="110"/>
            <w:sz w:val="25"/>
          </w:rPr>
          <w:t>www.urc.org.uk</w:t>
        </w:r>
      </w:hyperlink>
    </w:p>
    <w:p>
      <w:pPr>
        <w:spacing w:line="316" w:lineRule="auto" w:before="192"/>
        <w:ind w:left="505" w:right="1798" w:firstLine="0"/>
        <w:jc w:val="left"/>
        <w:rPr>
          <w:rFonts w:ascii="Lucida Sans" w:hAnsi="Lucida Sans"/>
          <w:sz w:val="18"/>
        </w:rPr>
      </w:pPr>
      <w:r>
        <w:rPr>
          <w:rFonts w:ascii="Lucida Sans" w:hAnsi="Lucida Sans"/>
          <w:color w:val="1A171C"/>
          <w:w w:val="105"/>
          <w:sz w:val="18"/>
        </w:rPr>
        <w:t>Set</w:t>
      </w:r>
      <w:r>
        <w:rPr>
          <w:rFonts w:ascii="Lucida Sans" w:hAnsi="Lucida Sans"/>
          <w:color w:val="1A171C"/>
          <w:spacing w:val="-19"/>
          <w:w w:val="105"/>
          <w:sz w:val="18"/>
        </w:rPr>
        <w:t> </w:t>
      </w:r>
      <w:r>
        <w:rPr>
          <w:rFonts w:ascii="Lucida Sans" w:hAnsi="Lucida Sans"/>
          <w:color w:val="1A171C"/>
          <w:w w:val="105"/>
          <w:sz w:val="18"/>
        </w:rPr>
        <w:t>and</w:t>
      </w:r>
      <w:r>
        <w:rPr>
          <w:rFonts w:ascii="Lucida Sans" w:hAnsi="Lucida Sans"/>
          <w:color w:val="1A171C"/>
          <w:spacing w:val="-18"/>
          <w:w w:val="105"/>
          <w:sz w:val="18"/>
        </w:rPr>
        <w:t> </w:t>
      </w:r>
      <w:r>
        <w:rPr>
          <w:rFonts w:ascii="Lucida Sans" w:hAnsi="Lucida Sans"/>
          <w:color w:val="1A171C"/>
          <w:w w:val="105"/>
          <w:sz w:val="18"/>
        </w:rPr>
        <w:t>published</w:t>
      </w:r>
      <w:r>
        <w:rPr>
          <w:rFonts w:ascii="Lucida Sans" w:hAnsi="Lucida Sans"/>
          <w:color w:val="1A171C"/>
          <w:spacing w:val="-18"/>
          <w:w w:val="105"/>
          <w:sz w:val="18"/>
        </w:rPr>
        <w:t> </w:t>
      </w:r>
      <w:r>
        <w:rPr>
          <w:rFonts w:ascii="Lucida Sans" w:hAnsi="Lucida Sans"/>
          <w:color w:val="1A171C"/>
          <w:w w:val="105"/>
          <w:sz w:val="18"/>
        </w:rPr>
        <w:t>by</w:t>
      </w:r>
      <w:r>
        <w:rPr>
          <w:rFonts w:ascii="Lucida Sans" w:hAnsi="Lucida Sans"/>
          <w:color w:val="1A171C"/>
          <w:spacing w:val="-18"/>
          <w:w w:val="105"/>
          <w:sz w:val="18"/>
        </w:rPr>
        <w:t> </w:t>
      </w:r>
      <w:r>
        <w:rPr>
          <w:rFonts w:ascii="Lucida Sans" w:hAnsi="Lucida Sans"/>
          <w:color w:val="1A171C"/>
          <w:w w:val="105"/>
          <w:sz w:val="18"/>
        </w:rPr>
        <w:t>the</w:t>
      </w:r>
      <w:r>
        <w:rPr>
          <w:rFonts w:ascii="Lucida Sans" w:hAnsi="Lucida Sans"/>
          <w:color w:val="1A171C"/>
          <w:spacing w:val="-18"/>
          <w:w w:val="105"/>
          <w:sz w:val="18"/>
        </w:rPr>
        <w:t> </w:t>
      </w:r>
      <w:r>
        <w:rPr>
          <w:rFonts w:ascii="Lucida Sans" w:hAnsi="Lucida Sans"/>
          <w:color w:val="1A171C"/>
          <w:w w:val="105"/>
          <w:sz w:val="18"/>
        </w:rPr>
        <w:t>United</w:t>
      </w:r>
      <w:r>
        <w:rPr>
          <w:rFonts w:ascii="Lucida Sans" w:hAnsi="Lucida Sans"/>
          <w:color w:val="1A171C"/>
          <w:spacing w:val="-18"/>
          <w:w w:val="105"/>
          <w:sz w:val="18"/>
        </w:rPr>
        <w:t> </w:t>
      </w:r>
      <w:r>
        <w:rPr>
          <w:rFonts w:ascii="Lucida Sans" w:hAnsi="Lucida Sans"/>
          <w:color w:val="1A171C"/>
          <w:w w:val="105"/>
          <w:sz w:val="18"/>
        </w:rPr>
        <w:t>Reformed</w:t>
      </w:r>
      <w:r>
        <w:rPr>
          <w:rFonts w:ascii="Lucida Sans" w:hAnsi="Lucida Sans"/>
          <w:color w:val="1A171C"/>
          <w:spacing w:val="-18"/>
          <w:w w:val="105"/>
          <w:sz w:val="18"/>
        </w:rPr>
        <w:t> </w:t>
      </w:r>
      <w:r>
        <w:rPr>
          <w:rFonts w:ascii="Lucida Sans" w:hAnsi="Lucida Sans"/>
          <w:color w:val="1A171C"/>
          <w:w w:val="105"/>
          <w:sz w:val="18"/>
        </w:rPr>
        <w:t>Church’s</w:t>
      </w:r>
      <w:r>
        <w:rPr>
          <w:rFonts w:ascii="Lucida Sans" w:hAnsi="Lucida Sans"/>
          <w:color w:val="1A171C"/>
          <w:spacing w:val="-18"/>
          <w:w w:val="105"/>
          <w:sz w:val="18"/>
        </w:rPr>
        <w:t> </w:t>
      </w:r>
      <w:r>
        <w:rPr>
          <w:rFonts w:ascii="Lucida Sans" w:hAnsi="Lucida Sans"/>
          <w:color w:val="1A171C"/>
          <w:w w:val="105"/>
          <w:sz w:val="18"/>
        </w:rPr>
        <w:t>graphics</w:t>
      </w:r>
      <w:r>
        <w:rPr>
          <w:rFonts w:ascii="Lucida Sans" w:hAnsi="Lucida Sans"/>
          <w:color w:val="1A171C"/>
          <w:spacing w:val="-18"/>
          <w:w w:val="105"/>
          <w:sz w:val="18"/>
        </w:rPr>
        <w:t> </w:t>
      </w:r>
      <w:r>
        <w:rPr>
          <w:rFonts w:ascii="Lucida Sans" w:hAnsi="Lucida Sans"/>
          <w:color w:val="1A171C"/>
          <w:w w:val="105"/>
          <w:sz w:val="18"/>
        </w:rPr>
        <w:t>office,</w:t>
      </w:r>
      <w:r>
        <w:rPr>
          <w:rFonts w:ascii="Lucida Sans" w:hAnsi="Lucida Sans"/>
          <w:color w:val="1A171C"/>
          <w:spacing w:val="-18"/>
          <w:w w:val="105"/>
          <w:sz w:val="18"/>
        </w:rPr>
        <w:t> </w:t>
      </w:r>
      <w:r>
        <w:rPr>
          <w:rFonts w:ascii="Lucida Sans" w:hAnsi="Lucida Sans"/>
          <w:color w:val="1A171C"/>
          <w:w w:val="105"/>
          <w:sz w:val="18"/>
        </w:rPr>
        <w:t>Church</w:t>
      </w:r>
      <w:r>
        <w:rPr>
          <w:rFonts w:ascii="Lucida Sans" w:hAnsi="Lucida Sans"/>
          <w:color w:val="1A171C"/>
          <w:spacing w:val="-18"/>
          <w:w w:val="105"/>
          <w:sz w:val="18"/>
        </w:rPr>
        <w:t> </w:t>
      </w:r>
      <w:r>
        <w:rPr>
          <w:rFonts w:ascii="Lucida Sans" w:hAnsi="Lucida Sans"/>
          <w:color w:val="1A171C"/>
          <w:w w:val="105"/>
          <w:sz w:val="18"/>
        </w:rPr>
        <w:t>House,</w:t>
      </w:r>
      <w:r>
        <w:rPr>
          <w:rFonts w:ascii="Lucida Sans" w:hAnsi="Lucida Sans"/>
          <w:color w:val="1A171C"/>
          <w:spacing w:val="-18"/>
          <w:w w:val="105"/>
          <w:sz w:val="18"/>
        </w:rPr>
        <w:t> </w:t>
      </w:r>
      <w:r>
        <w:rPr>
          <w:rFonts w:ascii="Lucida Sans" w:hAnsi="Lucida Sans"/>
          <w:color w:val="1A171C"/>
          <w:w w:val="105"/>
          <w:sz w:val="18"/>
        </w:rPr>
        <w:t>86</w:t>
      </w:r>
      <w:r>
        <w:rPr>
          <w:rFonts w:ascii="Lucida Sans" w:hAnsi="Lucida Sans"/>
          <w:color w:val="1A171C"/>
          <w:spacing w:val="-18"/>
          <w:w w:val="105"/>
          <w:sz w:val="18"/>
        </w:rPr>
        <w:t> </w:t>
      </w:r>
      <w:r>
        <w:rPr>
          <w:rFonts w:ascii="Lucida Sans" w:hAnsi="Lucida Sans"/>
          <w:color w:val="1A171C"/>
          <w:w w:val="105"/>
          <w:sz w:val="18"/>
        </w:rPr>
        <w:t>Tavistock</w:t>
      </w:r>
      <w:r>
        <w:rPr>
          <w:rFonts w:ascii="Lucida Sans" w:hAnsi="Lucida Sans"/>
          <w:color w:val="1A171C"/>
          <w:spacing w:val="-18"/>
          <w:w w:val="105"/>
          <w:sz w:val="18"/>
        </w:rPr>
        <w:t> </w:t>
      </w:r>
      <w:r>
        <w:rPr>
          <w:rFonts w:ascii="Lucida Sans" w:hAnsi="Lucida Sans"/>
          <w:color w:val="1A171C"/>
          <w:w w:val="105"/>
          <w:sz w:val="18"/>
        </w:rPr>
        <w:t>Place, London</w:t>
      </w:r>
      <w:r>
        <w:rPr>
          <w:rFonts w:ascii="Lucida Sans" w:hAnsi="Lucida Sans"/>
          <w:color w:val="1A171C"/>
          <w:spacing w:val="-10"/>
          <w:w w:val="105"/>
          <w:sz w:val="18"/>
        </w:rPr>
        <w:t> </w:t>
      </w:r>
      <w:r>
        <w:rPr>
          <w:rFonts w:ascii="Lucida Sans" w:hAnsi="Lucida Sans"/>
          <w:color w:val="1A171C"/>
          <w:spacing w:val="-3"/>
          <w:w w:val="105"/>
          <w:sz w:val="18"/>
        </w:rPr>
        <w:t>WC1H</w:t>
      </w:r>
      <w:r>
        <w:rPr>
          <w:rFonts w:ascii="Lucida Sans" w:hAnsi="Lucida Sans"/>
          <w:color w:val="1A171C"/>
          <w:spacing w:val="-9"/>
          <w:w w:val="105"/>
          <w:sz w:val="18"/>
        </w:rPr>
        <w:t> </w:t>
      </w:r>
      <w:r>
        <w:rPr>
          <w:rFonts w:ascii="Lucida Sans" w:hAnsi="Lucida Sans"/>
          <w:color w:val="1A171C"/>
          <w:w w:val="105"/>
          <w:sz w:val="18"/>
        </w:rPr>
        <w:t>9RT</w:t>
      </w:r>
      <w:r>
        <w:rPr>
          <w:rFonts w:ascii="Lucida Sans" w:hAnsi="Lucida Sans"/>
          <w:color w:val="1A171C"/>
          <w:spacing w:val="-9"/>
          <w:w w:val="105"/>
          <w:sz w:val="18"/>
        </w:rPr>
        <w:t> </w:t>
      </w:r>
      <w:r>
        <w:rPr>
          <w:rFonts w:ascii="Lucida Sans" w:hAnsi="Lucida Sans"/>
          <w:color w:val="1A171C"/>
          <w:w w:val="105"/>
          <w:sz w:val="18"/>
        </w:rPr>
        <w:t>on</w:t>
      </w:r>
      <w:r>
        <w:rPr>
          <w:rFonts w:ascii="Lucida Sans" w:hAnsi="Lucida Sans"/>
          <w:color w:val="1A171C"/>
          <w:spacing w:val="-9"/>
          <w:w w:val="105"/>
          <w:sz w:val="18"/>
        </w:rPr>
        <w:t> </w:t>
      </w:r>
      <w:r>
        <w:rPr>
          <w:rFonts w:ascii="Lucida Sans" w:hAnsi="Lucida Sans"/>
          <w:color w:val="1A171C"/>
          <w:w w:val="105"/>
          <w:sz w:val="18"/>
        </w:rPr>
        <w:t>behalf</w:t>
      </w:r>
      <w:r>
        <w:rPr>
          <w:rFonts w:ascii="Lucida Sans" w:hAnsi="Lucida Sans"/>
          <w:color w:val="1A171C"/>
          <w:spacing w:val="-9"/>
          <w:w w:val="105"/>
          <w:sz w:val="18"/>
        </w:rPr>
        <w:t> </w:t>
      </w:r>
      <w:r>
        <w:rPr>
          <w:rFonts w:ascii="Lucida Sans" w:hAnsi="Lucida Sans"/>
          <w:color w:val="1A171C"/>
          <w:w w:val="105"/>
          <w:sz w:val="18"/>
        </w:rPr>
        <w:t>of</w:t>
      </w:r>
      <w:r>
        <w:rPr>
          <w:rFonts w:ascii="Lucida Sans" w:hAnsi="Lucida Sans"/>
          <w:color w:val="1A171C"/>
          <w:spacing w:val="-9"/>
          <w:w w:val="105"/>
          <w:sz w:val="18"/>
        </w:rPr>
        <w:t> </w:t>
      </w:r>
      <w:r>
        <w:rPr>
          <w:rFonts w:ascii="Lucida Sans" w:hAnsi="Lucida Sans"/>
          <w:color w:val="1A171C"/>
          <w:w w:val="105"/>
          <w:sz w:val="18"/>
        </w:rPr>
        <w:t>General</w:t>
      </w:r>
      <w:r>
        <w:rPr>
          <w:rFonts w:ascii="Lucida Sans" w:hAnsi="Lucida Sans"/>
          <w:color w:val="1A171C"/>
          <w:spacing w:val="-9"/>
          <w:w w:val="105"/>
          <w:sz w:val="18"/>
        </w:rPr>
        <w:t> </w:t>
      </w:r>
      <w:r>
        <w:rPr>
          <w:rFonts w:ascii="Lucida Sans" w:hAnsi="Lucida Sans"/>
          <w:color w:val="1A171C"/>
          <w:w w:val="105"/>
          <w:sz w:val="18"/>
        </w:rPr>
        <w:t>Assembly.</w:t>
      </w:r>
    </w:p>
    <w:p>
      <w:pPr>
        <w:spacing w:after="0" w:line="316" w:lineRule="auto"/>
        <w:jc w:val="left"/>
        <w:rPr>
          <w:rFonts w:ascii="Lucida Sans" w:hAnsi="Lucida Sans"/>
          <w:sz w:val="18"/>
        </w:rPr>
        <w:sectPr>
          <w:pgSz w:w="11910" w:h="16840"/>
          <w:pgMar w:top="1580" w:bottom="280" w:left="260" w:right="0"/>
        </w:sectPr>
      </w:pPr>
    </w:p>
    <w:p>
      <w:pPr>
        <w:pStyle w:val="BodyText"/>
        <w:rPr>
          <w:rFonts w:ascii="Lucida Sans"/>
          <w:sz w:val="20"/>
        </w:rPr>
      </w:pPr>
      <w:r>
        <w:rPr/>
        <w:pict>
          <v:group style="position:absolute;margin-left:549.206970pt;margin-top:12.755014pt;width:34.050pt;height:816.4pt;mso-position-horizontal-relative:page;mso-position-vertical-relative:page;z-index:251659264" coordorigin="10984,255" coordsize="681,16328">
            <v:shape style="position:absolute;left:10984;top:255;width:681;height:16328" type="#_x0000_t75" stroked="false">
              <v:imagedata r:id="rId8" o:title=""/>
            </v:shape>
            <v:shapetype id="_x0000_t202" o:spt="202" coordsize="21600,21600" path="m,l,21600r21600,l21600,xe">
              <v:stroke joinstyle="miter"/>
              <v:path gradientshapeok="t" o:connecttype="rect"/>
            </v:shapetype>
            <v:shape style="position:absolute;left:11239;top:15990;width:18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3</w:t>
                    </w:r>
                  </w:p>
                </w:txbxContent>
              </v:textbox>
              <w10:wrap type="none"/>
            </v:shape>
            <w10:wrap type="none"/>
          </v:group>
        </w:pict>
      </w:r>
    </w:p>
    <w:p>
      <w:pPr>
        <w:pStyle w:val="BodyText"/>
        <w:rPr>
          <w:rFonts w:ascii="Lucida Sans"/>
          <w:sz w:val="20"/>
        </w:rPr>
      </w:pPr>
    </w:p>
    <w:p>
      <w:pPr>
        <w:pStyle w:val="BodyText"/>
        <w:rPr>
          <w:rFonts w:ascii="Lucida Sans"/>
          <w:sz w:val="20"/>
        </w:rPr>
      </w:pPr>
    </w:p>
    <w:p>
      <w:pPr>
        <w:pStyle w:val="BodyText"/>
        <w:spacing w:before="2"/>
        <w:rPr>
          <w:rFonts w:ascii="Lucida Sans"/>
          <w:sz w:val="26"/>
        </w:rPr>
      </w:pPr>
    </w:p>
    <w:p>
      <w:pPr>
        <w:pStyle w:val="Heading2"/>
        <w:spacing w:line="196" w:lineRule="auto" w:before="162"/>
        <w:ind w:left="1998" w:right="2143"/>
        <w:rPr>
          <w:b w:val="0"/>
        </w:rPr>
      </w:pPr>
      <w:r>
        <w:rPr/>
        <w:pict>
          <v:shape style="position:absolute;margin-left:548.072205pt;margin-top:-35.36602pt;width:34.4pt;height:288.650pt;mso-position-horizontal-relative:page;mso-position-vertical-relative:paragraph;z-index:251660288" type="#_x0000_t202" filled="false" stroked="false">
            <v:textbox inset="0,0,0,0" style="layout-flow:vertical">
              <w:txbxContent>
                <w:p>
                  <w:pPr>
                    <w:spacing w:line="687" w:lineRule="exact" w:before="0"/>
                    <w:ind w:left="20" w:right="0" w:firstLine="0"/>
                    <w:jc w:val="left"/>
                    <w:rPr>
                      <w:rFonts w:ascii="Stone Sans II ITC Std Lt"/>
                      <w:b w:val="0"/>
                      <w:sz w:val="54"/>
                    </w:rPr>
                  </w:pPr>
                  <w:r>
                    <w:rPr>
                      <w:rFonts w:ascii="Stone Sans II ITC Std Lt"/>
                      <w:b w:val="0"/>
                      <w:color w:val="FFFFFF"/>
                      <w:spacing w:val="-6"/>
                      <w:w w:val="110"/>
                      <w:sz w:val="54"/>
                    </w:rPr>
                    <w:t>Agenda </w:t>
                  </w:r>
                  <w:r>
                    <w:rPr>
                      <w:rFonts w:ascii="Stone Sans II ITC Std Lt"/>
                      <w:b w:val="0"/>
                      <w:color w:val="FFFFFF"/>
                      <w:spacing w:val="-5"/>
                      <w:w w:val="110"/>
                      <w:sz w:val="54"/>
                    </w:rPr>
                    <w:t>and</w:t>
                  </w:r>
                  <w:r>
                    <w:rPr>
                      <w:rFonts w:ascii="Stone Sans II ITC Std Lt"/>
                      <w:b w:val="0"/>
                      <w:color w:val="FFFFFF"/>
                      <w:spacing w:val="68"/>
                      <w:w w:val="110"/>
                      <w:sz w:val="54"/>
                    </w:rPr>
                    <w:t> </w:t>
                  </w:r>
                  <w:r>
                    <w:rPr>
                      <w:rFonts w:ascii="Stone Sans II ITC Std Lt"/>
                      <w:b w:val="0"/>
                      <w:color w:val="FFFFFF"/>
                      <w:spacing w:val="-7"/>
                      <w:w w:val="110"/>
                      <w:sz w:val="54"/>
                    </w:rPr>
                    <w:t>Timetable</w:t>
                  </w:r>
                </w:p>
              </w:txbxContent>
            </v:textbox>
            <w10:wrap type="none"/>
          </v:shape>
        </w:pict>
      </w:r>
      <w:r>
        <w:rPr>
          <w:b w:val="0"/>
          <w:color w:val="1A171C"/>
          <w:w w:val="110"/>
        </w:rPr>
        <w:t>The United Reformed Church General Assembly</w:t>
      </w:r>
    </w:p>
    <w:p>
      <w:pPr>
        <w:pStyle w:val="Heading3"/>
        <w:spacing w:line="273" w:lineRule="auto" w:before="56"/>
        <w:ind w:right="2143"/>
        <w:rPr>
          <w:b w:val="0"/>
        </w:rPr>
      </w:pPr>
      <w:r>
        <w:rPr>
          <w:b w:val="0"/>
          <w:color w:val="1A171C"/>
          <w:spacing w:val="-4"/>
          <w:w w:val="115"/>
        </w:rPr>
        <w:t>Meeting</w:t>
      </w:r>
      <w:r>
        <w:rPr>
          <w:b w:val="0"/>
          <w:color w:val="1A171C"/>
          <w:spacing w:val="-29"/>
          <w:w w:val="115"/>
        </w:rPr>
        <w:t> </w:t>
      </w:r>
      <w:r>
        <w:rPr>
          <w:b w:val="0"/>
          <w:color w:val="1A171C"/>
          <w:spacing w:val="-4"/>
          <w:w w:val="115"/>
        </w:rPr>
        <w:t>at</w:t>
      </w:r>
      <w:r>
        <w:rPr>
          <w:b w:val="0"/>
          <w:color w:val="1A171C"/>
          <w:spacing w:val="-28"/>
          <w:w w:val="115"/>
        </w:rPr>
        <w:t> </w:t>
      </w:r>
      <w:r>
        <w:rPr>
          <w:b w:val="0"/>
          <w:color w:val="1A171C"/>
          <w:spacing w:val="-5"/>
          <w:w w:val="115"/>
        </w:rPr>
        <w:t>Birmingham,</w:t>
      </w:r>
      <w:r>
        <w:rPr>
          <w:b w:val="0"/>
          <w:color w:val="1A171C"/>
          <w:spacing w:val="-28"/>
          <w:w w:val="115"/>
        </w:rPr>
        <w:t> </w:t>
      </w:r>
      <w:r>
        <w:rPr>
          <w:b w:val="0"/>
          <w:color w:val="1A171C"/>
          <w:spacing w:val="-9"/>
          <w:w w:val="115"/>
        </w:rPr>
        <w:t>27th</w:t>
      </w:r>
      <w:r>
        <w:rPr>
          <w:b w:val="0"/>
          <w:color w:val="1A171C"/>
          <w:spacing w:val="-28"/>
          <w:w w:val="115"/>
        </w:rPr>
        <w:t> </w:t>
      </w:r>
      <w:r>
        <w:rPr>
          <w:b w:val="0"/>
          <w:color w:val="1A171C"/>
          <w:spacing w:val="-4"/>
          <w:w w:val="115"/>
        </w:rPr>
        <w:t>June</w:t>
      </w:r>
      <w:r>
        <w:rPr>
          <w:b w:val="0"/>
          <w:color w:val="1A171C"/>
          <w:spacing w:val="-28"/>
          <w:w w:val="115"/>
        </w:rPr>
        <w:t> </w:t>
      </w:r>
      <w:r>
        <w:rPr>
          <w:b w:val="0"/>
          <w:color w:val="1A171C"/>
          <w:spacing w:val="-18"/>
          <w:w w:val="115"/>
        </w:rPr>
        <w:t>2015 </w:t>
      </w:r>
      <w:r>
        <w:rPr>
          <w:b w:val="0"/>
          <w:color w:val="1A171C"/>
          <w:spacing w:val="-4"/>
          <w:w w:val="115"/>
        </w:rPr>
        <w:t>From </w:t>
      </w:r>
      <w:r>
        <w:rPr>
          <w:b w:val="0"/>
          <w:color w:val="1A171C"/>
          <w:spacing w:val="-14"/>
          <w:w w:val="115"/>
        </w:rPr>
        <w:t>11:00am </w:t>
      </w:r>
      <w:r>
        <w:rPr>
          <w:b w:val="0"/>
          <w:color w:val="1A171C"/>
          <w:spacing w:val="-6"/>
          <w:w w:val="115"/>
        </w:rPr>
        <w:t>until</w:t>
      </w:r>
      <w:r>
        <w:rPr>
          <w:b w:val="0"/>
          <w:color w:val="1A171C"/>
          <w:spacing w:val="-12"/>
          <w:w w:val="115"/>
        </w:rPr>
        <w:t> </w:t>
      </w:r>
      <w:r>
        <w:rPr>
          <w:b w:val="0"/>
          <w:color w:val="1A171C"/>
          <w:spacing w:val="-8"/>
          <w:w w:val="115"/>
        </w:rPr>
        <w:t>4:30pm</w:t>
      </w:r>
    </w:p>
    <w:p>
      <w:pPr>
        <w:pStyle w:val="BodyText"/>
        <w:spacing w:before="10"/>
        <w:rPr>
          <w:rFonts w:ascii="Stone Sans II ITC Std Lt"/>
          <w:b w:val="0"/>
          <w:sz w:val="26"/>
        </w:rPr>
      </w:pPr>
    </w:p>
    <w:tbl>
      <w:tblPr>
        <w:tblW w:w="0" w:type="auto"/>
        <w:jc w:val="left"/>
        <w:tblInd w:w="1512" w:type="dxa"/>
        <w:tblBorders>
          <w:top w:val="single" w:sz="18" w:space="0" w:color="E2001A"/>
          <w:left w:val="single" w:sz="18" w:space="0" w:color="E2001A"/>
          <w:bottom w:val="single" w:sz="18" w:space="0" w:color="E2001A"/>
          <w:right w:val="single" w:sz="18" w:space="0" w:color="E2001A"/>
          <w:insideH w:val="single" w:sz="18" w:space="0" w:color="E2001A"/>
          <w:insideV w:val="single" w:sz="18" w:space="0" w:color="E2001A"/>
        </w:tblBorders>
        <w:tblLayout w:type="fixed"/>
        <w:tblCellMar>
          <w:top w:w="0" w:type="dxa"/>
          <w:left w:w="0" w:type="dxa"/>
          <w:bottom w:w="0" w:type="dxa"/>
          <w:right w:w="0" w:type="dxa"/>
        </w:tblCellMar>
        <w:tblLook w:val="01E0"/>
      </w:tblPr>
      <w:tblGrid>
        <w:gridCol w:w="2629"/>
        <w:gridCol w:w="5726"/>
        <w:gridCol w:w="531"/>
      </w:tblGrid>
      <w:tr>
        <w:trPr>
          <w:trHeight w:val="612" w:hRule="atLeast"/>
        </w:trPr>
        <w:tc>
          <w:tcPr>
            <w:tcW w:w="8886" w:type="dxa"/>
            <w:gridSpan w:val="3"/>
            <w:tcBorders>
              <w:left w:val="single" w:sz="6" w:space="0" w:color="E2001A"/>
              <w:right w:val="single" w:sz="6" w:space="0" w:color="E2001A"/>
            </w:tcBorders>
          </w:tcPr>
          <w:p>
            <w:pPr>
              <w:pStyle w:val="TableParagraph"/>
              <w:spacing w:before="145"/>
              <w:ind w:left="2912" w:right="2898"/>
              <w:jc w:val="center"/>
              <w:rPr>
                <w:b/>
                <w:sz w:val="28"/>
              </w:rPr>
            </w:pPr>
            <w:r>
              <w:rPr>
                <w:b/>
                <w:color w:val="1A171C"/>
                <w:sz w:val="28"/>
              </w:rPr>
              <w:t>Saturday 27 June 2015</w:t>
            </w:r>
          </w:p>
        </w:tc>
      </w:tr>
      <w:tr>
        <w:trPr>
          <w:trHeight w:val="3995" w:hRule="atLeast"/>
        </w:trPr>
        <w:tc>
          <w:tcPr>
            <w:tcW w:w="2629" w:type="dxa"/>
            <w:tcBorders>
              <w:left w:val="single" w:sz="6" w:space="0" w:color="E2001A"/>
              <w:bottom w:val="single" w:sz="8" w:space="0" w:color="E2001A"/>
              <w:right w:val="single" w:sz="8" w:space="0" w:color="E2001A"/>
            </w:tcBorders>
          </w:tcPr>
          <w:p>
            <w:pPr>
              <w:pStyle w:val="TableParagraph"/>
              <w:spacing w:before="128"/>
              <w:ind w:left="113"/>
              <w:rPr>
                <w:b/>
                <w:sz w:val="36"/>
              </w:rPr>
            </w:pPr>
            <w:r>
              <w:rPr>
                <w:b/>
                <w:color w:val="E2001A"/>
                <w:sz w:val="36"/>
              </w:rPr>
              <w:t>Session 1</w:t>
            </w:r>
          </w:p>
          <w:p>
            <w:pPr>
              <w:pStyle w:val="TableParagraph"/>
              <w:spacing w:before="229"/>
              <w:ind w:left="113"/>
              <w:rPr>
                <w:sz w:val="24"/>
              </w:rPr>
            </w:pPr>
            <w:r>
              <w:rPr>
                <w:color w:val="1A171C"/>
                <w:sz w:val="24"/>
              </w:rPr>
              <w:t>11:00am – 1:15pm</w:t>
            </w:r>
          </w:p>
        </w:tc>
        <w:tc>
          <w:tcPr>
            <w:tcW w:w="5726" w:type="dxa"/>
            <w:tcBorders>
              <w:left w:val="single" w:sz="8" w:space="0" w:color="E2001A"/>
              <w:bottom w:val="single" w:sz="8" w:space="0" w:color="E2001A"/>
              <w:right w:val="single" w:sz="8" w:space="0" w:color="E2001A"/>
            </w:tcBorders>
          </w:tcPr>
          <w:p>
            <w:pPr>
              <w:pStyle w:val="TableParagraph"/>
              <w:ind w:left="0"/>
              <w:rPr>
                <w:rFonts w:ascii="Stone Sans II ITC Std Lt"/>
                <w:b w:val="0"/>
                <w:sz w:val="26"/>
              </w:rPr>
            </w:pPr>
          </w:p>
          <w:p>
            <w:pPr>
              <w:pStyle w:val="TableParagraph"/>
              <w:spacing w:before="9"/>
              <w:ind w:left="0"/>
              <w:rPr>
                <w:rFonts w:ascii="Stone Sans II ITC Std Lt"/>
                <w:b w:val="0"/>
                <w:sz w:val="18"/>
              </w:rPr>
            </w:pPr>
          </w:p>
          <w:p>
            <w:pPr>
              <w:pStyle w:val="TableParagraph"/>
              <w:spacing w:line="540" w:lineRule="auto"/>
              <w:ind w:left="110" w:right="2094"/>
              <w:rPr>
                <w:sz w:val="24"/>
              </w:rPr>
            </w:pPr>
            <w:r>
              <w:rPr>
                <w:color w:val="1A171C"/>
                <w:sz w:val="24"/>
              </w:rPr>
              <w:t>Constitution of Assembly Worship</w:t>
            </w:r>
          </w:p>
          <w:p>
            <w:pPr>
              <w:pStyle w:val="TableParagraph"/>
              <w:spacing w:line="274" w:lineRule="exact"/>
              <w:ind w:left="110"/>
              <w:rPr>
                <w:sz w:val="24"/>
              </w:rPr>
            </w:pPr>
            <w:r>
              <w:rPr>
                <w:color w:val="1A171C"/>
                <w:sz w:val="24"/>
              </w:rPr>
              <w:t>Arrangements for the meeting: report from the</w:t>
            </w:r>
          </w:p>
          <w:p>
            <w:pPr>
              <w:pStyle w:val="TableParagraph"/>
              <w:spacing w:before="4"/>
              <w:ind w:left="110"/>
              <w:rPr>
                <w:sz w:val="24"/>
              </w:rPr>
            </w:pPr>
            <w:r>
              <w:rPr>
                <w:color w:val="1A171C"/>
                <w:sz w:val="24"/>
              </w:rPr>
              <w:t>officers of Assembly, with Resolutions 1, 2 and 3</w:t>
            </w:r>
          </w:p>
          <w:p>
            <w:pPr>
              <w:pStyle w:val="TableParagraph"/>
              <w:spacing w:before="6"/>
              <w:ind w:left="0"/>
              <w:rPr>
                <w:rFonts w:ascii="Stone Sans II ITC Std Lt"/>
                <w:b w:val="0"/>
                <w:sz w:val="25"/>
              </w:rPr>
            </w:pPr>
          </w:p>
          <w:p>
            <w:pPr>
              <w:pStyle w:val="TableParagraph"/>
              <w:spacing w:line="242" w:lineRule="auto"/>
              <w:ind w:left="110" w:right="373"/>
              <w:rPr>
                <w:sz w:val="24"/>
              </w:rPr>
            </w:pPr>
            <w:r>
              <w:rPr>
                <w:color w:val="1A171C"/>
                <w:sz w:val="24"/>
              </w:rPr>
              <w:t>The marriage of same-sex couples: report from the human sexuality task group, with Resolutions 4 and 5</w:t>
            </w:r>
          </w:p>
        </w:tc>
        <w:tc>
          <w:tcPr>
            <w:tcW w:w="531" w:type="dxa"/>
            <w:tcBorders>
              <w:left w:val="single" w:sz="8" w:space="0" w:color="E2001A"/>
              <w:bottom w:val="single" w:sz="8" w:space="0" w:color="E2001A"/>
              <w:right w:val="single" w:sz="6" w:space="0" w:color="E2001A"/>
            </w:tcBorders>
          </w:tcPr>
          <w:p>
            <w:pPr>
              <w:pStyle w:val="TableParagraph"/>
              <w:ind w:left="0"/>
              <w:rPr>
                <w:rFonts w:ascii="Times New Roman"/>
                <w:sz w:val="26"/>
              </w:rPr>
            </w:pPr>
          </w:p>
        </w:tc>
      </w:tr>
      <w:tr>
        <w:trPr>
          <w:trHeight w:val="637" w:hRule="atLeast"/>
        </w:trPr>
        <w:tc>
          <w:tcPr>
            <w:tcW w:w="2629" w:type="dxa"/>
            <w:tcBorders>
              <w:top w:val="single" w:sz="8" w:space="0" w:color="E2001A"/>
              <w:left w:val="single" w:sz="6" w:space="0" w:color="E2001A"/>
              <w:bottom w:val="single" w:sz="8" w:space="0" w:color="E2001A"/>
              <w:right w:val="single" w:sz="8" w:space="0" w:color="E2001A"/>
            </w:tcBorders>
          </w:tcPr>
          <w:p>
            <w:pPr>
              <w:pStyle w:val="TableParagraph"/>
              <w:spacing w:before="167"/>
              <w:ind w:left="113"/>
              <w:rPr>
                <w:sz w:val="24"/>
              </w:rPr>
            </w:pPr>
            <w:r>
              <w:rPr>
                <w:color w:val="1A171C"/>
                <w:sz w:val="24"/>
              </w:rPr>
              <w:t>1:15pm – 2:15pm</w:t>
            </w:r>
          </w:p>
        </w:tc>
        <w:tc>
          <w:tcPr>
            <w:tcW w:w="5726" w:type="dxa"/>
            <w:tcBorders>
              <w:top w:val="single" w:sz="8" w:space="0" w:color="E2001A"/>
              <w:left w:val="single" w:sz="8" w:space="0" w:color="E2001A"/>
              <w:bottom w:val="single" w:sz="8" w:space="0" w:color="E2001A"/>
              <w:right w:val="single" w:sz="8" w:space="0" w:color="E2001A"/>
            </w:tcBorders>
          </w:tcPr>
          <w:p>
            <w:pPr>
              <w:pStyle w:val="TableParagraph"/>
              <w:spacing w:before="167"/>
              <w:ind w:left="110"/>
              <w:rPr>
                <w:sz w:val="24"/>
              </w:rPr>
            </w:pPr>
            <w:r>
              <w:rPr>
                <w:color w:val="1A171C"/>
                <w:sz w:val="24"/>
              </w:rPr>
              <w:t>Lunch</w:t>
            </w:r>
          </w:p>
        </w:tc>
        <w:tc>
          <w:tcPr>
            <w:tcW w:w="531" w:type="dxa"/>
            <w:tcBorders>
              <w:top w:val="single" w:sz="8" w:space="0" w:color="E2001A"/>
              <w:left w:val="single" w:sz="8" w:space="0" w:color="E2001A"/>
              <w:bottom w:val="single" w:sz="8" w:space="0" w:color="E2001A"/>
              <w:right w:val="single" w:sz="6" w:space="0" w:color="E2001A"/>
            </w:tcBorders>
          </w:tcPr>
          <w:p>
            <w:pPr>
              <w:pStyle w:val="TableParagraph"/>
              <w:ind w:left="0"/>
              <w:rPr>
                <w:rFonts w:ascii="Times New Roman"/>
                <w:sz w:val="26"/>
              </w:rPr>
            </w:pPr>
          </w:p>
        </w:tc>
      </w:tr>
      <w:tr>
        <w:trPr>
          <w:trHeight w:val="451" w:hRule="atLeast"/>
        </w:trPr>
        <w:tc>
          <w:tcPr>
            <w:tcW w:w="8886" w:type="dxa"/>
            <w:gridSpan w:val="3"/>
            <w:tcBorders>
              <w:top w:val="single" w:sz="8" w:space="0" w:color="E2001A"/>
              <w:left w:val="single" w:sz="6" w:space="0" w:color="E2001A"/>
              <w:right w:val="single" w:sz="6" w:space="0" w:color="E2001A"/>
            </w:tcBorders>
          </w:tcPr>
          <w:p>
            <w:pPr>
              <w:pStyle w:val="TableParagraph"/>
              <w:ind w:left="0"/>
              <w:rPr>
                <w:rFonts w:ascii="Times New Roman"/>
                <w:sz w:val="26"/>
              </w:rPr>
            </w:pPr>
          </w:p>
        </w:tc>
      </w:tr>
      <w:tr>
        <w:trPr>
          <w:trHeight w:val="4925" w:hRule="atLeast"/>
        </w:trPr>
        <w:tc>
          <w:tcPr>
            <w:tcW w:w="2629" w:type="dxa"/>
            <w:tcBorders>
              <w:left w:val="single" w:sz="6" w:space="0" w:color="E2001A"/>
              <w:bottom w:val="single" w:sz="6" w:space="0" w:color="E2001A"/>
              <w:right w:val="single" w:sz="8" w:space="0" w:color="E2001A"/>
            </w:tcBorders>
          </w:tcPr>
          <w:p>
            <w:pPr>
              <w:pStyle w:val="TableParagraph"/>
              <w:spacing w:before="128"/>
              <w:ind w:left="113"/>
              <w:rPr>
                <w:b/>
                <w:sz w:val="36"/>
              </w:rPr>
            </w:pPr>
            <w:r>
              <w:rPr>
                <w:b/>
                <w:color w:val="E2001A"/>
                <w:sz w:val="36"/>
              </w:rPr>
              <w:t>Session 2</w:t>
            </w:r>
          </w:p>
          <w:p>
            <w:pPr>
              <w:pStyle w:val="TableParagraph"/>
              <w:spacing w:before="149"/>
              <w:ind w:left="113"/>
              <w:rPr>
                <w:sz w:val="24"/>
              </w:rPr>
            </w:pPr>
            <w:r>
              <w:rPr>
                <w:color w:val="1A171C"/>
                <w:sz w:val="24"/>
              </w:rPr>
              <w:t>2:15pm – 4:30pm</w:t>
            </w:r>
          </w:p>
        </w:tc>
        <w:tc>
          <w:tcPr>
            <w:tcW w:w="5726" w:type="dxa"/>
            <w:tcBorders>
              <w:left w:val="single" w:sz="8" w:space="0" w:color="E2001A"/>
              <w:bottom w:val="single" w:sz="6" w:space="0" w:color="E2001A"/>
              <w:right w:val="single" w:sz="8" w:space="0" w:color="E2001A"/>
            </w:tcBorders>
          </w:tcPr>
          <w:p>
            <w:pPr>
              <w:pStyle w:val="TableParagraph"/>
              <w:ind w:left="0"/>
              <w:rPr>
                <w:rFonts w:ascii="Stone Sans II ITC Std Lt"/>
                <w:b w:val="0"/>
                <w:sz w:val="26"/>
              </w:rPr>
            </w:pPr>
          </w:p>
          <w:p>
            <w:pPr>
              <w:pStyle w:val="TableParagraph"/>
              <w:spacing w:before="9"/>
              <w:ind w:left="0"/>
              <w:rPr>
                <w:rFonts w:ascii="Stone Sans II ITC Std Lt"/>
                <w:b w:val="0"/>
                <w:sz w:val="18"/>
              </w:rPr>
            </w:pPr>
          </w:p>
          <w:p>
            <w:pPr>
              <w:pStyle w:val="TableParagraph"/>
              <w:spacing w:line="242" w:lineRule="auto"/>
              <w:ind w:left="110" w:right="373"/>
              <w:rPr>
                <w:i/>
                <w:sz w:val="24"/>
              </w:rPr>
            </w:pPr>
            <w:r>
              <w:rPr>
                <w:color w:val="1A171C"/>
                <w:sz w:val="24"/>
              </w:rPr>
              <w:t>The marriage of same-sex couples: report from the human sexuality task group, with Resolutions 4 and 5 </w:t>
            </w:r>
            <w:r>
              <w:rPr>
                <w:i/>
                <w:color w:val="1A171C"/>
                <w:sz w:val="24"/>
              </w:rPr>
              <w:t>(continued)</w:t>
            </w:r>
          </w:p>
          <w:p>
            <w:pPr>
              <w:pStyle w:val="TableParagraph"/>
              <w:spacing w:before="6"/>
              <w:ind w:left="0"/>
              <w:rPr>
                <w:rFonts w:ascii="Stone Sans II ITC Std Lt"/>
                <w:b w:val="0"/>
                <w:sz w:val="25"/>
              </w:rPr>
            </w:pPr>
          </w:p>
          <w:p>
            <w:pPr>
              <w:pStyle w:val="TableParagraph"/>
              <w:spacing w:line="242" w:lineRule="auto"/>
              <w:ind w:left="110"/>
              <w:rPr>
                <w:sz w:val="24"/>
              </w:rPr>
            </w:pPr>
            <w:r>
              <w:rPr>
                <w:color w:val="1A171C"/>
                <w:sz w:val="24"/>
              </w:rPr>
              <w:t>Record of the meeting: Resolution 6, from the officers of Assembly</w:t>
            </w:r>
          </w:p>
          <w:p>
            <w:pPr>
              <w:pStyle w:val="TableParagraph"/>
              <w:spacing w:before="4"/>
              <w:ind w:left="0"/>
              <w:rPr>
                <w:rFonts w:ascii="Stone Sans II ITC Std Lt"/>
                <w:b w:val="0"/>
                <w:sz w:val="25"/>
              </w:rPr>
            </w:pPr>
          </w:p>
          <w:p>
            <w:pPr>
              <w:pStyle w:val="TableParagraph"/>
              <w:spacing w:before="1"/>
              <w:ind w:left="110"/>
              <w:rPr>
                <w:sz w:val="24"/>
              </w:rPr>
            </w:pPr>
            <w:r>
              <w:rPr>
                <w:color w:val="1A171C"/>
                <w:sz w:val="24"/>
              </w:rPr>
              <w:t>Closing Worship</w:t>
            </w:r>
          </w:p>
          <w:p>
            <w:pPr>
              <w:pStyle w:val="TableParagraph"/>
              <w:spacing w:before="6"/>
              <w:ind w:left="0"/>
              <w:rPr>
                <w:rFonts w:ascii="Stone Sans II ITC Std Lt"/>
                <w:b w:val="0"/>
                <w:sz w:val="25"/>
              </w:rPr>
            </w:pPr>
          </w:p>
          <w:p>
            <w:pPr>
              <w:pStyle w:val="TableParagraph"/>
              <w:spacing w:line="242" w:lineRule="auto"/>
              <w:ind w:left="110"/>
              <w:rPr>
                <w:sz w:val="24"/>
              </w:rPr>
            </w:pPr>
            <w:r>
              <w:rPr>
                <w:color w:val="1A171C"/>
                <w:sz w:val="24"/>
              </w:rPr>
              <w:t>Close of meeting and farewells: The General Assembly adjourns to meet in Southport from 8</w:t>
            </w:r>
          </w:p>
          <w:p>
            <w:pPr>
              <w:pStyle w:val="TableParagraph"/>
              <w:spacing w:line="242" w:lineRule="auto" w:before="3"/>
              <w:ind w:left="110" w:right="252"/>
              <w:rPr>
                <w:sz w:val="24"/>
              </w:rPr>
            </w:pPr>
            <w:r>
              <w:rPr>
                <w:color w:val="1A171C"/>
                <w:sz w:val="24"/>
              </w:rPr>
              <w:t>to 11 July 2016, or at such time and place as shall be determined.</w:t>
            </w:r>
          </w:p>
        </w:tc>
        <w:tc>
          <w:tcPr>
            <w:tcW w:w="531" w:type="dxa"/>
            <w:tcBorders>
              <w:left w:val="single" w:sz="8" w:space="0" w:color="E2001A"/>
              <w:bottom w:val="single" w:sz="6" w:space="0" w:color="E2001A"/>
              <w:right w:val="single" w:sz="6" w:space="0" w:color="E2001A"/>
            </w:tcBorders>
          </w:tcPr>
          <w:p>
            <w:pPr>
              <w:pStyle w:val="TableParagraph"/>
              <w:ind w:left="0"/>
              <w:rPr>
                <w:rFonts w:ascii="Times New Roman"/>
                <w:sz w:val="26"/>
              </w:rPr>
            </w:pPr>
          </w:p>
        </w:tc>
      </w:tr>
    </w:tbl>
    <w:p>
      <w:pPr>
        <w:pStyle w:val="BodyText"/>
        <w:rPr>
          <w:rFonts w:ascii="Stone Sans II ITC Std Lt"/>
          <w:b w:val="0"/>
          <w:sz w:val="20"/>
        </w:rPr>
      </w:pPr>
    </w:p>
    <w:p>
      <w:pPr>
        <w:pStyle w:val="BodyText"/>
        <w:rPr>
          <w:rFonts w:ascii="Stone Sans II ITC Std Lt"/>
          <w:b w:val="0"/>
          <w:sz w:val="20"/>
        </w:rPr>
      </w:pPr>
    </w:p>
    <w:p>
      <w:pPr>
        <w:pStyle w:val="BodyText"/>
        <w:spacing w:before="3"/>
        <w:rPr>
          <w:rFonts w:ascii="Stone Sans II ITC Std Lt"/>
          <w:b w:val="0"/>
          <w:sz w:val="21"/>
        </w:rPr>
      </w:pPr>
    </w:p>
    <w:p>
      <w:pPr>
        <w:spacing w:before="110"/>
        <w:ind w:left="4246" w:right="0" w:firstLine="0"/>
        <w:jc w:val="left"/>
        <w:rPr>
          <w:rFonts w:ascii="Lucida Sans" w:hAnsi="Lucida Sans"/>
          <w:sz w:val="23"/>
        </w:rPr>
      </w:pPr>
      <w:r>
        <w:rPr>
          <w:rFonts w:ascii="Lucida Sans" w:hAnsi="Lucida Sans"/>
          <w:color w:val="87888A"/>
          <w:sz w:val="23"/>
        </w:rPr>
        <w:t>United Reformed Church </w:t>
      </w:r>
      <w:r>
        <w:rPr>
          <w:rFonts w:ascii="Symbol" w:hAnsi="Symbol"/>
          <w:color w:val="87888A"/>
          <w:sz w:val="23"/>
        </w:rPr>
        <w:t></w:t>
      </w:r>
      <w:r>
        <w:rPr>
          <w:rFonts w:ascii="Times New Roman" w:hAnsi="Times New Roman"/>
          <w:color w:val="87888A"/>
          <w:sz w:val="23"/>
        </w:rPr>
        <w:t> </w:t>
      </w:r>
      <w:r>
        <w:rPr>
          <w:rFonts w:ascii="Lucida Sans" w:hAnsi="Lucida Sans"/>
          <w:color w:val="87888A"/>
          <w:sz w:val="23"/>
        </w:rPr>
        <w:t>General Assembly, June</w:t>
      </w:r>
      <w:r>
        <w:rPr>
          <w:rFonts w:ascii="Lucida Sans" w:hAnsi="Lucida Sans"/>
          <w:color w:val="87888A"/>
          <w:spacing w:val="-55"/>
          <w:sz w:val="23"/>
        </w:rPr>
        <w:t> </w:t>
      </w:r>
      <w:r>
        <w:rPr>
          <w:rFonts w:ascii="Lucida Sans" w:hAnsi="Lucida Sans"/>
          <w:color w:val="87888A"/>
          <w:sz w:val="23"/>
        </w:rPr>
        <w:t>2015</w:t>
      </w:r>
    </w:p>
    <w:p>
      <w:pPr>
        <w:spacing w:after="0"/>
        <w:jc w:val="left"/>
        <w:rPr>
          <w:rFonts w:ascii="Lucida Sans" w:hAnsi="Lucida Sans"/>
          <w:sz w:val="23"/>
        </w:rPr>
        <w:sectPr>
          <w:pgSz w:w="11910" w:h="16840"/>
          <w:pgMar w:top="240" w:bottom="0" w:left="260" w:right="0"/>
        </w:sectPr>
      </w:pPr>
    </w:p>
    <w:p>
      <w:pPr>
        <w:pStyle w:val="BodyText"/>
        <w:rPr>
          <w:rFonts w:ascii="Lucida Sans"/>
          <w:sz w:val="20"/>
        </w:rPr>
      </w:pPr>
      <w:r>
        <w:rPr/>
        <w:pict>
          <v:group style="position:absolute;margin-left:12.756pt;margin-top:12.755014pt;width:34.050pt;height:816.4pt;mso-position-horizontal-relative:page;mso-position-vertical-relative:page;z-index:251662336" coordorigin="255,255" coordsize="681,16328">
            <v:shape style="position:absolute;left:255;top:255;width:681;height:16328" type="#_x0000_t75" stroked="false">
              <v:imagedata r:id="rId9" o:title=""/>
            </v:shape>
            <v:shape style="position:absolute;left:515;top:15990;width:18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4</w:t>
                    </w:r>
                  </w:p>
                </w:txbxContent>
              </v:textbox>
              <w10:wrap type="none"/>
            </v:shape>
            <w10:wrap type="none"/>
          </v:group>
        </w:pict>
      </w:r>
      <w:r>
        <w:rPr/>
        <w:pict>
          <v:shape style="position:absolute;margin-left:14.371pt;margin-top:28.521502pt;width:34.4pt;height:288.650pt;mso-position-horizontal-relative:page;mso-position-vertical-relative:page;z-index:251663360" type="#_x0000_t202" filled="false" stroked="false">
            <v:textbox inset="0,0,0,0" style="layout-flow:vertical;mso-layout-flow-alt:bottom-to-top">
              <w:txbxContent>
                <w:p>
                  <w:pPr>
                    <w:spacing w:line="687" w:lineRule="exact" w:before="0"/>
                    <w:ind w:left="20" w:right="0" w:firstLine="0"/>
                    <w:jc w:val="left"/>
                    <w:rPr>
                      <w:rFonts w:ascii="Stone Sans II ITC Std Lt"/>
                      <w:b w:val="0"/>
                      <w:sz w:val="54"/>
                    </w:rPr>
                  </w:pPr>
                  <w:r>
                    <w:rPr>
                      <w:rFonts w:ascii="Stone Sans II ITC Std Lt"/>
                      <w:b w:val="0"/>
                      <w:color w:val="FFFFFF"/>
                      <w:spacing w:val="-6"/>
                      <w:w w:val="110"/>
                      <w:sz w:val="54"/>
                    </w:rPr>
                    <w:t>Agenda </w:t>
                  </w:r>
                  <w:r>
                    <w:rPr>
                      <w:rFonts w:ascii="Stone Sans II ITC Std Lt"/>
                      <w:b w:val="0"/>
                      <w:color w:val="FFFFFF"/>
                      <w:spacing w:val="-5"/>
                      <w:w w:val="110"/>
                      <w:sz w:val="54"/>
                    </w:rPr>
                    <w:t>and</w:t>
                  </w:r>
                  <w:r>
                    <w:rPr>
                      <w:rFonts w:ascii="Stone Sans II ITC Std Lt"/>
                      <w:b w:val="0"/>
                      <w:color w:val="FFFFFF"/>
                      <w:spacing w:val="68"/>
                      <w:w w:val="110"/>
                      <w:sz w:val="54"/>
                    </w:rPr>
                    <w:t> </w:t>
                  </w:r>
                  <w:r>
                    <w:rPr>
                      <w:rFonts w:ascii="Stone Sans II ITC Std Lt"/>
                      <w:b w:val="0"/>
                      <w:color w:val="FFFFFF"/>
                      <w:spacing w:val="-7"/>
                      <w:w w:val="110"/>
                      <w:sz w:val="54"/>
                    </w:rPr>
                    <w:t>Timetable</w:t>
                  </w:r>
                </w:p>
              </w:txbxContent>
            </v:textbox>
            <w10:wrap type="none"/>
          </v:shape>
        </w:pic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4"/>
        <w:rPr>
          <w:rFonts w:ascii="Lucida Sans"/>
          <w:sz w:val="27"/>
        </w:rPr>
      </w:pPr>
    </w:p>
    <w:p>
      <w:pPr>
        <w:spacing w:before="109"/>
        <w:ind w:left="987" w:right="0" w:firstLine="0"/>
        <w:jc w:val="left"/>
        <w:rPr>
          <w:rFonts w:ascii="Lucida Sans" w:hAnsi="Lucida Sans"/>
          <w:sz w:val="23"/>
        </w:rPr>
      </w:pPr>
      <w:r>
        <w:rPr>
          <w:rFonts w:ascii="Lucida Sans" w:hAnsi="Lucida Sans"/>
          <w:color w:val="87888A"/>
          <w:sz w:val="23"/>
        </w:rPr>
        <w:t>United Reformed Church </w:t>
      </w:r>
      <w:r>
        <w:rPr>
          <w:rFonts w:ascii="Symbol" w:hAnsi="Symbol"/>
          <w:color w:val="87888A"/>
          <w:sz w:val="23"/>
        </w:rPr>
        <w:t></w:t>
      </w:r>
      <w:r>
        <w:rPr>
          <w:rFonts w:ascii="Times New Roman" w:hAnsi="Times New Roman"/>
          <w:color w:val="87888A"/>
          <w:sz w:val="23"/>
        </w:rPr>
        <w:t> </w:t>
      </w:r>
      <w:r>
        <w:rPr>
          <w:rFonts w:ascii="Lucida Sans" w:hAnsi="Lucida Sans"/>
          <w:color w:val="87888A"/>
          <w:sz w:val="23"/>
        </w:rPr>
        <w:t>General Assembly, June 2015</w:t>
      </w:r>
    </w:p>
    <w:p>
      <w:pPr>
        <w:spacing w:after="0"/>
        <w:jc w:val="left"/>
        <w:rPr>
          <w:rFonts w:ascii="Lucida Sans" w:hAnsi="Lucida Sans"/>
          <w:sz w:val="23"/>
        </w:rPr>
        <w:sectPr>
          <w:pgSz w:w="11910" w:h="16840"/>
          <w:pgMar w:top="240" w:bottom="0" w:left="260" w:right="0"/>
        </w:sectPr>
      </w:pPr>
    </w:p>
    <w:p>
      <w:pPr>
        <w:spacing w:before="68"/>
        <w:ind w:left="0" w:right="394" w:firstLine="0"/>
        <w:jc w:val="right"/>
        <w:rPr>
          <w:rFonts w:ascii="Stone Sans II ITC Std X Bd"/>
          <w:b/>
          <w:sz w:val="65"/>
        </w:rPr>
      </w:pPr>
      <w:r>
        <w:rPr/>
        <w:pict>
          <v:shape style="position:absolute;margin-left:549.549316pt;margin-top:3.95507pt;width:25.9pt;height:40.85pt;mso-position-horizontal-relative:page;mso-position-vertical-relative:paragraph;z-index:-253448192" type="#_x0000_t202" filled="false" stroked="false">
            <v:textbox inset="0,0,0,0">
              <w:txbxContent>
                <w:p>
                  <w:pPr>
                    <w:spacing w:line="816" w:lineRule="exact" w:before="0"/>
                    <w:ind w:left="0" w:right="0" w:firstLine="0"/>
                    <w:jc w:val="left"/>
                    <w:rPr>
                      <w:rFonts w:ascii="Stone Sans II ITC Std X Bd"/>
                      <w:b/>
                      <w:sz w:val="65"/>
                    </w:rPr>
                  </w:pPr>
                  <w:r>
                    <w:rPr>
                      <w:rFonts w:ascii="Stone Sans II ITC Std X Bd"/>
                      <w:b/>
                      <w:color w:val="FFFFFF"/>
                      <w:w w:val="110"/>
                      <w:sz w:val="65"/>
                    </w:rPr>
                    <w:t>A</w:t>
                  </w:r>
                </w:p>
              </w:txbxContent>
            </v:textbox>
            <w10:wrap type="none"/>
          </v:shape>
        </w:pict>
      </w:r>
      <w:r>
        <w:rPr/>
        <w:pict>
          <v:group style="position:absolute;margin-left:15.591pt;margin-top:4.252015pt;width:567.65pt;height:824.9pt;mso-position-horizontal-relative:page;mso-position-vertical-relative:page;z-index:-253447168" coordorigin="312,85" coordsize="11353,16498">
            <v:rect style="position:absolute;left:311;top:255;width:10673;height:16328" filled="true" fillcolor="#0090d4" stroked="false">
              <v:fill type="solid"/>
            </v:rect>
            <v:shape style="position:absolute;left:10984;top:255;width:681;height:16328" type="#_x0000_t75" stroked="false">
              <v:imagedata r:id="rId10" o:title=""/>
            </v:shape>
            <v:rect style="position:absolute;left:1530;top:85;width:9445;height:15719" filled="true" fillcolor="#ffffff" stroked="false">
              <v:fill type="solid"/>
            </v:rect>
            <v:shape style="position:absolute;left:1516;top:14304;width:1540;height:1513" coordorigin="1517,14305" coordsize="1540,1513" path="m1517,14305l1517,15817,3053,15817,2977,15815,2902,15810,2828,15801,2755,15788,2684,15773,2613,15753,2544,15731,2477,15706,2411,15677,2347,15646,2284,15611,2223,15574,2164,15534,2108,15492,2053,15447,2000,15400,1950,15350,1902,15298,1856,15244,1813,15188,1772,15129,1734,15069,1699,15007,1667,14943,1637,14878,1611,14811,1587,14742,1567,14672,1550,14601,1536,14529,1526,14455,1520,14380,1517,14305xm3056,15817l3055,15817,3054,15817,3056,15817,3056,15817xe" filled="true" fillcolor="#0090d4" stroked="false">
              <v:path arrowok="t"/>
              <v:fill type="solid"/>
            </v:shape>
            <v:shape style="position:absolute;left:2439;top:13407;width:3514;height:1548" type="#_x0000_t75" stroked="false">
              <v:imagedata r:id="rId11" o:title=""/>
            </v:shape>
            <v:rect style="position:absolute;left:10148;top:255;width:1361;height:1007" filled="true" fillcolor="#0090d4" stroked="false">
              <v:fill type="solid"/>
            </v:rect>
            <w10:wrap type="none"/>
          </v:group>
        </w:pict>
      </w:r>
      <w:r>
        <w:rPr>
          <w:rFonts w:ascii="Stone Sans II ITC Std X Bd"/>
          <w:b/>
          <w:color w:val="FFFFFF"/>
          <w:w w:val="110"/>
          <w:sz w:val="65"/>
        </w:rPr>
        <w:t>1</w: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5"/>
        <w:rPr>
          <w:rFonts w:ascii="Stone Sans II ITC Std X Bd"/>
          <w:b/>
          <w:sz w:val="15"/>
        </w:rPr>
      </w:pPr>
    </w:p>
    <w:p>
      <w:pPr>
        <w:spacing w:before="28"/>
        <w:ind w:left="1998" w:right="1548" w:firstLine="0"/>
        <w:jc w:val="center"/>
        <w:rPr>
          <w:rFonts w:ascii="Stone Sans II ITC Std Lt"/>
          <w:b w:val="0"/>
          <w:sz w:val="108"/>
        </w:rPr>
      </w:pPr>
      <w:r>
        <w:rPr>
          <w:rFonts w:ascii="Stone Sans II ITC Std Lt"/>
          <w:b w:val="0"/>
          <w:color w:val="1A171C"/>
          <w:spacing w:val="-20"/>
          <w:w w:val="110"/>
          <w:sz w:val="108"/>
        </w:rPr>
        <w:t>Paper</w:t>
      </w:r>
      <w:r>
        <w:rPr>
          <w:rFonts w:ascii="Stone Sans II ITC Std Lt"/>
          <w:b w:val="0"/>
          <w:color w:val="1A171C"/>
          <w:spacing w:val="40"/>
          <w:w w:val="110"/>
          <w:sz w:val="108"/>
        </w:rPr>
        <w:t> </w:t>
      </w:r>
      <w:r>
        <w:rPr>
          <w:rFonts w:ascii="Stone Sans II ITC Std Lt"/>
          <w:b w:val="0"/>
          <w:color w:val="1A171C"/>
          <w:w w:val="110"/>
          <w:sz w:val="108"/>
        </w:rPr>
        <w:t>1</w:t>
      </w:r>
    </w:p>
    <w:p>
      <w:pPr>
        <w:spacing w:before="174"/>
        <w:ind w:left="1998" w:right="1547" w:firstLine="0"/>
        <w:jc w:val="center"/>
        <w:rPr>
          <w:rFonts w:ascii="Stone Sans II ITC Std Lt"/>
          <w:b w:val="0"/>
          <w:sz w:val="39"/>
        </w:rPr>
      </w:pPr>
      <w:r>
        <w:rPr>
          <w:rFonts w:ascii="Stone Sans II ITC Std Lt"/>
          <w:b w:val="0"/>
          <w:color w:val="1A171C"/>
          <w:w w:val="110"/>
          <w:sz w:val="39"/>
        </w:rPr>
        <w:t>Officers of</w:t>
      </w:r>
      <w:r>
        <w:rPr>
          <w:rFonts w:ascii="Stone Sans II ITC Std Lt"/>
          <w:b w:val="0"/>
          <w:color w:val="1A171C"/>
          <w:spacing w:val="64"/>
          <w:w w:val="110"/>
          <w:sz w:val="39"/>
        </w:rPr>
        <w:t> </w:t>
      </w:r>
      <w:r>
        <w:rPr>
          <w:rFonts w:ascii="Stone Sans II ITC Std Lt"/>
          <w:b w:val="0"/>
          <w:color w:val="1A171C"/>
          <w:spacing w:val="-3"/>
          <w:w w:val="110"/>
          <w:sz w:val="39"/>
        </w:rPr>
        <w:t>Assembly</w:t>
      </w:r>
    </w:p>
    <w:p>
      <w:pPr>
        <w:spacing w:line="196" w:lineRule="auto" w:before="189"/>
        <w:ind w:left="1998" w:right="1545" w:firstLine="0"/>
        <w:jc w:val="center"/>
        <w:rPr>
          <w:rFonts w:ascii="Stone Sans II ITC Std Lt"/>
          <w:b w:val="0"/>
          <w:sz w:val="54"/>
        </w:rPr>
      </w:pPr>
      <w:r>
        <w:rPr>
          <w:rFonts w:ascii="Stone Sans II ITC Std Lt"/>
          <w:b w:val="0"/>
          <w:color w:val="1A171C"/>
          <w:w w:val="110"/>
          <w:sz w:val="54"/>
        </w:rPr>
        <w:t>Arrangements for the meeting of General Assembly</w:t>
      </w: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spacing w:before="5"/>
        <w:rPr>
          <w:rFonts w:ascii="Stone Sans II ITC Std Lt"/>
          <w:b w:val="0"/>
          <w:sz w:val="26"/>
        </w:rPr>
      </w:pPr>
    </w:p>
    <w:p>
      <w:pPr>
        <w:tabs>
          <w:tab w:pos="11139" w:val="right" w:leader="none"/>
        </w:tabs>
        <w:spacing w:before="97"/>
        <w:ind w:left="4368" w:right="0" w:firstLine="0"/>
        <w:jc w:val="left"/>
        <w:rPr>
          <w:rFonts w:ascii="Stone Sans II ITC Std X Bd" w:hAnsi="Stone Sans II ITC Std X Bd"/>
          <w:b/>
          <w:sz w:val="24"/>
        </w:rPr>
      </w:pPr>
      <w:r>
        <w:rPr>
          <w:rFonts w:ascii="Lucida Sans" w:hAnsi="Lucida Sans"/>
          <w:color w:val="FFFFFF"/>
          <w:sz w:val="23"/>
        </w:rPr>
        <w:t>United</w:t>
      </w:r>
      <w:r>
        <w:rPr>
          <w:rFonts w:ascii="Lucida Sans" w:hAnsi="Lucida Sans"/>
          <w:color w:val="FFFFFF"/>
          <w:spacing w:val="-22"/>
          <w:sz w:val="23"/>
        </w:rPr>
        <w:t> </w:t>
      </w:r>
      <w:r>
        <w:rPr>
          <w:rFonts w:ascii="Lucida Sans" w:hAnsi="Lucida Sans"/>
          <w:color w:val="FFFFFF"/>
          <w:sz w:val="23"/>
        </w:rPr>
        <w:t>Reformed</w:t>
      </w:r>
      <w:r>
        <w:rPr>
          <w:rFonts w:ascii="Lucida Sans" w:hAnsi="Lucida Sans"/>
          <w:color w:val="FFFFFF"/>
          <w:spacing w:val="-22"/>
          <w:sz w:val="23"/>
        </w:rPr>
        <w:t> </w:t>
      </w:r>
      <w:r>
        <w:rPr>
          <w:rFonts w:ascii="Lucida Sans" w:hAnsi="Lucida Sans"/>
          <w:color w:val="FFFFFF"/>
          <w:sz w:val="23"/>
        </w:rPr>
        <w:t>Church</w:t>
      </w:r>
      <w:r>
        <w:rPr>
          <w:rFonts w:ascii="Lucida Sans" w:hAnsi="Lucida Sans"/>
          <w:color w:val="FFFFFF"/>
          <w:spacing w:val="-22"/>
          <w:sz w:val="23"/>
        </w:rPr>
        <w:t> </w:t>
      </w:r>
      <w:r>
        <w:rPr>
          <w:rFonts w:ascii="Symbol" w:hAnsi="Symbol"/>
          <w:color w:val="FFFFFF"/>
          <w:sz w:val="23"/>
        </w:rPr>
        <w:t></w:t>
      </w:r>
      <w:r>
        <w:rPr>
          <w:rFonts w:ascii="Times New Roman" w:hAnsi="Times New Roman"/>
          <w:color w:val="FFFFFF"/>
          <w:spacing w:val="-9"/>
          <w:sz w:val="23"/>
        </w:rPr>
        <w:t> </w:t>
      </w:r>
      <w:r>
        <w:rPr>
          <w:rFonts w:ascii="Lucida Sans" w:hAnsi="Lucida Sans"/>
          <w:color w:val="FFFFFF"/>
          <w:sz w:val="23"/>
        </w:rPr>
        <w:t>General</w:t>
      </w:r>
      <w:r>
        <w:rPr>
          <w:rFonts w:ascii="Lucida Sans" w:hAnsi="Lucida Sans"/>
          <w:color w:val="FFFFFF"/>
          <w:spacing w:val="-22"/>
          <w:sz w:val="23"/>
        </w:rPr>
        <w:t> </w:t>
      </w:r>
      <w:r>
        <w:rPr>
          <w:rFonts w:ascii="Lucida Sans" w:hAnsi="Lucida Sans"/>
          <w:color w:val="FFFFFF"/>
          <w:sz w:val="23"/>
        </w:rPr>
        <w:t>Assembly,</w:t>
      </w:r>
      <w:r>
        <w:rPr>
          <w:rFonts w:ascii="Lucida Sans" w:hAnsi="Lucida Sans"/>
          <w:color w:val="FFFFFF"/>
          <w:spacing w:val="-22"/>
          <w:sz w:val="23"/>
        </w:rPr>
        <w:t> </w:t>
      </w:r>
      <w:r>
        <w:rPr>
          <w:rFonts w:ascii="Lucida Sans" w:hAnsi="Lucida Sans"/>
          <w:color w:val="FFFFFF"/>
          <w:sz w:val="23"/>
        </w:rPr>
        <w:t>June</w:t>
      </w:r>
      <w:r>
        <w:rPr>
          <w:rFonts w:ascii="Lucida Sans" w:hAnsi="Lucida Sans"/>
          <w:color w:val="FFFFFF"/>
          <w:spacing w:val="-22"/>
          <w:sz w:val="23"/>
        </w:rPr>
        <w:t> </w:t>
      </w:r>
      <w:r>
        <w:rPr>
          <w:rFonts w:ascii="Lucida Sans" w:hAnsi="Lucida Sans"/>
          <w:color w:val="FFFFFF"/>
          <w:sz w:val="23"/>
        </w:rPr>
        <w:t>2015</w:t>
        <w:tab/>
      </w:r>
      <w:r>
        <w:rPr>
          <w:rFonts w:ascii="Stone Sans II ITC Std X Bd" w:hAnsi="Stone Sans II ITC Std X Bd"/>
          <w:b/>
          <w:color w:val="1A171C"/>
          <w:sz w:val="24"/>
        </w:rPr>
        <w:t>5</w:t>
      </w:r>
    </w:p>
    <w:p>
      <w:pPr>
        <w:spacing w:after="0"/>
        <w:jc w:val="left"/>
        <w:rPr>
          <w:rFonts w:ascii="Stone Sans II ITC Std X Bd" w:hAnsi="Stone Sans II ITC Std X Bd"/>
          <w:sz w:val="24"/>
        </w:rPr>
        <w:sectPr>
          <w:pgSz w:w="11910" w:h="16840"/>
          <w:pgMar w:top="240" w:bottom="280" w:left="260" w:right="0"/>
        </w:sectPr>
      </w:pPr>
    </w:p>
    <w:p>
      <w:pPr>
        <w:pStyle w:val="BodyText"/>
        <w:rPr>
          <w:rFonts w:ascii="Stone Sans II ITC Std X Bd"/>
          <w:b/>
          <w:sz w:val="20"/>
        </w:rPr>
      </w:pPr>
      <w:r>
        <w:rPr/>
        <w:pict>
          <v:shape style="position:absolute;margin-left:21.501301pt;margin-top:16.863712pt;width:25.9pt;height:797.8pt;mso-position-horizontal-relative:page;mso-position-vertical-relative:page;z-index:-253445120" type="#_x0000_t202" filled="false" stroked="false">
            <v:textbox inset="0,0,0,0">
              <w:txbxContent>
                <w:p>
                  <w:pPr>
                    <w:spacing w:line="868" w:lineRule="exact" w:before="0"/>
                    <w:ind w:left="0" w:right="0" w:firstLine="0"/>
                    <w:jc w:val="left"/>
                    <w:rPr>
                      <w:rFonts w:ascii="Stone Sans II ITC Std X Bd"/>
                      <w:b/>
                      <w:sz w:val="65"/>
                    </w:rPr>
                  </w:pPr>
                  <w:r>
                    <w:rPr>
                      <w:rFonts w:ascii="Stone Sans II ITC Std X Bd"/>
                      <w:b/>
                      <w:color w:val="FFFFFF"/>
                      <w:w w:val="110"/>
                      <w:sz w:val="65"/>
                    </w:rPr>
                    <w:t>A</w:t>
                  </w:r>
                </w:p>
                <w:p>
                  <w:pPr>
                    <w:spacing w:before="460"/>
                    <w:ind w:left="18" w:right="0" w:firstLine="0"/>
                    <w:jc w:val="left"/>
                    <w:rPr>
                      <w:rFonts w:ascii="Stone Sans II ITC Std Bk"/>
                      <w:b/>
                      <w:sz w:val="22"/>
                    </w:rPr>
                  </w:pPr>
                  <w:r>
                    <w:rPr>
                      <w:rFonts w:ascii="Stone Sans II ITC Std Bk"/>
                      <w:b/>
                      <w:color w:val="FFFFFF"/>
                      <w:spacing w:val="4"/>
                      <w:w w:val="109"/>
                      <w:sz w:val="22"/>
                    </w:rPr>
                    <w:t>2014</w:t>
                  </w:r>
                </w:p>
                <w:p>
                  <w:pPr>
                    <w:pStyle w:val="BodyText"/>
                    <w:spacing w:before="4"/>
                    <w:rPr>
                      <w:rFonts w:ascii="Stone Sans II ITC Std Bk"/>
                      <w:b/>
                      <w:sz w:val="50"/>
                    </w:rPr>
                  </w:pPr>
                </w:p>
                <w:p>
                  <w:pPr>
                    <w:spacing w:line="103" w:lineRule="auto" w:before="0"/>
                    <w:ind w:left="18" w:right="-299" w:firstLine="0"/>
                    <w:jc w:val="left"/>
                    <w:rPr>
                      <w:rFonts w:ascii="Stone Sans II ITC Std Bk"/>
                      <w:b/>
                      <w:sz w:val="22"/>
                    </w:rPr>
                  </w:pPr>
                  <w:r>
                    <w:rPr>
                      <w:rFonts w:ascii="Stone Sans II ITC Std Bk"/>
                      <w:b/>
                      <w:color w:val="FFFFFF"/>
                      <w:spacing w:val="4"/>
                      <w:w w:val="109"/>
                      <w:sz w:val="22"/>
                    </w:rPr>
                    <w:t>ember </w:t>
                  </w:r>
                  <w:r>
                    <w:rPr>
                      <w:rFonts w:ascii="Stone Sans II ITC Std Bk"/>
                      <w:b/>
                      <w:color w:val="FFFFFF"/>
                      <w:w w:val="109"/>
                      <w:sz w:val="22"/>
                    </w:rPr>
                    <w:t>v</w:t>
                  </w:r>
                </w:p>
                <w:p>
                  <w:pPr>
                    <w:spacing w:before="80"/>
                    <w:ind w:left="18" w:right="0" w:firstLine="0"/>
                    <w:jc w:val="left"/>
                    <w:rPr>
                      <w:rFonts w:ascii="Stone Sans II ITC Std Bk"/>
                      <w:b/>
                      <w:sz w:val="22"/>
                    </w:rPr>
                  </w:pPr>
                  <w:r>
                    <w:rPr>
                      <w:rFonts w:ascii="Stone Sans II ITC Std Bk"/>
                      <w:b/>
                      <w:color w:val="FFFFFF"/>
                      <w:w w:val="110"/>
                      <w:sz w:val="22"/>
                    </w:rPr>
                    <w:t>No</w:t>
                  </w:r>
                </w:p>
                <w:p>
                  <w:pPr>
                    <w:pStyle w:val="BodyText"/>
                    <w:rPr>
                      <w:rFonts w:ascii="Stone Sans II ITC Std Bk"/>
                      <w:b/>
                      <w:sz w:val="34"/>
                    </w:rPr>
                  </w:pPr>
                </w:p>
                <w:p>
                  <w:pPr>
                    <w:spacing w:before="301"/>
                    <w:ind w:left="18" w:right="0" w:firstLine="0"/>
                    <w:jc w:val="left"/>
                    <w:rPr>
                      <w:rFonts w:ascii="Stone Sans II ITC Std Bk"/>
                      <w:b/>
                      <w:sz w:val="22"/>
                    </w:rPr>
                  </w:pPr>
                  <w:r>
                    <w:rPr>
                      <w:rFonts w:ascii="Stone Sans II ITC Std Bk"/>
                      <w:b/>
                      <w:color w:val="FFFFFF"/>
                      <w:spacing w:val="4"/>
                      <w:w w:val="109"/>
                      <w:sz w:val="22"/>
                    </w:rPr>
                    <w:t>Council,</w:t>
                  </w:r>
                </w:p>
                <w:p>
                  <w:pPr>
                    <w:spacing w:line="265" w:lineRule="exact" w:before="674"/>
                    <w:ind w:left="18" w:right="0" w:firstLine="0"/>
                    <w:jc w:val="left"/>
                    <w:rPr>
                      <w:rFonts w:ascii="Stone Sans II ITC Std Bk"/>
                      <w:b/>
                      <w:sz w:val="22"/>
                    </w:rPr>
                  </w:pPr>
                  <w:r>
                    <w:rPr>
                      <w:rFonts w:ascii="Stone Sans II ITC Std Bk"/>
                      <w:b/>
                      <w:color w:val="FFFFFF"/>
                      <w:spacing w:val="4"/>
                      <w:w w:val="109"/>
                      <w:sz w:val="22"/>
                    </w:rPr>
                    <w:t>Mission</w:t>
                  </w:r>
                </w:p>
                <w:p>
                  <w:pPr>
                    <w:pStyle w:val="BodyText"/>
                    <w:spacing w:line="237" w:lineRule="exact"/>
                    <w:ind w:left="14"/>
                    <w:rPr>
                      <w:rFonts w:ascii="Symbol" w:hAnsi="Symbol"/>
                    </w:rPr>
                  </w:pPr>
                  <w:r>
                    <w:rPr>
                      <w:rFonts w:ascii="Symbol" w:hAnsi="Symbol"/>
                      <w:color w:val="FFFFFF"/>
                      <w:w w:val="109"/>
                    </w:rPr>
                    <w:t>•</w:t>
                  </w:r>
                </w:p>
                <w:p>
                  <w:pPr>
                    <w:pStyle w:val="BodyText"/>
                    <w:spacing w:before="9"/>
                    <w:rPr>
                      <w:rFonts w:ascii="Symbol" w:hAnsi="Symbol"/>
                      <w:sz w:val="11"/>
                    </w:rPr>
                  </w:pPr>
                </w:p>
                <w:p>
                  <w:pPr>
                    <w:spacing w:line="100" w:lineRule="auto" w:before="1"/>
                    <w:ind w:left="18" w:right="224" w:firstLine="0"/>
                    <w:jc w:val="left"/>
                    <w:rPr>
                      <w:rFonts w:ascii="Stone Sans II ITC Std Bk"/>
                      <w:b/>
                      <w:sz w:val="22"/>
                    </w:rPr>
                  </w:pPr>
                  <w:r>
                    <w:rPr>
                      <w:rFonts w:ascii="Stone Sans II ITC Std Bk"/>
                      <w:b/>
                      <w:color w:val="FFFFFF"/>
                      <w:w w:val="110"/>
                      <w:sz w:val="22"/>
                    </w:rPr>
                    <w:t>h c</w:t>
                  </w:r>
                </w:p>
                <w:p>
                  <w:pPr>
                    <w:pStyle w:val="BodyText"/>
                    <w:rPr>
                      <w:rFonts w:ascii="Stone Sans II ITC Std Bk"/>
                      <w:b/>
                      <w:sz w:val="12"/>
                    </w:rPr>
                  </w:pPr>
                </w:p>
                <w:p>
                  <w:pPr>
                    <w:pStyle w:val="BodyText"/>
                    <w:spacing w:before="9"/>
                    <w:rPr>
                      <w:rFonts w:ascii="Stone Sans II ITC Std Bk"/>
                      <w:b/>
                      <w:sz w:val="12"/>
                    </w:rPr>
                  </w:pPr>
                </w:p>
                <w:p>
                  <w:pPr>
                    <w:spacing w:before="1"/>
                    <w:ind w:left="18" w:right="0" w:firstLine="0"/>
                    <w:jc w:val="left"/>
                    <w:rPr>
                      <w:rFonts w:ascii="Stone Sans II ITC Std Bk"/>
                      <w:b/>
                      <w:sz w:val="22"/>
                    </w:rPr>
                  </w:pPr>
                  <w:r>
                    <w:rPr>
                      <w:rFonts w:ascii="Stone Sans II ITC Std Bk"/>
                      <w:b/>
                      <w:color w:val="FFFFFF"/>
                      <w:spacing w:val="4"/>
                      <w:w w:val="109"/>
                      <w:sz w:val="22"/>
                    </w:rPr>
                    <w:t>Chur</w:t>
                  </w:r>
                </w:p>
                <w:p>
                  <w:pPr>
                    <w:spacing w:line="213" w:lineRule="auto" w:before="328"/>
                    <w:ind w:left="18" w:right="-51" w:firstLine="0"/>
                    <w:jc w:val="left"/>
                    <w:rPr>
                      <w:rFonts w:ascii="Stone Sans II ITC Std Bk"/>
                      <w:b/>
                      <w:sz w:val="22"/>
                    </w:rPr>
                  </w:pPr>
                  <w:r>
                    <w:rPr>
                      <w:rFonts w:ascii="Stone Sans II ITC Std Bk"/>
                      <w:b/>
                      <w:color w:val="FFFFFF"/>
                      <w:spacing w:val="4"/>
                      <w:w w:val="109"/>
                      <w:sz w:val="22"/>
                    </w:rPr>
                    <w:t>med or</w:t>
                  </w:r>
                </w:p>
                <w:p>
                  <w:pPr>
                    <w:spacing w:line="129" w:lineRule="auto" w:before="40"/>
                    <w:ind w:left="18" w:right="224" w:firstLine="0"/>
                    <w:jc w:val="left"/>
                    <w:rPr>
                      <w:rFonts w:ascii="Stone Sans II ITC Std Bk"/>
                      <w:b/>
                      <w:sz w:val="22"/>
                    </w:rPr>
                  </w:pPr>
                  <w:r>
                    <w:rPr>
                      <w:rFonts w:ascii="Stone Sans II ITC Std Bk"/>
                      <w:b/>
                      <w:color w:val="FFFFFF"/>
                      <w:spacing w:val="4"/>
                      <w:w w:val="110"/>
                      <w:sz w:val="22"/>
                    </w:rPr>
                    <w:t>ef </w:t>
                  </w:r>
                  <w:r>
                    <w:rPr>
                      <w:rFonts w:ascii="Stone Sans II ITC Std Bk"/>
                      <w:b/>
                      <w:color w:val="FFFFFF"/>
                      <w:w w:val="110"/>
                      <w:sz w:val="22"/>
                    </w:rPr>
                    <w:t>R</w:t>
                  </w:r>
                </w:p>
                <w:p>
                  <w:pPr>
                    <w:spacing w:before="105"/>
                    <w:ind w:left="18" w:right="0" w:firstLine="0"/>
                    <w:jc w:val="left"/>
                    <w:rPr>
                      <w:rFonts w:ascii="Stone Sans II ITC Std Bk"/>
                      <w:b/>
                      <w:sz w:val="22"/>
                    </w:rPr>
                  </w:pPr>
                  <w:r>
                    <w:rPr>
                      <w:rFonts w:ascii="Stone Sans II ITC Std Bk"/>
                      <w:b/>
                      <w:color w:val="FFFFFF"/>
                      <w:w w:val="110"/>
                      <w:sz w:val="22"/>
                    </w:rPr>
                    <w:t>ed</w:t>
                  </w:r>
                </w:p>
                <w:p>
                  <w:pPr>
                    <w:spacing w:line="144" w:lineRule="auto" w:before="129"/>
                    <w:ind w:left="18" w:right="144" w:firstLine="0"/>
                    <w:jc w:val="left"/>
                    <w:rPr>
                      <w:rFonts w:ascii="Stone Sans II ITC Std Bk"/>
                      <w:b/>
                      <w:sz w:val="22"/>
                    </w:rPr>
                  </w:pPr>
                  <w:r>
                    <w:rPr>
                      <w:rFonts w:ascii="Stone Sans II ITC Std Bk"/>
                      <w:b/>
                      <w:color w:val="FFFFFF"/>
                      <w:spacing w:val="4"/>
                      <w:w w:val="109"/>
                      <w:sz w:val="22"/>
                    </w:rPr>
                    <w:t>nit </w:t>
                  </w:r>
                  <w:r>
                    <w:rPr>
                      <w:rFonts w:ascii="Stone Sans II ITC Std Bk"/>
                      <w:b/>
                      <w:color w:val="FFFFFF"/>
                      <w:w w:val="109"/>
                      <w:sz w:val="22"/>
                    </w:rPr>
                    <w:t>U</w:t>
                  </w: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rPr>
                      <w:rFonts w:ascii="Stone Sans II ITC Std Bk"/>
                      <w:b/>
                      <w:sz w:val="16"/>
                    </w:rPr>
                  </w:pPr>
                </w:p>
                <w:p>
                  <w:pPr>
                    <w:pStyle w:val="BodyText"/>
                    <w:spacing w:before="2"/>
                    <w:rPr>
                      <w:rFonts w:ascii="Stone Sans II ITC Std Bk"/>
                      <w:b/>
                      <w:sz w:val="15"/>
                    </w:rPr>
                  </w:pPr>
                </w:p>
                <w:p>
                  <w:pPr>
                    <w:spacing w:line="306" w:lineRule="exact" w:before="0"/>
                    <w:ind w:left="85" w:right="0" w:firstLine="0"/>
                    <w:jc w:val="left"/>
                    <w:rPr>
                      <w:rFonts w:ascii="Stone Sans II ITC Std X Bd"/>
                      <w:b/>
                      <w:sz w:val="24"/>
                    </w:rPr>
                  </w:pPr>
                  <w:r>
                    <w:rPr>
                      <w:rFonts w:ascii="Stone Sans II ITC Std X Bd"/>
                      <w:b/>
                      <w:color w:val="1A171C"/>
                      <w:sz w:val="24"/>
                    </w:rPr>
                    <w:t>6</w:t>
                  </w:r>
                </w:p>
              </w:txbxContent>
            </v:textbox>
            <w10:wrap type="none"/>
          </v:shape>
        </w:pict>
      </w:r>
      <w:r>
        <w:rPr/>
        <w:pict>
          <v:shape style="position:absolute;margin-left:269.519989pt;margin-top:799.645996pt;width:56.45pt;height:12.35pt;mso-position-horizontal-relative:page;mso-position-vertical-relative:page;z-index:-253444096" type="#_x0000_t202" filled="false" stroked="false">
            <v:textbox inset="0,0,0,0">
              <w:txbxContent>
                <w:p>
                  <w:pPr>
                    <w:spacing w:line="247" w:lineRule="exact" w:before="0"/>
                    <w:ind w:left="0" w:right="0" w:firstLine="0"/>
                    <w:jc w:val="left"/>
                    <w:rPr>
                      <w:b/>
                      <w:sz w:val="22"/>
                    </w:rPr>
                  </w:pPr>
                  <w:r>
                    <w:rPr>
                      <w:color w:val="1A171C"/>
                      <w:sz w:val="22"/>
                    </w:rPr>
                    <w:t>Page </w:t>
                  </w:r>
                  <w:r>
                    <w:rPr>
                      <w:b/>
                      <w:color w:val="1A171C"/>
                      <w:sz w:val="22"/>
                    </w:rPr>
                    <w:t>2 </w:t>
                  </w:r>
                  <w:r>
                    <w:rPr>
                      <w:color w:val="1A171C"/>
                      <w:sz w:val="22"/>
                    </w:rPr>
                    <w:t>of </w:t>
                  </w:r>
                  <w:r>
                    <w:rPr>
                      <w:b/>
                      <w:color w:val="1A171C"/>
                      <w:sz w:val="22"/>
                    </w:rPr>
                    <w:t>4</w:t>
                  </w:r>
                </w:p>
              </w:txbxContent>
            </v:textbox>
            <w10:wrap type="none"/>
          </v:shape>
        </w:pict>
      </w:r>
      <w:r>
        <w:rPr/>
        <w:pict>
          <v:group style="position:absolute;margin-left:12.756pt;margin-top:12.755014pt;width:77.8pt;height:816.4pt;mso-position-horizontal-relative:page;mso-position-vertical-relative:page;z-index:-253441024" coordorigin="255,255" coordsize="1556,16328">
            <v:shape style="position:absolute;left:255;top:255;width:681;height:16328" type="#_x0000_t75" stroked="false">
              <v:imagedata r:id="rId12" o:title=""/>
            </v:shape>
            <v:shape style="position:absolute;left:255;top:255;width:681;height:16328" type="#_x0000_t75" stroked="false">
              <v:imagedata r:id="rId13"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0090D4" w:color="auto" w:val="clear"/>
                      </w:rPr>
                      <w:t>1</w:t>
                    </w:r>
                    <w:r>
                      <w:rPr>
                        <w:rFonts w:ascii="Stone Sans II ITC Std X Bd"/>
                        <w:b/>
                        <w:color w:val="FFFFFF"/>
                        <w:sz w:val="65"/>
                        <w:shd w:fill="0090D4" w:color="auto" w:val="clear"/>
                      </w:rPr>
                      <w:tab/>
                    </w:r>
                  </w:p>
                </w:txbxContent>
              </v:textbox>
              <w10:wrap type="none"/>
            </v:shape>
            <v:shape style="position:absolute;left:515;top:15990;width:18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6</w:t>
                    </w:r>
                  </w:p>
                </w:txbxContent>
              </v:textbox>
              <w10:wrap type="none"/>
            </v:shape>
            <w10:wrap type="none"/>
          </v:group>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12"/>
        <w:rPr>
          <w:rFonts w:ascii="Stone Sans II ITC Std X Bd"/>
          <w:b/>
          <w:sz w:val="20"/>
        </w:rPr>
      </w:pPr>
    </w:p>
    <w:p>
      <w:pPr>
        <w:spacing w:before="76"/>
        <w:ind w:left="1158" w:right="0" w:firstLine="0"/>
        <w:jc w:val="left"/>
        <w:rPr>
          <w:b/>
          <w:sz w:val="72"/>
        </w:rPr>
      </w:pPr>
      <w:r>
        <w:rPr/>
        <w:drawing>
          <wp:anchor distT="0" distB="0" distL="0" distR="0" allowOverlap="1" layoutInCell="1" locked="0" behindDoc="0" simplePos="0" relativeHeight="251672576">
            <wp:simplePos x="0" y="0"/>
            <wp:positionH relativeFrom="page">
              <wp:posOffset>5618649</wp:posOffset>
            </wp:positionH>
            <wp:positionV relativeFrom="paragraph">
              <wp:posOffset>-310127</wp:posOffset>
            </wp:positionV>
            <wp:extent cx="1075131" cy="1007158"/>
            <wp:effectExtent l="0" t="0" r="0" b="0"/>
            <wp:wrapNone/>
            <wp:docPr id="5" name="image9.png"/>
            <wp:cNvGraphicFramePr>
              <a:graphicFrameLocks noChangeAspect="1"/>
            </wp:cNvGraphicFramePr>
            <a:graphic>
              <a:graphicData uri="http://schemas.openxmlformats.org/drawingml/2006/picture">
                <pic:pic>
                  <pic:nvPicPr>
                    <pic:cNvPr id="6" name="image9.png"/>
                    <pic:cNvPicPr/>
                  </pic:nvPicPr>
                  <pic:blipFill>
                    <a:blip r:embed="rId14" cstate="print"/>
                    <a:stretch>
                      <a:fillRect/>
                    </a:stretch>
                  </pic:blipFill>
                  <pic:spPr>
                    <a:xfrm>
                      <a:off x="0" y="0"/>
                      <a:ext cx="1075131" cy="1007158"/>
                    </a:xfrm>
                    <a:prstGeom prst="rect">
                      <a:avLst/>
                    </a:prstGeom>
                  </pic:spPr>
                </pic:pic>
              </a:graphicData>
            </a:graphic>
          </wp:anchor>
        </w:drawing>
      </w:r>
      <w:r>
        <w:rPr/>
        <w:pict>
          <v:shape style="position:absolute;margin-left:21.22007pt;margin-top:-19.287729pt;width:16.3500pt;height:346.1pt;mso-position-horizontal-relative:page;mso-position-vertical-relative:paragraph;z-index:251673600"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b/>
          <w:color w:val="1A6EB1"/>
          <w:sz w:val="72"/>
        </w:rPr>
        <w:t>Paper 1</w:t>
      </w:r>
    </w:p>
    <w:p>
      <w:pPr>
        <w:spacing w:line="505" w:lineRule="exact" w:before="241"/>
        <w:ind w:left="1158" w:right="0" w:firstLine="0"/>
        <w:jc w:val="left"/>
        <w:rPr>
          <w:b/>
          <w:sz w:val="44"/>
        </w:rPr>
      </w:pPr>
      <w:r>
        <w:rPr>
          <w:b/>
          <w:color w:val="1A171C"/>
          <w:sz w:val="44"/>
        </w:rPr>
        <w:t>Officers of Assembly</w:t>
      </w:r>
    </w:p>
    <w:p>
      <w:pPr>
        <w:spacing w:line="367" w:lineRule="exact" w:before="0"/>
        <w:ind w:left="1158" w:right="0" w:firstLine="0"/>
        <w:jc w:val="left"/>
        <w:rPr>
          <w:sz w:val="32"/>
        </w:rPr>
      </w:pPr>
      <w:r>
        <w:rPr>
          <w:color w:val="1A171C"/>
          <w:sz w:val="32"/>
        </w:rPr>
        <w:t>Arrangements for this meeting of General Assembly</w:t>
      </w:r>
    </w:p>
    <w:p>
      <w:pPr>
        <w:pStyle w:val="BodyText"/>
        <w:spacing w:before="10"/>
        <w:rPr>
          <w:sz w:val="44"/>
        </w:rPr>
      </w:pPr>
    </w:p>
    <w:p>
      <w:pPr>
        <w:spacing w:before="0" w:after="5"/>
        <w:ind w:left="1158" w:right="0" w:firstLine="0"/>
        <w:jc w:val="left"/>
        <w:rPr>
          <w:b/>
          <w:sz w:val="24"/>
        </w:rPr>
      </w:pPr>
      <w:r>
        <w:rPr>
          <w:b/>
          <w:color w:val="9C9D9F"/>
          <w:sz w:val="24"/>
        </w:rPr>
        <w:t>Basic Information</w:t>
      </w:r>
    </w:p>
    <w:tbl>
      <w:tblPr>
        <w:tblW w:w="0" w:type="auto"/>
        <w:jc w:val="left"/>
        <w:tblInd w:w="1105" w:type="dxa"/>
        <w:tblBorders>
          <w:top w:val="single" w:sz="4" w:space="0" w:color="BCBDBF"/>
          <w:left w:val="single" w:sz="4" w:space="0" w:color="BCBDBF"/>
          <w:bottom w:val="single" w:sz="4" w:space="0" w:color="BCBDBF"/>
          <w:right w:val="single" w:sz="4" w:space="0" w:color="BCBDBF"/>
          <w:insideH w:val="single" w:sz="4" w:space="0" w:color="BCBDBF"/>
          <w:insideV w:val="single" w:sz="4" w:space="0" w:color="BCBDBF"/>
        </w:tblBorders>
        <w:tblLayout w:type="fixed"/>
        <w:tblCellMar>
          <w:top w:w="0" w:type="dxa"/>
          <w:left w:w="0" w:type="dxa"/>
          <w:bottom w:w="0" w:type="dxa"/>
          <w:right w:w="0" w:type="dxa"/>
        </w:tblCellMar>
        <w:tblLook w:val="01E0"/>
      </w:tblPr>
      <w:tblGrid>
        <w:gridCol w:w="2642"/>
        <w:gridCol w:w="6542"/>
      </w:tblGrid>
      <w:tr>
        <w:trPr>
          <w:trHeight w:val="858" w:hRule="atLeast"/>
        </w:trPr>
        <w:tc>
          <w:tcPr>
            <w:tcW w:w="2642" w:type="dxa"/>
          </w:tcPr>
          <w:p>
            <w:pPr>
              <w:pStyle w:val="TableParagraph"/>
              <w:spacing w:before="52"/>
              <w:ind w:right="648"/>
              <w:rPr>
                <w:b/>
                <w:sz w:val="22"/>
              </w:rPr>
            </w:pPr>
            <w:r>
              <w:rPr>
                <w:b/>
                <w:color w:val="1A171C"/>
                <w:sz w:val="22"/>
              </w:rPr>
              <w:t>Contact name and email address</w:t>
            </w:r>
          </w:p>
        </w:tc>
        <w:tc>
          <w:tcPr>
            <w:tcW w:w="6542" w:type="dxa"/>
          </w:tcPr>
          <w:p>
            <w:pPr>
              <w:pStyle w:val="TableParagraph"/>
              <w:spacing w:line="252" w:lineRule="exact" w:before="55"/>
              <w:rPr>
                <w:sz w:val="22"/>
              </w:rPr>
            </w:pPr>
            <w:r>
              <w:rPr>
                <w:color w:val="1A171C"/>
                <w:sz w:val="22"/>
              </w:rPr>
              <w:t>James Breslin</w:t>
            </w:r>
          </w:p>
          <w:p>
            <w:pPr>
              <w:pStyle w:val="TableParagraph"/>
              <w:spacing w:line="252" w:lineRule="exact"/>
              <w:rPr>
                <w:sz w:val="22"/>
              </w:rPr>
            </w:pPr>
            <w:hyperlink r:id="rId15">
              <w:r>
                <w:rPr>
                  <w:color w:val="1A171C"/>
                  <w:sz w:val="22"/>
                </w:rPr>
                <w:t>breslin@newcastleurc.freeserve.co.uk</w:t>
              </w:r>
            </w:hyperlink>
          </w:p>
        </w:tc>
      </w:tr>
      <w:tr>
        <w:trPr>
          <w:trHeight w:val="606" w:hRule="atLeast"/>
        </w:trPr>
        <w:tc>
          <w:tcPr>
            <w:tcW w:w="2642" w:type="dxa"/>
          </w:tcPr>
          <w:p>
            <w:pPr>
              <w:pStyle w:val="TableParagraph"/>
              <w:spacing w:before="52"/>
              <w:rPr>
                <w:b/>
                <w:sz w:val="22"/>
              </w:rPr>
            </w:pPr>
            <w:r>
              <w:rPr>
                <w:b/>
                <w:color w:val="1A171C"/>
                <w:sz w:val="22"/>
              </w:rPr>
              <w:t>Action required</w:t>
            </w:r>
          </w:p>
        </w:tc>
        <w:tc>
          <w:tcPr>
            <w:tcW w:w="6542" w:type="dxa"/>
          </w:tcPr>
          <w:p>
            <w:pPr>
              <w:pStyle w:val="TableParagraph"/>
              <w:spacing w:before="55"/>
              <w:rPr>
                <w:sz w:val="22"/>
              </w:rPr>
            </w:pPr>
            <w:r>
              <w:rPr>
                <w:color w:val="1A171C"/>
                <w:sz w:val="22"/>
              </w:rPr>
              <w:t>Four resolutions for decision, and two items to note.</w:t>
            </w:r>
          </w:p>
        </w:tc>
      </w:tr>
      <w:tr>
        <w:trPr>
          <w:trHeight w:val="1113" w:hRule="atLeast"/>
        </w:trPr>
        <w:tc>
          <w:tcPr>
            <w:tcW w:w="2642" w:type="dxa"/>
          </w:tcPr>
          <w:p>
            <w:pPr>
              <w:pStyle w:val="TableParagraph"/>
              <w:spacing w:before="52"/>
              <w:rPr>
                <w:b/>
                <w:sz w:val="22"/>
              </w:rPr>
            </w:pPr>
            <w:r>
              <w:rPr>
                <w:b/>
                <w:color w:val="1A171C"/>
                <w:sz w:val="22"/>
              </w:rPr>
              <w:t>Draft resolution(s)</w:t>
            </w:r>
          </w:p>
        </w:tc>
        <w:tc>
          <w:tcPr>
            <w:tcW w:w="6542" w:type="dxa"/>
          </w:tcPr>
          <w:p>
            <w:pPr>
              <w:pStyle w:val="TableParagraph"/>
              <w:spacing w:before="52"/>
              <w:ind w:right="37"/>
              <w:rPr>
                <w:b/>
                <w:sz w:val="22"/>
              </w:rPr>
            </w:pPr>
            <w:r>
              <w:rPr>
                <w:b/>
                <w:color w:val="1A171C"/>
                <w:sz w:val="22"/>
              </w:rPr>
              <w:t>The officers of Assembly bring four resolutions to the Assembly printed in full in the following paper. Resolutions one, two and three (on page 7) and resolution six (on page 8).</w:t>
            </w:r>
          </w:p>
        </w:tc>
      </w:tr>
    </w:tbl>
    <w:p>
      <w:pPr>
        <w:pStyle w:val="BodyText"/>
        <w:spacing w:before="3"/>
        <w:rPr>
          <w:b/>
          <w:sz w:val="7"/>
        </w:rPr>
      </w:pPr>
    </w:p>
    <w:p>
      <w:pPr>
        <w:spacing w:before="92" w:after="40"/>
        <w:ind w:left="1158" w:right="0" w:firstLine="0"/>
        <w:jc w:val="left"/>
        <w:rPr>
          <w:b/>
          <w:sz w:val="24"/>
        </w:rPr>
      </w:pPr>
      <w:r>
        <w:rPr>
          <w:b/>
          <w:color w:val="9C9D9F"/>
          <w:sz w:val="24"/>
        </w:rPr>
        <w:t>Summary of Content</w:t>
      </w:r>
    </w:p>
    <w:tbl>
      <w:tblPr>
        <w:tblW w:w="0" w:type="auto"/>
        <w:jc w:val="left"/>
        <w:tblInd w:w="1105" w:type="dxa"/>
        <w:tblBorders>
          <w:top w:val="single" w:sz="4" w:space="0" w:color="BCBDBF"/>
          <w:left w:val="single" w:sz="4" w:space="0" w:color="BCBDBF"/>
          <w:bottom w:val="single" w:sz="4" w:space="0" w:color="BCBDBF"/>
          <w:right w:val="single" w:sz="4" w:space="0" w:color="BCBDBF"/>
          <w:insideH w:val="single" w:sz="4" w:space="0" w:color="BCBDBF"/>
          <w:insideV w:val="single" w:sz="4" w:space="0" w:color="BCBDBF"/>
        </w:tblBorders>
        <w:tblLayout w:type="fixed"/>
        <w:tblCellMar>
          <w:top w:w="0" w:type="dxa"/>
          <w:left w:w="0" w:type="dxa"/>
          <w:bottom w:w="0" w:type="dxa"/>
          <w:right w:w="0" w:type="dxa"/>
        </w:tblCellMar>
        <w:tblLook w:val="01E0"/>
      </w:tblPr>
      <w:tblGrid>
        <w:gridCol w:w="2650"/>
        <w:gridCol w:w="6536"/>
      </w:tblGrid>
      <w:tr>
        <w:trPr>
          <w:trHeight w:val="861" w:hRule="atLeast"/>
        </w:trPr>
        <w:tc>
          <w:tcPr>
            <w:tcW w:w="2650" w:type="dxa"/>
          </w:tcPr>
          <w:p>
            <w:pPr>
              <w:pStyle w:val="TableParagraph"/>
              <w:spacing w:before="52"/>
              <w:rPr>
                <w:b/>
                <w:sz w:val="22"/>
              </w:rPr>
            </w:pPr>
            <w:r>
              <w:rPr>
                <w:b/>
                <w:color w:val="1A171C"/>
                <w:sz w:val="22"/>
              </w:rPr>
              <w:t>Subject and aim(s)</w:t>
            </w:r>
          </w:p>
        </w:tc>
        <w:tc>
          <w:tcPr>
            <w:tcW w:w="6536" w:type="dxa"/>
          </w:tcPr>
          <w:p>
            <w:pPr>
              <w:pStyle w:val="TableParagraph"/>
              <w:spacing w:before="55"/>
              <w:ind w:left="56"/>
              <w:rPr>
                <w:sz w:val="22"/>
              </w:rPr>
            </w:pPr>
            <w:r>
              <w:rPr>
                <w:color w:val="1A171C"/>
                <w:sz w:val="22"/>
              </w:rPr>
              <w:t>To put the necessary procedures in place for the smooth running</w:t>
            </w:r>
          </w:p>
          <w:p>
            <w:pPr>
              <w:pStyle w:val="TableParagraph"/>
              <w:spacing w:before="1"/>
              <w:ind w:left="56"/>
              <w:rPr>
                <w:sz w:val="22"/>
              </w:rPr>
            </w:pPr>
            <w:r>
              <w:rPr>
                <w:color w:val="1A171C"/>
                <w:sz w:val="22"/>
              </w:rPr>
              <w:t>of this meeting of General Assembly.</w:t>
            </w:r>
          </w:p>
        </w:tc>
      </w:tr>
      <w:tr>
        <w:trPr>
          <w:trHeight w:val="2831" w:hRule="atLeast"/>
        </w:trPr>
        <w:tc>
          <w:tcPr>
            <w:tcW w:w="2650" w:type="dxa"/>
          </w:tcPr>
          <w:p>
            <w:pPr>
              <w:pStyle w:val="TableParagraph"/>
              <w:spacing w:before="52"/>
              <w:rPr>
                <w:b/>
                <w:sz w:val="22"/>
              </w:rPr>
            </w:pPr>
            <w:r>
              <w:rPr>
                <w:b/>
                <w:color w:val="1A171C"/>
                <w:sz w:val="22"/>
              </w:rPr>
              <w:t>Main points</w:t>
            </w:r>
          </w:p>
        </w:tc>
        <w:tc>
          <w:tcPr>
            <w:tcW w:w="6536" w:type="dxa"/>
          </w:tcPr>
          <w:p>
            <w:pPr>
              <w:pStyle w:val="TableParagraph"/>
              <w:spacing w:line="465" w:lineRule="auto" w:before="55"/>
              <w:ind w:left="56" w:right="1766"/>
              <w:rPr>
                <w:sz w:val="22"/>
              </w:rPr>
            </w:pPr>
            <w:r>
              <w:rPr>
                <w:color w:val="1A171C"/>
                <w:sz w:val="22"/>
              </w:rPr>
              <w:t>Resolution 1: Confirming the recall of Assembly. Resolution 2: Tidying up the roll of Assembly.</w:t>
            </w:r>
          </w:p>
          <w:p>
            <w:pPr>
              <w:pStyle w:val="TableParagraph"/>
              <w:spacing w:before="5"/>
              <w:ind w:left="56"/>
              <w:rPr>
                <w:sz w:val="22"/>
              </w:rPr>
            </w:pPr>
            <w:r>
              <w:rPr>
                <w:color w:val="1A171C"/>
                <w:sz w:val="22"/>
              </w:rPr>
              <w:t>Resolution 3: Appointing a convener of tellers.</w:t>
            </w:r>
          </w:p>
          <w:p>
            <w:pPr>
              <w:pStyle w:val="TableParagraph"/>
              <w:spacing w:before="8"/>
              <w:ind w:left="0"/>
              <w:rPr>
                <w:b/>
                <w:sz w:val="20"/>
              </w:rPr>
            </w:pPr>
          </w:p>
          <w:p>
            <w:pPr>
              <w:pStyle w:val="TableParagraph"/>
              <w:spacing w:before="1"/>
              <w:ind w:left="56" w:right="885"/>
              <w:rPr>
                <w:sz w:val="22"/>
              </w:rPr>
            </w:pPr>
            <w:r>
              <w:rPr>
                <w:color w:val="1A171C"/>
                <w:sz w:val="22"/>
              </w:rPr>
              <w:t>Paragraphs 2 and 3: The names of some people who are available to help Assembly if required.</w:t>
            </w:r>
          </w:p>
          <w:p>
            <w:pPr>
              <w:pStyle w:val="TableParagraph"/>
              <w:spacing w:before="10"/>
              <w:ind w:left="0"/>
              <w:rPr>
                <w:b/>
                <w:sz w:val="20"/>
              </w:rPr>
            </w:pPr>
          </w:p>
          <w:p>
            <w:pPr>
              <w:pStyle w:val="TableParagraph"/>
              <w:ind w:left="56"/>
              <w:rPr>
                <w:sz w:val="22"/>
              </w:rPr>
            </w:pPr>
            <w:r>
              <w:rPr>
                <w:color w:val="1A171C"/>
                <w:sz w:val="22"/>
              </w:rPr>
              <w:t>Resolution 6: Arranging for a </w:t>
            </w:r>
            <w:r>
              <w:rPr>
                <w:i/>
                <w:color w:val="1A171C"/>
                <w:sz w:val="22"/>
              </w:rPr>
              <w:t>Record of Assembly </w:t>
            </w:r>
            <w:r>
              <w:rPr>
                <w:color w:val="1A171C"/>
                <w:sz w:val="22"/>
              </w:rPr>
              <w:t>to be produced.</w:t>
            </w:r>
          </w:p>
        </w:tc>
      </w:tr>
      <w:tr>
        <w:trPr>
          <w:trHeight w:val="858" w:hRule="atLeast"/>
        </w:trPr>
        <w:tc>
          <w:tcPr>
            <w:tcW w:w="2650" w:type="dxa"/>
          </w:tcPr>
          <w:p>
            <w:pPr>
              <w:pStyle w:val="TableParagraph"/>
              <w:spacing w:before="52"/>
              <w:ind w:right="728"/>
              <w:rPr>
                <w:b/>
                <w:sz w:val="22"/>
              </w:rPr>
            </w:pPr>
            <w:r>
              <w:rPr>
                <w:b/>
                <w:color w:val="1A171C"/>
                <w:sz w:val="22"/>
              </w:rPr>
              <w:t>Previous relevant documents</w:t>
            </w:r>
          </w:p>
        </w:tc>
        <w:tc>
          <w:tcPr>
            <w:tcW w:w="6536" w:type="dxa"/>
          </w:tcPr>
          <w:p>
            <w:pPr>
              <w:pStyle w:val="TableParagraph"/>
              <w:spacing w:before="55"/>
              <w:ind w:left="56" w:right="226"/>
              <w:rPr>
                <w:sz w:val="22"/>
              </w:rPr>
            </w:pPr>
            <w:r>
              <w:rPr>
                <w:color w:val="1A171C"/>
                <w:sz w:val="22"/>
              </w:rPr>
              <w:t>Paper N1 and minutes from the Mission Council meeting of May 2015, where the recall of Assembly was agreed.</w:t>
            </w:r>
          </w:p>
        </w:tc>
      </w:tr>
      <w:tr>
        <w:trPr>
          <w:trHeight w:val="861" w:hRule="atLeast"/>
        </w:trPr>
        <w:tc>
          <w:tcPr>
            <w:tcW w:w="2650" w:type="dxa"/>
          </w:tcPr>
          <w:p>
            <w:pPr>
              <w:pStyle w:val="TableParagraph"/>
              <w:spacing w:before="52"/>
              <w:ind w:right="680"/>
              <w:rPr>
                <w:b/>
                <w:sz w:val="22"/>
              </w:rPr>
            </w:pPr>
            <w:r>
              <w:rPr>
                <w:b/>
                <w:color w:val="1A171C"/>
                <w:sz w:val="22"/>
              </w:rPr>
              <w:t>Consultation has taken place with...</w:t>
            </w:r>
          </w:p>
        </w:tc>
        <w:tc>
          <w:tcPr>
            <w:tcW w:w="6536" w:type="dxa"/>
          </w:tcPr>
          <w:p>
            <w:pPr>
              <w:pStyle w:val="TableParagraph"/>
              <w:spacing w:before="55"/>
              <w:ind w:left="56"/>
              <w:rPr>
                <w:sz w:val="22"/>
              </w:rPr>
            </w:pPr>
            <w:r>
              <w:rPr>
                <w:color w:val="1A171C"/>
                <w:sz w:val="22"/>
              </w:rPr>
              <w:t>Assembly Arrangements Committee; Mission Council.</w:t>
            </w:r>
          </w:p>
        </w:tc>
      </w:tr>
    </w:tbl>
    <w:p>
      <w:pPr>
        <w:spacing w:before="175" w:after="41"/>
        <w:ind w:left="1158" w:right="0" w:firstLine="0"/>
        <w:jc w:val="left"/>
        <w:rPr>
          <w:b/>
          <w:sz w:val="24"/>
        </w:rPr>
      </w:pPr>
      <w:r>
        <w:rPr>
          <w:b/>
          <w:color w:val="9C9D9F"/>
          <w:sz w:val="24"/>
        </w:rPr>
        <w:t>Summary of Impact</w:t>
      </w:r>
    </w:p>
    <w:tbl>
      <w:tblPr>
        <w:tblW w:w="0" w:type="auto"/>
        <w:jc w:val="left"/>
        <w:tblInd w:w="1105" w:type="dxa"/>
        <w:tblBorders>
          <w:top w:val="single" w:sz="4" w:space="0" w:color="BCBDBF"/>
          <w:left w:val="single" w:sz="4" w:space="0" w:color="BCBDBF"/>
          <w:bottom w:val="single" w:sz="4" w:space="0" w:color="BCBDBF"/>
          <w:right w:val="single" w:sz="4" w:space="0" w:color="BCBDBF"/>
          <w:insideH w:val="single" w:sz="4" w:space="0" w:color="BCBDBF"/>
          <w:insideV w:val="single" w:sz="4" w:space="0" w:color="BCBDBF"/>
        </w:tblBorders>
        <w:tblLayout w:type="fixed"/>
        <w:tblCellMar>
          <w:top w:w="0" w:type="dxa"/>
          <w:left w:w="0" w:type="dxa"/>
          <w:bottom w:w="0" w:type="dxa"/>
          <w:right w:w="0" w:type="dxa"/>
        </w:tblCellMar>
        <w:tblLook w:val="01E0"/>
      </w:tblPr>
      <w:tblGrid>
        <w:gridCol w:w="2650"/>
        <w:gridCol w:w="6536"/>
      </w:tblGrid>
      <w:tr>
        <w:trPr>
          <w:trHeight w:val="1113" w:hRule="atLeast"/>
        </w:trPr>
        <w:tc>
          <w:tcPr>
            <w:tcW w:w="2650" w:type="dxa"/>
          </w:tcPr>
          <w:p>
            <w:pPr>
              <w:pStyle w:val="TableParagraph"/>
              <w:spacing w:before="52"/>
              <w:rPr>
                <w:b/>
                <w:sz w:val="22"/>
              </w:rPr>
            </w:pPr>
            <w:r>
              <w:rPr>
                <w:b/>
                <w:color w:val="1A171C"/>
                <w:sz w:val="22"/>
              </w:rPr>
              <w:t>Financial</w:t>
            </w:r>
          </w:p>
        </w:tc>
        <w:tc>
          <w:tcPr>
            <w:tcW w:w="6536" w:type="dxa"/>
          </w:tcPr>
          <w:p>
            <w:pPr>
              <w:pStyle w:val="TableParagraph"/>
              <w:spacing w:before="55"/>
              <w:ind w:left="56" w:right="555"/>
              <w:rPr>
                <w:sz w:val="22"/>
              </w:rPr>
            </w:pPr>
            <w:r>
              <w:rPr>
                <w:color w:val="1A171C"/>
                <w:sz w:val="22"/>
              </w:rPr>
              <w:t>There will be a production and printing cost for the </w:t>
            </w:r>
            <w:r>
              <w:rPr>
                <w:i/>
                <w:color w:val="1A171C"/>
                <w:sz w:val="22"/>
              </w:rPr>
              <w:t>Record of </w:t>
            </w:r>
            <w:r>
              <w:rPr>
                <w:i/>
                <w:color w:val="1A171C"/>
                <w:sz w:val="22"/>
              </w:rPr>
              <w:t>Assembly, </w:t>
            </w:r>
            <w:r>
              <w:rPr>
                <w:color w:val="1A171C"/>
                <w:sz w:val="22"/>
              </w:rPr>
              <w:t>which is part of the cost of holding an Assembly. The other resolutions involve no new expenditure.</w:t>
            </w:r>
          </w:p>
        </w:tc>
      </w:tr>
      <w:tr>
        <w:trPr>
          <w:trHeight w:val="858" w:hRule="atLeast"/>
        </w:trPr>
        <w:tc>
          <w:tcPr>
            <w:tcW w:w="2650" w:type="dxa"/>
          </w:tcPr>
          <w:p>
            <w:pPr>
              <w:pStyle w:val="TableParagraph"/>
              <w:spacing w:line="252" w:lineRule="exact" w:before="52"/>
              <w:rPr>
                <w:b/>
                <w:sz w:val="22"/>
              </w:rPr>
            </w:pPr>
            <w:r>
              <w:rPr>
                <w:b/>
                <w:color w:val="1A171C"/>
                <w:sz w:val="22"/>
              </w:rPr>
              <w:t>External</w:t>
            </w:r>
          </w:p>
          <w:p>
            <w:pPr>
              <w:pStyle w:val="TableParagraph"/>
              <w:spacing w:line="252" w:lineRule="exact"/>
              <w:rPr>
                <w:b/>
                <w:sz w:val="22"/>
              </w:rPr>
            </w:pPr>
            <w:r>
              <w:rPr>
                <w:b/>
                <w:color w:val="1A171C"/>
                <w:sz w:val="22"/>
              </w:rPr>
              <w:t>(e.g. ecumenical)</w:t>
            </w:r>
          </w:p>
        </w:tc>
        <w:tc>
          <w:tcPr>
            <w:tcW w:w="6536" w:type="dxa"/>
          </w:tcPr>
          <w:p>
            <w:pPr>
              <w:pStyle w:val="TableParagraph"/>
              <w:spacing w:before="55"/>
              <w:ind w:left="56"/>
              <w:rPr>
                <w:sz w:val="22"/>
              </w:rPr>
            </w:pPr>
            <w:r>
              <w:rPr>
                <w:color w:val="1A171C"/>
                <w:sz w:val="22"/>
              </w:rPr>
              <w:t>None.</w:t>
            </w:r>
          </w:p>
        </w:tc>
      </w:tr>
    </w:tbl>
    <w:p>
      <w:pPr>
        <w:pStyle w:val="BodyText"/>
        <w:rPr>
          <w:b/>
          <w:sz w:val="24"/>
        </w:rPr>
      </w:pPr>
      <w:r>
        <w:rPr/>
        <w:pict>
          <v:rect style="position:absolute;margin-left:205.511993pt;margin-top:15.786pt;width:153.071pt;height:38.268pt;mso-position-horizontal-relative:page;mso-position-vertical-relative:paragraph;z-index:-251650048;mso-wrap-distance-left:0;mso-wrap-distance-right:0" filled="true" fillcolor="#ffffff" stroked="false">
            <v:fill type="solid"/>
            <w10:wrap type="topAndBottom"/>
          </v:rect>
        </w:pict>
      </w:r>
    </w:p>
    <w:p>
      <w:pPr>
        <w:spacing w:after="0"/>
        <w:rPr>
          <w:sz w:val="24"/>
        </w:rPr>
        <w:sectPr>
          <w:pgSz w:w="11910" w:h="16840"/>
          <w:pgMar w:top="240" w:bottom="0" w:left="260" w:right="0"/>
        </w:sectPr>
      </w:pPr>
    </w:p>
    <w:p>
      <w:pPr>
        <w:tabs>
          <w:tab w:pos="879" w:val="left" w:leader="none"/>
        </w:tabs>
        <w:spacing w:before="68"/>
        <w:ind w:left="0" w:right="394" w:firstLine="0"/>
        <w:jc w:val="right"/>
        <w:rPr>
          <w:rFonts w:ascii="Stone Sans II ITC Std X Bd"/>
          <w:b/>
          <w:sz w:val="65"/>
        </w:rPr>
      </w:pPr>
      <w:r>
        <w:rPr/>
        <w:drawing>
          <wp:anchor distT="0" distB="0" distL="0" distR="0" allowOverlap="1" layoutInCell="1" locked="0" behindDoc="1" simplePos="0" relativeHeight="249879552">
            <wp:simplePos x="0" y="0"/>
            <wp:positionH relativeFrom="page">
              <wp:posOffset>6974928</wp:posOffset>
            </wp:positionH>
            <wp:positionV relativeFrom="page">
              <wp:posOffset>161988</wp:posOffset>
            </wp:positionV>
            <wp:extent cx="432079" cy="10368000"/>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10" cstate="print"/>
                    <a:stretch>
                      <a:fillRect/>
                    </a:stretch>
                  </pic:blipFill>
                  <pic:spPr>
                    <a:xfrm>
                      <a:off x="0" y="0"/>
                      <a:ext cx="432079" cy="10368000"/>
                    </a:xfrm>
                    <a:prstGeom prst="rect">
                      <a:avLst/>
                    </a:prstGeom>
                  </pic:spPr>
                </pic:pic>
              </a:graphicData>
            </a:graphic>
          </wp:anchor>
        </w:drawing>
      </w:r>
      <w:r>
        <w:rPr>
          <w:rFonts w:ascii="Stone Sans II ITC Std X Bd"/>
          <w:b/>
          <w:color w:val="FFFFFF"/>
          <w:w w:val="110"/>
          <w:sz w:val="65"/>
          <w:shd w:fill="0090D4" w:color="auto" w:val="clear"/>
        </w:rPr>
        <w:t> </w:t>
      </w:r>
      <w:r>
        <w:rPr>
          <w:rFonts w:ascii="Stone Sans II ITC Std X Bd"/>
          <w:b/>
          <w:color w:val="FFFFFF"/>
          <w:sz w:val="65"/>
          <w:shd w:fill="0090D4" w:color="auto" w:val="clear"/>
        </w:rPr>
        <w:tab/>
      </w:r>
      <w:r>
        <w:rPr>
          <w:rFonts w:ascii="Stone Sans II ITC Std X Bd"/>
          <w:b/>
          <w:color w:val="FFFFFF"/>
          <w:w w:val="110"/>
          <w:sz w:val="65"/>
          <w:shd w:fill="0090D4" w:color="auto" w:val="clear"/>
        </w:rPr>
        <w:t>1</w:t>
      </w:r>
    </w:p>
    <w:p>
      <w:pPr>
        <w:pStyle w:val="BodyText"/>
        <w:rPr>
          <w:rFonts w:ascii="Stone Sans II ITC Std X Bd"/>
          <w:b/>
          <w:sz w:val="20"/>
        </w:rPr>
      </w:pPr>
    </w:p>
    <w:p>
      <w:pPr>
        <w:pStyle w:val="BodyText"/>
        <w:spacing w:before="7"/>
        <w:rPr>
          <w:rFonts w:ascii="Stone Sans II ITC Std X Bd"/>
          <w:b/>
          <w:sz w:val="25"/>
        </w:rPr>
      </w:pPr>
    </w:p>
    <w:p>
      <w:pPr>
        <w:spacing w:before="85"/>
        <w:ind w:left="3771" w:right="2466" w:hanging="1551"/>
        <w:jc w:val="left"/>
        <w:rPr>
          <w:b/>
          <w:sz w:val="44"/>
        </w:rPr>
      </w:pPr>
      <w:r>
        <w:rPr/>
        <w:pict>
          <v:shape style="position:absolute;margin-left:557.985779pt;margin-top:-28.96327pt;width:16.3500pt;height:347.3pt;mso-position-horizontal-relative:page;mso-position-vertical-relative:paragraph;z-index:251677696"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b/>
          <w:color w:val="1A171C"/>
          <w:sz w:val="44"/>
        </w:rPr>
        <w:t>Arrangements for this meeting of General Assembly</w:t>
      </w:r>
    </w:p>
    <w:p>
      <w:pPr>
        <w:pStyle w:val="BodyText"/>
        <w:spacing w:before="10"/>
        <w:rPr>
          <w:b/>
          <w:sz w:val="42"/>
        </w:rPr>
      </w:pPr>
    </w:p>
    <w:p>
      <w:pPr>
        <w:pStyle w:val="ListParagraph"/>
        <w:numPr>
          <w:ilvl w:val="0"/>
          <w:numId w:val="1"/>
        </w:numPr>
        <w:tabs>
          <w:tab w:pos="1837" w:val="left" w:leader="none"/>
          <w:tab w:pos="1838" w:val="left" w:leader="none"/>
        </w:tabs>
        <w:spacing w:line="240" w:lineRule="auto" w:before="0" w:after="0"/>
        <w:ind w:left="1837" w:right="1858" w:hanging="680"/>
        <w:jc w:val="left"/>
        <w:rPr>
          <w:color w:val="1A171C"/>
          <w:sz w:val="22"/>
        </w:rPr>
      </w:pPr>
      <w:r>
        <w:rPr>
          <w:color w:val="1A171C"/>
          <w:sz w:val="22"/>
        </w:rPr>
        <w:t>The officers of Assembly bring forward the following procedural Resolutions 1–3, which will be moved by the convener of the Assembly arrangements committee at the very start of business. The Moderators propose to invite Assembly to vote on them without debate.</w:t>
      </w:r>
    </w:p>
    <w:p>
      <w:pPr>
        <w:pStyle w:val="BodyText"/>
        <w:spacing w:before="10"/>
        <w:rPr>
          <w:sz w:val="21"/>
        </w:rPr>
      </w:pPr>
    </w:p>
    <w:p>
      <w:pPr>
        <w:spacing w:before="1"/>
        <w:ind w:left="1837" w:right="0" w:firstLine="0"/>
        <w:jc w:val="left"/>
        <w:rPr>
          <w:b/>
          <w:sz w:val="28"/>
        </w:rPr>
      </w:pPr>
      <w:r>
        <w:rPr>
          <w:b/>
          <w:color w:val="1A171C"/>
          <w:sz w:val="28"/>
        </w:rPr>
        <w:t>Resolution</w:t>
      </w:r>
      <w:r>
        <w:rPr>
          <w:b/>
          <w:color w:val="1A171C"/>
          <w:spacing w:val="-4"/>
          <w:sz w:val="28"/>
        </w:rPr>
        <w:t> </w:t>
      </w:r>
      <w:r>
        <w:rPr>
          <w:b/>
          <w:color w:val="1A171C"/>
          <w:sz w:val="28"/>
        </w:rPr>
        <w:t>1</w:t>
      </w:r>
    </w:p>
    <w:p>
      <w:pPr>
        <w:pStyle w:val="Heading7"/>
        <w:spacing w:before="0"/>
        <w:ind w:left="1837" w:right="1798"/>
      </w:pPr>
      <w:r>
        <w:rPr>
          <w:color w:val="1A171C"/>
        </w:rPr>
        <w:t>General Assembly concurs in the decision of the Mission Council to call this special</w:t>
      </w:r>
      <w:r>
        <w:rPr>
          <w:color w:val="1A171C"/>
          <w:spacing w:val="-1"/>
        </w:rPr>
        <w:t> </w:t>
      </w:r>
      <w:r>
        <w:rPr>
          <w:color w:val="1A171C"/>
        </w:rPr>
        <w:t>meeting.</w:t>
      </w:r>
    </w:p>
    <w:p>
      <w:pPr>
        <w:pStyle w:val="BodyText"/>
        <w:spacing w:before="1"/>
        <w:rPr>
          <w:b/>
        </w:rPr>
      </w:pPr>
    </w:p>
    <w:p>
      <w:pPr>
        <w:spacing w:line="321" w:lineRule="exact" w:before="0"/>
        <w:ind w:left="1837" w:right="0" w:firstLine="0"/>
        <w:jc w:val="left"/>
        <w:rPr>
          <w:b/>
          <w:sz w:val="28"/>
        </w:rPr>
      </w:pPr>
      <w:r>
        <w:rPr>
          <w:b/>
          <w:color w:val="1A171C"/>
          <w:sz w:val="28"/>
        </w:rPr>
        <w:t>Resolution</w:t>
      </w:r>
      <w:r>
        <w:rPr>
          <w:b/>
          <w:color w:val="1A171C"/>
          <w:spacing w:val="-4"/>
          <w:sz w:val="28"/>
        </w:rPr>
        <w:t> </w:t>
      </w:r>
      <w:r>
        <w:rPr>
          <w:b/>
          <w:color w:val="1A171C"/>
          <w:sz w:val="28"/>
        </w:rPr>
        <w:t>2</w:t>
      </w:r>
    </w:p>
    <w:p>
      <w:pPr>
        <w:spacing w:before="0"/>
        <w:ind w:left="1837" w:right="1870" w:firstLine="0"/>
        <w:jc w:val="left"/>
        <w:rPr>
          <w:b/>
          <w:sz w:val="22"/>
        </w:rPr>
      </w:pPr>
      <w:r>
        <w:rPr>
          <w:b/>
          <w:color w:val="1A171C"/>
          <w:sz w:val="22"/>
        </w:rPr>
        <w:t>General Assembly notes that the holders of several offices and roles, which are members of General Assembly </w:t>
      </w:r>
      <w:r>
        <w:rPr>
          <w:b/>
          <w:i/>
          <w:color w:val="1A171C"/>
          <w:sz w:val="22"/>
        </w:rPr>
        <w:t>ex officiis</w:t>
      </w:r>
      <w:r>
        <w:rPr>
          <w:b/>
          <w:color w:val="1A171C"/>
          <w:sz w:val="22"/>
        </w:rPr>
        <w:t>, have changed since General Assembly met in July 2014. General Assembly confirms the consequent changes to the Roll:</w:t>
      </w:r>
    </w:p>
    <w:p>
      <w:pPr>
        <w:pStyle w:val="BodyText"/>
        <w:spacing w:before="10"/>
        <w:rPr>
          <w:b/>
          <w:sz w:val="20"/>
        </w:rPr>
      </w:pPr>
    </w:p>
    <w:p>
      <w:pPr>
        <w:spacing w:line="252" w:lineRule="exact" w:before="0"/>
        <w:ind w:left="1878" w:right="0" w:firstLine="0"/>
        <w:jc w:val="left"/>
        <w:rPr>
          <w:b/>
          <w:sz w:val="22"/>
        </w:rPr>
      </w:pPr>
      <w:r>
        <w:rPr>
          <w:b/>
          <w:color w:val="1A171C"/>
          <w:sz w:val="22"/>
        </w:rPr>
        <w:t>General Secretary – the Revd John Proctor</w:t>
      </w:r>
    </w:p>
    <w:p>
      <w:pPr>
        <w:spacing w:before="0"/>
        <w:ind w:left="1878" w:right="1841" w:firstLine="0"/>
        <w:jc w:val="left"/>
        <w:rPr>
          <w:b/>
          <w:sz w:val="22"/>
        </w:rPr>
      </w:pPr>
      <w:r>
        <w:rPr>
          <w:b/>
          <w:color w:val="1A171C"/>
          <w:sz w:val="22"/>
        </w:rPr>
        <w:t>Deputy General Secretary (Administration and Resources) – Mrs Jane Baird Deputy General Secretary (Discipleship) – the Revd Richard Church</w:t>
      </w:r>
    </w:p>
    <w:p>
      <w:pPr>
        <w:spacing w:before="0"/>
        <w:ind w:left="1878" w:right="3761" w:firstLine="0"/>
        <w:jc w:val="left"/>
        <w:rPr>
          <w:b/>
          <w:sz w:val="22"/>
        </w:rPr>
      </w:pPr>
      <w:r>
        <w:rPr>
          <w:b/>
          <w:color w:val="1A171C"/>
          <w:sz w:val="22"/>
        </w:rPr>
        <w:t>Deputy General Secretary (Mission) – Ms Francis Brienen Clerk – the Revd Michael Hopkins</w:t>
      </w:r>
    </w:p>
    <w:p>
      <w:pPr>
        <w:spacing w:before="0"/>
        <w:ind w:left="1879" w:right="3757" w:hanging="1"/>
        <w:jc w:val="left"/>
        <w:rPr>
          <w:b/>
          <w:sz w:val="22"/>
        </w:rPr>
      </w:pPr>
      <w:r>
        <w:rPr>
          <w:b/>
          <w:color w:val="1A171C"/>
          <w:sz w:val="22"/>
        </w:rPr>
        <w:t>Moderator of the North Western Synod - vacant Moderator of the Mersey Synod – the Revd Jacky</w:t>
      </w:r>
      <w:r>
        <w:rPr>
          <w:b/>
          <w:color w:val="1A171C"/>
          <w:spacing w:val="-21"/>
          <w:sz w:val="22"/>
        </w:rPr>
        <w:t> </w:t>
      </w:r>
      <w:r>
        <w:rPr>
          <w:b/>
          <w:color w:val="1A171C"/>
          <w:sz w:val="22"/>
        </w:rPr>
        <w:t>Embrey</w:t>
      </w:r>
    </w:p>
    <w:p>
      <w:pPr>
        <w:spacing w:line="242" w:lineRule="auto" w:before="0"/>
        <w:ind w:left="1879" w:right="1499" w:hanging="1"/>
        <w:jc w:val="left"/>
        <w:rPr>
          <w:b/>
          <w:sz w:val="22"/>
        </w:rPr>
      </w:pPr>
      <w:r>
        <w:rPr>
          <w:b/>
          <w:color w:val="1A171C"/>
          <w:sz w:val="22"/>
        </w:rPr>
        <w:t>Convener of the Assembly Arrangements Committee – the Revd James Breslin Convener of the Equalities Committee – the Revd Helen Mee</w:t>
      </w:r>
    </w:p>
    <w:p>
      <w:pPr>
        <w:spacing w:line="242" w:lineRule="auto" w:before="0"/>
        <w:ind w:left="1879" w:right="3260" w:hanging="1"/>
        <w:jc w:val="left"/>
        <w:rPr>
          <w:b/>
          <w:sz w:val="22"/>
        </w:rPr>
      </w:pPr>
      <w:r>
        <w:rPr>
          <w:b/>
          <w:color w:val="1A171C"/>
          <w:sz w:val="22"/>
        </w:rPr>
        <w:t>Convener of the Ministries Committee – the Revd Gethin Rhys Convener of the Nominations Committee – Mrs Irene Wren</w:t>
      </w:r>
    </w:p>
    <w:p>
      <w:pPr>
        <w:spacing w:line="248" w:lineRule="exact" w:before="0"/>
        <w:ind w:left="1879" w:right="0" w:firstLine="0"/>
        <w:jc w:val="left"/>
        <w:rPr>
          <w:b/>
          <w:sz w:val="22"/>
        </w:rPr>
      </w:pPr>
      <w:r>
        <w:rPr>
          <w:b/>
          <w:color w:val="1A171C"/>
          <w:sz w:val="22"/>
        </w:rPr>
        <w:t>Convener of the United Reformed Church Trust – the Revd Richard Gray</w:t>
      </w:r>
    </w:p>
    <w:p>
      <w:pPr>
        <w:pStyle w:val="BodyText"/>
        <w:spacing w:before="7"/>
        <w:rPr>
          <w:b/>
          <w:sz w:val="21"/>
        </w:rPr>
      </w:pPr>
    </w:p>
    <w:p>
      <w:pPr>
        <w:spacing w:line="321" w:lineRule="exact" w:before="0"/>
        <w:ind w:left="1878" w:right="0" w:firstLine="0"/>
        <w:jc w:val="left"/>
        <w:rPr>
          <w:b/>
          <w:sz w:val="28"/>
        </w:rPr>
      </w:pPr>
      <w:r>
        <w:rPr>
          <w:b/>
          <w:color w:val="1A171C"/>
          <w:sz w:val="28"/>
        </w:rPr>
        <w:t>Resolution 3</w:t>
      </w:r>
    </w:p>
    <w:p>
      <w:pPr>
        <w:spacing w:before="0"/>
        <w:ind w:left="1878" w:right="2097" w:firstLine="0"/>
        <w:jc w:val="left"/>
        <w:rPr>
          <w:b/>
          <w:sz w:val="22"/>
        </w:rPr>
      </w:pPr>
      <w:r>
        <w:rPr>
          <w:b/>
          <w:color w:val="1A171C"/>
          <w:sz w:val="22"/>
        </w:rPr>
        <w:t>General Assembly appoints Dr James Merrilees as convener of tellers for this meeting.</w:t>
      </w:r>
    </w:p>
    <w:p>
      <w:pPr>
        <w:pStyle w:val="BodyText"/>
        <w:spacing w:before="1"/>
        <w:rPr>
          <w:b/>
          <w:sz w:val="21"/>
        </w:rPr>
      </w:pPr>
    </w:p>
    <w:p>
      <w:pPr>
        <w:pStyle w:val="ListParagraph"/>
        <w:numPr>
          <w:ilvl w:val="0"/>
          <w:numId w:val="1"/>
        </w:numPr>
        <w:tabs>
          <w:tab w:pos="1837" w:val="left" w:leader="none"/>
          <w:tab w:pos="1838" w:val="left" w:leader="none"/>
        </w:tabs>
        <w:spacing w:line="240" w:lineRule="auto" w:before="0" w:after="0"/>
        <w:ind w:left="1837" w:right="1842" w:hanging="680"/>
        <w:jc w:val="left"/>
        <w:rPr>
          <w:color w:val="1A171C"/>
          <w:sz w:val="22"/>
        </w:rPr>
      </w:pPr>
      <w:r>
        <w:rPr>
          <w:color w:val="1A171C"/>
          <w:sz w:val="22"/>
        </w:rPr>
        <w:t>When General Assembly met in Cardiff in July 2014, it appointed a number of members to act as a facilitation group, and of that group the following are ready to act again if required. The group therefore remains in place, should Assembly wish to call upon</w:t>
      </w:r>
      <w:r>
        <w:rPr>
          <w:color w:val="1A171C"/>
          <w:spacing w:val="-3"/>
          <w:sz w:val="22"/>
        </w:rPr>
        <w:t> </w:t>
      </w:r>
      <w:r>
        <w:rPr>
          <w:color w:val="1A171C"/>
          <w:sz w:val="22"/>
        </w:rPr>
        <w:t>it:</w:t>
      </w:r>
    </w:p>
    <w:p>
      <w:pPr>
        <w:pStyle w:val="BodyText"/>
        <w:spacing w:before="2"/>
        <w:rPr>
          <w:sz w:val="18"/>
        </w:rPr>
      </w:pPr>
    </w:p>
    <w:tbl>
      <w:tblPr>
        <w:tblW w:w="0" w:type="auto"/>
        <w:jc w:val="left"/>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9"/>
        <w:gridCol w:w="3394"/>
        <w:gridCol w:w="2524"/>
      </w:tblGrid>
      <w:tr>
        <w:trPr>
          <w:trHeight w:val="299" w:hRule="atLeast"/>
        </w:trPr>
        <w:tc>
          <w:tcPr>
            <w:tcW w:w="2209" w:type="dxa"/>
          </w:tcPr>
          <w:p>
            <w:pPr>
              <w:pStyle w:val="TableParagraph"/>
              <w:spacing w:line="236" w:lineRule="exact" w:before="43"/>
              <w:ind w:left="50"/>
              <w:rPr>
                <w:sz w:val="22"/>
              </w:rPr>
            </w:pPr>
            <w:r>
              <w:rPr>
                <w:color w:val="1A171C"/>
                <w:sz w:val="22"/>
              </w:rPr>
              <w:t>David Bedford</w:t>
            </w:r>
          </w:p>
        </w:tc>
        <w:tc>
          <w:tcPr>
            <w:tcW w:w="3394" w:type="dxa"/>
          </w:tcPr>
          <w:p>
            <w:pPr>
              <w:pStyle w:val="TableParagraph"/>
              <w:spacing w:line="236" w:lineRule="exact" w:before="43"/>
              <w:ind w:left="761"/>
              <w:rPr>
                <w:sz w:val="22"/>
              </w:rPr>
            </w:pPr>
            <w:r>
              <w:rPr>
                <w:color w:val="1A171C"/>
                <w:sz w:val="22"/>
              </w:rPr>
              <w:t>Claudette Binns</w:t>
            </w:r>
          </w:p>
        </w:tc>
        <w:tc>
          <w:tcPr>
            <w:tcW w:w="2524" w:type="dxa"/>
          </w:tcPr>
          <w:p>
            <w:pPr>
              <w:pStyle w:val="TableParagraph"/>
              <w:spacing w:line="236" w:lineRule="exact" w:before="43"/>
              <w:ind w:left="967"/>
              <w:rPr>
                <w:sz w:val="22"/>
              </w:rPr>
            </w:pPr>
            <w:r>
              <w:rPr>
                <w:color w:val="1A171C"/>
                <w:sz w:val="22"/>
              </w:rPr>
              <w:t>Samuel Cyuma</w:t>
            </w:r>
          </w:p>
        </w:tc>
      </w:tr>
      <w:tr>
        <w:trPr>
          <w:trHeight w:val="253" w:hRule="atLeast"/>
        </w:trPr>
        <w:tc>
          <w:tcPr>
            <w:tcW w:w="2209" w:type="dxa"/>
          </w:tcPr>
          <w:p>
            <w:pPr>
              <w:pStyle w:val="TableParagraph"/>
              <w:spacing w:line="233" w:lineRule="exact"/>
              <w:ind w:left="50"/>
              <w:rPr>
                <w:sz w:val="22"/>
              </w:rPr>
            </w:pPr>
            <w:r>
              <w:rPr>
                <w:color w:val="1A171C"/>
                <w:sz w:val="22"/>
              </w:rPr>
              <w:t>Alison Dalton</w:t>
            </w:r>
          </w:p>
        </w:tc>
        <w:tc>
          <w:tcPr>
            <w:tcW w:w="3394" w:type="dxa"/>
          </w:tcPr>
          <w:p>
            <w:pPr>
              <w:pStyle w:val="TableParagraph"/>
              <w:spacing w:line="233" w:lineRule="exact"/>
              <w:ind w:left="761"/>
              <w:rPr>
                <w:sz w:val="22"/>
              </w:rPr>
            </w:pPr>
            <w:r>
              <w:rPr>
                <w:color w:val="1A171C"/>
                <w:sz w:val="22"/>
              </w:rPr>
              <w:t>John Humphreys</w:t>
            </w:r>
          </w:p>
        </w:tc>
        <w:tc>
          <w:tcPr>
            <w:tcW w:w="2524" w:type="dxa"/>
          </w:tcPr>
          <w:p>
            <w:pPr>
              <w:pStyle w:val="TableParagraph"/>
              <w:spacing w:line="233" w:lineRule="exact"/>
              <w:ind w:left="968"/>
              <w:rPr>
                <w:sz w:val="22"/>
              </w:rPr>
            </w:pPr>
            <w:r>
              <w:rPr>
                <w:color w:val="1A171C"/>
                <w:sz w:val="22"/>
              </w:rPr>
              <w:t>Anne Lewitt</w:t>
            </w:r>
          </w:p>
        </w:tc>
      </w:tr>
      <w:tr>
        <w:trPr>
          <w:trHeight w:val="300" w:hRule="atLeast"/>
        </w:trPr>
        <w:tc>
          <w:tcPr>
            <w:tcW w:w="2209" w:type="dxa"/>
          </w:tcPr>
          <w:p>
            <w:pPr>
              <w:pStyle w:val="TableParagraph"/>
              <w:spacing w:line="250" w:lineRule="exact"/>
              <w:ind w:left="50"/>
              <w:rPr>
                <w:sz w:val="22"/>
              </w:rPr>
            </w:pPr>
            <w:r>
              <w:rPr>
                <w:color w:val="1A171C"/>
                <w:sz w:val="22"/>
              </w:rPr>
              <w:t>Lis Mullen</w:t>
            </w:r>
          </w:p>
        </w:tc>
        <w:tc>
          <w:tcPr>
            <w:tcW w:w="3394" w:type="dxa"/>
          </w:tcPr>
          <w:p>
            <w:pPr>
              <w:pStyle w:val="TableParagraph"/>
              <w:spacing w:line="250" w:lineRule="exact"/>
              <w:ind w:left="762"/>
              <w:rPr>
                <w:sz w:val="22"/>
              </w:rPr>
            </w:pPr>
            <w:r>
              <w:rPr>
                <w:color w:val="1A171C"/>
                <w:sz w:val="22"/>
              </w:rPr>
              <w:t>Kristin Ofstad</w:t>
            </w:r>
          </w:p>
        </w:tc>
        <w:tc>
          <w:tcPr>
            <w:tcW w:w="2524" w:type="dxa"/>
          </w:tcPr>
          <w:p>
            <w:pPr>
              <w:pStyle w:val="TableParagraph"/>
              <w:spacing w:line="250" w:lineRule="exact"/>
              <w:ind w:left="968"/>
              <w:rPr>
                <w:sz w:val="22"/>
              </w:rPr>
            </w:pPr>
            <w:r>
              <w:rPr>
                <w:color w:val="1A171C"/>
                <w:sz w:val="22"/>
              </w:rPr>
              <w:t>Simon Peters</w:t>
            </w:r>
          </w:p>
        </w:tc>
      </w:tr>
    </w:tbl>
    <w:p>
      <w:pPr>
        <w:pStyle w:val="ListParagraph"/>
        <w:numPr>
          <w:ilvl w:val="0"/>
          <w:numId w:val="1"/>
        </w:numPr>
        <w:tabs>
          <w:tab w:pos="1837" w:val="left" w:leader="none"/>
          <w:tab w:pos="1838" w:val="left" w:leader="none"/>
        </w:tabs>
        <w:spacing w:line="240" w:lineRule="auto" w:before="203" w:after="0"/>
        <w:ind w:left="1837" w:right="1919" w:hanging="680"/>
        <w:jc w:val="left"/>
        <w:rPr>
          <w:color w:val="1A171C"/>
          <w:sz w:val="22"/>
        </w:rPr>
      </w:pPr>
      <w:r>
        <w:rPr>
          <w:color w:val="1A171C"/>
          <w:sz w:val="22"/>
        </w:rPr>
        <w:t>The Assembly Officers have appointed the following to act as pastoral listeners, and they will be present in Birmingham in that role, to help members of Assembly as required:</w:t>
      </w:r>
    </w:p>
    <w:p>
      <w:pPr>
        <w:pStyle w:val="BodyText"/>
        <w:spacing w:before="9"/>
        <w:rPr>
          <w:sz w:val="21"/>
        </w:rPr>
      </w:pPr>
    </w:p>
    <w:p>
      <w:pPr>
        <w:pStyle w:val="BodyText"/>
        <w:tabs>
          <w:tab w:pos="4038" w:val="left" w:leader="none"/>
          <w:tab w:pos="6198" w:val="left" w:leader="none"/>
          <w:tab w:pos="8358" w:val="left" w:leader="none"/>
        </w:tabs>
        <w:spacing w:before="1"/>
        <w:ind w:left="1837"/>
      </w:pPr>
      <w:r>
        <w:rPr>
          <w:color w:val="1A171C"/>
        </w:rPr>
        <w:t>Steven</w:t>
      </w:r>
      <w:r>
        <w:rPr>
          <w:color w:val="1A171C"/>
          <w:spacing w:val="-2"/>
        </w:rPr>
        <w:t> </w:t>
      </w:r>
      <w:r>
        <w:rPr>
          <w:color w:val="1A171C"/>
        </w:rPr>
        <w:t>Faber</w:t>
        <w:tab/>
        <w:t>Richard</w:t>
      </w:r>
      <w:r>
        <w:rPr>
          <w:color w:val="1A171C"/>
          <w:spacing w:val="-1"/>
        </w:rPr>
        <w:t> </w:t>
      </w:r>
      <w:r>
        <w:rPr>
          <w:color w:val="1A171C"/>
        </w:rPr>
        <w:t>Gray</w:t>
        <w:tab/>
        <w:t>Jenny</w:t>
      </w:r>
      <w:r>
        <w:rPr>
          <w:color w:val="1A171C"/>
          <w:spacing w:val="-4"/>
        </w:rPr>
        <w:t> </w:t>
      </w:r>
      <w:r>
        <w:rPr>
          <w:color w:val="1A171C"/>
        </w:rPr>
        <w:t>Mills</w:t>
        <w:tab/>
        <w:t>Melanie Smith</w:t>
      </w:r>
    </w:p>
    <w:p>
      <w:pPr>
        <w:pStyle w:val="BodyText"/>
        <w:rPr>
          <w:sz w:val="20"/>
        </w:rPr>
      </w:pPr>
    </w:p>
    <w:p>
      <w:pPr>
        <w:pStyle w:val="BodyText"/>
        <w:rPr>
          <w:sz w:val="20"/>
        </w:rPr>
      </w:pPr>
    </w:p>
    <w:p>
      <w:pPr>
        <w:pStyle w:val="BodyText"/>
        <w:spacing w:before="6"/>
        <w:rPr>
          <w:sz w:val="17"/>
        </w:rPr>
      </w:pPr>
    </w:p>
    <w:p>
      <w:pPr>
        <w:spacing w:before="97"/>
        <w:ind w:left="0" w:right="503" w:firstLine="0"/>
        <w:jc w:val="right"/>
        <w:rPr>
          <w:rFonts w:ascii="Stone Sans II ITC Std X Bd"/>
          <w:b/>
          <w:sz w:val="24"/>
        </w:rPr>
      </w:pPr>
      <w:r>
        <w:rPr/>
        <w:pict>
          <v:shape style="position:absolute;margin-left:269.519989pt;margin-top:5.125682pt;width:56.45pt;height:12.35pt;mso-position-horizontal-relative:page;mso-position-vertical-relative:paragraph;z-index:-253437952" type="#_x0000_t202" filled="false" stroked="false">
            <v:textbox inset="0,0,0,0">
              <w:txbxContent>
                <w:p>
                  <w:pPr>
                    <w:spacing w:line="247" w:lineRule="exact" w:before="0"/>
                    <w:ind w:left="0" w:right="0" w:firstLine="0"/>
                    <w:jc w:val="left"/>
                    <w:rPr>
                      <w:b/>
                      <w:sz w:val="22"/>
                    </w:rPr>
                  </w:pPr>
                  <w:r>
                    <w:rPr>
                      <w:color w:val="1A171C"/>
                      <w:sz w:val="22"/>
                    </w:rPr>
                    <w:t>Page </w:t>
                  </w:r>
                  <w:r>
                    <w:rPr>
                      <w:b/>
                      <w:color w:val="1A171C"/>
                      <w:sz w:val="22"/>
                    </w:rPr>
                    <w:t>3 </w:t>
                  </w:r>
                  <w:r>
                    <w:rPr>
                      <w:color w:val="1A171C"/>
                      <w:sz w:val="22"/>
                    </w:rPr>
                    <w:t>of </w:t>
                  </w:r>
                  <w:r>
                    <w:rPr>
                      <w:b/>
                      <w:color w:val="1A171C"/>
                      <w:sz w:val="22"/>
                    </w:rPr>
                    <w:t>4</w:t>
                  </w:r>
                </w:p>
              </w:txbxContent>
            </v:textbox>
            <w10:wrap type="none"/>
          </v:shape>
        </w:pict>
      </w:r>
      <w:r>
        <w:rPr/>
        <w:pict>
          <v:rect style="position:absolute;margin-left:233.858994pt;margin-top:-3.654299pt;width:168.661pt;height:51.024pt;mso-position-horizontal-relative:page;mso-position-vertical-relative:paragraph;z-index:251676672" filled="true" fillcolor="#ffffff" stroked="false">
            <v:fill type="solid"/>
            <w10:wrap type="none"/>
          </v:rect>
        </w:pict>
      </w:r>
      <w:r>
        <w:rPr>
          <w:rFonts w:ascii="Stone Sans II ITC Std X Bd"/>
          <w:b/>
          <w:color w:val="1A171C"/>
          <w:sz w:val="24"/>
        </w:rPr>
        <w:t>7</w:t>
      </w:r>
    </w:p>
    <w:p>
      <w:pPr>
        <w:spacing w:after="0"/>
        <w:jc w:val="right"/>
        <w:rPr>
          <w:rFonts w:ascii="Stone Sans II ITC Std X Bd"/>
          <w:sz w:val="24"/>
        </w:rPr>
        <w:sectPr>
          <w:pgSz w:w="11910" w:h="16840"/>
          <w:pgMar w:top="240" w:bottom="0" w:left="260" w:right="0"/>
        </w:sectPr>
      </w:pPr>
    </w:p>
    <w:p>
      <w:pPr>
        <w:pStyle w:val="BodyText"/>
        <w:rPr>
          <w:rFonts w:ascii="Stone Sans II ITC Std X Bd"/>
          <w:b/>
          <w:sz w:val="20"/>
        </w:rPr>
      </w:pPr>
      <w:r>
        <w:rPr/>
        <w:pict>
          <v:shape style="position:absolute;margin-left:269.519989pt;margin-top:801.771973pt;width:56.45pt;height:12.35pt;mso-position-horizontal-relative:page;mso-position-vertical-relative:page;z-index:-253433856" type="#_x0000_t202" filled="false" stroked="false">
            <v:textbox inset="0,0,0,0">
              <w:txbxContent>
                <w:p>
                  <w:pPr>
                    <w:spacing w:line="247" w:lineRule="exact" w:before="0"/>
                    <w:ind w:left="0" w:right="0" w:firstLine="0"/>
                    <w:jc w:val="left"/>
                    <w:rPr>
                      <w:b/>
                      <w:sz w:val="22"/>
                    </w:rPr>
                  </w:pPr>
                  <w:r>
                    <w:rPr>
                      <w:color w:val="1A171C"/>
                      <w:sz w:val="22"/>
                    </w:rPr>
                    <w:t>Page </w:t>
                  </w:r>
                  <w:r>
                    <w:rPr>
                      <w:b/>
                      <w:color w:val="1A171C"/>
                      <w:sz w:val="22"/>
                    </w:rPr>
                    <w:t>4 </w:t>
                  </w:r>
                  <w:r>
                    <w:rPr>
                      <w:color w:val="1A171C"/>
                      <w:sz w:val="22"/>
                    </w:rPr>
                    <w:t>of </w:t>
                  </w:r>
                  <w:r>
                    <w:rPr>
                      <w:b/>
                      <w:color w:val="1A171C"/>
                      <w:sz w:val="22"/>
                    </w:rPr>
                    <w:t>4</w:t>
                  </w:r>
                </w:p>
              </w:txbxContent>
            </v:textbox>
            <w10:wrap type="none"/>
          </v:shape>
        </w:pict>
      </w:r>
      <w:r>
        <w:rPr/>
        <w:pict>
          <v:group style="position:absolute;margin-left:12.756pt;margin-top:12.755014pt;width:77.8pt;height:816.4pt;mso-position-horizontal-relative:page;mso-position-vertical-relative:page;z-index:-253430784" coordorigin="255,255" coordsize="1556,16328">
            <v:shape style="position:absolute;left:255;top:255;width:681;height:16328" type="#_x0000_t75" stroked="false">
              <v:imagedata r:id="rId13"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0090D4" w:color="auto" w:val="clear"/>
                      </w:rPr>
                      <w:t>1</w:t>
                    </w:r>
                    <w:r>
                      <w:rPr>
                        <w:rFonts w:ascii="Stone Sans II ITC Std X Bd"/>
                        <w:b/>
                        <w:color w:val="FFFFFF"/>
                        <w:sz w:val="65"/>
                        <w:shd w:fill="0090D4" w:color="auto" w:val="clear"/>
                      </w:rPr>
                      <w:tab/>
                    </w:r>
                  </w:p>
                </w:txbxContent>
              </v:textbox>
              <w10:wrap type="none"/>
            </v:shape>
            <v:shape style="position:absolute;left:515;top:15990;width:18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8</w:t>
                    </w:r>
                  </w:p>
                </w:txbxContent>
              </v:textbox>
              <w10:wrap type="none"/>
            </v:shape>
            <w10:wrap type="none"/>
          </v:group>
        </w:pict>
      </w:r>
      <w:r>
        <w:rPr/>
        <w:pict>
          <v:rect style="position:absolute;margin-left:121.889999pt;margin-top:785.197021pt;width:422.362pt;height:56.693pt;mso-position-horizontal-relative:page;mso-position-vertical-relative:page;z-index:251682816" filled="true" fillcolor="#ffffff" stroked="false">
            <v:fill type="solid"/>
            <w10:wrap type="none"/>
          </v:rect>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9"/>
        <w:rPr>
          <w:rFonts w:ascii="Stone Sans II ITC Std X Bd"/>
          <w:b/>
        </w:rPr>
      </w:pPr>
    </w:p>
    <w:p>
      <w:pPr>
        <w:pStyle w:val="Heading7"/>
        <w:numPr>
          <w:ilvl w:val="0"/>
          <w:numId w:val="1"/>
        </w:numPr>
        <w:tabs>
          <w:tab w:pos="1837" w:val="left" w:leader="none"/>
          <w:tab w:pos="1838" w:val="left" w:leader="none"/>
        </w:tabs>
        <w:spacing w:line="240" w:lineRule="auto" w:before="93" w:after="0"/>
        <w:ind w:left="1837" w:right="0" w:hanging="680"/>
        <w:jc w:val="left"/>
        <w:rPr>
          <w:color w:val="1A171C"/>
        </w:rPr>
      </w:pPr>
      <w:r>
        <w:rPr/>
        <w:pict>
          <v:shape style="position:absolute;margin-left:21.22007pt;margin-top:-20.497726pt;width:16.3500pt;height:346.1pt;mso-position-horizontal-relative:page;mso-position-vertical-relative:paragraph;z-index:251683840"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rPr>
        <w:t>The Record of</w:t>
      </w:r>
      <w:r>
        <w:rPr>
          <w:color w:val="1A171C"/>
          <w:spacing w:val="3"/>
        </w:rPr>
        <w:t> </w:t>
      </w:r>
      <w:r>
        <w:rPr>
          <w:color w:val="1A171C"/>
        </w:rPr>
        <w:t>Assembly</w:t>
      </w:r>
    </w:p>
    <w:p>
      <w:pPr>
        <w:pStyle w:val="BodyText"/>
        <w:spacing w:before="2"/>
        <w:ind w:left="1158" w:right="1730" w:hanging="1"/>
      </w:pPr>
      <w:r>
        <w:rPr>
          <w:color w:val="1A171C"/>
        </w:rPr>
        <w:t>One final resolution is brought by the officers of Assembly. It will be formally moved by the Clerk at the end of the day’s business and immediately voted upon without discussion.</w:t>
      </w:r>
    </w:p>
    <w:p>
      <w:pPr>
        <w:pStyle w:val="BodyText"/>
        <w:spacing w:before="9"/>
        <w:rPr>
          <w:sz w:val="21"/>
        </w:rPr>
      </w:pPr>
    </w:p>
    <w:p>
      <w:pPr>
        <w:pStyle w:val="Heading5"/>
        <w:spacing w:before="1"/>
        <w:ind w:left="1158"/>
      </w:pPr>
      <w:r>
        <w:rPr>
          <w:color w:val="1A171C"/>
        </w:rPr>
        <w:t>Resolution 6</w:t>
      </w:r>
    </w:p>
    <w:p>
      <w:pPr>
        <w:pStyle w:val="Heading7"/>
        <w:spacing w:before="0"/>
        <w:ind w:left="1158" w:right="1535"/>
      </w:pPr>
      <w:r>
        <w:rPr>
          <w:color w:val="1A171C"/>
        </w:rPr>
        <w:t>General Assembly authorises the Officers of Assembly to check the accuracy of the minutes, and to arrange for their publication in a supplementary </w:t>
      </w:r>
      <w:r>
        <w:rPr>
          <w:i/>
          <w:color w:val="1A171C"/>
        </w:rPr>
        <w:t>Record of Assembly</w:t>
      </w:r>
      <w:r>
        <w:rPr>
          <w:color w:val="1A171C"/>
        </w:rPr>
        <w:t>, also containing the Roll of Assembly and any other material also accidentally omitted from the </w:t>
      </w:r>
      <w:r>
        <w:rPr>
          <w:i/>
          <w:color w:val="1A171C"/>
        </w:rPr>
        <w:t>Record </w:t>
      </w:r>
      <w:r>
        <w:rPr>
          <w:color w:val="1A171C"/>
        </w:rPr>
        <w:t>of the Assembly meeting in July 2014.</w:t>
      </w:r>
    </w:p>
    <w:p>
      <w:pPr>
        <w:spacing w:after="0"/>
        <w:sectPr>
          <w:pgSz w:w="11910" w:h="16840"/>
          <w:pgMar w:top="240" w:bottom="0" w:left="260" w:right="0"/>
        </w:sectPr>
      </w:pPr>
    </w:p>
    <w:p>
      <w:pPr>
        <w:spacing w:before="68"/>
        <w:ind w:left="0" w:right="394" w:firstLine="0"/>
        <w:jc w:val="right"/>
        <w:rPr>
          <w:rFonts w:ascii="Stone Sans II ITC Std X Bd"/>
          <w:b/>
          <w:sz w:val="65"/>
        </w:rPr>
      </w:pPr>
      <w:r>
        <w:rPr/>
        <w:pict>
          <v:shape style="position:absolute;margin-left:549.549316pt;margin-top:3.95507pt;width:25.9pt;height:40.85pt;mso-position-horizontal-relative:page;mso-position-vertical-relative:paragraph;z-index:-253427712" type="#_x0000_t202" filled="false" stroked="false">
            <v:textbox inset="0,0,0,0">
              <w:txbxContent>
                <w:p>
                  <w:pPr>
                    <w:spacing w:line="816" w:lineRule="exact" w:before="0"/>
                    <w:ind w:left="0" w:right="0" w:firstLine="0"/>
                    <w:jc w:val="left"/>
                    <w:rPr>
                      <w:rFonts w:ascii="Stone Sans II ITC Std X Bd"/>
                      <w:b/>
                      <w:sz w:val="65"/>
                    </w:rPr>
                  </w:pPr>
                  <w:r>
                    <w:rPr>
                      <w:rFonts w:ascii="Stone Sans II ITC Std X Bd"/>
                      <w:b/>
                      <w:color w:val="FFFFFF"/>
                      <w:w w:val="110"/>
                      <w:sz w:val="65"/>
                    </w:rPr>
                    <w:t>A</w:t>
                  </w:r>
                </w:p>
              </w:txbxContent>
            </v:textbox>
            <w10:wrap type="none"/>
          </v:shape>
        </w:pict>
      </w:r>
      <w:r>
        <w:rPr/>
        <w:pict>
          <v:group style="position:absolute;margin-left:15.591pt;margin-top:4.252015pt;width:567.65pt;height:824.9pt;mso-position-horizontal-relative:page;mso-position-vertical-relative:page;z-index:-253426688" coordorigin="312,85" coordsize="11353,16498">
            <v:rect style="position:absolute;left:311;top:255;width:10673;height:16328" filled="true" fillcolor="#0090d4" stroked="false">
              <v:fill type="solid"/>
            </v:rect>
            <v:shape style="position:absolute;left:10984;top:255;width:681;height:16328" type="#_x0000_t75" stroked="false">
              <v:imagedata r:id="rId10" o:title=""/>
            </v:shape>
            <v:rect style="position:absolute;left:1530;top:85;width:9445;height:15719" filled="true" fillcolor="#ffffff" stroked="false">
              <v:fill type="solid"/>
            </v:rect>
            <v:shape style="position:absolute;left:1516;top:14304;width:1540;height:1513" coordorigin="1517,14305" coordsize="1540,1513" path="m1517,14305l1517,15817,3053,15817,2977,15815,2902,15810,2828,15801,2755,15788,2684,15773,2613,15753,2544,15731,2477,15706,2411,15677,2347,15646,2284,15611,2223,15574,2164,15534,2108,15492,2053,15447,2000,15400,1950,15350,1902,15298,1856,15244,1813,15188,1772,15129,1734,15069,1699,15007,1667,14943,1637,14878,1611,14811,1587,14742,1567,14672,1550,14601,1536,14529,1526,14455,1520,14380,1517,14305xm3056,15817l3055,15817,3054,15817,3056,15817,3056,15817xe" filled="true" fillcolor="#0090d4" stroked="false">
              <v:path arrowok="t"/>
              <v:fill type="solid"/>
            </v:shape>
            <v:shape style="position:absolute;left:2439;top:13407;width:3514;height:1548" type="#_x0000_t75" stroked="false">
              <v:imagedata r:id="rId11" o:title=""/>
            </v:shape>
            <v:rect style="position:absolute;left:10148;top:255;width:1361;height:1007" filled="true" fillcolor="#0090d4" stroked="false">
              <v:fill type="solid"/>
            </v:rect>
            <w10:wrap type="none"/>
          </v:group>
        </w:pict>
      </w:r>
      <w:r>
        <w:rPr>
          <w:rFonts w:ascii="Stone Sans II ITC Std X Bd"/>
          <w:b/>
          <w:color w:val="FFFFFF"/>
          <w:w w:val="110"/>
          <w:sz w:val="65"/>
        </w:rPr>
        <w:t>2</w: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5"/>
        <w:rPr>
          <w:rFonts w:ascii="Stone Sans II ITC Std X Bd"/>
          <w:b/>
          <w:sz w:val="15"/>
        </w:rPr>
      </w:pPr>
    </w:p>
    <w:p>
      <w:pPr>
        <w:spacing w:before="28"/>
        <w:ind w:left="1998" w:right="1548" w:firstLine="0"/>
        <w:jc w:val="center"/>
        <w:rPr>
          <w:rFonts w:ascii="Stone Sans II ITC Std Lt"/>
          <w:b w:val="0"/>
          <w:sz w:val="108"/>
        </w:rPr>
      </w:pPr>
      <w:r>
        <w:rPr>
          <w:rFonts w:ascii="Stone Sans II ITC Std Lt"/>
          <w:b w:val="0"/>
          <w:color w:val="1A171C"/>
          <w:w w:val="110"/>
          <w:sz w:val="108"/>
        </w:rPr>
        <w:t>Paper 2</w:t>
      </w:r>
    </w:p>
    <w:p>
      <w:pPr>
        <w:spacing w:before="174"/>
        <w:ind w:left="1998" w:right="1547" w:firstLine="0"/>
        <w:jc w:val="center"/>
        <w:rPr>
          <w:rFonts w:ascii="Stone Sans II ITC Std Lt"/>
          <w:b w:val="0"/>
          <w:sz w:val="39"/>
        </w:rPr>
      </w:pPr>
      <w:r>
        <w:rPr>
          <w:rFonts w:ascii="Stone Sans II ITC Std Lt"/>
          <w:b w:val="0"/>
          <w:color w:val="1A171C"/>
          <w:w w:val="115"/>
          <w:sz w:val="39"/>
        </w:rPr>
        <w:t>Human Sexuality Task Group</w:t>
      </w:r>
    </w:p>
    <w:p>
      <w:pPr>
        <w:spacing w:line="196" w:lineRule="auto" w:before="189"/>
        <w:ind w:left="3733" w:right="3280" w:hanging="1"/>
        <w:jc w:val="center"/>
        <w:rPr>
          <w:rFonts w:ascii="Stone Sans II ITC Std Lt"/>
          <w:b w:val="0"/>
          <w:sz w:val="54"/>
        </w:rPr>
      </w:pPr>
      <w:r>
        <w:rPr>
          <w:rFonts w:ascii="Stone Sans II ITC Std Lt"/>
          <w:b w:val="0"/>
          <w:color w:val="1A171C"/>
          <w:spacing w:val="-3"/>
          <w:w w:val="110"/>
          <w:sz w:val="54"/>
        </w:rPr>
        <w:t>The </w:t>
      </w:r>
      <w:r>
        <w:rPr>
          <w:rFonts w:ascii="Stone Sans II ITC Std Lt"/>
          <w:b w:val="0"/>
          <w:color w:val="1A171C"/>
          <w:spacing w:val="-4"/>
          <w:w w:val="110"/>
          <w:sz w:val="54"/>
        </w:rPr>
        <w:t>Marriage </w:t>
      </w:r>
      <w:r>
        <w:rPr>
          <w:rFonts w:ascii="Stone Sans II ITC Std Lt"/>
          <w:b w:val="0"/>
          <w:color w:val="1A171C"/>
          <w:spacing w:val="-3"/>
          <w:w w:val="110"/>
          <w:sz w:val="54"/>
        </w:rPr>
        <w:t>of </w:t>
      </w:r>
      <w:r>
        <w:rPr>
          <w:rFonts w:ascii="Stone Sans II ITC Std Lt"/>
          <w:b w:val="0"/>
          <w:color w:val="1A171C"/>
          <w:spacing w:val="-7"/>
          <w:w w:val="110"/>
          <w:sz w:val="54"/>
        </w:rPr>
        <w:t>Same-Sex</w:t>
      </w:r>
      <w:r>
        <w:rPr>
          <w:rFonts w:ascii="Stone Sans II ITC Std Lt"/>
          <w:b w:val="0"/>
          <w:color w:val="1A171C"/>
          <w:spacing w:val="54"/>
          <w:w w:val="110"/>
          <w:sz w:val="54"/>
        </w:rPr>
        <w:t> </w:t>
      </w:r>
      <w:r>
        <w:rPr>
          <w:rFonts w:ascii="Stone Sans II ITC Std Lt"/>
          <w:b w:val="0"/>
          <w:color w:val="1A171C"/>
          <w:spacing w:val="-11"/>
          <w:w w:val="110"/>
          <w:sz w:val="54"/>
        </w:rPr>
        <w:t>Couples</w:t>
      </w: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rPr>
          <w:rFonts w:ascii="Stone Sans II ITC Std Lt"/>
          <w:b w:val="0"/>
          <w:sz w:val="20"/>
        </w:rPr>
      </w:pPr>
    </w:p>
    <w:p>
      <w:pPr>
        <w:pStyle w:val="BodyText"/>
        <w:spacing w:before="5"/>
        <w:rPr>
          <w:rFonts w:ascii="Stone Sans II ITC Std Lt"/>
          <w:b w:val="0"/>
          <w:sz w:val="26"/>
        </w:rPr>
      </w:pPr>
    </w:p>
    <w:p>
      <w:pPr>
        <w:tabs>
          <w:tab w:pos="11139" w:val="right" w:leader="none"/>
        </w:tabs>
        <w:spacing w:before="97"/>
        <w:ind w:left="4368" w:right="0" w:firstLine="0"/>
        <w:jc w:val="left"/>
        <w:rPr>
          <w:rFonts w:ascii="Stone Sans II ITC Std X Bd" w:hAnsi="Stone Sans II ITC Std X Bd"/>
          <w:b/>
          <w:sz w:val="24"/>
        </w:rPr>
      </w:pPr>
      <w:r>
        <w:rPr>
          <w:rFonts w:ascii="Lucida Sans" w:hAnsi="Lucida Sans"/>
          <w:color w:val="FFFFFF"/>
          <w:sz w:val="23"/>
        </w:rPr>
        <w:t>United</w:t>
      </w:r>
      <w:r>
        <w:rPr>
          <w:rFonts w:ascii="Lucida Sans" w:hAnsi="Lucida Sans"/>
          <w:color w:val="FFFFFF"/>
          <w:spacing w:val="-22"/>
          <w:sz w:val="23"/>
        </w:rPr>
        <w:t> </w:t>
      </w:r>
      <w:r>
        <w:rPr>
          <w:rFonts w:ascii="Lucida Sans" w:hAnsi="Lucida Sans"/>
          <w:color w:val="FFFFFF"/>
          <w:sz w:val="23"/>
        </w:rPr>
        <w:t>Reformed</w:t>
      </w:r>
      <w:r>
        <w:rPr>
          <w:rFonts w:ascii="Lucida Sans" w:hAnsi="Lucida Sans"/>
          <w:color w:val="FFFFFF"/>
          <w:spacing w:val="-22"/>
          <w:sz w:val="23"/>
        </w:rPr>
        <w:t> </w:t>
      </w:r>
      <w:r>
        <w:rPr>
          <w:rFonts w:ascii="Lucida Sans" w:hAnsi="Lucida Sans"/>
          <w:color w:val="FFFFFF"/>
          <w:sz w:val="23"/>
        </w:rPr>
        <w:t>Church</w:t>
      </w:r>
      <w:r>
        <w:rPr>
          <w:rFonts w:ascii="Lucida Sans" w:hAnsi="Lucida Sans"/>
          <w:color w:val="FFFFFF"/>
          <w:spacing w:val="-22"/>
          <w:sz w:val="23"/>
        </w:rPr>
        <w:t> </w:t>
      </w:r>
      <w:r>
        <w:rPr>
          <w:rFonts w:ascii="Symbol" w:hAnsi="Symbol"/>
          <w:color w:val="FFFFFF"/>
          <w:sz w:val="23"/>
        </w:rPr>
        <w:t></w:t>
      </w:r>
      <w:r>
        <w:rPr>
          <w:rFonts w:ascii="Times New Roman" w:hAnsi="Times New Roman"/>
          <w:color w:val="FFFFFF"/>
          <w:spacing w:val="-9"/>
          <w:sz w:val="23"/>
        </w:rPr>
        <w:t> </w:t>
      </w:r>
      <w:r>
        <w:rPr>
          <w:rFonts w:ascii="Lucida Sans" w:hAnsi="Lucida Sans"/>
          <w:color w:val="FFFFFF"/>
          <w:sz w:val="23"/>
        </w:rPr>
        <w:t>General</w:t>
      </w:r>
      <w:r>
        <w:rPr>
          <w:rFonts w:ascii="Lucida Sans" w:hAnsi="Lucida Sans"/>
          <w:color w:val="FFFFFF"/>
          <w:spacing w:val="-22"/>
          <w:sz w:val="23"/>
        </w:rPr>
        <w:t> </w:t>
      </w:r>
      <w:r>
        <w:rPr>
          <w:rFonts w:ascii="Lucida Sans" w:hAnsi="Lucida Sans"/>
          <w:color w:val="FFFFFF"/>
          <w:sz w:val="23"/>
        </w:rPr>
        <w:t>Assembly,</w:t>
      </w:r>
      <w:r>
        <w:rPr>
          <w:rFonts w:ascii="Lucida Sans" w:hAnsi="Lucida Sans"/>
          <w:color w:val="FFFFFF"/>
          <w:spacing w:val="-22"/>
          <w:sz w:val="23"/>
        </w:rPr>
        <w:t> </w:t>
      </w:r>
      <w:r>
        <w:rPr>
          <w:rFonts w:ascii="Lucida Sans" w:hAnsi="Lucida Sans"/>
          <w:color w:val="FFFFFF"/>
          <w:sz w:val="23"/>
        </w:rPr>
        <w:t>June</w:t>
      </w:r>
      <w:r>
        <w:rPr>
          <w:rFonts w:ascii="Lucida Sans" w:hAnsi="Lucida Sans"/>
          <w:color w:val="FFFFFF"/>
          <w:spacing w:val="-22"/>
          <w:sz w:val="23"/>
        </w:rPr>
        <w:t> </w:t>
      </w:r>
      <w:r>
        <w:rPr>
          <w:rFonts w:ascii="Lucida Sans" w:hAnsi="Lucida Sans"/>
          <w:color w:val="FFFFFF"/>
          <w:sz w:val="23"/>
        </w:rPr>
        <w:t>2015</w:t>
        <w:tab/>
      </w:r>
      <w:r>
        <w:rPr>
          <w:rFonts w:ascii="Stone Sans II ITC Std X Bd" w:hAnsi="Stone Sans II ITC Std X Bd"/>
          <w:b/>
          <w:color w:val="1A171C"/>
          <w:sz w:val="24"/>
        </w:rPr>
        <w:t>9</w:t>
      </w:r>
    </w:p>
    <w:p>
      <w:pPr>
        <w:spacing w:after="0"/>
        <w:jc w:val="left"/>
        <w:rPr>
          <w:rFonts w:ascii="Stone Sans II ITC Std X Bd" w:hAnsi="Stone Sans II ITC Std X Bd"/>
          <w:sz w:val="24"/>
        </w:rPr>
        <w:sectPr>
          <w:pgSz w:w="11910" w:h="16840"/>
          <w:pgMar w:top="240" w:bottom="280" w:left="260" w:right="0"/>
        </w:sectPr>
      </w:pPr>
    </w:p>
    <w:p>
      <w:pPr>
        <w:pStyle w:val="BodyText"/>
        <w:rPr>
          <w:rFonts w:ascii="Stone Sans II ITC Std X Bd"/>
          <w:b/>
          <w:sz w:val="20"/>
        </w:rPr>
      </w:pPr>
      <w:r>
        <w:rPr/>
        <w:pict>
          <v:shape style="position:absolute;margin-left:269.475586pt;margin-top:812.335815pt;width:56.45pt;height:12.35pt;mso-position-horizontal-relative:page;mso-position-vertical-relative:page;z-index:-253425664" type="#_x0000_t202" filled="false" stroked="false">
            <v:textbox inset="0,0,0,0">
              <w:txbxContent>
                <w:p>
                  <w:pPr>
                    <w:spacing w:line="247" w:lineRule="exact" w:before="0"/>
                    <w:ind w:left="0" w:right="0" w:firstLine="0"/>
                    <w:jc w:val="left"/>
                    <w:rPr>
                      <w:b/>
                      <w:sz w:val="22"/>
                    </w:rPr>
                  </w:pPr>
                  <w:r>
                    <w:rPr>
                      <w:color w:val="1A171C"/>
                      <w:sz w:val="22"/>
                    </w:rPr>
                    <w:t>Page </w:t>
                  </w:r>
                  <w:r>
                    <w:rPr>
                      <w:b/>
                      <w:color w:val="1A171C"/>
                      <w:sz w:val="22"/>
                    </w:rPr>
                    <w:t>2 </w:t>
                  </w:r>
                  <w:r>
                    <w:rPr>
                      <w:color w:val="1A171C"/>
                      <w:sz w:val="22"/>
                    </w:rPr>
                    <w:t>of </w:t>
                  </w:r>
                  <w:r>
                    <w:rPr>
                      <w:b/>
                      <w:color w:val="1A171C"/>
                      <w:sz w:val="22"/>
                    </w:rPr>
                    <w:t>9</w:t>
                  </w:r>
                </w:p>
              </w:txbxContent>
            </v:textbox>
            <w10:wrap type="none"/>
          </v:shape>
        </w:pict>
      </w:r>
      <w:r>
        <w:rPr/>
        <w:pict>
          <v:group style="position:absolute;margin-left:12.756pt;margin-top:12.755014pt;width:77.8pt;height:816.4pt;mso-position-horizontal-relative:page;mso-position-vertical-relative:page;z-index:-253422592" coordorigin="255,255" coordsize="1556,16328">
            <v:shape style="position:absolute;left:255;top:255;width:681;height:16328" type="#_x0000_t75" stroked="false">
              <v:imagedata r:id="rId13"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0090D4" w:color="auto" w:val="clear"/>
                      </w:rPr>
                      <w:t>2</w:t>
                    </w:r>
                    <w:r>
                      <w:rPr>
                        <w:rFonts w:ascii="Stone Sans II ITC Std X Bd"/>
                        <w:b/>
                        <w:color w:val="FFFFFF"/>
                        <w:sz w:val="65"/>
                        <w:shd w:fill="0090D4" w:color="auto" w:val="clear"/>
                      </w:rPr>
                      <w:tab/>
                    </w:r>
                  </w:p>
                </w:txbxContent>
              </v:textbox>
              <w10:wrap type="none"/>
            </v:shape>
            <v:shape style="position:absolute;left:435;top:15990;width:34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10</w:t>
                    </w:r>
                  </w:p>
                </w:txbxContent>
              </v:textbox>
              <w10:wrap type="none"/>
            </v:shape>
            <w10:wrap type="none"/>
          </v:group>
        </w:pict>
      </w:r>
      <w:r>
        <w:rPr/>
        <w:pict>
          <v:rect style="position:absolute;margin-left:228.188995pt;margin-top:799.369995pt;width:134.646pt;height:42.52pt;mso-position-horizontal-relative:page;mso-position-vertical-relative:page;z-index:251692032" filled="true" fillcolor="#ffffff" stroked="false">
            <v:fill type="solid"/>
            <w10:wrap type="none"/>
          </v:rect>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11"/>
        <w:rPr>
          <w:rFonts w:ascii="Stone Sans II ITC Std X Bd"/>
          <w:b/>
          <w:sz w:val="20"/>
        </w:rPr>
      </w:pPr>
    </w:p>
    <w:p>
      <w:pPr>
        <w:spacing w:before="77"/>
        <w:ind w:left="1157" w:right="0" w:firstLine="0"/>
        <w:jc w:val="left"/>
        <w:rPr>
          <w:b/>
          <w:sz w:val="72"/>
        </w:rPr>
      </w:pPr>
      <w:r>
        <w:rPr/>
        <w:drawing>
          <wp:anchor distT="0" distB="0" distL="0" distR="0" allowOverlap="1" layoutInCell="1" locked="0" behindDoc="0" simplePos="0" relativeHeight="251691008">
            <wp:simplePos x="0" y="0"/>
            <wp:positionH relativeFrom="page">
              <wp:posOffset>5618649</wp:posOffset>
            </wp:positionH>
            <wp:positionV relativeFrom="paragraph">
              <wp:posOffset>-309108</wp:posOffset>
            </wp:positionV>
            <wp:extent cx="1075131" cy="1007158"/>
            <wp:effectExtent l="0" t="0" r="0" b="0"/>
            <wp:wrapNone/>
            <wp:docPr id="9" name="image10.jpeg"/>
            <wp:cNvGraphicFramePr>
              <a:graphicFrameLocks noChangeAspect="1"/>
            </wp:cNvGraphicFramePr>
            <a:graphic>
              <a:graphicData uri="http://schemas.openxmlformats.org/drawingml/2006/picture">
                <pic:pic>
                  <pic:nvPicPr>
                    <pic:cNvPr id="10" name="image10.jpeg"/>
                    <pic:cNvPicPr/>
                  </pic:nvPicPr>
                  <pic:blipFill>
                    <a:blip r:embed="rId16" cstate="print"/>
                    <a:stretch>
                      <a:fillRect/>
                    </a:stretch>
                  </pic:blipFill>
                  <pic:spPr>
                    <a:xfrm>
                      <a:off x="0" y="0"/>
                      <a:ext cx="1075131" cy="1007158"/>
                    </a:xfrm>
                    <a:prstGeom prst="rect">
                      <a:avLst/>
                    </a:prstGeom>
                  </pic:spPr>
                </pic:pic>
              </a:graphicData>
            </a:graphic>
          </wp:anchor>
        </w:drawing>
      </w:r>
      <w:r>
        <w:rPr/>
        <w:pict>
          <v:shape style="position:absolute;margin-left:21.22007pt;margin-top:-19.207516pt;width:16.3500pt;height:346.1pt;mso-position-horizontal-relative:page;mso-position-vertical-relative:paragraph;z-index:251693056"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b/>
          <w:color w:val="1A6EB1"/>
          <w:sz w:val="72"/>
        </w:rPr>
        <w:t>Paper 2</w:t>
      </w:r>
    </w:p>
    <w:p>
      <w:pPr>
        <w:spacing w:line="505" w:lineRule="exact" w:before="1"/>
        <w:ind w:left="1157" w:right="0" w:firstLine="0"/>
        <w:jc w:val="left"/>
        <w:rPr>
          <w:b/>
          <w:sz w:val="44"/>
        </w:rPr>
      </w:pPr>
      <w:r>
        <w:rPr>
          <w:b/>
          <w:color w:val="1A171C"/>
          <w:sz w:val="44"/>
        </w:rPr>
        <w:t>Human Sexuality Task Group</w:t>
      </w:r>
    </w:p>
    <w:p>
      <w:pPr>
        <w:spacing w:line="367" w:lineRule="exact" w:before="0"/>
        <w:ind w:left="1157" w:right="0" w:firstLine="0"/>
        <w:jc w:val="left"/>
        <w:rPr>
          <w:sz w:val="32"/>
        </w:rPr>
      </w:pPr>
      <w:r>
        <w:rPr>
          <w:color w:val="1A171C"/>
          <w:sz w:val="32"/>
        </w:rPr>
        <w:t>The Marriage of Same-Sex Couples</w:t>
      </w:r>
    </w:p>
    <w:p>
      <w:pPr>
        <w:pStyle w:val="BodyText"/>
        <w:spacing w:before="2"/>
        <w:rPr>
          <w:sz w:val="44"/>
        </w:rPr>
      </w:pPr>
    </w:p>
    <w:p>
      <w:pPr>
        <w:spacing w:before="0"/>
        <w:ind w:left="1157" w:right="0" w:firstLine="0"/>
        <w:jc w:val="left"/>
        <w:rPr>
          <w:b/>
          <w:sz w:val="44"/>
        </w:rPr>
      </w:pPr>
      <w:r>
        <w:rPr>
          <w:b/>
          <w:color w:val="1A171C"/>
          <w:sz w:val="44"/>
        </w:rPr>
        <w:t>Basic Information</w:t>
      </w:r>
    </w:p>
    <w:tbl>
      <w:tblPr>
        <w:tblW w:w="0" w:type="auto"/>
        <w:jc w:val="left"/>
        <w:tblInd w:w="1105" w:type="dxa"/>
        <w:tblBorders>
          <w:top w:val="single" w:sz="4" w:space="0" w:color="BCBDBF"/>
          <w:left w:val="single" w:sz="4" w:space="0" w:color="BCBDBF"/>
          <w:bottom w:val="single" w:sz="4" w:space="0" w:color="BCBDBF"/>
          <w:right w:val="single" w:sz="4" w:space="0" w:color="BCBDBF"/>
          <w:insideH w:val="single" w:sz="4" w:space="0" w:color="BCBDBF"/>
          <w:insideV w:val="single" w:sz="4" w:space="0" w:color="BCBDBF"/>
        </w:tblBorders>
        <w:tblLayout w:type="fixed"/>
        <w:tblCellMar>
          <w:top w:w="0" w:type="dxa"/>
          <w:left w:w="0" w:type="dxa"/>
          <w:bottom w:w="0" w:type="dxa"/>
          <w:right w:w="0" w:type="dxa"/>
        </w:tblCellMar>
        <w:tblLook w:val="01E0"/>
      </w:tblPr>
      <w:tblGrid>
        <w:gridCol w:w="2647"/>
        <w:gridCol w:w="6537"/>
      </w:tblGrid>
      <w:tr>
        <w:trPr>
          <w:trHeight w:val="861" w:hRule="atLeast"/>
        </w:trPr>
        <w:tc>
          <w:tcPr>
            <w:tcW w:w="2647" w:type="dxa"/>
          </w:tcPr>
          <w:p>
            <w:pPr>
              <w:pStyle w:val="TableParagraph"/>
              <w:spacing w:before="52"/>
              <w:ind w:right="653"/>
              <w:rPr>
                <w:b/>
                <w:sz w:val="22"/>
              </w:rPr>
            </w:pPr>
            <w:r>
              <w:rPr>
                <w:b/>
                <w:color w:val="1A171C"/>
                <w:sz w:val="22"/>
              </w:rPr>
              <w:t>Contact name and email address</w:t>
            </w:r>
          </w:p>
        </w:tc>
        <w:tc>
          <w:tcPr>
            <w:tcW w:w="6537" w:type="dxa"/>
          </w:tcPr>
          <w:p>
            <w:pPr>
              <w:pStyle w:val="TableParagraph"/>
              <w:spacing w:before="55"/>
              <w:ind w:right="3988"/>
              <w:rPr>
                <w:sz w:val="22"/>
              </w:rPr>
            </w:pPr>
            <w:r>
              <w:rPr>
                <w:color w:val="1A171C"/>
                <w:sz w:val="22"/>
              </w:rPr>
              <w:t>Elizabeth Caswell </w:t>
            </w:r>
            <w:hyperlink r:id="rId17">
              <w:r>
                <w:rPr>
                  <w:color w:val="1A171C"/>
                  <w:sz w:val="22"/>
                </w:rPr>
                <w:t>ecaswell@btinternet.com</w:t>
              </w:r>
            </w:hyperlink>
          </w:p>
        </w:tc>
      </w:tr>
      <w:tr>
        <w:trPr>
          <w:trHeight w:val="606" w:hRule="atLeast"/>
        </w:trPr>
        <w:tc>
          <w:tcPr>
            <w:tcW w:w="2647" w:type="dxa"/>
          </w:tcPr>
          <w:p>
            <w:pPr>
              <w:pStyle w:val="TableParagraph"/>
              <w:spacing w:before="52"/>
              <w:rPr>
                <w:b/>
                <w:sz w:val="22"/>
              </w:rPr>
            </w:pPr>
            <w:r>
              <w:rPr>
                <w:b/>
                <w:color w:val="1A171C"/>
                <w:sz w:val="22"/>
              </w:rPr>
              <w:t>Action required</w:t>
            </w:r>
          </w:p>
        </w:tc>
        <w:tc>
          <w:tcPr>
            <w:tcW w:w="6537" w:type="dxa"/>
          </w:tcPr>
          <w:p>
            <w:pPr>
              <w:pStyle w:val="TableParagraph"/>
              <w:spacing w:before="55"/>
              <w:rPr>
                <w:sz w:val="22"/>
              </w:rPr>
            </w:pPr>
            <w:r>
              <w:rPr>
                <w:color w:val="1A171C"/>
                <w:sz w:val="22"/>
              </w:rPr>
              <w:t>Decision.</w:t>
            </w:r>
          </w:p>
        </w:tc>
      </w:tr>
      <w:tr>
        <w:trPr>
          <w:trHeight w:val="1113" w:hRule="atLeast"/>
        </w:trPr>
        <w:tc>
          <w:tcPr>
            <w:tcW w:w="2647" w:type="dxa"/>
          </w:tcPr>
          <w:p>
            <w:pPr>
              <w:pStyle w:val="TableParagraph"/>
              <w:spacing w:before="52"/>
              <w:rPr>
                <w:b/>
                <w:sz w:val="22"/>
              </w:rPr>
            </w:pPr>
            <w:r>
              <w:rPr>
                <w:b/>
                <w:color w:val="1A171C"/>
                <w:sz w:val="22"/>
              </w:rPr>
              <w:t>Draft resolution(s)</w:t>
            </w:r>
          </w:p>
        </w:tc>
        <w:tc>
          <w:tcPr>
            <w:tcW w:w="6537" w:type="dxa"/>
          </w:tcPr>
          <w:p>
            <w:pPr>
              <w:pStyle w:val="TableParagraph"/>
              <w:spacing w:before="52"/>
              <w:ind w:right="668"/>
              <w:rPr>
                <w:b/>
                <w:sz w:val="22"/>
              </w:rPr>
            </w:pPr>
            <w:r>
              <w:rPr>
                <w:b/>
                <w:color w:val="1A171C"/>
                <w:sz w:val="22"/>
              </w:rPr>
              <w:t>The human sexuality task group brings two resolutions printed in full in the following paper. Resolution four (on page 12/13) and resolution five (on page 16).</w:t>
            </w:r>
          </w:p>
        </w:tc>
      </w:tr>
    </w:tbl>
    <w:p>
      <w:pPr>
        <w:pStyle w:val="BodyText"/>
        <w:spacing w:before="3"/>
        <w:rPr>
          <w:b/>
          <w:sz w:val="7"/>
        </w:rPr>
      </w:pPr>
    </w:p>
    <w:p>
      <w:pPr>
        <w:spacing w:before="92" w:after="41"/>
        <w:ind w:left="1157" w:right="0" w:firstLine="0"/>
        <w:jc w:val="left"/>
        <w:rPr>
          <w:b/>
          <w:sz w:val="24"/>
        </w:rPr>
      </w:pPr>
      <w:r>
        <w:rPr>
          <w:b/>
          <w:color w:val="9C9D9F"/>
          <w:sz w:val="24"/>
        </w:rPr>
        <w:t>Summary of Content</w:t>
      </w:r>
    </w:p>
    <w:tbl>
      <w:tblPr>
        <w:tblW w:w="0" w:type="auto"/>
        <w:jc w:val="left"/>
        <w:tblInd w:w="1105" w:type="dxa"/>
        <w:tblBorders>
          <w:top w:val="single" w:sz="4" w:space="0" w:color="BCBDBF"/>
          <w:left w:val="single" w:sz="4" w:space="0" w:color="BCBDBF"/>
          <w:bottom w:val="single" w:sz="4" w:space="0" w:color="BCBDBF"/>
          <w:right w:val="single" w:sz="4" w:space="0" w:color="BCBDBF"/>
          <w:insideH w:val="single" w:sz="4" w:space="0" w:color="BCBDBF"/>
          <w:insideV w:val="single" w:sz="4" w:space="0" w:color="BCBDBF"/>
        </w:tblBorders>
        <w:tblLayout w:type="fixed"/>
        <w:tblCellMar>
          <w:top w:w="0" w:type="dxa"/>
          <w:left w:w="0" w:type="dxa"/>
          <w:bottom w:w="0" w:type="dxa"/>
          <w:right w:w="0" w:type="dxa"/>
        </w:tblCellMar>
        <w:tblLook w:val="01E0"/>
      </w:tblPr>
      <w:tblGrid>
        <w:gridCol w:w="2650"/>
        <w:gridCol w:w="6536"/>
      </w:tblGrid>
      <w:tr>
        <w:trPr>
          <w:trHeight w:val="606" w:hRule="atLeast"/>
        </w:trPr>
        <w:tc>
          <w:tcPr>
            <w:tcW w:w="2650" w:type="dxa"/>
          </w:tcPr>
          <w:p>
            <w:pPr>
              <w:pStyle w:val="TableParagraph"/>
              <w:spacing w:before="52"/>
              <w:rPr>
                <w:b/>
                <w:sz w:val="22"/>
              </w:rPr>
            </w:pPr>
            <w:r>
              <w:rPr>
                <w:b/>
                <w:color w:val="1A171C"/>
                <w:sz w:val="22"/>
              </w:rPr>
              <w:t>Subject and aim(s)</w:t>
            </w:r>
          </w:p>
        </w:tc>
        <w:tc>
          <w:tcPr>
            <w:tcW w:w="6536" w:type="dxa"/>
          </w:tcPr>
          <w:p>
            <w:pPr>
              <w:pStyle w:val="TableParagraph"/>
              <w:spacing w:before="55"/>
              <w:ind w:left="56"/>
              <w:rPr>
                <w:sz w:val="22"/>
              </w:rPr>
            </w:pPr>
            <w:r>
              <w:rPr>
                <w:color w:val="1A171C"/>
                <w:sz w:val="22"/>
              </w:rPr>
              <w:t>The URC and the marriage of same-sex couples.</w:t>
            </w:r>
          </w:p>
        </w:tc>
      </w:tr>
      <w:tr>
        <w:trPr>
          <w:trHeight w:val="3350" w:hRule="atLeast"/>
        </w:trPr>
        <w:tc>
          <w:tcPr>
            <w:tcW w:w="2650" w:type="dxa"/>
          </w:tcPr>
          <w:p>
            <w:pPr>
              <w:pStyle w:val="TableParagraph"/>
              <w:spacing w:before="52"/>
              <w:rPr>
                <w:b/>
                <w:sz w:val="22"/>
              </w:rPr>
            </w:pPr>
            <w:r>
              <w:rPr>
                <w:b/>
                <w:color w:val="1A171C"/>
                <w:sz w:val="22"/>
              </w:rPr>
              <w:t>Main points</w:t>
            </w:r>
          </w:p>
        </w:tc>
        <w:tc>
          <w:tcPr>
            <w:tcW w:w="6536" w:type="dxa"/>
          </w:tcPr>
          <w:p>
            <w:pPr>
              <w:pStyle w:val="TableParagraph"/>
              <w:spacing w:before="55"/>
              <w:ind w:left="56" w:right="433"/>
              <w:rPr>
                <w:sz w:val="22"/>
              </w:rPr>
            </w:pPr>
            <w:r>
              <w:rPr>
                <w:color w:val="1A171C"/>
                <w:sz w:val="22"/>
              </w:rPr>
              <w:t>Report on the Church-wide consultation on this subject, which concluded in March 2015.</w:t>
            </w:r>
          </w:p>
          <w:p>
            <w:pPr>
              <w:pStyle w:val="TableParagraph"/>
              <w:spacing w:before="10"/>
              <w:ind w:left="0"/>
              <w:rPr>
                <w:b/>
                <w:sz w:val="20"/>
              </w:rPr>
            </w:pPr>
          </w:p>
          <w:p>
            <w:pPr>
              <w:pStyle w:val="TableParagraph"/>
              <w:ind w:left="56" w:right="262"/>
              <w:rPr>
                <w:sz w:val="22"/>
              </w:rPr>
            </w:pPr>
            <w:r>
              <w:rPr>
                <w:color w:val="1A171C"/>
                <w:sz w:val="22"/>
              </w:rPr>
              <w:t>Resolution 4, Part A expressly takes no single view on behalf of the URC as a whole about the marriage of same-sex couples.</w:t>
            </w:r>
          </w:p>
          <w:p>
            <w:pPr>
              <w:pStyle w:val="TableParagraph"/>
              <w:spacing w:before="10"/>
              <w:ind w:left="0"/>
              <w:rPr>
                <w:b/>
                <w:sz w:val="20"/>
              </w:rPr>
            </w:pPr>
          </w:p>
          <w:p>
            <w:pPr>
              <w:pStyle w:val="TableParagraph"/>
              <w:spacing w:before="1"/>
              <w:ind w:left="56" w:right="127"/>
              <w:rPr>
                <w:sz w:val="22"/>
              </w:rPr>
            </w:pPr>
            <w:r>
              <w:rPr>
                <w:color w:val="1A171C"/>
                <w:sz w:val="22"/>
              </w:rPr>
              <w:t>Parts B to F of resolution 4 set out possible arrangements for taking local decisions about the registration of buildings (England and Wales), and for nominating celebrants (Scotland).</w:t>
            </w:r>
          </w:p>
          <w:p>
            <w:pPr>
              <w:pStyle w:val="TableParagraph"/>
              <w:spacing w:before="9"/>
              <w:ind w:left="0"/>
              <w:rPr>
                <w:b/>
                <w:sz w:val="20"/>
              </w:rPr>
            </w:pPr>
          </w:p>
          <w:p>
            <w:pPr>
              <w:pStyle w:val="TableParagraph"/>
              <w:ind w:left="56" w:right="249"/>
              <w:rPr>
                <w:sz w:val="22"/>
              </w:rPr>
            </w:pPr>
            <w:r>
              <w:rPr>
                <w:color w:val="1A171C"/>
                <w:sz w:val="22"/>
              </w:rPr>
              <w:t>Resolution 5 refers Resolution 4 (if passed) to the synods of the Church, using the procedure in Paragraph 3(1) of the Structure.</w:t>
            </w:r>
          </w:p>
        </w:tc>
      </w:tr>
      <w:tr>
        <w:trPr>
          <w:trHeight w:val="861" w:hRule="atLeast"/>
        </w:trPr>
        <w:tc>
          <w:tcPr>
            <w:tcW w:w="2650" w:type="dxa"/>
          </w:tcPr>
          <w:p>
            <w:pPr>
              <w:pStyle w:val="TableParagraph"/>
              <w:spacing w:before="52"/>
              <w:ind w:right="728"/>
              <w:rPr>
                <w:b/>
                <w:sz w:val="22"/>
              </w:rPr>
            </w:pPr>
            <w:r>
              <w:rPr>
                <w:b/>
                <w:color w:val="1A171C"/>
                <w:sz w:val="22"/>
              </w:rPr>
              <w:t>Previous relevant documents</w:t>
            </w:r>
          </w:p>
        </w:tc>
        <w:tc>
          <w:tcPr>
            <w:tcW w:w="6536" w:type="dxa"/>
          </w:tcPr>
          <w:p>
            <w:pPr>
              <w:pStyle w:val="TableParagraph"/>
              <w:spacing w:before="55"/>
              <w:ind w:left="56"/>
              <w:rPr>
                <w:sz w:val="22"/>
              </w:rPr>
            </w:pPr>
            <w:r>
              <w:rPr>
                <w:i/>
                <w:color w:val="1A171C"/>
                <w:sz w:val="22"/>
              </w:rPr>
              <w:t>The Record of Assembly 2014</w:t>
            </w:r>
            <w:r>
              <w:rPr>
                <w:color w:val="1A171C"/>
                <w:sz w:val="22"/>
              </w:rPr>
              <w:t>.</w:t>
            </w:r>
          </w:p>
          <w:p>
            <w:pPr>
              <w:pStyle w:val="TableParagraph"/>
              <w:spacing w:before="1"/>
              <w:ind w:left="56"/>
              <w:rPr>
                <w:sz w:val="22"/>
              </w:rPr>
            </w:pPr>
            <w:r>
              <w:rPr>
                <w:color w:val="1A171C"/>
                <w:sz w:val="22"/>
              </w:rPr>
              <w:t>The minutes of the meeting of Mission Council in May 2015.</w:t>
            </w:r>
          </w:p>
        </w:tc>
      </w:tr>
      <w:tr>
        <w:trPr>
          <w:trHeight w:val="858" w:hRule="atLeast"/>
        </w:trPr>
        <w:tc>
          <w:tcPr>
            <w:tcW w:w="2650" w:type="dxa"/>
          </w:tcPr>
          <w:p>
            <w:pPr>
              <w:pStyle w:val="TableParagraph"/>
              <w:spacing w:before="52"/>
              <w:ind w:right="680"/>
              <w:rPr>
                <w:b/>
                <w:sz w:val="22"/>
              </w:rPr>
            </w:pPr>
            <w:r>
              <w:rPr>
                <w:b/>
                <w:color w:val="1A171C"/>
                <w:sz w:val="22"/>
              </w:rPr>
              <w:t>Consultation has taken place with...</w:t>
            </w:r>
          </w:p>
        </w:tc>
        <w:tc>
          <w:tcPr>
            <w:tcW w:w="6536" w:type="dxa"/>
          </w:tcPr>
          <w:p>
            <w:pPr>
              <w:pStyle w:val="TableParagraph"/>
              <w:spacing w:before="55"/>
              <w:ind w:left="56" w:right="873"/>
              <w:rPr>
                <w:sz w:val="22"/>
              </w:rPr>
            </w:pPr>
            <w:r>
              <w:rPr>
                <w:color w:val="1A171C"/>
                <w:sz w:val="22"/>
              </w:rPr>
              <w:t>Most of the congregations and all the synods of the URC. Mission Council.</w:t>
            </w:r>
          </w:p>
        </w:tc>
      </w:tr>
    </w:tbl>
    <w:p>
      <w:pPr>
        <w:spacing w:before="175" w:after="41"/>
        <w:ind w:left="1157" w:right="0" w:firstLine="0"/>
        <w:jc w:val="left"/>
        <w:rPr>
          <w:b/>
          <w:sz w:val="24"/>
        </w:rPr>
      </w:pPr>
      <w:r>
        <w:rPr>
          <w:b/>
          <w:color w:val="9C9D9F"/>
          <w:sz w:val="24"/>
        </w:rPr>
        <w:t>Summary of Impact</w:t>
      </w:r>
    </w:p>
    <w:tbl>
      <w:tblPr>
        <w:tblW w:w="0" w:type="auto"/>
        <w:jc w:val="left"/>
        <w:tblInd w:w="1105" w:type="dxa"/>
        <w:tblBorders>
          <w:top w:val="single" w:sz="4" w:space="0" w:color="BCBDBF"/>
          <w:left w:val="single" w:sz="4" w:space="0" w:color="BCBDBF"/>
          <w:bottom w:val="single" w:sz="4" w:space="0" w:color="BCBDBF"/>
          <w:right w:val="single" w:sz="4" w:space="0" w:color="BCBDBF"/>
          <w:insideH w:val="single" w:sz="4" w:space="0" w:color="BCBDBF"/>
          <w:insideV w:val="single" w:sz="4" w:space="0" w:color="BCBDBF"/>
        </w:tblBorders>
        <w:tblLayout w:type="fixed"/>
        <w:tblCellMar>
          <w:top w:w="0" w:type="dxa"/>
          <w:left w:w="0" w:type="dxa"/>
          <w:bottom w:w="0" w:type="dxa"/>
          <w:right w:w="0" w:type="dxa"/>
        </w:tblCellMar>
        <w:tblLook w:val="01E0"/>
      </w:tblPr>
      <w:tblGrid>
        <w:gridCol w:w="2650"/>
        <w:gridCol w:w="6536"/>
      </w:tblGrid>
      <w:tr>
        <w:trPr>
          <w:trHeight w:val="606" w:hRule="atLeast"/>
        </w:trPr>
        <w:tc>
          <w:tcPr>
            <w:tcW w:w="2650" w:type="dxa"/>
          </w:tcPr>
          <w:p>
            <w:pPr>
              <w:pStyle w:val="TableParagraph"/>
              <w:spacing w:before="52"/>
              <w:rPr>
                <w:b/>
                <w:sz w:val="22"/>
              </w:rPr>
            </w:pPr>
            <w:r>
              <w:rPr>
                <w:b/>
                <w:color w:val="1A171C"/>
                <w:sz w:val="22"/>
              </w:rPr>
              <w:t>Financial</w:t>
            </w:r>
          </w:p>
        </w:tc>
        <w:tc>
          <w:tcPr>
            <w:tcW w:w="6536" w:type="dxa"/>
          </w:tcPr>
          <w:p>
            <w:pPr>
              <w:pStyle w:val="TableParagraph"/>
              <w:spacing w:before="55"/>
              <w:ind w:left="54"/>
              <w:rPr>
                <w:sz w:val="22"/>
              </w:rPr>
            </w:pPr>
            <w:r>
              <w:rPr>
                <w:color w:val="1A171C"/>
                <w:sz w:val="22"/>
              </w:rPr>
              <w:t>There is no direct cost associated with these decisions.</w:t>
            </w:r>
          </w:p>
        </w:tc>
      </w:tr>
      <w:tr>
        <w:trPr>
          <w:trHeight w:val="861" w:hRule="atLeast"/>
        </w:trPr>
        <w:tc>
          <w:tcPr>
            <w:tcW w:w="2650" w:type="dxa"/>
          </w:tcPr>
          <w:p>
            <w:pPr>
              <w:pStyle w:val="TableParagraph"/>
              <w:spacing w:before="52"/>
              <w:rPr>
                <w:b/>
                <w:sz w:val="22"/>
              </w:rPr>
            </w:pPr>
            <w:r>
              <w:rPr>
                <w:b/>
                <w:color w:val="1A171C"/>
                <w:sz w:val="22"/>
              </w:rPr>
              <w:t>External</w:t>
            </w:r>
          </w:p>
          <w:p>
            <w:pPr>
              <w:pStyle w:val="TableParagraph"/>
              <w:spacing w:before="2"/>
              <w:rPr>
                <w:b/>
                <w:sz w:val="22"/>
              </w:rPr>
            </w:pPr>
            <w:r>
              <w:rPr>
                <w:b/>
                <w:color w:val="1A171C"/>
                <w:sz w:val="22"/>
              </w:rPr>
              <w:t>(e.g. ecumenical)</w:t>
            </w:r>
          </w:p>
        </w:tc>
        <w:tc>
          <w:tcPr>
            <w:tcW w:w="6536" w:type="dxa"/>
          </w:tcPr>
          <w:p>
            <w:pPr>
              <w:pStyle w:val="TableParagraph"/>
              <w:spacing w:before="55"/>
              <w:ind w:left="54"/>
              <w:rPr>
                <w:sz w:val="22"/>
              </w:rPr>
            </w:pPr>
            <w:r>
              <w:rPr>
                <w:color w:val="1A171C"/>
                <w:sz w:val="22"/>
              </w:rPr>
              <w:t>A number of other denominations are either actively considering</w:t>
            </w:r>
          </w:p>
          <w:p>
            <w:pPr>
              <w:pStyle w:val="TableParagraph"/>
              <w:spacing w:before="1"/>
              <w:ind w:left="54"/>
              <w:rPr>
                <w:sz w:val="22"/>
              </w:rPr>
            </w:pPr>
            <w:r>
              <w:rPr>
                <w:color w:val="1A171C"/>
                <w:sz w:val="22"/>
              </w:rPr>
              <w:t>this issue or have already done so.</w:t>
            </w:r>
          </w:p>
        </w:tc>
      </w:tr>
    </w:tbl>
    <w:p>
      <w:pPr>
        <w:spacing w:after="0"/>
        <w:rPr>
          <w:sz w:val="22"/>
        </w:rPr>
        <w:sectPr>
          <w:pgSz w:w="11910" w:h="16840"/>
          <w:pgMar w:top="240" w:bottom="0" w:left="260" w:right="0"/>
        </w:sectPr>
      </w:pPr>
    </w:p>
    <w:p>
      <w:pPr>
        <w:tabs>
          <w:tab w:pos="879" w:val="left" w:leader="none"/>
        </w:tabs>
        <w:spacing w:before="68"/>
        <w:ind w:left="0" w:right="394" w:firstLine="0"/>
        <w:jc w:val="right"/>
        <w:rPr>
          <w:rFonts w:ascii="Stone Sans II ITC Std X Bd"/>
          <w:b/>
          <w:sz w:val="65"/>
        </w:rPr>
      </w:pPr>
      <w:r>
        <w:rPr/>
        <w:drawing>
          <wp:anchor distT="0" distB="0" distL="0" distR="0" allowOverlap="1" layoutInCell="1" locked="0" behindDoc="1" simplePos="0" relativeHeight="249899008">
            <wp:simplePos x="0" y="0"/>
            <wp:positionH relativeFrom="page">
              <wp:posOffset>6974928</wp:posOffset>
            </wp:positionH>
            <wp:positionV relativeFrom="page">
              <wp:posOffset>161988</wp:posOffset>
            </wp:positionV>
            <wp:extent cx="432079" cy="10368000"/>
            <wp:effectExtent l="0" t="0" r="0" b="0"/>
            <wp:wrapNone/>
            <wp:docPr id="11" name="image5.png"/>
            <wp:cNvGraphicFramePr>
              <a:graphicFrameLocks noChangeAspect="1"/>
            </wp:cNvGraphicFramePr>
            <a:graphic>
              <a:graphicData uri="http://schemas.openxmlformats.org/drawingml/2006/picture">
                <pic:pic>
                  <pic:nvPicPr>
                    <pic:cNvPr id="12" name="image5.png"/>
                    <pic:cNvPicPr/>
                  </pic:nvPicPr>
                  <pic:blipFill>
                    <a:blip r:embed="rId10" cstate="print"/>
                    <a:stretch>
                      <a:fillRect/>
                    </a:stretch>
                  </pic:blipFill>
                  <pic:spPr>
                    <a:xfrm>
                      <a:off x="0" y="0"/>
                      <a:ext cx="432079" cy="10368000"/>
                    </a:xfrm>
                    <a:prstGeom prst="rect">
                      <a:avLst/>
                    </a:prstGeom>
                  </pic:spPr>
                </pic:pic>
              </a:graphicData>
            </a:graphic>
          </wp:anchor>
        </w:drawing>
      </w:r>
      <w:r>
        <w:rPr>
          <w:rFonts w:ascii="Stone Sans II ITC Std X Bd"/>
          <w:b/>
          <w:color w:val="FFFFFF"/>
          <w:w w:val="110"/>
          <w:sz w:val="65"/>
          <w:shd w:fill="0090D4" w:color="auto" w:val="clear"/>
        </w:rPr>
        <w:t> </w:t>
      </w:r>
      <w:r>
        <w:rPr>
          <w:rFonts w:ascii="Stone Sans II ITC Std X Bd"/>
          <w:b/>
          <w:color w:val="FFFFFF"/>
          <w:sz w:val="65"/>
          <w:shd w:fill="0090D4" w:color="auto" w:val="clear"/>
        </w:rPr>
        <w:tab/>
      </w:r>
      <w:r>
        <w:rPr>
          <w:rFonts w:ascii="Stone Sans II ITC Std X Bd"/>
          <w:b/>
          <w:color w:val="FFFFFF"/>
          <w:w w:val="110"/>
          <w:sz w:val="65"/>
          <w:shd w:fill="0090D4" w:color="auto" w:val="clear"/>
        </w:rPr>
        <w:t>2</w:t>
      </w:r>
    </w:p>
    <w:p>
      <w:pPr>
        <w:pStyle w:val="BodyText"/>
        <w:rPr>
          <w:rFonts w:ascii="Stone Sans II ITC Std X Bd"/>
          <w:b/>
          <w:sz w:val="20"/>
        </w:rPr>
      </w:pPr>
    </w:p>
    <w:p>
      <w:pPr>
        <w:pStyle w:val="BodyText"/>
        <w:spacing w:before="10"/>
        <w:rPr>
          <w:rFonts w:ascii="Stone Sans II ITC Std X Bd"/>
          <w:b/>
          <w:sz w:val="25"/>
        </w:rPr>
      </w:pPr>
    </w:p>
    <w:p>
      <w:pPr>
        <w:spacing w:before="84"/>
        <w:ind w:left="1327" w:right="1584" w:firstLine="0"/>
        <w:jc w:val="center"/>
        <w:rPr>
          <w:b/>
          <w:sz w:val="52"/>
        </w:rPr>
      </w:pPr>
      <w:r>
        <w:rPr/>
        <w:pict>
          <v:shape style="position:absolute;margin-left:557.985779pt;margin-top:-29.101282pt;width:16.3500pt;height:347.3pt;mso-position-horizontal-relative:page;mso-position-vertical-relative:paragraph;z-index:251697152"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b/>
          <w:color w:val="1A171C"/>
          <w:sz w:val="52"/>
        </w:rPr>
        <w:t>The Marriage of Same-Sex Couples</w:t>
      </w:r>
    </w:p>
    <w:p>
      <w:pPr>
        <w:pStyle w:val="ListParagraph"/>
        <w:numPr>
          <w:ilvl w:val="0"/>
          <w:numId w:val="2"/>
        </w:numPr>
        <w:tabs>
          <w:tab w:pos="1838" w:val="left" w:leader="none"/>
          <w:tab w:pos="1839" w:val="left" w:leader="none"/>
        </w:tabs>
        <w:spacing w:line="240" w:lineRule="auto" w:before="492" w:after="0"/>
        <w:ind w:left="1838" w:right="1478" w:hanging="680"/>
        <w:jc w:val="left"/>
        <w:rPr>
          <w:sz w:val="22"/>
        </w:rPr>
      </w:pPr>
      <w:r>
        <w:rPr>
          <w:color w:val="1A171C"/>
          <w:sz w:val="22"/>
        </w:rPr>
        <w:t>The human sexuality task group brings the following report to Assembly, in the light of discussions at the May 2015 meeting of Mission</w:t>
      </w:r>
      <w:r>
        <w:rPr>
          <w:color w:val="1A171C"/>
          <w:spacing w:val="-5"/>
          <w:sz w:val="22"/>
        </w:rPr>
        <w:t> </w:t>
      </w:r>
      <w:r>
        <w:rPr>
          <w:color w:val="1A171C"/>
          <w:sz w:val="22"/>
        </w:rPr>
        <w:t>Council.</w:t>
      </w:r>
    </w:p>
    <w:p>
      <w:pPr>
        <w:pStyle w:val="BodyText"/>
        <w:rPr>
          <w:sz w:val="24"/>
        </w:rPr>
      </w:pPr>
    </w:p>
    <w:p>
      <w:pPr>
        <w:pStyle w:val="ListParagraph"/>
        <w:numPr>
          <w:ilvl w:val="0"/>
          <w:numId w:val="3"/>
        </w:numPr>
        <w:tabs>
          <w:tab w:pos="1838" w:val="left" w:leader="none"/>
          <w:tab w:pos="1839" w:val="left" w:leader="none"/>
        </w:tabs>
        <w:spacing w:line="240" w:lineRule="auto" w:before="214" w:after="0"/>
        <w:ind w:left="1838" w:right="0" w:hanging="680"/>
        <w:jc w:val="left"/>
        <w:rPr>
          <w:b/>
          <w:color w:val="1A171C"/>
          <w:sz w:val="32"/>
        </w:rPr>
      </w:pPr>
      <w:r>
        <w:rPr>
          <w:b/>
          <w:color w:val="1A171C"/>
          <w:spacing w:val="2"/>
          <w:sz w:val="32"/>
        </w:rPr>
        <w:t>The </w:t>
      </w:r>
      <w:r>
        <w:rPr>
          <w:b/>
          <w:color w:val="1A171C"/>
          <w:spacing w:val="4"/>
          <w:sz w:val="32"/>
        </w:rPr>
        <w:t>consultation </w:t>
      </w:r>
      <w:r>
        <w:rPr>
          <w:b/>
          <w:color w:val="1A171C"/>
          <w:spacing w:val="3"/>
          <w:sz w:val="32"/>
        </w:rPr>
        <w:t>of </w:t>
      </w:r>
      <w:r>
        <w:rPr>
          <w:b/>
          <w:color w:val="1A171C"/>
          <w:spacing w:val="4"/>
          <w:sz w:val="32"/>
        </w:rPr>
        <w:t>synods </w:t>
      </w:r>
      <w:r>
        <w:rPr>
          <w:b/>
          <w:color w:val="1A171C"/>
          <w:spacing w:val="3"/>
          <w:sz w:val="32"/>
        </w:rPr>
        <w:t>and local</w:t>
      </w:r>
      <w:r>
        <w:rPr>
          <w:b/>
          <w:color w:val="1A171C"/>
          <w:spacing w:val="39"/>
          <w:sz w:val="32"/>
        </w:rPr>
        <w:t> </w:t>
      </w:r>
      <w:r>
        <w:rPr>
          <w:b/>
          <w:color w:val="1A171C"/>
          <w:spacing w:val="4"/>
          <w:sz w:val="32"/>
        </w:rPr>
        <w:t>churches</w:t>
      </w:r>
    </w:p>
    <w:p>
      <w:pPr>
        <w:pStyle w:val="ListParagraph"/>
        <w:numPr>
          <w:ilvl w:val="0"/>
          <w:numId w:val="2"/>
        </w:numPr>
        <w:tabs>
          <w:tab w:pos="1838" w:val="left" w:leader="none"/>
          <w:tab w:pos="1839" w:val="left" w:leader="none"/>
        </w:tabs>
        <w:spacing w:line="240" w:lineRule="auto" w:before="2" w:after="0"/>
        <w:ind w:left="1838" w:right="1449" w:hanging="680"/>
        <w:jc w:val="left"/>
        <w:rPr>
          <w:sz w:val="22"/>
        </w:rPr>
      </w:pPr>
      <w:r>
        <w:rPr>
          <w:color w:val="1A171C"/>
          <w:sz w:val="22"/>
        </w:rPr>
        <w:t>In 2014 General Assembly agreed to consult our synods and local churches about the marriage of same-sex couples. </w:t>
      </w:r>
      <w:r>
        <w:rPr>
          <w:color w:val="1A171C"/>
          <w:spacing w:val="3"/>
          <w:sz w:val="22"/>
        </w:rPr>
        <w:t>We </w:t>
      </w:r>
      <w:r>
        <w:rPr>
          <w:color w:val="1A171C"/>
          <w:sz w:val="22"/>
        </w:rPr>
        <w:t>asked them: ‘Would you wish General Assembly to allow same-sex marriage, in those local URC churches that wish to offer and host these services?’ This question addresses specifically the situation of churches in England and Wales. Scots law does not require the registration of buildings for religious weddings.</w:t>
      </w:r>
    </w:p>
    <w:p>
      <w:pPr>
        <w:pStyle w:val="BodyText"/>
      </w:pPr>
    </w:p>
    <w:p>
      <w:pPr>
        <w:pStyle w:val="ListParagraph"/>
        <w:numPr>
          <w:ilvl w:val="0"/>
          <w:numId w:val="2"/>
        </w:numPr>
        <w:tabs>
          <w:tab w:pos="1838" w:val="left" w:leader="none"/>
          <w:tab w:pos="1839" w:val="left" w:leader="none"/>
        </w:tabs>
        <w:spacing w:line="240" w:lineRule="auto" w:before="0" w:after="0"/>
        <w:ind w:left="1838" w:right="1418" w:hanging="680"/>
        <w:jc w:val="left"/>
        <w:rPr>
          <w:sz w:val="22"/>
        </w:rPr>
      </w:pPr>
      <w:r>
        <w:rPr>
          <w:color w:val="1A171C"/>
          <w:sz w:val="22"/>
        </w:rPr>
        <w:t>All thirteen synods replied by the end of March, as requested, as did a majority of the churches (858 out of 1472). The consultation is complete, and the May meeting of Mission Council considered its results. Mission Council worked on proposals to bring to General Assembly, in the light of this new information, received within the context of many earlier discussions, including those at Cardiff in July 2014. General Assembly now gathers to reflect on the consultation, and to consider Mission Council’s proposals for taking the matter</w:t>
      </w:r>
      <w:r>
        <w:rPr>
          <w:color w:val="1A171C"/>
          <w:spacing w:val="-11"/>
          <w:sz w:val="22"/>
        </w:rPr>
        <w:t> </w:t>
      </w:r>
      <w:r>
        <w:rPr>
          <w:color w:val="1A171C"/>
          <w:sz w:val="22"/>
        </w:rPr>
        <w:t>forward.</w:t>
      </w:r>
    </w:p>
    <w:p>
      <w:pPr>
        <w:pStyle w:val="BodyText"/>
        <w:spacing w:before="1"/>
      </w:pPr>
    </w:p>
    <w:p>
      <w:pPr>
        <w:pStyle w:val="ListParagraph"/>
        <w:numPr>
          <w:ilvl w:val="0"/>
          <w:numId w:val="2"/>
        </w:numPr>
        <w:tabs>
          <w:tab w:pos="1838" w:val="left" w:leader="none"/>
          <w:tab w:pos="1839" w:val="left" w:leader="none"/>
        </w:tabs>
        <w:spacing w:line="240" w:lineRule="auto" w:before="0" w:after="0"/>
        <w:ind w:left="1838" w:right="1719" w:hanging="680"/>
        <w:jc w:val="left"/>
        <w:rPr>
          <w:sz w:val="22"/>
        </w:rPr>
      </w:pPr>
      <w:r>
        <w:rPr>
          <w:color w:val="1A171C"/>
          <w:sz w:val="22"/>
        </w:rPr>
        <w:t>Of the congregations who replied, 63% voted in favour of the resolution, 34% voted against, and 3% of the fellowships were evenly</w:t>
      </w:r>
      <w:r>
        <w:rPr>
          <w:color w:val="1A171C"/>
          <w:spacing w:val="-5"/>
          <w:sz w:val="22"/>
        </w:rPr>
        <w:t> </w:t>
      </w:r>
      <w:r>
        <w:rPr>
          <w:color w:val="1A171C"/>
          <w:sz w:val="22"/>
        </w:rPr>
        <w:t>divided.</w:t>
      </w:r>
    </w:p>
    <w:p>
      <w:pPr>
        <w:pStyle w:val="BodyText"/>
      </w:pPr>
    </w:p>
    <w:p>
      <w:pPr>
        <w:pStyle w:val="ListParagraph"/>
        <w:numPr>
          <w:ilvl w:val="0"/>
          <w:numId w:val="2"/>
        </w:numPr>
        <w:tabs>
          <w:tab w:pos="1838" w:val="left" w:leader="none"/>
          <w:tab w:pos="1839" w:val="left" w:leader="none"/>
        </w:tabs>
        <w:spacing w:line="240" w:lineRule="auto" w:before="0" w:after="0"/>
        <w:ind w:left="1838" w:right="1879" w:hanging="680"/>
        <w:jc w:val="left"/>
        <w:rPr>
          <w:sz w:val="22"/>
        </w:rPr>
      </w:pPr>
      <w:r>
        <w:rPr>
          <w:color w:val="1A171C"/>
          <w:sz w:val="22"/>
        </w:rPr>
        <w:t>Of the members who voted in local churches (roughly eighteen thousand people), about 62% voted in favour and 38%</w:t>
      </w:r>
      <w:r>
        <w:rPr>
          <w:color w:val="1A171C"/>
          <w:spacing w:val="-4"/>
          <w:sz w:val="22"/>
        </w:rPr>
        <w:t> </w:t>
      </w:r>
      <w:r>
        <w:rPr>
          <w:color w:val="1A171C"/>
          <w:sz w:val="22"/>
        </w:rPr>
        <w:t>against.</w:t>
      </w:r>
    </w:p>
    <w:p>
      <w:pPr>
        <w:pStyle w:val="BodyText"/>
        <w:spacing w:before="10"/>
        <w:rPr>
          <w:sz w:val="21"/>
        </w:rPr>
      </w:pPr>
    </w:p>
    <w:p>
      <w:pPr>
        <w:pStyle w:val="ListParagraph"/>
        <w:numPr>
          <w:ilvl w:val="0"/>
          <w:numId w:val="2"/>
        </w:numPr>
        <w:tabs>
          <w:tab w:pos="1838" w:val="left" w:leader="none"/>
          <w:tab w:pos="1839" w:val="left" w:leader="none"/>
        </w:tabs>
        <w:spacing w:line="240" w:lineRule="auto" w:before="0" w:after="0"/>
        <w:ind w:left="1838" w:right="1720" w:hanging="679"/>
        <w:jc w:val="left"/>
        <w:rPr>
          <w:sz w:val="22"/>
        </w:rPr>
      </w:pPr>
      <w:r>
        <w:rPr>
          <w:color w:val="1A171C"/>
          <w:sz w:val="22"/>
        </w:rPr>
        <w:t>All the synod meetings were in favour. Of their 1100 members, 80% voted yes, and 20% no.</w:t>
      </w:r>
    </w:p>
    <w:p>
      <w:pPr>
        <w:pStyle w:val="BodyText"/>
      </w:pPr>
    </w:p>
    <w:p>
      <w:pPr>
        <w:pStyle w:val="ListParagraph"/>
        <w:numPr>
          <w:ilvl w:val="0"/>
          <w:numId w:val="2"/>
        </w:numPr>
        <w:tabs>
          <w:tab w:pos="1838" w:val="left" w:leader="none"/>
          <w:tab w:pos="1839" w:val="left" w:leader="none"/>
        </w:tabs>
        <w:spacing w:line="240" w:lineRule="auto" w:before="0" w:after="0"/>
        <w:ind w:left="1838" w:right="1463" w:hanging="679"/>
        <w:jc w:val="left"/>
        <w:rPr>
          <w:sz w:val="22"/>
        </w:rPr>
      </w:pPr>
      <w:r>
        <w:rPr>
          <w:color w:val="1A171C"/>
          <w:sz w:val="22"/>
        </w:rPr>
        <w:t>The FURY advisory board and East Midlands Youth were both unanimously in favour, and the majority of a group of Westminster College students were in</w:t>
      </w:r>
      <w:r>
        <w:rPr>
          <w:color w:val="1A171C"/>
          <w:spacing w:val="-20"/>
          <w:sz w:val="22"/>
        </w:rPr>
        <w:t> </w:t>
      </w:r>
      <w:r>
        <w:rPr>
          <w:color w:val="1A171C"/>
          <w:sz w:val="22"/>
        </w:rPr>
        <w:t>favour.</w:t>
      </w:r>
    </w:p>
    <w:p>
      <w:pPr>
        <w:pStyle w:val="BodyText"/>
        <w:spacing w:before="10"/>
        <w:rPr>
          <w:sz w:val="21"/>
        </w:rPr>
      </w:pPr>
    </w:p>
    <w:p>
      <w:pPr>
        <w:pStyle w:val="ListParagraph"/>
        <w:numPr>
          <w:ilvl w:val="0"/>
          <w:numId w:val="2"/>
        </w:numPr>
        <w:tabs>
          <w:tab w:pos="1838" w:val="left" w:leader="none"/>
          <w:tab w:pos="1839" w:val="left" w:leader="none"/>
        </w:tabs>
        <w:spacing w:line="240" w:lineRule="auto" w:before="1" w:after="0"/>
        <w:ind w:left="1838" w:right="1488" w:hanging="679"/>
        <w:jc w:val="left"/>
        <w:rPr>
          <w:sz w:val="22"/>
        </w:rPr>
      </w:pPr>
      <w:r>
        <w:rPr>
          <w:color w:val="1A171C"/>
          <w:sz w:val="22"/>
        </w:rPr>
        <w:t>In reporting on the consultation, the human sexuality task group warmly thanks those who led and hosted our </w:t>
      </w:r>
      <w:r>
        <w:rPr>
          <w:color w:val="1A171C"/>
          <w:spacing w:val="-2"/>
          <w:sz w:val="22"/>
        </w:rPr>
        <w:t>two </w:t>
      </w:r>
      <w:r>
        <w:rPr>
          <w:color w:val="1A171C"/>
          <w:sz w:val="22"/>
        </w:rPr>
        <w:t>training events for facilitators (Elizabeth Gray-King, Michael Jagessar, Neil Thorogood, members of St Paul’s, Bayswater and staff of North Western Synod); the Council for World Mission funded this training with a capacity development grant; and dozens of synod facilitators helped very many of our churches to discuss this matter. </w:t>
      </w:r>
      <w:r>
        <w:rPr>
          <w:color w:val="1A171C"/>
          <w:spacing w:val="3"/>
          <w:sz w:val="22"/>
        </w:rPr>
        <w:t>We </w:t>
      </w:r>
      <w:r>
        <w:rPr>
          <w:color w:val="1A171C"/>
          <w:sz w:val="22"/>
        </w:rPr>
        <w:t>are grateful too to staff in Church House </w:t>
      </w:r>
      <w:r>
        <w:rPr>
          <w:color w:val="1A171C"/>
          <w:spacing w:val="-2"/>
          <w:sz w:val="22"/>
        </w:rPr>
        <w:t>who </w:t>
      </w:r>
      <w:r>
        <w:rPr>
          <w:color w:val="1A171C"/>
          <w:sz w:val="22"/>
        </w:rPr>
        <w:t>prepared the material and handled the replies, and to Graham Campling, </w:t>
      </w:r>
      <w:r>
        <w:rPr>
          <w:color w:val="1A171C"/>
          <w:spacing w:val="-2"/>
          <w:sz w:val="22"/>
        </w:rPr>
        <w:t>who </w:t>
      </w:r>
      <w:r>
        <w:rPr>
          <w:color w:val="1A171C"/>
          <w:sz w:val="22"/>
        </w:rPr>
        <w:t>undertook the numerical analysis with clarity, speed and</w:t>
      </w:r>
      <w:r>
        <w:rPr>
          <w:color w:val="1A171C"/>
          <w:spacing w:val="-4"/>
          <w:sz w:val="22"/>
        </w:rPr>
        <w:t> </w:t>
      </w:r>
      <w:r>
        <w:rPr>
          <w:color w:val="1A171C"/>
          <w:sz w:val="22"/>
        </w:rPr>
        <w:t>care.</w:t>
      </w:r>
    </w:p>
    <w:p>
      <w:pPr>
        <w:pStyle w:val="BodyText"/>
      </w:pPr>
    </w:p>
    <w:p>
      <w:pPr>
        <w:pStyle w:val="ListParagraph"/>
        <w:numPr>
          <w:ilvl w:val="0"/>
          <w:numId w:val="2"/>
        </w:numPr>
        <w:tabs>
          <w:tab w:pos="1838" w:val="left" w:leader="none"/>
          <w:tab w:pos="1839" w:val="left" w:leader="none"/>
        </w:tabs>
        <w:spacing w:line="240" w:lineRule="auto" w:before="0" w:after="0"/>
        <w:ind w:left="1838" w:right="1425" w:hanging="680"/>
        <w:jc w:val="left"/>
        <w:rPr>
          <w:sz w:val="22"/>
        </w:rPr>
      </w:pPr>
      <w:r>
        <w:rPr>
          <w:color w:val="1A171C"/>
          <w:sz w:val="22"/>
        </w:rPr>
        <w:t>There is, however, more to consultation than numbers, and many replies included thoughtful comment. </w:t>
      </w:r>
      <w:r>
        <w:rPr>
          <w:color w:val="1A171C"/>
          <w:spacing w:val="3"/>
          <w:sz w:val="22"/>
        </w:rPr>
        <w:t>We </w:t>
      </w:r>
      <w:r>
        <w:rPr>
          <w:color w:val="1A171C"/>
          <w:sz w:val="22"/>
        </w:rPr>
        <w:t>need to mention one emphatic objection to a couple of</w:t>
      </w:r>
      <w:r>
        <w:rPr>
          <w:color w:val="1A171C"/>
          <w:spacing w:val="-40"/>
          <w:sz w:val="22"/>
        </w:rPr>
        <w:t> </w:t>
      </w:r>
      <w:r>
        <w:rPr>
          <w:color w:val="1A171C"/>
          <w:sz w:val="22"/>
        </w:rPr>
        <w:t>words in the </w:t>
      </w:r>
      <w:r>
        <w:rPr>
          <w:i/>
          <w:color w:val="1A171C"/>
          <w:sz w:val="22"/>
        </w:rPr>
        <w:t>One plus One </w:t>
      </w:r>
      <w:r>
        <w:rPr>
          <w:color w:val="1A171C"/>
          <w:sz w:val="22"/>
        </w:rPr>
        <w:t>booklet – the words ‘(particularly) African’ on page 6. The task group believes it was right to mention that the subject of same-sex relations raises different sorts of responses in different nations and cultures, but apologises for linking this issue to a particular group of countries, in a way that is unfairly</w:t>
      </w:r>
      <w:r>
        <w:rPr>
          <w:color w:val="1A171C"/>
          <w:spacing w:val="-19"/>
          <w:sz w:val="22"/>
        </w:rPr>
        <w:t> </w:t>
      </w:r>
      <w:r>
        <w:rPr>
          <w:color w:val="1A171C"/>
          <w:sz w:val="22"/>
        </w:rPr>
        <w:t>specific.</w:t>
      </w:r>
    </w:p>
    <w:p>
      <w:pPr>
        <w:pStyle w:val="BodyText"/>
        <w:spacing w:before="10"/>
        <w:rPr>
          <w:sz w:val="13"/>
        </w:rPr>
      </w:pPr>
    </w:p>
    <w:p>
      <w:pPr>
        <w:pStyle w:val="ListParagraph"/>
        <w:numPr>
          <w:ilvl w:val="0"/>
          <w:numId w:val="2"/>
        </w:numPr>
        <w:tabs>
          <w:tab w:pos="1838" w:val="left" w:leader="none"/>
          <w:tab w:pos="1839" w:val="left" w:leader="none"/>
        </w:tabs>
        <w:spacing w:line="240" w:lineRule="auto" w:before="93" w:after="0"/>
        <w:ind w:left="1838" w:right="1612" w:hanging="680"/>
        <w:jc w:val="left"/>
        <w:rPr>
          <w:sz w:val="22"/>
        </w:rPr>
      </w:pPr>
      <w:r>
        <w:rPr>
          <w:color w:val="1A171C"/>
          <w:sz w:val="22"/>
        </w:rPr>
        <w:t>Most churches were glad to have been consulted; some would have preferred this to precede any Assembly discussion. Many churches that voted yes were clear that they do not expect to hold same-sex marriages in their buildings, but they do</w:t>
      </w:r>
      <w:r>
        <w:rPr>
          <w:color w:val="1A171C"/>
          <w:spacing w:val="-41"/>
          <w:sz w:val="22"/>
        </w:rPr>
        <w:t> </w:t>
      </w:r>
      <w:r>
        <w:rPr>
          <w:color w:val="1A171C"/>
          <w:sz w:val="22"/>
        </w:rPr>
        <w:t>believe</w:t>
      </w:r>
    </w:p>
    <w:p>
      <w:pPr>
        <w:pStyle w:val="Heading6"/>
        <w:spacing w:line="313" w:lineRule="exact"/>
        <w:rPr>
          <w:rFonts w:ascii="Stone Sans II ITC Std X Bd"/>
          <w:b/>
        </w:rPr>
      </w:pPr>
      <w:r>
        <w:rPr/>
        <w:pict>
          <v:shape style="position:absolute;margin-left:269.564392pt;margin-top:12.415435pt;width:56.45pt;height:12.35pt;mso-position-horizontal-relative:page;mso-position-vertical-relative:paragraph;z-index:-253418496" type="#_x0000_t202" filled="false" stroked="false">
            <v:textbox inset="0,0,0,0">
              <w:txbxContent>
                <w:p>
                  <w:pPr>
                    <w:spacing w:line="247" w:lineRule="exact" w:before="0"/>
                    <w:ind w:left="0" w:right="0" w:firstLine="0"/>
                    <w:jc w:val="left"/>
                    <w:rPr>
                      <w:b/>
                      <w:sz w:val="22"/>
                    </w:rPr>
                  </w:pPr>
                  <w:r>
                    <w:rPr>
                      <w:color w:val="1A171C"/>
                      <w:sz w:val="22"/>
                    </w:rPr>
                    <w:t>Page </w:t>
                  </w:r>
                  <w:r>
                    <w:rPr>
                      <w:b/>
                      <w:color w:val="1A171C"/>
                      <w:sz w:val="22"/>
                    </w:rPr>
                    <w:t>3 </w:t>
                  </w:r>
                  <w:r>
                    <w:rPr>
                      <w:color w:val="1A171C"/>
                      <w:sz w:val="22"/>
                    </w:rPr>
                    <w:t>of </w:t>
                  </w:r>
                  <w:r>
                    <w:rPr>
                      <w:b/>
                      <w:color w:val="1A171C"/>
                      <w:sz w:val="22"/>
                    </w:rPr>
                    <w:t>9</w:t>
                  </w:r>
                </w:p>
              </w:txbxContent>
            </v:textbox>
            <w10:wrap type="none"/>
          </v:shape>
        </w:pict>
      </w:r>
      <w:r>
        <w:rPr/>
        <w:pict>
          <v:rect style="position:absolute;margin-left:248.031998pt;margin-top:3.671453pt;width:107.716pt;height:38.268pt;mso-position-horizontal-relative:page;mso-position-vertical-relative:paragraph;z-index:251696128" filled="true" fillcolor="#ffffff" stroked="false">
            <v:fill type="solid"/>
            <w10:wrap type="none"/>
          </v:rect>
        </w:pict>
      </w:r>
      <w:r>
        <w:rPr>
          <w:rFonts w:ascii="Stone Sans II ITC Std X Bd"/>
          <w:b/>
          <w:color w:val="1A171C"/>
        </w:rPr>
        <w:t>11</w:t>
      </w:r>
    </w:p>
    <w:p>
      <w:pPr>
        <w:spacing w:after="0" w:line="313" w:lineRule="exact"/>
        <w:rPr>
          <w:rFonts w:ascii="Stone Sans II ITC Std X Bd"/>
        </w:rPr>
        <w:sectPr>
          <w:pgSz w:w="11910" w:h="16840"/>
          <w:pgMar w:top="240" w:bottom="0" w:left="260" w:right="0"/>
        </w:sectPr>
      </w:pPr>
    </w:p>
    <w:p>
      <w:pPr>
        <w:pStyle w:val="BodyText"/>
        <w:rPr>
          <w:rFonts w:ascii="Stone Sans II ITC Std X Bd"/>
          <w:b/>
          <w:sz w:val="20"/>
        </w:rPr>
      </w:pPr>
      <w:r>
        <w:rPr/>
        <w:pict>
          <v:shape style="position:absolute;margin-left:269.519989pt;margin-top:812.365967pt;width:56.45pt;height:12.35pt;mso-position-horizontal-relative:page;mso-position-vertical-relative:page;z-index:-253407232" type="#_x0000_t202" filled="false" stroked="false">
            <v:textbox inset="0,0,0,0">
              <w:txbxContent>
                <w:p>
                  <w:pPr>
                    <w:spacing w:line="247" w:lineRule="exact" w:before="0"/>
                    <w:ind w:left="0" w:right="0" w:firstLine="0"/>
                    <w:jc w:val="left"/>
                    <w:rPr>
                      <w:b/>
                      <w:sz w:val="22"/>
                    </w:rPr>
                  </w:pPr>
                  <w:r>
                    <w:rPr>
                      <w:color w:val="1A171C"/>
                      <w:sz w:val="22"/>
                    </w:rPr>
                    <w:t>Page </w:t>
                  </w:r>
                  <w:r>
                    <w:rPr>
                      <w:b/>
                      <w:color w:val="1A171C"/>
                      <w:sz w:val="22"/>
                    </w:rPr>
                    <w:t>4 </w:t>
                  </w:r>
                  <w:r>
                    <w:rPr>
                      <w:color w:val="1A171C"/>
                      <w:sz w:val="22"/>
                    </w:rPr>
                    <w:t>of </w:t>
                  </w:r>
                  <w:r>
                    <w:rPr>
                      <w:b/>
                      <w:color w:val="1A171C"/>
                      <w:sz w:val="22"/>
                    </w:rPr>
                    <w:t>9</w:t>
                  </w:r>
                </w:p>
              </w:txbxContent>
            </v:textbox>
            <w10:wrap type="none"/>
          </v:shape>
        </w:pict>
      </w:r>
      <w:r>
        <w:rPr/>
        <w:pict>
          <v:group style="position:absolute;margin-left:12.756pt;margin-top:12.755014pt;width:77.8pt;height:816.4pt;mso-position-horizontal-relative:page;mso-position-vertical-relative:page;z-index:-253404160" coordorigin="255,255" coordsize="1556,16328">
            <v:shape style="position:absolute;left:255;top:255;width:681;height:16328" type="#_x0000_t75" stroked="false">
              <v:imagedata r:id="rId13"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0090D4" w:color="auto" w:val="clear"/>
                      </w:rPr>
                      <w:t>2</w:t>
                    </w:r>
                    <w:r>
                      <w:rPr>
                        <w:rFonts w:ascii="Stone Sans II ITC Std X Bd"/>
                        <w:b/>
                        <w:color w:val="FFFFFF"/>
                        <w:sz w:val="65"/>
                        <w:shd w:fill="0090D4" w:color="auto" w:val="clear"/>
                      </w:rPr>
                      <w:tab/>
                    </w:r>
                  </w:p>
                </w:txbxContent>
              </v:textbox>
              <w10:wrap type="none"/>
            </v:shape>
            <v:shape style="position:absolute;left:435;top:15990;width:34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12</w:t>
                    </w:r>
                  </w:p>
                </w:txbxContent>
              </v:textbox>
              <w10:wrap type="none"/>
            </v:shape>
            <w10:wrap type="none"/>
          </v:group>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9"/>
        <w:rPr>
          <w:rFonts w:ascii="Stone Sans II ITC Std X Bd"/>
          <w:b/>
          <w:sz w:val="19"/>
        </w:rPr>
      </w:pPr>
    </w:p>
    <w:p>
      <w:pPr>
        <w:pStyle w:val="BodyText"/>
        <w:spacing w:before="94"/>
        <w:ind w:left="1837" w:right="1552"/>
      </w:pPr>
      <w:r>
        <w:rPr/>
        <w:pict>
          <v:shape style="position:absolute;margin-left:21.22007pt;margin-top:-18.434053pt;width:16.3500pt;height:346.1pt;mso-position-horizontal-relative:page;mso-position-vertical-relative:paragraph;z-index:251709440"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rPr>
        <w:t>that local churches should make their own decisions in this matter. The URC’s speed of action on this subject was criticised from both directions: ‘Get on with it!’ and ‘Move more slowly.’ Some of our members are very hurt at the thought that</w:t>
      </w:r>
      <w:r>
        <w:rPr>
          <w:color w:val="1A171C"/>
          <w:spacing w:val="-18"/>
        </w:rPr>
        <w:t> </w:t>
      </w:r>
      <w:r>
        <w:rPr>
          <w:color w:val="1A171C"/>
        </w:rPr>
        <w:t>the</w:t>
      </w:r>
    </w:p>
    <w:p>
      <w:pPr>
        <w:pStyle w:val="BodyText"/>
        <w:ind w:left="1837" w:right="1698"/>
      </w:pPr>
      <w:r>
        <w:rPr>
          <w:color w:val="1A171C"/>
        </w:rPr>
        <w:t>URC might countenance same-sex marriage at all; others are pained that their churches cannot offer same-sex marriage services at the moment. There were also churches that spoke of growth through careful listening to one another, even amid respectful disagreement.</w:t>
      </w:r>
    </w:p>
    <w:p>
      <w:pPr>
        <w:pStyle w:val="BodyText"/>
        <w:spacing w:before="10"/>
        <w:rPr>
          <w:sz w:val="21"/>
        </w:rPr>
      </w:pPr>
    </w:p>
    <w:p>
      <w:pPr>
        <w:pStyle w:val="ListParagraph"/>
        <w:numPr>
          <w:ilvl w:val="0"/>
          <w:numId w:val="2"/>
        </w:numPr>
        <w:tabs>
          <w:tab w:pos="1837" w:val="left" w:leader="none"/>
          <w:tab w:pos="1838" w:val="left" w:leader="none"/>
        </w:tabs>
        <w:spacing w:line="240" w:lineRule="auto" w:before="0" w:after="0"/>
        <w:ind w:left="1837" w:right="1491" w:hanging="680"/>
        <w:jc w:val="left"/>
        <w:rPr>
          <w:sz w:val="22"/>
        </w:rPr>
      </w:pPr>
      <w:r>
        <w:rPr>
          <w:color w:val="1A171C"/>
          <w:sz w:val="22"/>
        </w:rPr>
        <w:t>There are various fears abroad – that the legal protection in the Act of Parliament might one day be withdrawn from churches that do not wish to register their buildings; or that the URC may split; or, in some places, that local unity will be</w:t>
      </w:r>
      <w:r>
        <w:rPr>
          <w:color w:val="1A171C"/>
          <w:spacing w:val="-19"/>
          <w:sz w:val="22"/>
        </w:rPr>
        <w:t> </w:t>
      </w:r>
      <w:r>
        <w:rPr>
          <w:color w:val="1A171C"/>
          <w:sz w:val="22"/>
        </w:rPr>
        <w:t>strained.</w:t>
      </w:r>
    </w:p>
    <w:p>
      <w:pPr>
        <w:pStyle w:val="BodyText"/>
        <w:spacing w:before="1"/>
      </w:pPr>
    </w:p>
    <w:p>
      <w:pPr>
        <w:pStyle w:val="ListParagraph"/>
        <w:numPr>
          <w:ilvl w:val="0"/>
          <w:numId w:val="2"/>
        </w:numPr>
        <w:tabs>
          <w:tab w:pos="1837" w:val="left" w:leader="none"/>
          <w:tab w:pos="1838" w:val="left" w:leader="none"/>
        </w:tabs>
        <w:spacing w:line="240" w:lineRule="auto" w:before="0" w:after="0"/>
        <w:ind w:left="1837" w:right="1857" w:hanging="680"/>
        <w:jc w:val="left"/>
        <w:rPr>
          <w:sz w:val="22"/>
        </w:rPr>
      </w:pPr>
      <w:r>
        <w:rPr>
          <w:color w:val="1A171C"/>
          <w:sz w:val="22"/>
        </w:rPr>
        <w:t>The largest number of comments concerned the institution of marriage. Many churches that voted ‘yes’ added the rider that they, or a number of their members, did not think a union between people of the same gender could be marriage. Whatever civil law says, they believe that marriage is the union of a man and a woman. They wish to be welcoming and affirming but cannot understand why civil partnership is not</w:t>
      </w:r>
      <w:r>
        <w:rPr>
          <w:color w:val="1A171C"/>
          <w:spacing w:val="2"/>
          <w:sz w:val="22"/>
        </w:rPr>
        <w:t> </w:t>
      </w:r>
      <w:r>
        <w:rPr>
          <w:color w:val="1A171C"/>
          <w:sz w:val="22"/>
        </w:rPr>
        <w:t>enough.</w:t>
      </w:r>
    </w:p>
    <w:p>
      <w:pPr>
        <w:pStyle w:val="BodyText"/>
        <w:spacing w:before="9"/>
        <w:rPr>
          <w:sz w:val="21"/>
        </w:rPr>
      </w:pPr>
    </w:p>
    <w:p>
      <w:pPr>
        <w:pStyle w:val="ListParagraph"/>
        <w:numPr>
          <w:ilvl w:val="0"/>
          <w:numId w:val="2"/>
        </w:numPr>
        <w:tabs>
          <w:tab w:pos="1837" w:val="left" w:leader="none"/>
          <w:tab w:pos="1838" w:val="left" w:leader="none"/>
        </w:tabs>
        <w:spacing w:line="240" w:lineRule="auto" w:before="0" w:after="0"/>
        <w:ind w:left="1837" w:right="1432" w:hanging="680"/>
        <w:jc w:val="left"/>
        <w:rPr>
          <w:sz w:val="22"/>
        </w:rPr>
      </w:pPr>
      <w:r>
        <w:rPr>
          <w:color w:val="1A171C"/>
          <w:sz w:val="22"/>
        </w:rPr>
        <w:t>Authority in the Church was a concern. If this measure goes through, will the Basis </w:t>
      </w:r>
      <w:r>
        <w:rPr>
          <w:color w:val="1A171C"/>
          <w:spacing w:val="-3"/>
          <w:sz w:val="22"/>
        </w:rPr>
        <w:t>of </w:t>
      </w:r>
      <w:r>
        <w:rPr>
          <w:color w:val="1A171C"/>
          <w:sz w:val="22"/>
        </w:rPr>
        <w:t>Union have to be revised on the grounds that we will not be acting under the authority of the word of God or seeking the peace and unity of the Church? Several comments touched on whether or not this subject is an issue of doctrine. Some returns suggested that a General Assembly resolution should not be required; we should ‘give churches more freedom within a federal congregational structure. Such a move might allow us to stay together with integrity and some measure of authentic</w:t>
      </w:r>
      <w:r>
        <w:rPr>
          <w:color w:val="1A171C"/>
          <w:spacing w:val="-23"/>
          <w:sz w:val="22"/>
        </w:rPr>
        <w:t> </w:t>
      </w:r>
      <w:r>
        <w:rPr>
          <w:color w:val="1A171C"/>
          <w:sz w:val="22"/>
        </w:rPr>
        <w:t>unity.’</w:t>
      </w:r>
    </w:p>
    <w:p>
      <w:pPr>
        <w:pStyle w:val="BodyText"/>
        <w:spacing w:before="1"/>
      </w:pPr>
    </w:p>
    <w:p>
      <w:pPr>
        <w:pStyle w:val="ListParagraph"/>
        <w:numPr>
          <w:ilvl w:val="0"/>
          <w:numId w:val="2"/>
        </w:numPr>
        <w:tabs>
          <w:tab w:pos="1837" w:val="left" w:leader="none"/>
          <w:tab w:pos="1838" w:val="left" w:leader="none"/>
        </w:tabs>
        <w:spacing w:line="240" w:lineRule="auto" w:before="0" w:after="0"/>
        <w:ind w:left="1837" w:right="1513" w:hanging="680"/>
        <w:jc w:val="left"/>
        <w:rPr>
          <w:sz w:val="22"/>
        </w:rPr>
      </w:pPr>
      <w:r>
        <w:rPr>
          <w:color w:val="1A171C"/>
          <w:sz w:val="22"/>
        </w:rPr>
        <w:t>At least two synod meetings heard proposals along those lines: rather than talking of Assembly authorisation, the URC should simply recognise that local churches are the places for taking decisions on the registration of local buildings. A well-drafted proposal of this kind, which also took careful account of the necessary legal framework, emerged in Wessex</w:t>
      </w:r>
      <w:r>
        <w:rPr>
          <w:color w:val="1A171C"/>
          <w:spacing w:val="-5"/>
          <w:sz w:val="22"/>
        </w:rPr>
        <w:t> </w:t>
      </w:r>
      <w:r>
        <w:rPr>
          <w:color w:val="1A171C"/>
          <w:sz w:val="22"/>
        </w:rPr>
        <w:t>Synod.</w:t>
      </w:r>
    </w:p>
    <w:p>
      <w:pPr>
        <w:pStyle w:val="BodyText"/>
        <w:rPr>
          <w:sz w:val="24"/>
        </w:rPr>
      </w:pPr>
    </w:p>
    <w:p>
      <w:pPr>
        <w:pStyle w:val="Heading4"/>
        <w:numPr>
          <w:ilvl w:val="0"/>
          <w:numId w:val="3"/>
        </w:numPr>
        <w:tabs>
          <w:tab w:pos="1837" w:val="left" w:leader="none"/>
          <w:tab w:pos="1838" w:val="left" w:leader="none"/>
        </w:tabs>
        <w:spacing w:line="240" w:lineRule="auto" w:before="215" w:after="0"/>
        <w:ind w:left="1837" w:right="0" w:hanging="680"/>
        <w:jc w:val="left"/>
        <w:rPr>
          <w:color w:val="1A171C"/>
        </w:rPr>
      </w:pPr>
      <w:r>
        <w:rPr>
          <w:color w:val="1A171C"/>
        </w:rPr>
        <w:t>A </w:t>
      </w:r>
      <w:r>
        <w:rPr>
          <w:color w:val="1A171C"/>
          <w:spacing w:val="4"/>
        </w:rPr>
        <w:t>different</w:t>
      </w:r>
      <w:r>
        <w:rPr>
          <w:color w:val="1A171C"/>
          <w:spacing w:val="16"/>
        </w:rPr>
        <w:t> </w:t>
      </w:r>
      <w:r>
        <w:rPr>
          <w:color w:val="1A171C"/>
          <w:spacing w:val="4"/>
        </w:rPr>
        <w:t>proposal</w:t>
      </w:r>
    </w:p>
    <w:p>
      <w:pPr>
        <w:pStyle w:val="ListParagraph"/>
        <w:numPr>
          <w:ilvl w:val="0"/>
          <w:numId w:val="2"/>
        </w:numPr>
        <w:tabs>
          <w:tab w:pos="1837" w:val="left" w:leader="none"/>
          <w:tab w:pos="1838" w:val="left" w:leader="none"/>
        </w:tabs>
        <w:spacing w:line="240" w:lineRule="auto" w:before="4" w:after="0"/>
        <w:ind w:left="1837" w:right="1453" w:hanging="680"/>
        <w:jc w:val="left"/>
        <w:rPr>
          <w:sz w:val="22"/>
        </w:rPr>
      </w:pPr>
      <w:r>
        <w:rPr>
          <w:color w:val="1A171C"/>
          <w:sz w:val="22"/>
        </w:rPr>
        <w:t>The Task Group was grateful to take up the outline and much of the wording of that Wessex proposal, and commended it to Mission Council. Mission Council agreed that such an approach could help the Church to live with integrity within its own diversity of opinion, and therefore commended the following resolution to General Assembly. Mission Council’s discernment process on this matter was conducted using our consensus decision-making procedures, and resulted in the resolution being passed recognising disagreement on the part of a small number of</w:t>
      </w:r>
      <w:r>
        <w:rPr>
          <w:color w:val="1A171C"/>
          <w:spacing w:val="-10"/>
          <w:sz w:val="22"/>
        </w:rPr>
        <w:t> </w:t>
      </w:r>
      <w:r>
        <w:rPr>
          <w:color w:val="1A171C"/>
          <w:sz w:val="22"/>
        </w:rPr>
        <w:t>members.</w:t>
      </w:r>
    </w:p>
    <w:p>
      <w:pPr>
        <w:pStyle w:val="BodyText"/>
        <w:spacing w:before="4"/>
        <w:rPr>
          <w:sz w:val="18"/>
        </w:rPr>
      </w:pPr>
      <w:r>
        <w:rPr/>
        <w:pict>
          <v:group style="position:absolute;margin-left:65.040001pt;margin-top:12.760531pt;width:465.25pt;height:163.95pt;mso-position-horizontal-relative:page;mso-position-vertical-relative:paragraph;z-index:-251613184;mso-wrap-distance-left:0;mso-wrap-distance-right:0" coordorigin="1301,255" coordsize="9305,3279">
            <v:line style="position:absolute" from="1310,260" to="10596,260" stroked="true" strokeweight=".481pt" strokecolor="#1a171c">
              <v:stroke dashstyle="solid"/>
            </v:line>
            <v:line style="position:absolute" from="1306,255" to="1306,3534" stroked="true" strokeweight=".48pt" strokecolor="#1a171c">
              <v:stroke dashstyle="solid"/>
            </v:line>
            <v:line style="position:absolute" from="10601,255" to="10601,3534" stroked="true" strokeweight=".48pt" strokecolor="#1a171c">
              <v:stroke dashstyle="solid"/>
            </v:line>
            <v:shape style="position:absolute;left:1418;top:540;width:1416;height:247" type="#_x0000_t202" filled="false" stroked="false">
              <v:textbox inset="0,0,0,0">
                <w:txbxContent>
                  <w:p>
                    <w:pPr>
                      <w:spacing w:line="247" w:lineRule="exact" w:before="0"/>
                      <w:ind w:left="0" w:right="0" w:firstLine="0"/>
                      <w:jc w:val="left"/>
                      <w:rPr>
                        <w:b/>
                        <w:sz w:val="22"/>
                      </w:rPr>
                    </w:pPr>
                    <w:r>
                      <w:rPr>
                        <w:b/>
                        <w:color w:val="1A171C"/>
                        <w:sz w:val="22"/>
                      </w:rPr>
                      <w:t>Resolution 4:</w:t>
                    </w:r>
                  </w:p>
                </w:txbxContent>
              </v:textbox>
              <w10:wrap type="none"/>
            </v:shape>
            <v:shape style="position:absolute;left:1418;top:1032;width:230;height:247" type="#_x0000_t202" filled="false" stroked="false">
              <v:textbox inset="0,0,0,0">
                <w:txbxContent>
                  <w:p>
                    <w:pPr>
                      <w:spacing w:line="247" w:lineRule="exact" w:before="0"/>
                      <w:ind w:left="0" w:right="0" w:firstLine="0"/>
                      <w:jc w:val="left"/>
                      <w:rPr>
                        <w:b/>
                        <w:sz w:val="22"/>
                      </w:rPr>
                    </w:pPr>
                    <w:r>
                      <w:rPr>
                        <w:b/>
                        <w:color w:val="1A171C"/>
                        <w:sz w:val="22"/>
                      </w:rPr>
                      <w:t>A.</w:t>
                    </w:r>
                  </w:p>
                </w:txbxContent>
              </v:textbox>
              <w10:wrap type="none"/>
            </v:shape>
            <v:shape style="position:absolute;left:2097;top:1032;width:8347;height:754" type="#_x0000_t202" filled="false" stroked="false">
              <v:textbox inset="0,0,0,0">
                <w:txbxContent>
                  <w:p>
                    <w:pPr>
                      <w:spacing w:line="240" w:lineRule="auto" w:before="0"/>
                      <w:ind w:left="0" w:right="2" w:hanging="1"/>
                      <w:jc w:val="left"/>
                      <w:rPr>
                        <w:b/>
                        <w:sz w:val="22"/>
                      </w:rPr>
                    </w:pPr>
                    <w:r>
                      <w:rPr>
                        <w:b/>
                        <w:color w:val="1A171C"/>
                        <w:sz w:val="22"/>
                      </w:rPr>
                      <w:t>In keeping with the 2007 commitment on Human Sexuality, General Assembly does not consider it appropriate to express a single view on behalf of the whole United Reformed Church on the matter of Same-Sex Marriage.</w:t>
                    </w:r>
                  </w:p>
                </w:txbxContent>
              </v:textbox>
              <w10:wrap type="none"/>
            </v:shape>
            <v:shape style="position:absolute;left:1418;top:2524;width:239;height:247" type="#_x0000_t202" filled="false" stroked="false">
              <v:textbox inset="0,0,0,0">
                <w:txbxContent>
                  <w:p>
                    <w:pPr>
                      <w:spacing w:line="247" w:lineRule="exact" w:before="0"/>
                      <w:ind w:left="0" w:right="0" w:firstLine="0"/>
                      <w:jc w:val="left"/>
                      <w:rPr>
                        <w:b/>
                        <w:sz w:val="22"/>
                      </w:rPr>
                    </w:pPr>
                    <w:r>
                      <w:rPr>
                        <w:b/>
                        <w:color w:val="1A171C"/>
                        <w:sz w:val="22"/>
                      </w:rPr>
                      <w:t>B.</w:t>
                    </w:r>
                  </w:p>
                </w:txbxContent>
              </v:textbox>
              <w10:wrap type="none"/>
            </v:shape>
            <v:shape style="position:absolute;left:2097;top:2524;width:8328;height:1006" type="#_x0000_t202" filled="false" stroked="false">
              <v:textbox inset="0,0,0,0">
                <w:txbxContent>
                  <w:p>
                    <w:pPr>
                      <w:spacing w:line="240" w:lineRule="auto" w:before="0"/>
                      <w:ind w:left="0" w:right="7" w:hanging="1"/>
                      <w:jc w:val="left"/>
                      <w:rPr>
                        <w:b/>
                        <w:sz w:val="22"/>
                      </w:rPr>
                    </w:pPr>
                    <w:r>
                      <w:rPr>
                        <w:b/>
                        <w:color w:val="1A171C"/>
                        <w:sz w:val="22"/>
                      </w:rPr>
                      <w:t>General Assembly declares that the Church Meeting of each Local Church of the United Reformed Church in England and Wales is the relevant governing authority for the purpose of giving consent for the trustees of its building to seek the registration of that building for religious marriage ceremonies of same</w:t>
                    </w:r>
                  </w:p>
                </w:txbxContent>
              </v:textbox>
              <w10:wrap type="none"/>
            </v:shape>
            <w10:wrap type="topAndBottom"/>
          </v:group>
        </w:pict>
      </w:r>
    </w:p>
    <w:p>
      <w:pPr>
        <w:pStyle w:val="BodyText"/>
        <w:spacing w:before="1"/>
        <w:rPr>
          <w:sz w:val="8"/>
        </w:rPr>
      </w:pPr>
    </w:p>
    <w:p>
      <w:pPr>
        <w:pStyle w:val="BodyText"/>
        <w:ind w:left="4884"/>
        <w:rPr>
          <w:sz w:val="20"/>
        </w:rPr>
      </w:pPr>
      <w:r>
        <w:rPr>
          <w:sz w:val="20"/>
        </w:rPr>
        <w:pict>
          <v:group style="width:75.150pt;height:29.8pt;mso-position-horizontal-relative:char;mso-position-vertical-relative:line" coordorigin="0,0" coordsize="1503,596">
            <v:rect style="position:absolute;left:0;top:0;width:1503;height:596" filled="true" fillcolor="#ffffff" stroked="false">
              <v:fill type="solid"/>
            </v:rect>
          </v:group>
        </w:pict>
      </w:r>
      <w:r>
        <w:rPr>
          <w:sz w:val="20"/>
        </w:rPr>
      </w:r>
    </w:p>
    <w:p>
      <w:pPr>
        <w:spacing w:after="0"/>
        <w:rPr>
          <w:sz w:val="20"/>
        </w:rPr>
        <w:sectPr>
          <w:pgSz w:w="11910" w:h="16840"/>
          <w:pgMar w:top="240" w:bottom="0" w:left="260" w:right="0"/>
        </w:sectPr>
      </w:pPr>
    </w:p>
    <w:p>
      <w:pPr>
        <w:pStyle w:val="Heading1"/>
        <w:tabs>
          <w:tab w:pos="879" w:val="left" w:leader="none"/>
        </w:tabs>
        <w:rPr>
          <w:b/>
        </w:rPr>
      </w:pPr>
      <w:r>
        <w:rPr/>
        <w:drawing>
          <wp:anchor distT="0" distB="0" distL="0" distR="0" allowOverlap="1" layoutInCell="1" locked="0" behindDoc="1" simplePos="0" relativeHeight="249916416">
            <wp:simplePos x="0" y="0"/>
            <wp:positionH relativeFrom="page">
              <wp:posOffset>6974928</wp:posOffset>
            </wp:positionH>
            <wp:positionV relativeFrom="page">
              <wp:posOffset>161988</wp:posOffset>
            </wp:positionV>
            <wp:extent cx="432079" cy="10368000"/>
            <wp:effectExtent l="0" t="0" r="0" b="0"/>
            <wp:wrapNone/>
            <wp:docPr id="13" name="image5.png"/>
            <wp:cNvGraphicFramePr>
              <a:graphicFrameLocks noChangeAspect="1"/>
            </wp:cNvGraphicFramePr>
            <a:graphic>
              <a:graphicData uri="http://schemas.openxmlformats.org/drawingml/2006/picture">
                <pic:pic>
                  <pic:nvPicPr>
                    <pic:cNvPr id="14" name="image5.png"/>
                    <pic:cNvPicPr/>
                  </pic:nvPicPr>
                  <pic:blipFill>
                    <a:blip r:embed="rId10" cstate="print"/>
                    <a:stretch>
                      <a:fillRect/>
                    </a:stretch>
                  </pic:blipFill>
                  <pic:spPr>
                    <a:xfrm>
                      <a:off x="0" y="0"/>
                      <a:ext cx="432079" cy="10368000"/>
                    </a:xfrm>
                    <a:prstGeom prst="rect">
                      <a:avLst/>
                    </a:prstGeom>
                  </pic:spPr>
                </pic:pic>
              </a:graphicData>
            </a:graphic>
          </wp:anchor>
        </w:drawing>
      </w:r>
      <w:r>
        <w:rPr>
          <w:b/>
          <w:color w:val="FFFFFF"/>
          <w:w w:val="110"/>
          <w:shd w:fill="0090D4" w:color="auto" w:val="clear"/>
        </w:rPr>
        <w:t> </w:t>
      </w:r>
      <w:r>
        <w:rPr>
          <w:b/>
          <w:color w:val="FFFFFF"/>
          <w:shd w:fill="0090D4" w:color="auto" w:val="clear"/>
        </w:rPr>
        <w:tab/>
      </w:r>
      <w:r>
        <w:rPr>
          <w:b/>
          <w:color w:val="FFFFFF"/>
          <w:w w:val="110"/>
          <w:shd w:fill="0090D4" w:color="auto" w:val="clear"/>
        </w:rPr>
        <w:t>2</w:t>
      </w:r>
    </w:p>
    <w:p>
      <w:pPr>
        <w:pStyle w:val="BodyText"/>
        <w:rPr>
          <w:rFonts w:ascii="Stone Sans II ITC Std X Bd"/>
          <w:b/>
          <w:sz w:val="20"/>
        </w:rPr>
      </w:pPr>
    </w:p>
    <w:p>
      <w:pPr>
        <w:pStyle w:val="BodyText"/>
        <w:spacing w:before="1"/>
        <w:rPr>
          <w:rFonts w:ascii="Stone Sans II ITC Std X Bd"/>
          <w:b/>
          <w:sz w:val="20"/>
        </w:rPr>
      </w:pPr>
    </w:p>
    <w:p>
      <w:pPr>
        <w:pStyle w:val="Heading7"/>
        <w:spacing w:before="1"/>
        <w:ind w:left="1838" w:right="1685"/>
      </w:pPr>
      <w:r>
        <w:rPr/>
        <w:pict>
          <v:group style="position:absolute;margin-left:65.084pt;margin-top:.289391pt;width:465.25pt;height:527.65pt;mso-position-horizontal-relative:page;mso-position-vertical-relative:paragraph;z-index:-253401088" coordorigin="1302,6" coordsize="9305,10553">
            <v:shape style="position:absolute;left:1306;top:5;width:2;height:10270" coordorigin="1306,6" coordsize="0,10270" path="m1306,6l1306,260m1306,260l1306,752m1306,752l1306,1247m1306,1247l1306,1499m1306,1499l1306,1751m1306,1751l1306,2005m1306,2005l1306,2257m1306,2257l1306,2511m1306,2511l1306,2763m1306,2763l1306,3015m1306,3015l1306,3270m1306,3270l1306,3762m1306,3762l1306,4256m1306,4256l1306,4508m1306,4508l1306,4760m1306,4760l1306,5015m1306,5015l1306,5267m1306,5267l1306,5521m1306,5521l1306,5773m1306,5773l1306,6027m1306,6027l1306,6279m1306,6279l1306,6531m1306,6531l1306,7026m1306,7026l1306,7518m1306,7518l1306,7772m1306,7772l1306,8024m1306,8024l1306,8516m1306,8516l1306,9011m1306,9011l1306,9263m1306,9263l1306,9517m1306,9517l1306,9769m1306,9769l1306,10021m1306,10021l1306,10275e" filled="false" stroked="true" strokeweight=".48pt" strokecolor="#1a171c">
              <v:path arrowok="t"/>
              <v:stroke dashstyle="solid"/>
            </v:shape>
            <v:line style="position:absolute" from="1311,10554" to="10597,10554" stroked="true" strokeweight=".48pt" strokecolor="#1a171c">
              <v:stroke dashstyle="solid"/>
            </v:line>
            <v:shape style="position:absolute;left:1306;top:5;width:9296;height:10553" coordorigin="1306,6" coordsize="9296,10553" path="m1306,10275l1306,10559m10602,6l10602,260m10602,260l10602,752m10602,752l10602,1247m10602,1247l10602,1499m10602,1499l10602,1751m10602,1751l10602,2005m10602,2005l10602,2257m10602,2257l10602,2511m10602,2511l10602,2763m10602,2763l10602,3015m10602,3015l10602,3270m10602,3270l10602,3762m10602,3762l10602,4256m10602,4256l10602,4508m10602,4508l10602,4760m10602,4760l10602,5015m10602,5015l10602,5267m10602,5267l10602,5521m10602,5521l10602,5773m10602,5773l10602,6027m10602,6027l10602,6279m10602,6279l10602,6531m10602,6531l10602,7026m10602,7026l10602,7518m10602,7518l10602,7772m10602,7772l10602,8024m10602,8024l10602,8516m10602,8516l10602,9011m10602,9011l10602,9263m10602,9263l10602,9517m10602,9517l10602,9769m10602,9769l10602,10021m10602,10021l10602,10275m10602,10275l10602,10559e" filled="false" stroked="true" strokeweight=".48pt" strokecolor="#1a171c">
              <v:path arrowok="t"/>
              <v:stroke dashstyle="solid"/>
            </v:shape>
            <w10:wrap type="none"/>
          </v:group>
        </w:pict>
      </w:r>
      <w:r>
        <w:rPr/>
        <w:pict>
          <v:shape style="position:absolute;margin-left:557.985779pt;margin-top:-25.24341pt;width:16.3500pt;height:347.3pt;mso-position-horizontal-relative:page;mso-position-vertical-relative:paragraph;z-index:251714560"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rPr>
        <w:t>sex couples, in accordance with the provisions of Section 26A(1) of the Marriage Act 1949 as amended by the Marriage (Same Sex Couples) Act 2013.</w:t>
      </w:r>
    </w:p>
    <w:p>
      <w:pPr>
        <w:pStyle w:val="BodyText"/>
        <w:rPr>
          <w:b/>
          <w:sz w:val="20"/>
        </w:rPr>
      </w:pPr>
    </w:p>
    <w:p>
      <w:pPr>
        <w:pStyle w:val="BodyText"/>
        <w:rPr>
          <w:b/>
          <w:sz w:val="20"/>
        </w:rPr>
      </w:pPr>
    </w:p>
    <w:p>
      <w:pPr>
        <w:pStyle w:val="BodyText"/>
        <w:spacing w:before="8"/>
        <w:rPr>
          <w:b/>
          <w:sz w:val="15"/>
        </w:rPr>
      </w:pPr>
    </w:p>
    <w:p>
      <w:pPr>
        <w:pStyle w:val="ListParagraph"/>
        <w:numPr>
          <w:ilvl w:val="0"/>
          <w:numId w:val="3"/>
        </w:numPr>
        <w:tabs>
          <w:tab w:pos="1838" w:val="left" w:leader="none"/>
          <w:tab w:pos="1839" w:val="left" w:leader="none"/>
        </w:tabs>
        <w:spacing w:line="240" w:lineRule="auto" w:before="94" w:after="0"/>
        <w:ind w:left="1838" w:right="1614" w:hanging="680"/>
        <w:jc w:val="left"/>
        <w:rPr>
          <w:b/>
          <w:color w:val="1A171C"/>
          <w:sz w:val="22"/>
        </w:rPr>
      </w:pPr>
      <w:r>
        <w:rPr>
          <w:b/>
          <w:color w:val="1A171C"/>
          <w:sz w:val="22"/>
        </w:rPr>
        <w:t>In the case of Local Ecumenical Partnerships and Union Churches, where the constitution makes no provision for a Church or Congregational Meeting (including a Special or Extraordinary General Meeting) the relevant governing authority of the United Reformed Church under Section 26A(1) of the Marriage Act 1949 as amended by the Marriage (Same Sex Couples) </w:t>
      </w:r>
      <w:r>
        <w:rPr>
          <w:b/>
          <w:color w:val="1A171C"/>
          <w:spacing w:val="-4"/>
          <w:sz w:val="22"/>
        </w:rPr>
        <w:t>Act </w:t>
      </w:r>
      <w:r>
        <w:rPr>
          <w:b/>
          <w:color w:val="1A171C"/>
          <w:sz w:val="22"/>
        </w:rPr>
        <w:t>2013 is the council which represents the widest gathering of members of that Church or Partnership. In case of doubt the council to act in this matter shall be jointly determined, in light of the LEP constitution and any sharing agreement, by the Moderator and Clerk of the synod on which that church is</w:t>
      </w:r>
      <w:r>
        <w:rPr>
          <w:b/>
          <w:color w:val="1A171C"/>
          <w:spacing w:val="-21"/>
          <w:sz w:val="22"/>
        </w:rPr>
        <w:t> </w:t>
      </w:r>
      <w:r>
        <w:rPr>
          <w:b/>
          <w:color w:val="1A171C"/>
          <w:sz w:val="22"/>
        </w:rPr>
        <w:t>represented.</w:t>
      </w:r>
    </w:p>
    <w:p>
      <w:pPr>
        <w:pStyle w:val="BodyText"/>
        <w:rPr>
          <w:b/>
          <w:sz w:val="20"/>
        </w:rPr>
      </w:pPr>
    </w:p>
    <w:p>
      <w:pPr>
        <w:pStyle w:val="BodyText"/>
        <w:rPr>
          <w:b/>
          <w:sz w:val="20"/>
        </w:rPr>
      </w:pPr>
    </w:p>
    <w:p>
      <w:pPr>
        <w:pStyle w:val="BodyText"/>
        <w:spacing w:before="8"/>
        <w:rPr>
          <w:b/>
          <w:sz w:val="23"/>
        </w:rPr>
      </w:pPr>
    </w:p>
    <w:p>
      <w:pPr>
        <w:pStyle w:val="ListParagraph"/>
        <w:numPr>
          <w:ilvl w:val="0"/>
          <w:numId w:val="3"/>
        </w:numPr>
        <w:tabs>
          <w:tab w:pos="1838" w:val="left" w:leader="none"/>
          <w:tab w:pos="1839" w:val="left" w:leader="none"/>
        </w:tabs>
        <w:spacing w:line="240" w:lineRule="auto" w:before="0" w:after="0"/>
        <w:ind w:left="1838" w:right="1611" w:hanging="680"/>
        <w:jc w:val="left"/>
        <w:rPr>
          <w:b/>
          <w:color w:val="1A171C"/>
          <w:sz w:val="22"/>
        </w:rPr>
      </w:pPr>
      <w:r>
        <w:rPr>
          <w:b/>
          <w:color w:val="1A171C"/>
          <w:sz w:val="22"/>
        </w:rPr>
        <w:t>Noting that Mission Council has already recognised, on behalf of General Assembly, ‘that if a future Assembly were to allow for ministers and members of the United Reformed Church to solemnise same-sex marriages under Scots Law, the Synod of Scotland would be the appropriate council of the URC to approach the Registrar General for Scotland’, the General Assembly confirms that it </w:t>
      </w:r>
      <w:r>
        <w:rPr>
          <w:b/>
          <w:color w:val="1A171C"/>
          <w:spacing w:val="-3"/>
          <w:sz w:val="22"/>
        </w:rPr>
        <w:t>now </w:t>
      </w:r>
      <w:r>
        <w:rPr>
          <w:b/>
          <w:color w:val="1A171C"/>
          <w:sz w:val="22"/>
        </w:rPr>
        <w:t>lies within the competence of the National Synod of Scotland to nominate under Section 9(1A) of the Marriage (Scotland) </w:t>
      </w:r>
      <w:r>
        <w:rPr>
          <w:b/>
          <w:color w:val="1A171C"/>
          <w:spacing w:val="-4"/>
          <w:sz w:val="22"/>
        </w:rPr>
        <w:t>Act </w:t>
      </w:r>
      <w:r>
        <w:rPr>
          <w:b/>
          <w:color w:val="1A171C"/>
          <w:sz w:val="22"/>
        </w:rPr>
        <w:t>1977 as amended by the Marriage and Civil Partnership (Scotland) </w:t>
      </w:r>
      <w:r>
        <w:rPr>
          <w:b/>
          <w:color w:val="1A171C"/>
          <w:spacing w:val="-4"/>
          <w:sz w:val="22"/>
        </w:rPr>
        <w:t>Act </w:t>
      </w:r>
      <w:r>
        <w:rPr>
          <w:b/>
          <w:color w:val="1A171C"/>
          <w:sz w:val="22"/>
        </w:rPr>
        <w:t>2014 members of the United Reformed Church who have indicated their willingness in writing to the Synod to be approved celebrants of same-sex marriage in</w:t>
      </w:r>
      <w:r>
        <w:rPr>
          <w:b/>
          <w:color w:val="1A171C"/>
          <w:spacing w:val="-17"/>
          <w:sz w:val="22"/>
        </w:rPr>
        <w:t> </w:t>
      </w:r>
      <w:r>
        <w:rPr>
          <w:b/>
          <w:color w:val="1A171C"/>
          <w:sz w:val="22"/>
        </w:rPr>
        <w:t>Scotland.</w:t>
      </w:r>
    </w:p>
    <w:p>
      <w:pPr>
        <w:pStyle w:val="BodyText"/>
        <w:rPr>
          <w:b/>
          <w:sz w:val="20"/>
        </w:rPr>
      </w:pPr>
    </w:p>
    <w:p>
      <w:pPr>
        <w:pStyle w:val="BodyText"/>
        <w:rPr>
          <w:b/>
          <w:sz w:val="20"/>
        </w:rPr>
      </w:pPr>
    </w:p>
    <w:p>
      <w:pPr>
        <w:pStyle w:val="BodyText"/>
        <w:spacing w:before="8"/>
        <w:rPr>
          <w:b/>
          <w:sz w:val="23"/>
        </w:rPr>
      </w:pPr>
    </w:p>
    <w:p>
      <w:pPr>
        <w:pStyle w:val="ListParagraph"/>
        <w:numPr>
          <w:ilvl w:val="0"/>
          <w:numId w:val="3"/>
        </w:numPr>
        <w:tabs>
          <w:tab w:pos="1838" w:val="left" w:leader="none"/>
          <w:tab w:pos="1839" w:val="left" w:leader="none"/>
        </w:tabs>
        <w:spacing w:line="240" w:lineRule="auto" w:before="0" w:after="0"/>
        <w:ind w:left="1838" w:right="1550" w:hanging="680"/>
        <w:jc w:val="left"/>
        <w:rPr>
          <w:b/>
          <w:color w:val="1A171C"/>
          <w:sz w:val="22"/>
        </w:rPr>
      </w:pPr>
      <w:r>
        <w:rPr>
          <w:b/>
          <w:color w:val="1A171C"/>
          <w:sz w:val="22"/>
        </w:rPr>
        <w:t>The General Assembly recalls that the trusts on which Local Church buildings are commonly held empower the Church Meeting to direct in what ways such a building is or is not to be used for public worship and ancillary</w:t>
      </w:r>
      <w:r>
        <w:rPr>
          <w:b/>
          <w:color w:val="1A171C"/>
          <w:spacing w:val="-22"/>
          <w:sz w:val="22"/>
        </w:rPr>
        <w:t> </w:t>
      </w:r>
      <w:r>
        <w:rPr>
          <w:b/>
          <w:color w:val="1A171C"/>
          <w:sz w:val="22"/>
        </w:rPr>
        <w:t>purposes.</w:t>
      </w:r>
    </w:p>
    <w:p>
      <w:pPr>
        <w:pStyle w:val="BodyText"/>
        <w:rPr>
          <w:b/>
          <w:sz w:val="20"/>
        </w:rPr>
      </w:pPr>
    </w:p>
    <w:p>
      <w:pPr>
        <w:pStyle w:val="BodyText"/>
        <w:rPr>
          <w:b/>
          <w:sz w:val="20"/>
        </w:rPr>
      </w:pPr>
    </w:p>
    <w:p>
      <w:pPr>
        <w:pStyle w:val="BodyText"/>
        <w:spacing w:before="7"/>
        <w:rPr>
          <w:b/>
          <w:sz w:val="15"/>
        </w:rPr>
      </w:pPr>
    </w:p>
    <w:p>
      <w:pPr>
        <w:pStyle w:val="ListParagraph"/>
        <w:numPr>
          <w:ilvl w:val="0"/>
          <w:numId w:val="3"/>
        </w:numPr>
        <w:tabs>
          <w:tab w:pos="1838" w:val="left" w:leader="none"/>
          <w:tab w:pos="1839" w:val="left" w:leader="none"/>
        </w:tabs>
        <w:spacing w:line="240" w:lineRule="auto" w:before="94" w:after="0"/>
        <w:ind w:left="1838" w:right="1770" w:hanging="680"/>
        <w:jc w:val="left"/>
        <w:rPr>
          <w:b/>
          <w:color w:val="1A171C"/>
          <w:sz w:val="22"/>
        </w:rPr>
      </w:pPr>
      <w:r>
        <w:rPr>
          <w:b/>
          <w:color w:val="1A171C"/>
          <w:sz w:val="22"/>
        </w:rPr>
        <w:t>The General Assembly authorises the General Secretary, the Clerk, or any Deputy General Secretary to sign and furnish a copy of this resolution (or a relevant extract) in the name of the Assembly, whenever such a copy may be required by</w:t>
      </w:r>
      <w:r>
        <w:rPr>
          <w:b/>
          <w:color w:val="1A171C"/>
          <w:spacing w:val="-6"/>
          <w:sz w:val="22"/>
        </w:rPr>
        <w:t> </w:t>
      </w:r>
      <w:r>
        <w:rPr>
          <w:b/>
          <w:color w:val="1A171C"/>
          <w:sz w:val="22"/>
        </w:rPr>
        <w:t>law.</w:t>
      </w:r>
    </w:p>
    <w:p>
      <w:pPr>
        <w:pStyle w:val="BodyText"/>
        <w:rPr>
          <w:b/>
          <w:sz w:val="20"/>
        </w:rPr>
      </w:pPr>
    </w:p>
    <w:p>
      <w:pPr>
        <w:pStyle w:val="BodyText"/>
        <w:rPr>
          <w:b/>
          <w:sz w:val="20"/>
        </w:rPr>
      </w:pPr>
    </w:p>
    <w:p>
      <w:pPr>
        <w:pStyle w:val="BodyText"/>
        <w:spacing w:before="7"/>
        <w:rPr>
          <w:b/>
          <w:sz w:val="19"/>
        </w:rPr>
      </w:pPr>
    </w:p>
    <w:p>
      <w:pPr>
        <w:pStyle w:val="ListParagraph"/>
        <w:numPr>
          <w:ilvl w:val="0"/>
          <w:numId w:val="2"/>
        </w:numPr>
        <w:tabs>
          <w:tab w:pos="1838" w:val="left" w:leader="none"/>
          <w:tab w:pos="1839" w:val="left" w:leader="none"/>
        </w:tabs>
        <w:spacing w:line="240" w:lineRule="auto" w:before="93" w:after="0"/>
        <w:ind w:left="1838" w:right="1562" w:hanging="680"/>
        <w:jc w:val="left"/>
        <w:rPr>
          <w:sz w:val="22"/>
        </w:rPr>
      </w:pPr>
      <w:r>
        <w:rPr>
          <w:color w:val="1A171C"/>
          <w:sz w:val="22"/>
        </w:rPr>
        <w:t>The human sexuality task group reported to Mission Council its view that this six-part resolution is as comprehensive as it can presently be, is coherent (so should not be treated piecemeal) and is compliant with the law. The group’s thinking behind the various parts was as</w:t>
      </w:r>
      <w:r>
        <w:rPr>
          <w:color w:val="1A171C"/>
          <w:spacing w:val="-3"/>
          <w:sz w:val="22"/>
        </w:rPr>
        <w:t> </w:t>
      </w:r>
      <w:r>
        <w:rPr>
          <w:color w:val="1A171C"/>
          <w:sz w:val="22"/>
        </w:rPr>
        <w:t>follows.</w:t>
      </w:r>
    </w:p>
    <w:p>
      <w:pPr>
        <w:pStyle w:val="BodyText"/>
      </w:pPr>
    </w:p>
    <w:p>
      <w:pPr>
        <w:pStyle w:val="ListParagraph"/>
        <w:numPr>
          <w:ilvl w:val="0"/>
          <w:numId w:val="2"/>
        </w:numPr>
        <w:tabs>
          <w:tab w:pos="1838" w:val="left" w:leader="none"/>
          <w:tab w:pos="1839" w:val="left" w:leader="none"/>
        </w:tabs>
        <w:spacing w:line="240" w:lineRule="auto" w:before="0" w:after="0"/>
        <w:ind w:left="1838" w:right="1487" w:hanging="679"/>
        <w:jc w:val="left"/>
        <w:rPr>
          <w:sz w:val="22"/>
        </w:rPr>
      </w:pPr>
      <w:r>
        <w:rPr>
          <w:color w:val="1A171C"/>
          <w:sz w:val="22"/>
        </w:rPr>
        <w:t>Part A of the resolution invites Assembly, by declining to express a single view on behalf of the whole Church, to sustain the spirit of the 2007 Commitment, which honours the Christian integrity and intention of members who take a variety of views about same-sex relations (even though understandably the 2007 Commitment did not consider marriage). The 2007 Commitment is printed in these Assembly papers, to recall the pattern and policy by which members of the United Reformed Church relate to one another over this</w:t>
      </w:r>
      <w:r>
        <w:rPr>
          <w:color w:val="1A171C"/>
          <w:spacing w:val="-1"/>
          <w:sz w:val="22"/>
        </w:rPr>
        <w:t> </w:t>
      </w:r>
      <w:r>
        <w:rPr>
          <w:color w:val="1A171C"/>
          <w:sz w:val="22"/>
        </w:rPr>
        <w:t>issue.</w:t>
      </w:r>
    </w:p>
    <w:p>
      <w:pPr>
        <w:pStyle w:val="BodyText"/>
        <w:spacing w:before="2"/>
        <w:rPr>
          <w:sz w:val="27"/>
        </w:rPr>
      </w:pPr>
    </w:p>
    <w:p>
      <w:pPr>
        <w:spacing w:before="97"/>
        <w:ind w:left="0" w:right="423" w:firstLine="0"/>
        <w:jc w:val="right"/>
        <w:rPr>
          <w:rFonts w:ascii="Stone Sans II ITC Std X Bd"/>
          <w:b/>
          <w:sz w:val="24"/>
        </w:rPr>
      </w:pPr>
      <w:r>
        <w:rPr/>
        <w:pict>
          <v:shape style="position:absolute;margin-left:269.564392pt;margin-top:10.050382pt;width:56.45pt;height:12.35pt;mso-position-horizontal-relative:page;mso-position-vertical-relative:paragraph;z-index:-253402112" type="#_x0000_t202" filled="false" stroked="false">
            <v:textbox inset="0,0,0,0">
              <w:txbxContent>
                <w:p>
                  <w:pPr>
                    <w:spacing w:line="247" w:lineRule="exact" w:before="0"/>
                    <w:ind w:left="0" w:right="0" w:firstLine="0"/>
                    <w:jc w:val="left"/>
                    <w:rPr>
                      <w:b/>
                      <w:sz w:val="22"/>
                    </w:rPr>
                  </w:pPr>
                  <w:r>
                    <w:rPr>
                      <w:color w:val="1A171C"/>
                      <w:sz w:val="22"/>
                    </w:rPr>
                    <w:t>Page </w:t>
                  </w:r>
                  <w:r>
                    <w:rPr>
                      <w:b/>
                      <w:color w:val="1A171C"/>
                      <w:sz w:val="22"/>
                    </w:rPr>
                    <w:t>5 </w:t>
                  </w:r>
                  <w:r>
                    <w:rPr>
                      <w:color w:val="1A171C"/>
                      <w:sz w:val="22"/>
                    </w:rPr>
                    <w:t>of </w:t>
                  </w:r>
                  <w:r>
                    <w:rPr>
                      <w:b/>
                      <w:color w:val="1A171C"/>
                      <w:sz w:val="22"/>
                    </w:rPr>
                    <w:t>9</w:t>
                  </w:r>
                </w:p>
              </w:txbxContent>
            </v:textbox>
            <w10:wrap type="none"/>
          </v:shape>
        </w:pict>
      </w:r>
      <w:r>
        <w:rPr/>
        <w:pict>
          <v:rect style="position:absolute;margin-left:259.369995pt;margin-top:4.849701pt;width:75.118pt;height:29.764pt;mso-position-horizontal-relative:page;mso-position-vertical-relative:paragraph;z-index:251713536" filled="true" fillcolor="#ffffff" stroked="false">
            <v:fill type="solid"/>
            <w10:wrap type="none"/>
          </v:rect>
        </w:pict>
      </w:r>
      <w:r>
        <w:rPr>
          <w:rFonts w:ascii="Stone Sans II ITC Std X Bd"/>
          <w:b/>
          <w:color w:val="1A171C"/>
          <w:sz w:val="24"/>
        </w:rPr>
        <w:t>13</w:t>
      </w:r>
    </w:p>
    <w:p>
      <w:pPr>
        <w:spacing w:after="0"/>
        <w:jc w:val="right"/>
        <w:rPr>
          <w:rFonts w:ascii="Stone Sans II ITC Std X Bd"/>
          <w:sz w:val="24"/>
        </w:rPr>
        <w:sectPr>
          <w:pgSz w:w="11910" w:h="16840"/>
          <w:pgMar w:top="240" w:bottom="0" w:left="260" w:right="0"/>
        </w:sectPr>
      </w:pPr>
    </w:p>
    <w:p>
      <w:pPr>
        <w:pStyle w:val="BodyText"/>
        <w:rPr>
          <w:rFonts w:ascii="Stone Sans II ITC Std X Bd"/>
          <w:b/>
          <w:sz w:val="20"/>
        </w:rPr>
      </w:pPr>
      <w:r>
        <w:rPr/>
        <w:pict>
          <v:group style="position:absolute;margin-left:12.756pt;margin-top:12.755014pt;width:77.8pt;height:816.4pt;mso-position-horizontal-relative:page;mso-position-vertical-relative:page;z-index:-253392896" coordorigin="255,255" coordsize="1556,16328">
            <v:shape style="position:absolute;left:255;top:255;width:681;height:16328" type="#_x0000_t75" stroked="false">
              <v:imagedata r:id="rId13"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0090D4" w:color="auto" w:val="clear"/>
                      </w:rPr>
                      <w:t>2</w:t>
                    </w:r>
                    <w:r>
                      <w:rPr>
                        <w:rFonts w:ascii="Stone Sans II ITC Std X Bd"/>
                        <w:b/>
                        <w:color w:val="FFFFFF"/>
                        <w:sz w:val="65"/>
                        <w:shd w:fill="0090D4" w:color="auto" w:val="clear"/>
                      </w:rPr>
                      <w:tab/>
                    </w:r>
                  </w:p>
                </w:txbxContent>
              </v:textbox>
              <w10:wrap type="none"/>
            </v:shape>
            <v:shape style="position:absolute;left:435;top:15990;width:34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14</w:t>
                    </w:r>
                  </w:p>
                </w:txbxContent>
              </v:textbox>
              <w10:wrap type="none"/>
            </v:shape>
            <w10:wrap type="none"/>
          </v:group>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9"/>
        <w:rPr>
          <w:rFonts w:ascii="Stone Sans II ITC Std X Bd"/>
          <w:b/>
          <w:sz w:val="19"/>
        </w:rPr>
      </w:pPr>
    </w:p>
    <w:p>
      <w:pPr>
        <w:pStyle w:val="ListParagraph"/>
        <w:numPr>
          <w:ilvl w:val="0"/>
          <w:numId w:val="2"/>
        </w:numPr>
        <w:tabs>
          <w:tab w:pos="1837" w:val="left" w:leader="none"/>
          <w:tab w:pos="1838" w:val="left" w:leader="none"/>
        </w:tabs>
        <w:spacing w:line="240" w:lineRule="auto" w:before="94" w:after="0"/>
        <w:ind w:left="1837" w:right="1808" w:hanging="680"/>
        <w:jc w:val="left"/>
        <w:rPr>
          <w:sz w:val="22"/>
        </w:rPr>
      </w:pPr>
      <w:r>
        <w:rPr/>
        <w:pict>
          <v:shape style="position:absolute;margin-left:21.22007pt;margin-top:-18.434053pt;width:16.3500pt;height:346.1pt;mso-position-horizontal-relative:page;mso-position-vertical-relative:paragraph;z-index:251720704"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sz w:val="22"/>
        </w:rPr>
        <w:t>Part B of the resolution applies to local URC congregations in England and Wales. It ‘declares’ that we take certain decisions locally. Our common life as a Christian family involves many sorts of decisions, which we rightly take in several</w:t>
      </w:r>
      <w:r>
        <w:rPr>
          <w:color w:val="1A171C"/>
          <w:spacing w:val="-28"/>
          <w:sz w:val="22"/>
        </w:rPr>
        <w:t> </w:t>
      </w:r>
      <w:r>
        <w:rPr>
          <w:color w:val="1A171C"/>
          <w:sz w:val="22"/>
        </w:rPr>
        <w:t>different</w:t>
      </w:r>
    </w:p>
    <w:p>
      <w:pPr>
        <w:pStyle w:val="BodyText"/>
        <w:ind w:left="1837" w:right="1526"/>
      </w:pPr>
      <w:r>
        <w:rPr>
          <w:color w:val="1A171C"/>
        </w:rPr>
        <w:t>settings. Some are taken by the elders of a local church; others in a Church Meeting; others again by a synod, or by General Assembly. Our present practice is that a local Church Meeting directs its trustees to register a building for marriage services. This part of the resolution sustains that custom in the context of the 2013 Act, which requires a separate registration for the marriage of same-sex couples. In this clause an expression like ‘General Assembly authorises’ would have suggested a view held not only locally but in the wider Church too. By contrast, the word ‘declares’ reminds us that certain matters are usually determined locally, and do not require the Church as a whole to take a particular view of the substantial issue.</w:t>
      </w:r>
    </w:p>
    <w:p>
      <w:pPr>
        <w:pStyle w:val="BodyText"/>
        <w:spacing w:before="9"/>
        <w:rPr>
          <w:sz w:val="21"/>
        </w:rPr>
      </w:pPr>
    </w:p>
    <w:p>
      <w:pPr>
        <w:pStyle w:val="ListParagraph"/>
        <w:numPr>
          <w:ilvl w:val="0"/>
          <w:numId w:val="2"/>
        </w:numPr>
        <w:tabs>
          <w:tab w:pos="1837" w:val="left" w:leader="none"/>
          <w:tab w:pos="1838" w:val="left" w:leader="none"/>
        </w:tabs>
        <w:spacing w:line="240" w:lineRule="auto" w:before="1" w:after="0"/>
        <w:ind w:left="1837" w:right="1539" w:hanging="680"/>
        <w:jc w:val="left"/>
        <w:rPr>
          <w:sz w:val="22"/>
        </w:rPr>
      </w:pPr>
      <w:r>
        <w:rPr>
          <w:color w:val="1A171C"/>
          <w:sz w:val="22"/>
        </w:rPr>
        <w:t>Part C of the resolution is really a postscript to Part B. It concerns those local ecumenical partnerships (LEPs) or Union Churches whose constitution does not provide for a Church or Congregational Meeting, and who are therefore not helped by Part B. It offers a way by which such churches in England or Wales may take decisions about the registration of their buildings for the marriage of same-sex couples, in ways that the URC would support. (N.B. This clause can only address the requirement for the consent of the appropriate </w:t>
      </w:r>
      <w:r>
        <w:rPr>
          <w:color w:val="1A171C"/>
          <w:spacing w:val="-2"/>
          <w:sz w:val="22"/>
        </w:rPr>
        <w:t>URC </w:t>
      </w:r>
      <w:r>
        <w:rPr>
          <w:color w:val="1A171C"/>
          <w:sz w:val="22"/>
        </w:rPr>
        <w:t>governing authority; these local churches will generally require additional consent from the governing authorities of other denominations to which they</w:t>
      </w:r>
      <w:r>
        <w:rPr>
          <w:color w:val="1A171C"/>
          <w:spacing w:val="-10"/>
          <w:sz w:val="22"/>
        </w:rPr>
        <w:t> </w:t>
      </w:r>
      <w:r>
        <w:rPr>
          <w:color w:val="1A171C"/>
          <w:sz w:val="22"/>
        </w:rPr>
        <w:t>belong.)</w:t>
      </w:r>
    </w:p>
    <w:p>
      <w:pPr>
        <w:pStyle w:val="BodyText"/>
        <w:spacing w:before="10"/>
        <w:rPr>
          <w:sz w:val="21"/>
        </w:rPr>
      </w:pPr>
    </w:p>
    <w:p>
      <w:pPr>
        <w:pStyle w:val="ListParagraph"/>
        <w:numPr>
          <w:ilvl w:val="0"/>
          <w:numId w:val="2"/>
        </w:numPr>
        <w:tabs>
          <w:tab w:pos="1837" w:val="left" w:leader="none"/>
          <w:tab w:pos="1838" w:val="left" w:leader="none"/>
        </w:tabs>
        <w:spacing w:line="240" w:lineRule="auto" w:before="0" w:after="0"/>
        <w:ind w:left="1837" w:right="1500" w:hanging="680"/>
        <w:jc w:val="left"/>
        <w:rPr>
          <w:sz w:val="22"/>
        </w:rPr>
      </w:pPr>
      <w:r>
        <w:rPr>
          <w:color w:val="1A171C"/>
          <w:sz w:val="22"/>
        </w:rPr>
        <w:t>Part D of the resolution refers to Scotland, where marriage law does not require the registration of buildings in the ways that apply in England and Wales. Scots law, by contrast, focusses upon the nomination of celebrants – the people who may conduct marriage services. This part of the resolution therefore carries forward a decision taken by Mission Council in November 2014, recognising that should Assembly ‘allow for ministers and members of the United Reformed Church to solemnise same-sex marriages under Scots Law’ then the National Synod of Scotland would speak for our Church in nominating</w:t>
      </w:r>
      <w:r>
        <w:rPr>
          <w:color w:val="1A171C"/>
          <w:spacing w:val="2"/>
          <w:sz w:val="22"/>
        </w:rPr>
        <w:t> </w:t>
      </w:r>
      <w:r>
        <w:rPr>
          <w:color w:val="1A171C"/>
          <w:sz w:val="22"/>
        </w:rPr>
        <w:t>celebrants.</w:t>
      </w:r>
    </w:p>
    <w:p>
      <w:pPr>
        <w:pStyle w:val="BodyText"/>
        <w:spacing w:before="1"/>
      </w:pPr>
    </w:p>
    <w:p>
      <w:pPr>
        <w:pStyle w:val="ListParagraph"/>
        <w:numPr>
          <w:ilvl w:val="0"/>
          <w:numId w:val="2"/>
        </w:numPr>
        <w:tabs>
          <w:tab w:pos="1837" w:val="left" w:leader="none"/>
          <w:tab w:pos="1838" w:val="left" w:leader="none"/>
        </w:tabs>
        <w:spacing w:line="240" w:lineRule="auto" w:before="0" w:after="0"/>
        <w:ind w:left="1837" w:right="1442" w:hanging="680"/>
        <w:jc w:val="left"/>
        <w:rPr>
          <w:sz w:val="22"/>
        </w:rPr>
      </w:pPr>
      <w:r>
        <w:rPr>
          <w:color w:val="1A171C"/>
          <w:sz w:val="22"/>
        </w:rPr>
        <w:t>Part E of the resolution recalls that the trustees of a church building will usually expect the Church Meeting to direct how that building will be used for Christian worship. These decisions are not usually taken by the trustees</w:t>
      </w:r>
      <w:r>
        <w:rPr>
          <w:color w:val="1A171C"/>
          <w:spacing w:val="-14"/>
          <w:sz w:val="22"/>
        </w:rPr>
        <w:t> </w:t>
      </w:r>
      <w:r>
        <w:rPr>
          <w:color w:val="1A171C"/>
          <w:sz w:val="22"/>
        </w:rPr>
        <w:t>independently.</w:t>
      </w:r>
    </w:p>
    <w:p>
      <w:pPr>
        <w:pStyle w:val="BodyText"/>
        <w:spacing w:before="9"/>
        <w:rPr>
          <w:sz w:val="21"/>
        </w:rPr>
      </w:pPr>
    </w:p>
    <w:p>
      <w:pPr>
        <w:pStyle w:val="ListParagraph"/>
        <w:numPr>
          <w:ilvl w:val="0"/>
          <w:numId w:val="2"/>
        </w:numPr>
        <w:tabs>
          <w:tab w:pos="1838" w:val="left" w:leader="none"/>
        </w:tabs>
        <w:spacing w:line="240" w:lineRule="auto" w:before="0" w:after="0"/>
        <w:ind w:left="1837" w:right="2089" w:hanging="680"/>
        <w:jc w:val="both"/>
        <w:rPr>
          <w:sz w:val="22"/>
        </w:rPr>
      </w:pPr>
      <w:r>
        <w:rPr>
          <w:color w:val="1A171C"/>
          <w:sz w:val="22"/>
        </w:rPr>
        <w:t>Part F of the resolution is necessary because registrars may well require formal evidence of the Assembly’s decisions, and the persons indicated will be able to supply this</w:t>
      </w:r>
      <w:r>
        <w:rPr>
          <w:color w:val="1A171C"/>
          <w:spacing w:val="-2"/>
          <w:sz w:val="22"/>
        </w:rPr>
        <w:t> </w:t>
      </w:r>
      <w:r>
        <w:rPr>
          <w:color w:val="1A171C"/>
          <w:sz w:val="22"/>
        </w:rPr>
        <w:t>authoritatively.</w:t>
      </w:r>
    </w:p>
    <w:p>
      <w:pPr>
        <w:pStyle w:val="BodyText"/>
        <w:spacing w:before="1"/>
      </w:pPr>
    </w:p>
    <w:p>
      <w:pPr>
        <w:pStyle w:val="ListParagraph"/>
        <w:numPr>
          <w:ilvl w:val="0"/>
          <w:numId w:val="2"/>
        </w:numPr>
        <w:tabs>
          <w:tab w:pos="1837" w:val="left" w:leader="none"/>
          <w:tab w:pos="1838" w:val="left" w:leader="none"/>
        </w:tabs>
        <w:spacing w:line="240" w:lineRule="auto" w:before="0" w:after="0"/>
        <w:ind w:left="1838" w:right="1646" w:hanging="680"/>
        <w:jc w:val="left"/>
        <w:rPr>
          <w:sz w:val="22"/>
        </w:rPr>
      </w:pPr>
      <w:r>
        <w:rPr>
          <w:color w:val="1A171C"/>
          <w:sz w:val="22"/>
        </w:rPr>
        <w:t>There are a few gaps in the resolution, which it does not appear possible to address quickly:</w:t>
      </w:r>
    </w:p>
    <w:p>
      <w:pPr>
        <w:pStyle w:val="BodyText"/>
        <w:spacing w:before="11"/>
        <w:rPr>
          <w:sz w:val="21"/>
        </w:rPr>
      </w:pPr>
    </w:p>
    <w:p>
      <w:pPr>
        <w:pStyle w:val="ListParagraph"/>
        <w:numPr>
          <w:ilvl w:val="1"/>
          <w:numId w:val="2"/>
        </w:numPr>
        <w:tabs>
          <w:tab w:pos="2598" w:val="left" w:leader="none"/>
          <w:tab w:pos="2599" w:val="left" w:leader="none"/>
        </w:tabs>
        <w:spacing w:line="240" w:lineRule="auto" w:before="0" w:after="0"/>
        <w:ind w:left="1838" w:right="1718" w:firstLine="0"/>
        <w:jc w:val="left"/>
        <w:rPr>
          <w:sz w:val="22"/>
        </w:rPr>
      </w:pPr>
      <w:r>
        <w:rPr>
          <w:color w:val="1A171C"/>
          <w:sz w:val="22"/>
        </w:rPr>
        <w:t>The Channel Islands and the Isle of Man are not referred to. No legislation that would allow the marriage of same-sex couples is yet proposed in these places, and it is better to defer any URC response until there is legislation to</w:t>
      </w:r>
      <w:r>
        <w:rPr>
          <w:color w:val="1A171C"/>
          <w:spacing w:val="-21"/>
          <w:sz w:val="22"/>
        </w:rPr>
        <w:t> </w:t>
      </w:r>
      <w:r>
        <w:rPr>
          <w:color w:val="1A171C"/>
          <w:sz w:val="22"/>
        </w:rPr>
        <w:t>consider.</w:t>
      </w:r>
    </w:p>
    <w:p>
      <w:pPr>
        <w:pStyle w:val="BodyText"/>
      </w:pPr>
    </w:p>
    <w:p>
      <w:pPr>
        <w:pStyle w:val="ListParagraph"/>
        <w:numPr>
          <w:ilvl w:val="1"/>
          <w:numId w:val="2"/>
        </w:numPr>
        <w:tabs>
          <w:tab w:pos="2598" w:val="left" w:leader="none"/>
          <w:tab w:pos="2599" w:val="left" w:leader="none"/>
        </w:tabs>
        <w:spacing w:line="240" w:lineRule="auto" w:before="1" w:after="0"/>
        <w:ind w:left="1838" w:right="1805" w:hanging="1"/>
        <w:jc w:val="left"/>
        <w:rPr>
          <w:sz w:val="22"/>
        </w:rPr>
      </w:pPr>
      <w:r>
        <w:rPr>
          <w:color w:val="1A171C"/>
          <w:sz w:val="22"/>
        </w:rPr>
        <w:t>The resolution does not offer any proposals about armed forces chapels in England and</w:t>
      </w:r>
      <w:r>
        <w:rPr>
          <w:color w:val="1A171C"/>
          <w:spacing w:val="-8"/>
          <w:sz w:val="22"/>
        </w:rPr>
        <w:t> </w:t>
      </w:r>
      <w:r>
        <w:rPr>
          <w:color w:val="1A171C"/>
          <w:sz w:val="22"/>
        </w:rPr>
        <w:t>Wales.</w:t>
      </w:r>
    </w:p>
    <w:p>
      <w:pPr>
        <w:pStyle w:val="BodyText"/>
        <w:spacing w:before="10"/>
        <w:rPr>
          <w:sz w:val="21"/>
        </w:rPr>
      </w:pPr>
    </w:p>
    <w:p>
      <w:pPr>
        <w:pStyle w:val="ListParagraph"/>
        <w:numPr>
          <w:ilvl w:val="1"/>
          <w:numId w:val="2"/>
        </w:numPr>
        <w:tabs>
          <w:tab w:pos="2598" w:val="left" w:leader="none"/>
          <w:tab w:pos="2600" w:val="left" w:leader="none"/>
        </w:tabs>
        <w:spacing w:line="240" w:lineRule="auto" w:before="0" w:after="0"/>
        <w:ind w:left="2599" w:right="0" w:hanging="762"/>
        <w:jc w:val="left"/>
        <w:rPr>
          <w:sz w:val="22"/>
        </w:rPr>
      </w:pPr>
      <w:r>
        <w:rPr>
          <w:color w:val="1A171C"/>
          <w:sz w:val="22"/>
        </w:rPr>
        <w:t>Nor does the resolution make any proposals about the marriage of</w:t>
      </w:r>
      <w:r>
        <w:rPr>
          <w:color w:val="1A171C"/>
          <w:spacing w:val="-15"/>
          <w:sz w:val="22"/>
        </w:rPr>
        <w:t> </w:t>
      </w:r>
      <w:r>
        <w:rPr>
          <w:color w:val="1A171C"/>
          <w:sz w:val="22"/>
        </w:rPr>
        <w:t>people</w:t>
      </w:r>
    </w:p>
    <w:p>
      <w:pPr>
        <w:pStyle w:val="BodyText"/>
        <w:spacing w:before="2"/>
        <w:ind w:left="1838"/>
      </w:pPr>
      <w:r>
        <w:rPr/>
        <w:pict>
          <v:shape style="position:absolute;margin-left:269.519989pt;margin-top:82.52813pt;width:56.45pt;height:12.35pt;mso-position-horizontal-relative:page;mso-position-vertical-relative:paragraph;z-index:-253395968" type="#_x0000_t202" filled="false" stroked="false">
            <v:textbox inset="0,0,0,0">
              <w:txbxContent>
                <w:p>
                  <w:pPr>
                    <w:spacing w:line="247" w:lineRule="exact" w:before="0"/>
                    <w:ind w:left="0" w:right="0" w:firstLine="0"/>
                    <w:jc w:val="left"/>
                    <w:rPr>
                      <w:b/>
                      <w:sz w:val="22"/>
                    </w:rPr>
                  </w:pPr>
                  <w:r>
                    <w:rPr>
                      <w:color w:val="1A171C"/>
                      <w:sz w:val="22"/>
                    </w:rPr>
                    <w:t>Page </w:t>
                  </w:r>
                  <w:r>
                    <w:rPr>
                      <w:b/>
                      <w:color w:val="1A171C"/>
                      <w:sz w:val="22"/>
                    </w:rPr>
                    <w:t>6 </w:t>
                  </w:r>
                  <w:r>
                    <w:rPr>
                      <w:color w:val="1A171C"/>
                      <w:sz w:val="22"/>
                    </w:rPr>
                    <w:t>of </w:t>
                  </w:r>
                  <w:r>
                    <w:rPr>
                      <w:b/>
                      <w:color w:val="1A171C"/>
                      <w:sz w:val="22"/>
                    </w:rPr>
                    <w:t>9</w:t>
                  </w:r>
                </w:p>
              </w:txbxContent>
            </v:textbox>
            <w10:wrap type="none"/>
          </v:shape>
        </w:pict>
      </w:r>
      <w:r>
        <w:rPr>
          <w:color w:val="1A171C"/>
        </w:rPr>
        <w:t>detained, e.g. prisoners, the housebound, and the terminally ill, in England and Wales.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pict>
          <v:rect style="position:absolute;margin-left:252.283005pt;margin-top:10.790522pt;width:107.717pt;height:29.764pt;mso-position-horizontal-relative:page;mso-position-vertical-relative:paragraph;z-index:-251600896;mso-wrap-distance-left:0;mso-wrap-distance-right:0" filled="true" fillcolor="#ffffff" stroked="false">
            <v:fill type="solid"/>
            <w10:wrap type="topAndBottom"/>
          </v:rect>
        </w:pict>
      </w:r>
    </w:p>
    <w:p>
      <w:pPr>
        <w:spacing w:after="0"/>
        <w:rPr>
          <w:sz w:val="15"/>
        </w:rPr>
        <w:sectPr>
          <w:pgSz w:w="11910" w:h="16840"/>
          <w:pgMar w:top="240" w:bottom="0" w:left="260" w:right="0"/>
        </w:sectPr>
      </w:pPr>
    </w:p>
    <w:p>
      <w:pPr>
        <w:pStyle w:val="Heading1"/>
        <w:tabs>
          <w:tab w:pos="879" w:val="left" w:leader="none"/>
        </w:tabs>
        <w:rPr>
          <w:b/>
        </w:rPr>
      </w:pPr>
      <w:r>
        <w:rPr/>
        <w:drawing>
          <wp:anchor distT="0" distB="0" distL="0" distR="0" allowOverlap="1" layoutInCell="1" locked="0" behindDoc="1" simplePos="0" relativeHeight="249926656">
            <wp:simplePos x="0" y="0"/>
            <wp:positionH relativeFrom="page">
              <wp:posOffset>6974928</wp:posOffset>
            </wp:positionH>
            <wp:positionV relativeFrom="page">
              <wp:posOffset>161988</wp:posOffset>
            </wp:positionV>
            <wp:extent cx="432079" cy="10368000"/>
            <wp:effectExtent l="0" t="0" r="0" b="0"/>
            <wp:wrapNone/>
            <wp:docPr id="15" name="image5.png"/>
            <wp:cNvGraphicFramePr>
              <a:graphicFrameLocks noChangeAspect="1"/>
            </wp:cNvGraphicFramePr>
            <a:graphic>
              <a:graphicData uri="http://schemas.openxmlformats.org/drawingml/2006/picture">
                <pic:pic>
                  <pic:nvPicPr>
                    <pic:cNvPr id="16" name="image5.png"/>
                    <pic:cNvPicPr/>
                  </pic:nvPicPr>
                  <pic:blipFill>
                    <a:blip r:embed="rId10" cstate="print"/>
                    <a:stretch>
                      <a:fillRect/>
                    </a:stretch>
                  </pic:blipFill>
                  <pic:spPr>
                    <a:xfrm>
                      <a:off x="0" y="0"/>
                      <a:ext cx="432079" cy="10368000"/>
                    </a:xfrm>
                    <a:prstGeom prst="rect">
                      <a:avLst/>
                    </a:prstGeom>
                  </pic:spPr>
                </pic:pic>
              </a:graphicData>
            </a:graphic>
          </wp:anchor>
        </w:drawing>
      </w:r>
      <w:r>
        <w:rPr>
          <w:b/>
          <w:color w:val="FFFFFF"/>
          <w:w w:val="110"/>
          <w:shd w:fill="0090D4" w:color="auto" w:val="clear"/>
        </w:rPr>
        <w:t> </w:t>
      </w:r>
      <w:r>
        <w:rPr>
          <w:b/>
          <w:color w:val="FFFFFF"/>
          <w:shd w:fill="0090D4" w:color="auto" w:val="clear"/>
        </w:rPr>
        <w:tab/>
      </w:r>
      <w:r>
        <w:rPr>
          <w:b/>
          <w:color w:val="FFFFFF"/>
          <w:w w:val="110"/>
          <w:shd w:fill="0090D4" w:color="auto" w:val="clear"/>
        </w:rPr>
        <w:t>2</w:t>
      </w:r>
    </w:p>
    <w:p>
      <w:pPr>
        <w:pStyle w:val="BodyText"/>
        <w:rPr>
          <w:rFonts w:ascii="Stone Sans II ITC Std X Bd"/>
          <w:b/>
          <w:sz w:val="20"/>
        </w:rPr>
      </w:pPr>
    </w:p>
    <w:p>
      <w:pPr>
        <w:pStyle w:val="BodyText"/>
        <w:spacing w:before="3"/>
        <w:rPr>
          <w:rFonts w:ascii="Stone Sans II ITC Std X Bd"/>
          <w:b/>
          <w:sz w:val="19"/>
        </w:rPr>
      </w:pPr>
    </w:p>
    <w:p>
      <w:pPr>
        <w:pStyle w:val="ListParagraph"/>
        <w:numPr>
          <w:ilvl w:val="0"/>
          <w:numId w:val="2"/>
        </w:numPr>
        <w:tabs>
          <w:tab w:pos="1838" w:val="left" w:leader="none"/>
          <w:tab w:pos="1839" w:val="left" w:leader="none"/>
        </w:tabs>
        <w:spacing w:line="240" w:lineRule="auto" w:before="0" w:after="0"/>
        <w:ind w:left="1838" w:right="1442" w:hanging="680"/>
        <w:jc w:val="left"/>
        <w:rPr>
          <w:sz w:val="22"/>
        </w:rPr>
      </w:pPr>
      <w:r>
        <w:rPr/>
        <w:pict>
          <v:shape style="position:absolute;margin-left:557.985779pt;margin-top:-24.706251pt;width:16.3500pt;height:347.3pt;mso-position-horizontal-relative:page;mso-position-vertical-relative:paragraph;z-index:251724800"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sz w:val="22"/>
        </w:rPr>
        <w:t>Mission Council commended Resolution 4 to General Assembly, and invited the task group to present it. Should Assembly support Resolution 4, it will be asked to consider Resolution 5, for which the background is as</w:t>
      </w:r>
      <w:r>
        <w:rPr>
          <w:color w:val="1A171C"/>
          <w:spacing w:val="-8"/>
          <w:sz w:val="22"/>
        </w:rPr>
        <w:t> </w:t>
      </w:r>
      <w:r>
        <w:rPr>
          <w:color w:val="1A171C"/>
          <w:sz w:val="22"/>
        </w:rPr>
        <w:t>follows.</w:t>
      </w:r>
    </w:p>
    <w:p>
      <w:pPr>
        <w:pStyle w:val="BodyText"/>
        <w:rPr>
          <w:sz w:val="24"/>
        </w:rPr>
      </w:pPr>
    </w:p>
    <w:p>
      <w:pPr>
        <w:pStyle w:val="Heading4"/>
        <w:numPr>
          <w:ilvl w:val="0"/>
          <w:numId w:val="4"/>
        </w:numPr>
        <w:tabs>
          <w:tab w:pos="1838" w:val="left" w:leader="none"/>
          <w:tab w:pos="1839" w:val="left" w:leader="none"/>
        </w:tabs>
        <w:spacing w:line="240" w:lineRule="auto" w:before="216" w:after="0"/>
        <w:ind w:left="1838" w:right="0" w:hanging="680"/>
        <w:jc w:val="left"/>
      </w:pPr>
      <w:r>
        <w:rPr>
          <w:color w:val="1A171C"/>
        </w:rPr>
        <w:t>Is </w:t>
      </w:r>
      <w:r>
        <w:rPr>
          <w:color w:val="1A171C"/>
          <w:spacing w:val="3"/>
        </w:rPr>
        <w:t>this </w:t>
      </w:r>
      <w:r>
        <w:rPr>
          <w:color w:val="1A171C"/>
        </w:rPr>
        <w:t>a </w:t>
      </w:r>
      <w:r>
        <w:rPr>
          <w:color w:val="1A171C"/>
          <w:spacing w:val="4"/>
        </w:rPr>
        <w:t>matter </w:t>
      </w:r>
      <w:r>
        <w:rPr>
          <w:color w:val="1A171C"/>
        </w:rPr>
        <w:t>of</w:t>
      </w:r>
      <w:r>
        <w:rPr>
          <w:color w:val="1A171C"/>
          <w:spacing w:val="45"/>
        </w:rPr>
        <w:t> </w:t>
      </w:r>
      <w:r>
        <w:rPr>
          <w:color w:val="1A171C"/>
          <w:spacing w:val="4"/>
        </w:rPr>
        <w:t>doctrine?</w:t>
      </w:r>
    </w:p>
    <w:p>
      <w:pPr>
        <w:pStyle w:val="ListParagraph"/>
        <w:numPr>
          <w:ilvl w:val="0"/>
          <w:numId w:val="2"/>
        </w:numPr>
        <w:tabs>
          <w:tab w:pos="1838" w:val="left" w:leader="none"/>
          <w:tab w:pos="1839" w:val="left" w:leader="none"/>
        </w:tabs>
        <w:spacing w:line="240" w:lineRule="auto" w:before="2" w:after="0"/>
        <w:ind w:left="1838" w:right="1414" w:hanging="680"/>
        <w:jc w:val="left"/>
        <w:rPr>
          <w:sz w:val="22"/>
        </w:rPr>
      </w:pPr>
      <w:r>
        <w:rPr>
          <w:color w:val="1A171C"/>
          <w:sz w:val="22"/>
        </w:rPr>
        <w:t>Mission Council took time to discuss one particular concern about Resolution 4. It had been suggested at Cardiff that the marriage of same-sex couples would ‘modify ... doctrinal formulations of the United Reformed Church’. If that were the case, then any Assembly resolution which would make this possible under our auspices would fall within the terms of Paragraph 2(6)(A)(xi) of the Structure of the URC, and could not be enacted by one Assembly decision alone. An initial Assembly resolution would need to be referred to the Church under the process for ‘Constitutional Amendments’ outlined in Paragraph 3(1) of the Structure, and, subject to the Church’s response, brought back to Assembly for final ratification. Only after that final ratification would it come into effect. Paragraph 3(1) of the Structure is printed in these Assembly papers as Appendix</w:t>
      </w:r>
      <w:r>
        <w:rPr>
          <w:color w:val="1A171C"/>
          <w:spacing w:val="-2"/>
          <w:sz w:val="22"/>
        </w:rPr>
        <w:t> </w:t>
      </w:r>
      <w:r>
        <w:rPr>
          <w:color w:val="1A171C"/>
          <w:sz w:val="22"/>
        </w:rPr>
        <w:t>C.</w:t>
      </w:r>
    </w:p>
    <w:p>
      <w:pPr>
        <w:pStyle w:val="BodyText"/>
        <w:spacing w:before="10"/>
        <w:rPr>
          <w:sz w:val="21"/>
        </w:rPr>
      </w:pPr>
    </w:p>
    <w:p>
      <w:pPr>
        <w:pStyle w:val="ListParagraph"/>
        <w:numPr>
          <w:ilvl w:val="0"/>
          <w:numId w:val="2"/>
        </w:numPr>
        <w:tabs>
          <w:tab w:pos="1838" w:val="left" w:leader="none"/>
          <w:tab w:pos="1839" w:val="left" w:leader="none"/>
        </w:tabs>
        <w:spacing w:line="240" w:lineRule="auto" w:before="1" w:after="0"/>
        <w:ind w:left="1838" w:right="1486" w:hanging="680"/>
        <w:jc w:val="left"/>
        <w:rPr>
          <w:sz w:val="22"/>
        </w:rPr>
      </w:pPr>
      <w:r>
        <w:rPr>
          <w:color w:val="1A171C"/>
          <w:sz w:val="22"/>
        </w:rPr>
        <w:t>After the concern above had been raised, the General Secretary sought help from the faith and order committee and from the law and polity advisory group. Both groups gave considered and careful advice, which was posted on the Church’s website in November and</w:t>
      </w:r>
      <w:r>
        <w:rPr>
          <w:color w:val="1A171C"/>
          <w:spacing w:val="1"/>
          <w:sz w:val="22"/>
        </w:rPr>
        <w:t> </w:t>
      </w:r>
      <w:r>
        <w:rPr>
          <w:color w:val="1A171C"/>
          <w:sz w:val="22"/>
        </w:rPr>
        <w:t>December.</w:t>
      </w:r>
    </w:p>
    <w:p>
      <w:pPr>
        <w:pStyle w:val="BodyText"/>
        <w:spacing w:before="11"/>
        <w:rPr>
          <w:sz w:val="21"/>
        </w:rPr>
      </w:pPr>
    </w:p>
    <w:p>
      <w:pPr>
        <w:pStyle w:val="ListParagraph"/>
        <w:numPr>
          <w:ilvl w:val="0"/>
          <w:numId w:val="2"/>
        </w:numPr>
        <w:tabs>
          <w:tab w:pos="1838" w:val="left" w:leader="none"/>
          <w:tab w:pos="1839" w:val="left" w:leader="none"/>
        </w:tabs>
        <w:spacing w:line="240" w:lineRule="auto" w:before="0" w:after="0"/>
        <w:ind w:left="1838" w:right="0" w:hanging="680"/>
        <w:jc w:val="left"/>
        <w:rPr>
          <w:sz w:val="22"/>
        </w:rPr>
      </w:pPr>
      <w:r>
        <w:rPr>
          <w:color w:val="1A171C"/>
          <w:sz w:val="22"/>
        </w:rPr>
        <w:t>The key passages from the faith and order committee’s response are as</w:t>
      </w:r>
      <w:r>
        <w:rPr>
          <w:color w:val="1A171C"/>
          <w:spacing w:val="-29"/>
          <w:sz w:val="22"/>
        </w:rPr>
        <w:t> </w:t>
      </w:r>
      <w:r>
        <w:rPr>
          <w:color w:val="1A171C"/>
          <w:sz w:val="22"/>
        </w:rPr>
        <w:t>follows:</w:t>
      </w:r>
    </w:p>
    <w:p>
      <w:pPr>
        <w:pStyle w:val="BodyText"/>
      </w:pPr>
    </w:p>
    <w:p>
      <w:pPr>
        <w:pStyle w:val="BodyText"/>
        <w:tabs>
          <w:tab w:pos="2599" w:val="left" w:leader="none"/>
        </w:tabs>
        <w:ind w:left="1838" w:right="1621"/>
      </w:pPr>
      <w:r>
        <w:rPr>
          <w:color w:val="1A171C"/>
        </w:rPr>
        <w:t>27.1.</w:t>
        <w:tab/>
        <w:t>‘... in the doctrinal formulations of the United Reformed Church, since her coming into being in 1972, there is no reference to marriage. The nearest the United Reformed Church comes to a position is in the service books ... but ... service books are not regarded as holding the doctrine of the church</w:t>
      </w:r>
      <w:r>
        <w:rPr>
          <w:color w:val="1A171C"/>
          <w:spacing w:val="-8"/>
        </w:rPr>
        <w:t> </w:t>
      </w:r>
      <w:r>
        <w:rPr>
          <w:color w:val="1A171C"/>
        </w:rPr>
        <w:t>...’</w:t>
      </w:r>
    </w:p>
    <w:p>
      <w:pPr>
        <w:pStyle w:val="BodyText"/>
        <w:spacing w:before="11"/>
        <w:rPr>
          <w:sz w:val="21"/>
        </w:rPr>
      </w:pPr>
    </w:p>
    <w:p>
      <w:pPr>
        <w:pStyle w:val="BodyText"/>
        <w:tabs>
          <w:tab w:pos="2599" w:val="left" w:leader="none"/>
        </w:tabs>
        <w:ind w:left="1838" w:right="1708"/>
      </w:pPr>
      <w:r>
        <w:rPr>
          <w:color w:val="1A171C"/>
        </w:rPr>
        <w:t>27.2</w:t>
        <w:tab/>
        <w:t>‘... marriage is an evolving human institution that flows from the church’s doctrine of humanity, but ... marriage is only one way of living in community ... it is not a doctrine as such, but derived from our doctrine. Therefore although permitting same-sex marriage is a significant change to the church’s practice of ministry it is not a change to the United Reformed Church’s</w:t>
      </w:r>
      <w:r>
        <w:rPr>
          <w:color w:val="1A171C"/>
          <w:spacing w:val="-10"/>
        </w:rPr>
        <w:t> </w:t>
      </w:r>
      <w:r>
        <w:rPr>
          <w:color w:val="1A171C"/>
        </w:rPr>
        <w:t>doctrine.’</w:t>
      </w:r>
    </w:p>
    <w:p>
      <w:pPr>
        <w:pStyle w:val="BodyText"/>
        <w:spacing w:before="1"/>
      </w:pPr>
    </w:p>
    <w:p>
      <w:pPr>
        <w:pStyle w:val="ListParagraph"/>
        <w:numPr>
          <w:ilvl w:val="0"/>
          <w:numId w:val="2"/>
        </w:numPr>
        <w:tabs>
          <w:tab w:pos="1838" w:val="left" w:leader="none"/>
          <w:tab w:pos="1839" w:val="left" w:leader="none"/>
        </w:tabs>
        <w:spacing w:line="240" w:lineRule="auto" w:before="0" w:after="0"/>
        <w:ind w:left="1838" w:right="1513" w:hanging="680"/>
        <w:jc w:val="left"/>
        <w:rPr>
          <w:sz w:val="22"/>
        </w:rPr>
      </w:pPr>
      <w:r>
        <w:rPr>
          <w:color w:val="1A171C"/>
          <w:sz w:val="22"/>
        </w:rPr>
        <w:t>The majority view of the law and polity advisory group was that the matter is not constitutional. While doctrinal statements in the URC’s predecessor churches do make affirmations about marriage, the statements that have formulated the doctrine of the URC(UK) or of the URC since 1972 have not done so. While marriage</w:t>
      </w:r>
      <w:r>
        <w:rPr>
          <w:color w:val="1A171C"/>
          <w:spacing w:val="-35"/>
          <w:sz w:val="22"/>
        </w:rPr>
        <w:t> </w:t>
      </w:r>
      <w:r>
        <w:rPr>
          <w:color w:val="1A171C"/>
          <w:sz w:val="22"/>
        </w:rPr>
        <w:t>services</w:t>
      </w:r>
    </w:p>
    <w:p>
      <w:pPr>
        <w:pStyle w:val="BodyText"/>
        <w:ind w:left="1838" w:right="1427"/>
      </w:pPr>
      <w:r>
        <w:rPr>
          <w:color w:val="1A171C"/>
        </w:rPr>
        <w:t>are an important part of the Church’s practice, affirmations on marriage have not been a part of its common doctrinal commitment and witness.</w:t>
      </w:r>
    </w:p>
    <w:p>
      <w:pPr>
        <w:pStyle w:val="BodyText"/>
        <w:rPr>
          <w:sz w:val="24"/>
        </w:rPr>
      </w:pPr>
    </w:p>
    <w:p>
      <w:pPr>
        <w:pStyle w:val="Heading4"/>
        <w:numPr>
          <w:ilvl w:val="0"/>
          <w:numId w:val="4"/>
        </w:numPr>
        <w:tabs>
          <w:tab w:pos="1838" w:val="left" w:leader="none"/>
          <w:tab w:pos="1839" w:val="left" w:leader="none"/>
        </w:tabs>
        <w:spacing w:line="240" w:lineRule="auto" w:before="214" w:after="0"/>
        <w:ind w:left="1838" w:right="0" w:hanging="680"/>
        <w:jc w:val="left"/>
      </w:pPr>
      <w:r>
        <w:rPr>
          <w:color w:val="1A171C"/>
        </w:rPr>
        <w:t>A </w:t>
      </w:r>
      <w:r>
        <w:rPr>
          <w:color w:val="1A171C"/>
          <w:spacing w:val="3"/>
        </w:rPr>
        <w:t>case for</w:t>
      </w:r>
      <w:r>
        <w:rPr>
          <w:color w:val="1A171C"/>
          <w:spacing w:val="25"/>
        </w:rPr>
        <w:t> </w:t>
      </w:r>
      <w:r>
        <w:rPr>
          <w:color w:val="1A171C"/>
          <w:spacing w:val="4"/>
        </w:rPr>
        <w:t>referral</w:t>
      </w:r>
    </w:p>
    <w:p>
      <w:pPr>
        <w:pStyle w:val="ListParagraph"/>
        <w:numPr>
          <w:ilvl w:val="0"/>
          <w:numId w:val="2"/>
        </w:numPr>
        <w:tabs>
          <w:tab w:pos="1838" w:val="left" w:leader="none"/>
          <w:tab w:pos="1839" w:val="left" w:leader="none"/>
        </w:tabs>
        <w:spacing w:line="240" w:lineRule="auto" w:before="4" w:after="0"/>
        <w:ind w:left="1838" w:right="1426" w:hanging="680"/>
        <w:jc w:val="left"/>
        <w:rPr>
          <w:sz w:val="22"/>
        </w:rPr>
      </w:pPr>
      <w:r>
        <w:rPr>
          <w:color w:val="1A171C"/>
          <w:sz w:val="22"/>
        </w:rPr>
        <w:t>If General Assembly accepts these two pieces of advice, and if it approves Resolution 4, it may reckon that the matter does not involve an amendment to the Church’s constitution, and that it need not use the referral procedure of Paragraph 3(1) of the Structure. Mission Council, however, believed that Assembly should refer the matter to the synods. The reasoning behind this was as follows. (a) There is a strand of opinion in our Church that disagrees with the advice set out above, seeing doctrine as a broader and deeper-seated aspect of church life than is fully set out by the post- 1972 statements mentioned above. (b) An Assembly discussion on whether or not this matter needs to be referred could therefore be complex and lengthy,</w:t>
      </w:r>
      <w:r>
        <w:rPr>
          <w:color w:val="1A171C"/>
          <w:spacing w:val="-20"/>
          <w:sz w:val="22"/>
        </w:rPr>
        <w:t> </w:t>
      </w:r>
      <w:r>
        <w:rPr>
          <w:color w:val="1A171C"/>
          <w:sz w:val="22"/>
        </w:rPr>
        <w:t>requiring</w:t>
      </w:r>
    </w:p>
    <w:p>
      <w:pPr>
        <w:pStyle w:val="BodyText"/>
        <w:spacing w:before="2"/>
        <w:rPr>
          <w:sz w:val="25"/>
        </w:rPr>
      </w:pPr>
    </w:p>
    <w:p>
      <w:pPr>
        <w:pStyle w:val="Heading6"/>
        <w:spacing w:before="96"/>
        <w:rPr>
          <w:rFonts w:ascii="Stone Sans II ITC Std X Bd"/>
          <w:b/>
        </w:rPr>
      </w:pPr>
      <w:r>
        <w:rPr/>
        <w:pict>
          <v:shape style="position:absolute;margin-left:269.564392pt;margin-top:9.291782pt;width:56.45pt;height:12.35pt;mso-position-horizontal-relative:page;mso-position-vertical-relative:paragraph;z-index:-253390848" type="#_x0000_t202" filled="false" stroked="false">
            <v:textbox inset="0,0,0,0">
              <w:txbxContent>
                <w:p>
                  <w:pPr>
                    <w:spacing w:line="247" w:lineRule="exact" w:before="0"/>
                    <w:ind w:left="0" w:right="0" w:firstLine="0"/>
                    <w:jc w:val="left"/>
                    <w:rPr>
                      <w:b/>
                      <w:sz w:val="22"/>
                    </w:rPr>
                  </w:pPr>
                  <w:r>
                    <w:rPr>
                      <w:color w:val="1A171C"/>
                      <w:sz w:val="22"/>
                    </w:rPr>
                    <w:t>Page </w:t>
                  </w:r>
                  <w:r>
                    <w:rPr>
                      <w:b/>
                      <w:color w:val="1A171C"/>
                      <w:sz w:val="22"/>
                    </w:rPr>
                    <w:t>7 </w:t>
                  </w:r>
                  <w:r>
                    <w:rPr>
                      <w:color w:val="1A171C"/>
                      <w:sz w:val="22"/>
                    </w:rPr>
                    <w:t>of </w:t>
                  </w:r>
                  <w:r>
                    <w:rPr>
                      <w:b/>
                      <w:color w:val="1A171C"/>
                      <w:sz w:val="22"/>
                    </w:rPr>
                    <w:t>9</w:t>
                  </w:r>
                </w:p>
              </w:txbxContent>
            </v:textbox>
            <w10:wrap type="none"/>
          </v:shape>
        </w:pict>
      </w:r>
      <w:r>
        <w:rPr/>
        <w:pict>
          <v:rect style="position:absolute;margin-left:240.945007pt;margin-top:4.799701pt;width:99.212pt;height:42.52pt;mso-position-horizontal-relative:page;mso-position-vertical-relative:paragraph;z-index:251723776" filled="true" fillcolor="#ffffff" stroked="false">
            <v:fill type="solid"/>
            <w10:wrap type="none"/>
          </v:rect>
        </w:pict>
      </w:r>
      <w:r>
        <w:rPr>
          <w:rFonts w:ascii="Stone Sans II ITC Std X Bd"/>
          <w:b/>
          <w:color w:val="1A171C"/>
        </w:rPr>
        <w:t>15</w:t>
      </w:r>
    </w:p>
    <w:p>
      <w:pPr>
        <w:spacing w:after="0"/>
        <w:rPr>
          <w:rFonts w:ascii="Stone Sans II ITC Std X Bd"/>
        </w:rPr>
        <w:sectPr>
          <w:pgSz w:w="11910" w:h="16840"/>
          <w:pgMar w:top="240" w:bottom="0" w:left="260" w:right="0"/>
        </w:sectPr>
      </w:pPr>
    </w:p>
    <w:p>
      <w:pPr>
        <w:pStyle w:val="BodyText"/>
        <w:rPr>
          <w:rFonts w:ascii="Stone Sans II ITC Std X Bd"/>
          <w:b/>
          <w:sz w:val="20"/>
        </w:rPr>
      </w:pPr>
      <w:r>
        <w:rPr/>
        <w:pict>
          <v:group style="position:absolute;margin-left:12.756pt;margin-top:12.755014pt;width:77.8pt;height:816.4pt;mso-position-horizontal-relative:page;mso-position-vertical-relative:page;z-index:-253383680" coordorigin="255,255" coordsize="1556,16328">
            <v:shape style="position:absolute;left:255;top:255;width:681;height:16328" type="#_x0000_t75" stroked="false">
              <v:imagedata r:id="rId13"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0090D4" w:color="auto" w:val="clear"/>
                      </w:rPr>
                      <w:t>2</w:t>
                    </w:r>
                    <w:r>
                      <w:rPr>
                        <w:rFonts w:ascii="Stone Sans II ITC Std X Bd"/>
                        <w:b/>
                        <w:color w:val="FFFFFF"/>
                        <w:sz w:val="65"/>
                        <w:shd w:fill="0090D4" w:color="auto" w:val="clear"/>
                      </w:rPr>
                      <w:tab/>
                    </w:r>
                  </w:p>
                </w:txbxContent>
              </v:textbox>
              <w10:wrap type="none"/>
            </v:shape>
            <v:shape style="position:absolute;left:435;top:15990;width:34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16</w:t>
                    </w:r>
                  </w:p>
                </w:txbxContent>
              </v:textbox>
              <w10:wrap type="none"/>
            </v:shape>
            <w10:wrap type="none"/>
          </v:group>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9"/>
        <w:rPr>
          <w:rFonts w:ascii="Stone Sans II ITC Std X Bd"/>
          <w:b/>
          <w:sz w:val="19"/>
        </w:rPr>
      </w:pPr>
    </w:p>
    <w:p>
      <w:pPr>
        <w:pStyle w:val="BodyText"/>
        <w:spacing w:before="94"/>
        <w:ind w:left="1837" w:right="1464"/>
      </w:pPr>
      <w:r>
        <w:rPr/>
        <w:pict>
          <v:shape style="position:absolute;margin-left:21.22007pt;margin-top:-18.434053pt;width:16.3500pt;height:346.1pt;mso-position-horizontal-relative:page;mso-position-vertical-relative:paragraph;z-index:251730944"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rPr>
        <w:t>carefully nuanced historical and theological judgments. (c) Yet avoiding or curtailing such a discussion might open the Church to subsequent challenge, that we had taken a constitutional decision without following due process.</w:t>
      </w:r>
    </w:p>
    <w:p>
      <w:pPr>
        <w:pStyle w:val="BodyText"/>
        <w:spacing w:before="9"/>
        <w:rPr>
          <w:sz w:val="21"/>
        </w:rPr>
      </w:pPr>
    </w:p>
    <w:p>
      <w:pPr>
        <w:pStyle w:val="ListParagraph"/>
        <w:numPr>
          <w:ilvl w:val="0"/>
          <w:numId w:val="2"/>
        </w:numPr>
        <w:tabs>
          <w:tab w:pos="1837" w:val="left" w:leader="none"/>
          <w:tab w:pos="1838" w:val="left" w:leader="none"/>
        </w:tabs>
        <w:spacing w:line="240" w:lineRule="auto" w:before="0" w:after="0"/>
        <w:ind w:left="1837" w:right="1722" w:hanging="680"/>
        <w:jc w:val="left"/>
        <w:rPr>
          <w:sz w:val="22"/>
        </w:rPr>
      </w:pPr>
      <w:r>
        <w:rPr>
          <w:color w:val="1A171C"/>
          <w:sz w:val="22"/>
        </w:rPr>
        <w:t>Further, the trustees of a local church building are expected to ‘permit the premises to be used for' purposes that include 'The public worship of God according to</w:t>
      </w:r>
      <w:r>
        <w:rPr>
          <w:color w:val="1A171C"/>
          <w:spacing w:val="-27"/>
          <w:sz w:val="22"/>
        </w:rPr>
        <w:t> </w:t>
      </w:r>
      <w:r>
        <w:rPr>
          <w:color w:val="1A171C"/>
          <w:sz w:val="22"/>
        </w:rPr>
        <w:t>the</w:t>
      </w:r>
    </w:p>
    <w:p>
      <w:pPr>
        <w:pStyle w:val="BodyText"/>
        <w:spacing w:before="1"/>
        <w:ind w:left="1837" w:right="1416"/>
      </w:pPr>
      <w:r>
        <w:rPr>
          <w:color w:val="1A171C"/>
        </w:rPr>
        <w:t>principles and usages for the time being of the United Reformed Church …’ (Schedule 2 to the URC Acts 1972 and 1981, and Schedule 1 to the URC Act 2000). It could</w:t>
      </w:r>
    </w:p>
    <w:p>
      <w:pPr>
        <w:pStyle w:val="BodyText"/>
        <w:ind w:left="1837" w:right="1576" w:hanging="1"/>
      </w:pPr>
      <w:r>
        <w:rPr>
          <w:color w:val="1A171C"/>
        </w:rPr>
        <w:t>be argued that marriage services for same-sex couples would change the ‘usages ... of the United Reformed Church’, and that this would be a constitutional change. Use of the referral procedure would protect the Church, and perhaps trustees too, from possible challenge on this ground.</w:t>
      </w:r>
    </w:p>
    <w:p>
      <w:pPr>
        <w:pStyle w:val="BodyText"/>
        <w:spacing w:before="11"/>
        <w:rPr>
          <w:sz w:val="21"/>
        </w:rPr>
      </w:pPr>
    </w:p>
    <w:p>
      <w:pPr>
        <w:pStyle w:val="ListParagraph"/>
        <w:numPr>
          <w:ilvl w:val="0"/>
          <w:numId w:val="2"/>
        </w:numPr>
        <w:tabs>
          <w:tab w:pos="1837" w:val="left" w:leader="none"/>
          <w:tab w:pos="1838" w:val="left" w:leader="none"/>
        </w:tabs>
        <w:spacing w:line="240" w:lineRule="auto" w:before="0" w:after="0"/>
        <w:ind w:left="1837" w:right="1649" w:hanging="680"/>
        <w:jc w:val="left"/>
        <w:rPr>
          <w:sz w:val="22"/>
        </w:rPr>
      </w:pPr>
      <w:r>
        <w:rPr>
          <w:color w:val="1A171C"/>
          <w:sz w:val="22"/>
        </w:rPr>
        <w:t>Since Mission Council met, the Church’s legal adviser has written about the issue of referral. He makes two points that are not directly addressed</w:t>
      </w:r>
      <w:r>
        <w:rPr>
          <w:color w:val="1A171C"/>
          <w:spacing w:val="-15"/>
          <w:sz w:val="22"/>
        </w:rPr>
        <w:t> </w:t>
      </w:r>
      <w:r>
        <w:rPr>
          <w:color w:val="1A171C"/>
          <w:sz w:val="22"/>
        </w:rPr>
        <w:t>above.</w:t>
      </w:r>
    </w:p>
    <w:p>
      <w:pPr>
        <w:pStyle w:val="BodyText"/>
        <w:spacing w:before="11"/>
        <w:rPr>
          <w:sz w:val="21"/>
        </w:rPr>
      </w:pPr>
    </w:p>
    <w:p>
      <w:pPr>
        <w:pStyle w:val="ListParagraph"/>
        <w:numPr>
          <w:ilvl w:val="1"/>
          <w:numId w:val="2"/>
        </w:numPr>
        <w:tabs>
          <w:tab w:pos="2598" w:val="left" w:leader="none"/>
          <w:tab w:pos="2599" w:val="left" w:leader="none"/>
        </w:tabs>
        <w:spacing w:line="240" w:lineRule="auto" w:before="0" w:after="0"/>
        <w:ind w:left="1837" w:right="1597" w:firstLine="0"/>
        <w:jc w:val="left"/>
        <w:rPr>
          <w:sz w:val="22"/>
        </w:rPr>
      </w:pPr>
      <w:r>
        <w:rPr>
          <w:color w:val="1A171C"/>
          <w:sz w:val="22"/>
        </w:rPr>
        <w:t>The advice of the faith and order committee is that the marriage of same-sex couples would be a notable change in the Church’s practice. Even if it is not thought doctrinal, it might still be reckoned to come under Paragraph 2(6)(A)(xi) of the Structure, which refers to ‘any other form or expression of the polity….of the United Reformed Church’. If that view were taken, then it would require referral under Paragraph 3(1) of the</w:t>
      </w:r>
      <w:r>
        <w:rPr>
          <w:color w:val="1A171C"/>
          <w:spacing w:val="-2"/>
          <w:sz w:val="22"/>
        </w:rPr>
        <w:t> </w:t>
      </w:r>
      <w:r>
        <w:rPr>
          <w:color w:val="1A171C"/>
          <w:sz w:val="22"/>
        </w:rPr>
        <w:t>Structure.</w:t>
      </w:r>
    </w:p>
    <w:p>
      <w:pPr>
        <w:pStyle w:val="BodyText"/>
      </w:pPr>
    </w:p>
    <w:p>
      <w:pPr>
        <w:pStyle w:val="ListParagraph"/>
        <w:numPr>
          <w:ilvl w:val="1"/>
          <w:numId w:val="2"/>
        </w:numPr>
        <w:tabs>
          <w:tab w:pos="2598" w:val="left" w:leader="none"/>
          <w:tab w:pos="2599" w:val="left" w:leader="none"/>
        </w:tabs>
        <w:spacing w:line="240" w:lineRule="auto" w:before="0" w:after="0"/>
        <w:ind w:left="1837" w:right="1429" w:firstLine="0"/>
        <w:jc w:val="left"/>
        <w:rPr>
          <w:sz w:val="22"/>
        </w:rPr>
      </w:pPr>
      <w:r>
        <w:rPr>
          <w:color w:val="1A171C"/>
          <w:sz w:val="22"/>
        </w:rPr>
        <w:t>Further, the Assembly should take into account the unity and peace of the Church when making a decision, particularly when a controversial matter is being considered. In this connection, even on matters which are not of a constitutional nature, Paragraph 4 of the Structure of the Church requires that there shall be the fullest attempt to discover the mind of other councils of the Church before a body such as the Assembly makes its final decision. The process prescribed for constitutional amendments can be used as a way of achieving</w:t>
      </w:r>
      <w:r>
        <w:rPr>
          <w:color w:val="1A171C"/>
          <w:spacing w:val="-4"/>
          <w:sz w:val="22"/>
        </w:rPr>
        <w:t> </w:t>
      </w:r>
      <w:r>
        <w:rPr>
          <w:color w:val="1A171C"/>
          <w:sz w:val="22"/>
        </w:rPr>
        <w:t>this.</w:t>
      </w:r>
    </w:p>
    <w:p>
      <w:pPr>
        <w:pStyle w:val="BodyText"/>
        <w:spacing w:before="10"/>
        <w:rPr>
          <w:sz w:val="21"/>
        </w:rPr>
      </w:pPr>
    </w:p>
    <w:p>
      <w:pPr>
        <w:pStyle w:val="ListParagraph"/>
        <w:numPr>
          <w:ilvl w:val="0"/>
          <w:numId w:val="2"/>
        </w:numPr>
        <w:tabs>
          <w:tab w:pos="1837" w:val="left" w:leader="none"/>
          <w:tab w:pos="1838" w:val="left" w:leader="none"/>
        </w:tabs>
        <w:spacing w:line="240" w:lineRule="auto" w:before="0" w:after="0"/>
        <w:ind w:left="1837" w:right="1605" w:hanging="680"/>
        <w:jc w:val="left"/>
        <w:rPr>
          <w:sz w:val="22"/>
        </w:rPr>
      </w:pPr>
      <w:r>
        <w:rPr>
          <w:color w:val="1A171C"/>
          <w:sz w:val="22"/>
        </w:rPr>
        <w:t>After careful discussion, a majority of Mission Council believed that referral would be the better way forward, and agreed, by 43 votes to 15, to commend the following resolution to</w:t>
      </w:r>
      <w:r>
        <w:rPr>
          <w:color w:val="1A171C"/>
          <w:spacing w:val="-3"/>
          <w:sz w:val="22"/>
        </w:rPr>
        <w:t> </w:t>
      </w:r>
      <w:r>
        <w:rPr>
          <w:color w:val="1A171C"/>
          <w:sz w:val="22"/>
        </w:rPr>
        <w:t>Assembly:</w:t>
      </w:r>
    </w:p>
    <w:p>
      <w:pPr>
        <w:pStyle w:val="BodyText"/>
        <w:spacing w:before="2"/>
      </w:pPr>
    </w:p>
    <w:p>
      <w:pPr>
        <w:spacing w:line="321" w:lineRule="exact" w:before="0"/>
        <w:ind w:left="1837" w:right="0" w:firstLine="0"/>
        <w:jc w:val="left"/>
        <w:rPr>
          <w:b/>
          <w:sz w:val="28"/>
        </w:rPr>
      </w:pPr>
      <w:r>
        <w:rPr>
          <w:b/>
          <w:color w:val="1A171C"/>
          <w:sz w:val="28"/>
        </w:rPr>
        <w:t>Resolution 5</w:t>
      </w:r>
    </w:p>
    <w:p>
      <w:pPr>
        <w:pStyle w:val="Heading7"/>
        <w:spacing w:before="0"/>
        <w:ind w:left="1837" w:right="1834"/>
      </w:pPr>
      <w:r>
        <w:rPr>
          <w:color w:val="1A171C"/>
        </w:rPr>
        <w:t>General Assembly refers Resolution 4 to the synods, using the procedure in Paragraph 3(1) of the Structure, with responses to the General Secretary by 31 March 2016.</w:t>
      </w:r>
    </w:p>
    <w:p>
      <w:pPr>
        <w:pStyle w:val="BodyText"/>
        <w:spacing w:before="2"/>
        <w:rPr>
          <w:b/>
        </w:rPr>
      </w:pPr>
    </w:p>
    <w:p>
      <w:pPr>
        <w:pStyle w:val="ListParagraph"/>
        <w:numPr>
          <w:ilvl w:val="0"/>
          <w:numId w:val="2"/>
        </w:numPr>
        <w:tabs>
          <w:tab w:pos="1837" w:val="left" w:leader="none"/>
          <w:tab w:pos="1838" w:val="left" w:leader="none"/>
          <w:tab w:pos="2597" w:val="left" w:leader="none"/>
        </w:tabs>
        <w:spacing w:line="240" w:lineRule="auto" w:before="0" w:after="0"/>
        <w:ind w:left="1837" w:right="1651" w:hanging="679"/>
        <w:jc w:val="left"/>
        <w:rPr>
          <w:sz w:val="22"/>
        </w:rPr>
      </w:pPr>
      <w:r>
        <w:rPr>
          <w:color w:val="1A171C"/>
          <w:sz w:val="22"/>
        </w:rPr>
        <w:t>33.1</w:t>
        <w:tab/>
        <w:t>If Assembly were to agree Resolution 4 and decide not to refer it, Assembly would be taking the view that the matter is not constitutional. To take that view, Assembly would need to be confident that the doctrine and usages of the URC as a whole are not being altered, and that discernment on this particular issue is properly assigned to local</w:t>
      </w:r>
      <w:r>
        <w:rPr>
          <w:color w:val="1A171C"/>
          <w:spacing w:val="-5"/>
          <w:sz w:val="22"/>
        </w:rPr>
        <w:t> </w:t>
      </w:r>
      <w:r>
        <w:rPr>
          <w:color w:val="1A171C"/>
          <w:sz w:val="22"/>
        </w:rPr>
        <w:t>churches.</w:t>
      </w:r>
    </w:p>
    <w:p>
      <w:pPr>
        <w:pStyle w:val="BodyText"/>
        <w:spacing w:before="10"/>
        <w:rPr>
          <w:sz w:val="21"/>
        </w:rPr>
      </w:pPr>
    </w:p>
    <w:p>
      <w:pPr>
        <w:pStyle w:val="ListParagraph"/>
        <w:numPr>
          <w:ilvl w:val="1"/>
          <w:numId w:val="5"/>
        </w:numPr>
        <w:tabs>
          <w:tab w:pos="2597" w:val="left" w:leader="none"/>
          <w:tab w:pos="2598" w:val="left" w:leader="none"/>
        </w:tabs>
        <w:spacing w:line="240" w:lineRule="auto" w:before="0" w:after="0"/>
        <w:ind w:left="1836" w:right="1560" w:firstLine="0"/>
        <w:jc w:val="left"/>
        <w:rPr>
          <w:sz w:val="22"/>
        </w:rPr>
      </w:pPr>
      <w:r>
        <w:rPr>
          <w:color w:val="1A171C"/>
          <w:sz w:val="22"/>
        </w:rPr>
        <w:t>If, on the other hand, Assembly were to accept Mission Council's advice, and refer the resolution under Paragraph 3(1) procedure, this need not imply that the matter is definitely constitutional. But it would save Assembly discussing whether it is or not, and would protect any decision against challenge on constitutional</w:t>
      </w:r>
      <w:r>
        <w:rPr>
          <w:color w:val="1A171C"/>
          <w:spacing w:val="-29"/>
          <w:sz w:val="22"/>
        </w:rPr>
        <w:t> </w:t>
      </w:r>
      <w:r>
        <w:rPr>
          <w:color w:val="1A171C"/>
          <w:sz w:val="22"/>
        </w:rPr>
        <w:t>grounds.</w:t>
      </w:r>
    </w:p>
    <w:p>
      <w:pPr>
        <w:pStyle w:val="BodyText"/>
      </w:pPr>
    </w:p>
    <w:p>
      <w:pPr>
        <w:pStyle w:val="ListParagraph"/>
        <w:numPr>
          <w:ilvl w:val="1"/>
          <w:numId w:val="5"/>
        </w:numPr>
        <w:tabs>
          <w:tab w:pos="2597" w:val="left" w:leader="none"/>
          <w:tab w:pos="2598" w:val="left" w:leader="none"/>
        </w:tabs>
        <w:spacing w:line="240" w:lineRule="auto" w:before="0" w:after="0"/>
        <w:ind w:left="1836" w:right="1709" w:firstLine="0"/>
        <w:jc w:val="left"/>
        <w:rPr>
          <w:sz w:val="22"/>
        </w:rPr>
      </w:pPr>
      <w:r>
        <w:rPr/>
        <w:pict>
          <v:shape style="position:absolute;margin-left:269.519989pt;margin-top:78.960175pt;width:56.45pt;height:12.35pt;mso-position-horizontal-relative:page;mso-position-vertical-relative:paragraph;z-index:-253386752" type="#_x0000_t202" filled="false" stroked="false">
            <v:textbox inset="0,0,0,0">
              <w:txbxContent>
                <w:p>
                  <w:pPr>
                    <w:spacing w:line="247" w:lineRule="exact" w:before="0"/>
                    <w:ind w:left="0" w:right="0" w:firstLine="0"/>
                    <w:jc w:val="left"/>
                    <w:rPr>
                      <w:b/>
                      <w:sz w:val="22"/>
                    </w:rPr>
                  </w:pPr>
                  <w:r>
                    <w:rPr>
                      <w:color w:val="1A171C"/>
                      <w:sz w:val="22"/>
                    </w:rPr>
                    <w:t>Page </w:t>
                  </w:r>
                  <w:r>
                    <w:rPr>
                      <w:b/>
                      <w:color w:val="1A171C"/>
                      <w:sz w:val="22"/>
                    </w:rPr>
                    <w:t>8 </w:t>
                  </w:r>
                  <w:r>
                    <w:rPr>
                      <w:color w:val="1A171C"/>
                      <w:sz w:val="22"/>
                    </w:rPr>
                    <w:t>of </w:t>
                  </w:r>
                  <w:r>
                    <w:rPr>
                      <w:b/>
                      <w:color w:val="1A171C"/>
                      <w:sz w:val="22"/>
                    </w:rPr>
                    <w:t>9</w:t>
                  </w:r>
                </w:p>
              </w:txbxContent>
            </v:textbox>
            <w10:wrap type="none"/>
          </v:shape>
        </w:pict>
      </w:r>
      <w:r>
        <w:rPr/>
        <w:pict>
          <v:rect style="position:absolute;margin-left:239.528pt;margin-top:65.963188pt;width:99.212pt;height:42.521pt;mso-position-horizontal-relative:page;mso-position-vertical-relative:paragraph;z-index:251729920" filled="true" fillcolor="#ffffff" stroked="false">
            <v:fill type="solid"/>
            <w10:wrap type="none"/>
          </v:rect>
        </w:pict>
      </w:r>
      <w:r>
        <w:rPr>
          <w:color w:val="1A171C"/>
          <w:sz w:val="22"/>
        </w:rPr>
        <w:t>If a matter is referred and more than a third of the synods – five or more – vote ‘that the proposal be not proceeded with’, then it falls. Otherwise it would be brought back to General Assembly 2016, where a two-thirds majority would be able to confirm it as the Church’s</w:t>
      </w:r>
      <w:r>
        <w:rPr>
          <w:color w:val="1A171C"/>
          <w:spacing w:val="-3"/>
          <w:sz w:val="22"/>
        </w:rPr>
        <w:t> </w:t>
      </w:r>
      <w:r>
        <w:rPr>
          <w:color w:val="1A171C"/>
          <w:sz w:val="22"/>
        </w:rPr>
        <w:t>decision.</w:t>
      </w:r>
    </w:p>
    <w:p>
      <w:pPr>
        <w:spacing w:after="0" w:line="240" w:lineRule="auto"/>
        <w:jc w:val="left"/>
        <w:rPr>
          <w:sz w:val="22"/>
        </w:rPr>
        <w:sectPr>
          <w:pgSz w:w="11910" w:h="16840"/>
          <w:pgMar w:top="240" w:bottom="0" w:left="260" w:right="0"/>
        </w:sectPr>
      </w:pPr>
    </w:p>
    <w:p>
      <w:pPr>
        <w:pStyle w:val="Heading1"/>
        <w:tabs>
          <w:tab w:pos="879" w:val="left" w:leader="none"/>
        </w:tabs>
        <w:rPr>
          <w:b/>
        </w:rPr>
      </w:pPr>
      <w:r>
        <w:rPr/>
        <w:drawing>
          <wp:anchor distT="0" distB="0" distL="0" distR="0" allowOverlap="1" layoutInCell="1" locked="0" behindDoc="1" simplePos="0" relativeHeight="249936896">
            <wp:simplePos x="0" y="0"/>
            <wp:positionH relativeFrom="page">
              <wp:posOffset>6974928</wp:posOffset>
            </wp:positionH>
            <wp:positionV relativeFrom="page">
              <wp:posOffset>161988</wp:posOffset>
            </wp:positionV>
            <wp:extent cx="432079" cy="10368000"/>
            <wp:effectExtent l="0" t="0" r="0" b="0"/>
            <wp:wrapNone/>
            <wp:docPr id="17" name="image5.png"/>
            <wp:cNvGraphicFramePr>
              <a:graphicFrameLocks noChangeAspect="1"/>
            </wp:cNvGraphicFramePr>
            <a:graphic>
              <a:graphicData uri="http://schemas.openxmlformats.org/drawingml/2006/picture">
                <pic:pic>
                  <pic:nvPicPr>
                    <pic:cNvPr id="18" name="image5.png"/>
                    <pic:cNvPicPr/>
                  </pic:nvPicPr>
                  <pic:blipFill>
                    <a:blip r:embed="rId10" cstate="print"/>
                    <a:stretch>
                      <a:fillRect/>
                    </a:stretch>
                  </pic:blipFill>
                  <pic:spPr>
                    <a:xfrm>
                      <a:off x="0" y="0"/>
                      <a:ext cx="432079" cy="10368000"/>
                    </a:xfrm>
                    <a:prstGeom prst="rect">
                      <a:avLst/>
                    </a:prstGeom>
                  </pic:spPr>
                </pic:pic>
              </a:graphicData>
            </a:graphic>
          </wp:anchor>
        </w:drawing>
      </w:r>
      <w:r>
        <w:rPr>
          <w:b/>
          <w:color w:val="FFFFFF"/>
          <w:w w:val="110"/>
          <w:shd w:fill="0090D4" w:color="auto" w:val="clear"/>
        </w:rPr>
        <w:t> </w:t>
      </w:r>
      <w:r>
        <w:rPr>
          <w:b/>
          <w:color w:val="FFFFFF"/>
          <w:shd w:fill="0090D4" w:color="auto" w:val="clear"/>
        </w:rPr>
        <w:tab/>
      </w:r>
      <w:r>
        <w:rPr>
          <w:b/>
          <w:color w:val="FFFFFF"/>
          <w:w w:val="110"/>
          <w:shd w:fill="0090D4" w:color="auto" w:val="clear"/>
        </w:rPr>
        <w:t>2</w:t>
      </w:r>
    </w:p>
    <w:p>
      <w:pPr>
        <w:pStyle w:val="BodyText"/>
        <w:rPr>
          <w:rFonts w:ascii="Stone Sans II ITC Std X Bd"/>
          <w:b/>
          <w:sz w:val="20"/>
        </w:rPr>
      </w:pPr>
    </w:p>
    <w:p>
      <w:pPr>
        <w:pStyle w:val="BodyText"/>
        <w:spacing w:before="11"/>
        <w:rPr>
          <w:rFonts w:ascii="Stone Sans II ITC Std X Bd"/>
          <w:b/>
          <w:sz w:val="19"/>
        </w:rPr>
      </w:pPr>
    </w:p>
    <w:p>
      <w:pPr>
        <w:pStyle w:val="Heading4"/>
        <w:numPr>
          <w:ilvl w:val="0"/>
          <w:numId w:val="4"/>
        </w:numPr>
        <w:tabs>
          <w:tab w:pos="1838" w:val="left" w:leader="none"/>
          <w:tab w:pos="1839" w:val="left" w:leader="none"/>
        </w:tabs>
        <w:spacing w:line="240" w:lineRule="auto" w:before="89" w:after="0"/>
        <w:ind w:left="1838" w:right="0" w:hanging="680"/>
        <w:jc w:val="left"/>
      </w:pPr>
      <w:r>
        <w:rPr/>
        <w:pict>
          <v:shape style="position:absolute;margin-left:557.985779pt;margin-top:-25.087915pt;width:16.3500pt;height:347.3pt;mso-position-horizontal-relative:page;mso-position-vertical-relative:paragraph;z-index:251735040"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spacing w:val="4"/>
        </w:rPr>
        <w:t>Looking beyond</w:t>
      </w:r>
      <w:r>
        <w:rPr>
          <w:color w:val="1A171C"/>
          <w:spacing w:val="19"/>
        </w:rPr>
        <w:t> </w:t>
      </w:r>
      <w:r>
        <w:rPr>
          <w:color w:val="1A171C"/>
          <w:spacing w:val="4"/>
        </w:rPr>
        <w:t>Assembly</w:t>
      </w:r>
    </w:p>
    <w:p>
      <w:pPr>
        <w:pStyle w:val="ListParagraph"/>
        <w:numPr>
          <w:ilvl w:val="0"/>
          <w:numId w:val="2"/>
        </w:numPr>
        <w:tabs>
          <w:tab w:pos="1838" w:val="left" w:leader="none"/>
          <w:tab w:pos="1839" w:val="left" w:leader="none"/>
        </w:tabs>
        <w:spacing w:line="240" w:lineRule="auto" w:before="4" w:after="0"/>
        <w:ind w:left="1838" w:right="1685" w:hanging="680"/>
        <w:jc w:val="left"/>
        <w:rPr>
          <w:sz w:val="22"/>
        </w:rPr>
      </w:pPr>
      <w:r>
        <w:rPr>
          <w:color w:val="1A171C"/>
          <w:sz w:val="22"/>
        </w:rPr>
        <w:t>Should Resolution 4 be passed for implementation by General Assembly (either without referral, or after referral) a number of further matters will require prompt and careful</w:t>
      </w:r>
      <w:r>
        <w:rPr>
          <w:color w:val="1A171C"/>
          <w:spacing w:val="-1"/>
          <w:sz w:val="22"/>
        </w:rPr>
        <w:t> </w:t>
      </w:r>
      <w:r>
        <w:rPr>
          <w:color w:val="1A171C"/>
          <w:sz w:val="22"/>
        </w:rPr>
        <w:t>handling:</w:t>
      </w:r>
    </w:p>
    <w:p>
      <w:pPr>
        <w:pStyle w:val="BodyText"/>
        <w:spacing w:before="10"/>
        <w:rPr>
          <w:sz w:val="21"/>
        </w:rPr>
      </w:pPr>
    </w:p>
    <w:p>
      <w:pPr>
        <w:pStyle w:val="ListParagraph"/>
        <w:numPr>
          <w:ilvl w:val="1"/>
          <w:numId w:val="2"/>
        </w:numPr>
        <w:tabs>
          <w:tab w:pos="2599" w:val="left" w:leader="none"/>
          <w:tab w:pos="2600" w:val="left" w:leader="none"/>
        </w:tabs>
        <w:spacing w:line="240" w:lineRule="auto" w:before="0" w:after="0"/>
        <w:ind w:left="1838" w:right="1485" w:firstLine="0"/>
        <w:jc w:val="left"/>
        <w:rPr>
          <w:sz w:val="22"/>
        </w:rPr>
      </w:pPr>
      <w:r>
        <w:rPr>
          <w:color w:val="1A171C"/>
          <w:sz w:val="22"/>
        </w:rPr>
        <w:t>Local churches may want guidance on how to register their buildings. The law and polity advisory group will draft a flow-chart of steps to be taken and some model documentation to</w:t>
      </w:r>
      <w:r>
        <w:rPr>
          <w:color w:val="1A171C"/>
          <w:spacing w:val="-3"/>
          <w:sz w:val="22"/>
        </w:rPr>
        <w:t> </w:t>
      </w:r>
      <w:r>
        <w:rPr>
          <w:color w:val="1A171C"/>
          <w:sz w:val="22"/>
        </w:rPr>
        <w:t>use.</w:t>
      </w:r>
    </w:p>
    <w:p>
      <w:pPr>
        <w:pStyle w:val="BodyText"/>
      </w:pPr>
    </w:p>
    <w:p>
      <w:pPr>
        <w:pStyle w:val="ListParagraph"/>
        <w:numPr>
          <w:ilvl w:val="1"/>
          <w:numId w:val="2"/>
        </w:numPr>
        <w:tabs>
          <w:tab w:pos="2598" w:val="left" w:leader="none"/>
          <w:tab w:pos="2599" w:val="left" w:leader="none"/>
        </w:tabs>
        <w:spacing w:line="240" w:lineRule="auto" w:before="1" w:after="0"/>
        <w:ind w:left="1838" w:right="1683" w:firstLine="0"/>
        <w:jc w:val="left"/>
        <w:rPr>
          <w:sz w:val="22"/>
        </w:rPr>
      </w:pPr>
      <w:r>
        <w:rPr>
          <w:color w:val="1A171C"/>
          <w:sz w:val="22"/>
        </w:rPr>
        <w:t>Liturgical material will be needed, to ensure that any same-sex marriage services (a) reflect our Reformed traditions appropriately and (b) are legally secure. Again the law and polity advisory group will advise, particularly on the second</w:t>
      </w:r>
      <w:r>
        <w:rPr>
          <w:color w:val="1A171C"/>
          <w:spacing w:val="-37"/>
          <w:sz w:val="22"/>
        </w:rPr>
        <w:t> </w:t>
      </w:r>
      <w:r>
        <w:rPr>
          <w:color w:val="1A171C"/>
          <w:sz w:val="22"/>
        </w:rPr>
        <w:t>point.</w:t>
      </w:r>
    </w:p>
    <w:p>
      <w:pPr>
        <w:pStyle w:val="BodyText"/>
      </w:pPr>
    </w:p>
    <w:p>
      <w:pPr>
        <w:pStyle w:val="ListParagraph"/>
        <w:numPr>
          <w:ilvl w:val="1"/>
          <w:numId w:val="2"/>
        </w:numPr>
        <w:tabs>
          <w:tab w:pos="2598" w:val="left" w:leader="none"/>
          <w:tab w:pos="2599" w:val="left" w:leader="none"/>
        </w:tabs>
        <w:spacing w:line="240" w:lineRule="auto" w:before="0" w:after="0"/>
        <w:ind w:left="1837" w:right="1610" w:firstLine="0"/>
        <w:jc w:val="left"/>
        <w:rPr>
          <w:sz w:val="22"/>
        </w:rPr>
      </w:pPr>
      <w:r>
        <w:rPr>
          <w:color w:val="1A171C"/>
          <w:sz w:val="22"/>
        </w:rPr>
        <w:t>If any local church is either acutely disquieted as a body about the Assembly decision, or deeply divided within itself, it may wish to call upon the advice and support of the wider church. Because synods exercise care for local churches, they will be the first point of</w:t>
      </w:r>
      <w:r>
        <w:rPr>
          <w:color w:val="1A171C"/>
          <w:spacing w:val="-1"/>
          <w:sz w:val="22"/>
        </w:rPr>
        <w:t> </w:t>
      </w:r>
      <w:r>
        <w:rPr>
          <w:color w:val="1A171C"/>
          <w:sz w:val="22"/>
        </w:rPr>
        <w:t>contact.</w:t>
      </w:r>
    </w:p>
    <w:p>
      <w:pPr>
        <w:pStyle w:val="BodyText"/>
      </w:pPr>
    </w:p>
    <w:p>
      <w:pPr>
        <w:pStyle w:val="ListParagraph"/>
        <w:numPr>
          <w:ilvl w:val="0"/>
          <w:numId w:val="2"/>
        </w:numPr>
        <w:tabs>
          <w:tab w:pos="1837" w:val="left" w:leader="none"/>
          <w:tab w:pos="1838" w:val="left" w:leader="none"/>
        </w:tabs>
        <w:spacing w:line="240" w:lineRule="auto" w:before="0" w:after="0"/>
        <w:ind w:left="1837" w:right="1505" w:hanging="680"/>
        <w:jc w:val="left"/>
        <w:rPr>
          <w:sz w:val="22"/>
        </w:rPr>
      </w:pPr>
      <w:r>
        <w:rPr>
          <w:color w:val="1A171C"/>
          <w:sz w:val="22"/>
        </w:rPr>
        <w:t>Conversely, should General Assembly not progress this matter along the lines set out in Resolution 4, there are likely to be some members and congregations – not the same group as mentioned above – who will be deeply disappointed, and who may want particular attention and support from the wider church. Again synods will expect to lead on</w:t>
      </w:r>
      <w:r>
        <w:rPr>
          <w:color w:val="1A171C"/>
          <w:spacing w:val="-3"/>
          <w:sz w:val="22"/>
        </w:rPr>
        <w:t> </w:t>
      </w:r>
      <w:r>
        <w:rPr>
          <w:color w:val="1A171C"/>
          <w:sz w:val="22"/>
        </w:rPr>
        <w:t>this.</w:t>
      </w:r>
    </w:p>
    <w:p>
      <w:pPr>
        <w:pStyle w:val="BodyText"/>
        <w:spacing w:before="9"/>
        <w:rPr>
          <w:sz w:val="21"/>
        </w:rPr>
      </w:pPr>
    </w:p>
    <w:p>
      <w:pPr>
        <w:pStyle w:val="Heading4"/>
        <w:spacing w:before="0"/>
        <w:ind w:left="1159" w:firstLine="0"/>
      </w:pPr>
      <w:r>
        <w:rPr>
          <w:color w:val="1A171C"/>
        </w:rPr>
        <w:t>The task of Assembly</w:t>
      </w:r>
    </w:p>
    <w:p>
      <w:pPr>
        <w:pStyle w:val="ListParagraph"/>
        <w:numPr>
          <w:ilvl w:val="0"/>
          <w:numId w:val="2"/>
        </w:numPr>
        <w:tabs>
          <w:tab w:pos="1838" w:val="left" w:leader="none"/>
          <w:tab w:pos="1839" w:val="left" w:leader="none"/>
        </w:tabs>
        <w:spacing w:line="240" w:lineRule="auto" w:before="2" w:after="0"/>
        <w:ind w:left="1838" w:right="1467" w:hanging="680"/>
        <w:jc w:val="left"/>
        <w:rPr>
          <w:sz w:val="22"/>
        </w:rPr>
      </w:pPr>
      <w:r>
        <w:rPr>
          <w:color w:val="1A171C"/>
          <w:sz w:val="22"/>
        </w:rPr>
        <w:t>This paper has set out the business the Assembly will be asked to address in Birmingham. The issues are sensitive; they intertwine with our personal stories; and they relate to deeply held but differing convictions. So the Assembly has a demanding task. It will also have limited time. The meeting will be held within a framework of worship and prayer as the Assembly seeks God’s will. The Officers ask all of the members of Assembly to pray, beforehand and on the day, that our discussions will express and embody the fruits of the Spirit, and that the fellowship of our Church may deepen and grow through the business we do</w:t>
      </w:r>
      <w:r>
        <w:rPr>
          <w:color w:val="1A171C"/>
          <w:spacing w:val="-10"/>
          <w:sz w:val="22"/>
        </w:rPr>
        <w:t> </w:t>
      </w:r>
      <w:r>
        <w:rPr>
          <w:color w:val="1A171C"/>
          <w:sz w:val="22"/>
        </w:rPr>
        <w:t>together.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Heading6"/>
        <w:spacing w:before="96"/>
        <w:rPr>
          <w:rFonts w:ascii="Stone Sans II ITC Std X Bd"/>
          <w:b/>
        </w:rPr>
      </w:pPr>
      <w:r>
        <w:rPr/>
        <w:pict>
          <v:shape style="position:absolute;margin-left:269.564392pt;margin-top:14.252382pt;width:56.45pt;height:12.35pt;mso-position-horizontal-relative:page;mso-position-vertical-relative:paragraph;z-index:-253380608" type="#_x0000_t202" filled="false" stroked="false">
            <v:textbox inset="0,0,0,0">
              <w:txbxContent>
                <w:p>
                  <w:pPr>
                    <w:spacing w:line="247" w:lineRule="exact" w:before="0"/>
                    <w:ind w:left="0" w:right="0" w:firstLine="0"/>
                    <w:jc w:val="left"/>
                    <w:rPr>
                      <w:b/>
                      <w:sz w:val="22"/>
                    </w:rPr>
                  </w:pPr>
                  <w:r>
                    <w:rPr>
                      <w:color w:val="1A171C"/>
                      <w:sz w:val="22"/>
                    </w:rPr>
                    <w:t>Page </w:t>
                  </w:r>
                  <w:r>
                    <w:rPr>
                      <w:b/>
                      <w:color w:val="1A171C"/>
                      <w:sz w:val="22"/>
                    </w:rPr>
                    <w:t>9 </w:t>
                  </w:r>
                  <w:r>
                    <w:rPr>
                      <w:color w:val="1A171C"/>
                      <w:sz w:val="22"/>
                    </w:rPr>
                    <w:t>of </w:t>
                  </w:r>
                  <w:r>
                    <w:rPr>
                      <w:b/>
                      <w:color w:val="1A171C"/>
                      <w:sz w:val="22"/>
                    </w:rPr>
                    <w:t>9</w:t>
                  </w:r>
                </w:p>
              </w:txbxContent>
            </v:textbox>
            <w10:wrap type="none"/>
          </v:shape>
        </w:pict>
      </w:r>
      <w:r>
        <w:rPr/>
        <w:pict>
          <v:rect style="position:absolute;margin-left:223.936996pt;margin-top:4.798701pt;width:134.645pt;height:42.521pt;mso-position-horizontal-relative:page;mso-position-vertical-relative:paragraph;z-index:251734016" filled="true" fillcolor="#ffffff" stroked="false">
            <v:fill type="solid"/>
            <w10:wrap type="none"/>
          </v:rect>
        </w:pict>
      </w:r>
      <w:r>
        <w:rPr>
          <w:rFonts w:ascii="Stone Sans II ITC Std X Bd"/>
          <w:b/>
          <w:color w:val="1A171C"/>
        </w:rPr>
        <w:t>17</w:t>
      </w:r>
    </w:p>
    <w:p>
      <w:pPr>
        <w:spacing w:after="0"/>
        <w:rPr>
          <w:rFonts w:ascii="Stone Sans II ITC Std X Bd"/>
        </w:rPr>
        <w:sectPr>
          <w:pgSz w:w="11910" w:h="16840"/>
          <w:pgMar w:top="240" w:bottom="0" w:left="260" w:right="0"/>
        </w:sectPr>
      </w:pPr>
    </w:p>
    <w:p>
      <w:pPr>
        <w:pStyle w:val="BodyText"/>
        <w:spacing w:before="10"/>
        <w:rPr>
          <w:rFonts w:ascii="Stone Sans II ITC Std X Bd"/>
          <w:b/>
          <w:sz w:val="14"/>
        </w:rPr>
      </w:pPr>
      <w:r>
        <w:rPr/>
        <w:pict>
          <v:group style="position:absolute;margin-left:12.757pt;margin-top:12.756pt;width:816.4pt;height:34.050pt;mso-position-horizontal-relative:page;mso-position-vertical-relative:page;z-index:251737088" coordorigin="255,255" coordsize="16328,681">
            <v:shape style="position:absolute;left:255;top:255;width:16328;height:681" type="#_x0000_t75" stroked="false">
              <v:imagedata r:id="rId18" o:title=""/>
            </v:shape>
            <v:shape style="position:absolute;left:255;top:255;width:16328;height:681" type="#_x0000_t202" filled="false" stroked="false">
              <v:textbox inset="0,0,0,0">
                <w:txbxContent>
                  <w:p>
                    <w:pPr>
                      <w:spacing w:before="195"/>
                      <w:ind w:left="8444"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10:wrap type="none"/>
          </v:group>
        </w:pict>
      </w:r>
      <w:r>
        <w:rPr/>
        <w:pict>
          <v:shape style="position:absolute;margin-left:783.202271pt;margin-top:20.501301pt;width:42.85pt;height:70.05pt;mso-position-horizontal-relative:page;mso-position-vertical-relative:page;z-index:251738112" type="#_x0000_t202" filled="false" stroked="false">
            <v:textbox inset="0,0,0,0" style="layout-flow:vertical">
              <w:txbxContent>
                <w:p>
                  <w:pPr>
                    <w:tabs>
                      <w:tab w:pos="1380" w:val="left" w:leader="none"/>
                    </w:tabs>
                    <w:spacing w:line="848" w:lineRule="exact" w:before="9"/>
                    <w:ind w:left="20" w:right="0" w:firstLine="0"/>
                    <w:jc w:val="left"/>
                    <w:rPr>
                      <w:rFonts w:ascii="Stone Sans II ITC Std X Bd"/>
                      <w:b/>
                      <w:sz w:val="65"/>
                    </w:rPr>
                  </w:pPr>
                  <w:r>
                    <w:rPr>
                      <w:rFonts w:ascii="Stone Sans II ITC Std X Bd"/>
                      <w:b/>
                      <w:color w:val="FFFFFF"/>
                      <w:w w:val="110"/>
                      <w:sz w:val="65"/>
                      <w:shd w:fill="0090D4" w:color="auto" w:val="clear"/>
                    </w:rPr>
                    <w:t>2</w:t>
                  </w:r>
                  <w:r>
                    <w:rPr>
                      <w:rFonts w:ascii="Stone Sans II ITC Std X Bd"/>
                      <w:b/>
                      <w:color w:val="FFFFFF"/>
                      <w:sz w:val="65"/>
                      <w:shd w:fill="0090D4" w:color="auto" w:val="clear"/>
                    </w:rPr>
                    <w:tab/>
                  </w:r>
                </w:p>
              </w:txbxContent>
            </v:textbox>
            <w10:wrap type="none"/>
          </v:shape>
        </w:pict>
      </w:r>
      <w:r>
        <w:rPr/>
        <w:pict>
          <v:shape style="position:absolute;margin-left:26.231701pt;margin-top:20.750401pt;width:17.150pt;height:18.05pt;mso-position-horizontal-relative:page;mso-position-vertical-relative:page;z-index:251739136" type="#_x0000_t202" filled="false" stroked="false">
            <v:textbox inset="0,0,0,0" style="layout-flow:vertical">
              <w:txbxContent>
                <w:p>
                  <w:pPr>
                    <w:spacing w:before="16"/>
                    <w:ind w:left="20" w:right="0" w:firstLine="0"/>
                    <w:jc w:val="left"/>
                    <w:rPr>
                      <w:rFonts w:ascii="Stone Sans II ITC Std X Bd"/>
                      <w:b/>
                      <w:sz w:val="24"/>
                    </w:rPr>
                  </w:pPr>
                  <w:r>
                    <w:rPr>
                      <w:rFonts w:ascii="Stone Sans II ITC Std X Bd"/>
                      <w:b/>
                      <w:color w:val="1A171C"/>
                      <w:sz w:val="24"/>
                    </w:rPr>
                    <w:t>18</w:t>
                  </w:r>
                </w:p>
              </w:txbxContent>
            </v:textbox>
            <w10:wrap type="none"/>
          </v:shape>
        </w:pict>
      </w:r>
    </w:p>
    <w:p>
      <w:pPr>
        <w:spacing w:after="0"/>
        <w:rPr>
          <w:rFonts w:ascii="Stone Sans II ITC Std X Bd"/>
          <w:sz w:val="14"/>
        </w:rPr>
        <w:sectPr>
          <w:pgSz w:w="16840" w:h="11910" w:orient="landscape"/>
          <w:pgMar w:top="0" w:bottom="280" w:left="300" w:right="2420"/>
        </w:sectPr>
      </w:pPr>
    </w:p>
    <w:p>
      <w:pPr>
        <w:tabs>
          <w:tab w:pos="842" w:val="left" w:leader="none"/>
        </w:tabs>
        <w:spacing w:before="68"/>
        <w:ind w:left="0" w:right="394" w:firstLine="0"/>
        <w:jc w:val="right"/>
        <w:rPr>
          <w:rFonts w:ascii="Stone Sans II ITC Std X Bd"/>
          <w:b/>
          <w:sz w:val="65"/>
        </w:rPr>
      </w:pPr>
      <w:r>
        <w:rPr/>
        <w:drawing>
          <wp:anchor distT="0" distB="0" distL="0" distR="0" allowOverlap="1" layoutInCell="1" locked="0" behindDoc="1" simplePos="0" relativeHeight="249944064">
            <wp:simplePos x="0" y="0"/>
            <wp:positionH relativeFrom="page">
              <wp:posOffset>6974928</wp:posOffset>
            </wp:positionH>
            <wp:positionV relativeFrom="page">
              <wp:posOffset>161988</wp:posOffset>
            </wp:positionV>
            <wp:extent cx="432079" cy="10368000"/>
            <wp:effectExtent l="0" t="0" r="0" b="0"/>
            <wp:wrapNone/>
            <wp:docPr id="19" name="image12.png"/>
            <wp:cNvGraphicFramePr>
              <a:graphicFrameLocks noChangeAspect="1"/>
            </wp:cNvGraphicFramePr>
            <a:graphic>
              <a:graphicData uri="http://schemas.openxmlformats.org/drawingml/2006/picture">
                <pic:pic>
                  <pic:nvPicPr>
                    <pic:cNvPr id="20" name="image12.png"/>
                    <pic:cNvPicPr/>
                  </pic:nvPicPr>
                  <pic:blipFill>
                    <a:blip r:embed="rId19" cstate="print"/>
                    <a:stretch>
                      <a:fillRect/>
                    </a:stretch>
                  </pic:blipFill>
                  <pic:spPr>
                    <a:xfrm>
                      <a:off x="0" y="0"/>
                      <a:ext cx="432079" cy="10368000"/>
                    </a:xfrm>
                    <a:prstGeom prst="rect">
                      <a:avLst/>
                    </a:prstGeom>
                  </pic:spPr>
                </pic:pic>
              </a:graphicData>
            </a:graphic>
          </wp:anchor>
        </w:drawing>
      </w:r>
      <w:r>
        <w:rPr>
          <w:rFonts w:ascii="Stone Sans II ITC Std X Bd"/>
          <w:b/>
          <w:color w:val="FFFFFF"/>
          <w:w w:val="110"/>
          <w:sz w:val="65"/>
          <w:shd w:fill="3BA533" w:color="auto" w:val="clear"/>
        </w:rPr>
        <w:t> </w:t>
      </w:r>
      <w:r>
        <w:rPr>
          <w:rFonts w:ascii="Stone Sans II ITC Std X Bd"/>
          <w:b/>
          <w:color w:val="FFFFFF"/>
          <w:sz w:val="65"/>
          <w:shd w:fill="3BA533" w:color="auto" w:val="clear"/>
        </w:rPr>
        <w:tab/>
      </w:r>
      <w:r>
        <w:rPr>
          <w:rFonts w:ascii="Stone Sans II ITC Std X Bd"/>
          <w:b/>
          <w:color w:val="FFFFFF"/>
          <w:w w:val="110"/>
          <w:sz w:val="65"/>
          <w:shd w:fill="3BA533" w:color="auto" w:val="clear"/>
        </w:rPr>
        <w:t>A</w:t>
      </w:r>
    </w:p>
    <w:p>
      <w:pPr>
        <w:pStyle w:val="BodyText"/>
        <w:rPr>
          <w:rFonts w:ascii="Stone Sans II ITC Std X Bd"/>
          <w:b/>
          <w:sz w:val="20"/>
        </w:rPr>
      </w:pPr>
    </w:p>
    <w:p>
      <w:pPr>
        <w:spacing w:before="223"/>
        <w:ind w:left="1104" w:right="1421" w:firstLine="0"/>
        <w:jc w:val="center"/>
        <w:rPr>
          <w:b/>
          <w:sz w:val="40"/>
        </w:rPr>
      </w:pPr>
      <w:r>
        <w:rPr/>
        <w:pict>
          <v:shape style="position:absolute;margin-left:557.985779pt;margin-top:-11.699257pt;width:16.3500pt;height:347.3pt;mso-position-horizontal-relative:page;mso-position-vertical-relative:paragraph;z-index:251741184"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b/>
          <w:color w:val="2DA651"/>
          <w:sz w:val="40"/>
        </w:rPr>
        <w:t>Appendix A</w:t>
      </w:r>
    </w:p>
    <w:p>
      <w:pPr>
        <w:pStyle w:val="BodyText"/>
        <w:rPr>
          <w:b/>
          <w:sz w:val="44"/>
        </w:rPr>
      </w:pPr>
    </w:p>
    <w:p>
      <w:pPr>
        <w:spacing w:before="0"/>
        <w:ind w:left="1105" w:right="1421" w:firstLine="0"/>
        <w:jc w:val="center"/>
        <w:rPr>
          <w:b/>
          <w:sz w:val="44"/>
        </w:rPr>
      </w:pPr>
      <w:r>
        <w:rPr>
          <w:b/>
          <w:color w:val="1A171C"/>
          <w:sz w:val="44"/>
        </w:rPr>
        <w:t>The 2007 Commitment on Human Sexuality</w:t>
      </w:r>
    </w:p>
    <w:p>
      <w:pPr>
        <w:pStyle w:val="BodyText"/>
        <w:spacing w:before="10"/>
        <w:rPr>
          <w:b/>
          <w:sz w:val="44"/>
        </w:rPr>
      </w:pPr>
    </w:p>
    <w:p>
      <w:pPr>
        <w:pStyle w:val="BodyText"/>
        <w:ind w:left="1098"/>
      </w:pPr>
      <w:r>
        <w:rPr>
          <w:color w:val="1A171C"/>
        </w:rPr>
        <w:t>As the General Assembly of the United Reformed Church,</w:t>
      </w:r>
    </w:p>
    <w:p>
      <w:pPr>
        <w:pStyle w:val="BodyText"/>
        <w:spacing w:before="9"/>
        <w:rPr>
          <w:sz w:val="20"/>
        </w:rPr>
      </w:pPr>
    </w:p>
    <w:p>
      <w:pPr>
        <w:pStyle w:val="ListParagraph"/>
        <w:numPr>
          <w:ilvl w:val="1"/>
          <w:numId w:val="6"/>
        </w:numPr>
        <w:tabs>
          <w:tab w:pos="1777" w:val="left" w:leader="none"/>
          <w:tab w:pos="1778" w:val="left" w:leader="none"/>
        </w:tabs>
        <w:spacing w:line="240" w:lineRule="auto" w:before="0" w:after="0"/>
        <w:ind w:left="1777" w:right="0" w:hanging="680"/>
        <w:jc w:val="left"/>
        <w:rPr>
          <w:sz w:val="22"/>
        </w:rPr>
      </w:pPr>
      <w:r>
        <w:rPr>
          <w:color w:val="1A171C"/>
          <w:sz w:val="22"/>
        </w:rPr>
        <w:t>we recognise that</w:t>
      </w:r>
      <w:r>
        <w:rPr>
          <w:color w:val="1A171C"/>
          <w:spacing w:val="-3"/>
          <w:sz w:val="22"/>
        </w:rPr>
        <w:t> </w:t>
      </w:r>
      <w:r>
        <w:rPr>
          <w:color w:val="1A171C"/>
          <w:sz w:val="22"/>
        </w:rPr>
        <w:t>–</w:t>
      </w:r>
    </w:p>
    <w:p>
      <w:pPr>
        <w:pStyle w:val="BodyText"/>
        <w:spacing w:before="2"/>
        <w:rPr>
          <w:sz w:val="21"/>
        </w:rPr>
      </w:pPr>
    </w:p>
    <w:p>
      <w:pPr>
        <w:pStyle w:val="ListParagraph"/>
        <w:numPr>
          <w:ilvl w:val="2"/>
          <w:numId w:val="6"/>
        </w:numPr>
        <w:tabs>
          <w:tab w:pos="2459" w:val="left" w:leader="none"/>
          <w:tab w:pos="2460" w:val="left" w:leader="none"/>
        </w:tabs>
        <w:spacing w:line="237" w:lineRule="auto" w:before="0" w:after="0"/>
        <w:ind w:left="2459" w:right="1954" w:hanging="682"/>
        <w:jc w:val="left"/>
        <w:rPr>
          <w:sz w:val="22"/>
        </w:rPr>
      </w:pPr>
      <w:r>
        <w:rPr>
          <w:color w:val="1A171C"/>
          <w:sz w:val="22"/>
        </w:rPr>
        <w:t>many of the </w:t>
      </w:r>
      <w:r>
        <w:rPr>
          <w:color w:val="1A171C"/>
          <w:spacing w:val="-3"/>
          <w:sz w:val="22"/>
        </w:rPr>
        <w:t>issues </w:t>
      </w:r>
      <w:r>
        <w:rPr>
          <w:color w:val="1A171C"/>
          <w:sz w:val="22"/>
        </w:rPr>
        <w:t>and </w:t>
      </w:r>
      <w:r>
        <w:rPr>
          <w:color w:val="1A171C"/>
          <w:spacing w:val="-3"/>
          <w:sz w:val="22"/>
        </w:rPr>
        <w:t>views surrounding human sexuality </w:t>
      </w:r>
      <w:r>
        <w:rPr>
          <w:color w:val="1A171C"/>
          <w:sz w:val="22"/>
        </w:rPr>
        <w:t>can </w:t>
      </w:r>
      <w:r>
        <w:rPr>
          <w:color w:val="1A171C"/>
          <w:spacing w:val="-3"/>
          <w:sz w:val="22"/>
        </w:rPr>
        <w:t>seem </w:t>
      </w:r>
      <w:r>
        <w:rPr>
          <w:color w:val="1A171C"/>
          <w:sz w:val="22"/>
        </w:rPr>
        <w:t>to </w:t>
      </w:r>
      <w:r>
        <w:rPr>
          <w:color w:val="1A171C"/>
          <w:spacing w:val="-3"/>
          <w:sz w:val="22"/>
        </w:rPr>
        <w:t>be intractable </w:t>
      </w:r>
      <w:r>
        <w:rPr>
          <w:color w:val="1A171C"/>
          <w:sz w:val="22"/>
        </w:rPr>
        <w:t>and</w:t>
      </w:r>
      <w:r>
        <w:rPr>
          <w:color w:val="1A171C"/>
          <w:spacing w:val="-5"/>
          <w:sz w:val="22"/>
        </w:rPr>
        <w:t> </w:t>
      </w:r>
      <w:r>
        <w:rPr>
          <w:color w:val="1A171C"/>
          <w:spacing w:val="-3"/>
          <w:sz w:val="22"/>
        </w:rPr>
        <w:t>irreconcilable;</w:t>
      </w:r>
    </w:p>
    <w:p>
      <w:pPr>
        <w:pStyle w:val="ListParagraph"/>
        <w:numPr>
          <w:ilvl w:val="2"/>
          <w:numId w:val="6"/>
        </w:numPr>
        <w:tabs>
          <w:tab w:pos="2459" w:val="left" w:leader="none"/>
          <w:tab w:pos="2460" w:val="left" w:leader="none"/>
        </w:tabs>
        <w:spacing w:line="237" w:lineRule="auto" w:before="3" w:after="0"/>
        <w:ind w:left="2459" w:right="2083" w:hanging="682"/>
        <w:jc w:val="left"/>
        <w:rPr>
          <w:sz w:val="22"/>
        </w:rPr>
      </w:pPr>
      <w:r>
        <w:rPr>
          <w:color w:val="1A171C"/>
          <w:spacing w:val="-3"/>
          <w:sz w:val="22"/>
        </w:rPr>
        <w:t>despite lengthy debates, </w:t>
      </w:r>
      <w:r>
        <w:rPr>
          <w:color w:val="1A171C"/>
          <w:sz w:val="22"/>
        </w:rPr>
        <w:t>much </w:t>
      </w:r>
      <w:r>
        <w:rPr>
          <w:color w:val="1A171C"/>
          <w:spacing w:val="-3"/>
          <w:sz w:val="22"/>
        </w:rPr>
        <w:t>study </w:t>
      </w:r>
      <w:r>
        <w:rPr>
          <w:color w:val="1A171C"/>
          <w:sz w:val="22"/>
        </w:rPr>
        <w:t>and many </w:t>
      </w:r>
      <w:r>
        <w:rPr>
          <w:color w:val="1A171C"/>
          <w:spacing w:val="-3"/>
          <w:sz w:val="22"/>
        </w:rPr>
        <w:t>reports, opinions have not changed sufficiently </w:t>
      </w:r>
      <w:r>
        <w:rPr>
          <w:color w:val="1A171C"/>
          <w:sz w:val="22"/>
        </w:rPr>
        <w:t>for </w:t>
      </w:r>
      <w:r>
        <w:rPr>
          <w:color w:val="1A171C"/>
          <w:spacing w:val="-3"/>
          <w:sz w:val="22"/>
        </w:rPr>
        <w:t>us </w:t>
      </w:r>
      <w:r>
        <w:rPr>
          <w:color w:val="1A171C"/>
          <w:sz w:val="22"/>
        </w:rPr>
        <w:t>to be </w:t>
      </w:r>
      <w:r>
        <w:rPr>
          <w:color w:val="1A171C"/>
          <w:spacing w:val="-3"/>
          <w:sz w:val="22"/>
        </w:rPr>
        <w:t>of </w:t>
      </w:r>
      <w:r>
        <w:rPr>
          <w:color w:val="1A171C"/>
          <w:sz w:val="22"/>
        </w:rPr>
        <w:t>one</w:t>
      </w:r>
      <w:r>
        <w:rPr>
          <w:color w:val="1A171C"/>
          <w:spacing w:val="-22"/>
          <w:sz w:val="22"/>
        </w:rPr>
        <w:t> </w:t>
      </w:r>
      <w:r>
        <w:rPr>
          <w:color w:val="1A171C"/>
          <w:spacing w:val="-3"/>
          <w:sz w:val="22"/>
        </w:rPr>
        <w:t>mind;</w:t>
      </w:r>
    </w:p>
    <w:p>
      <w:pPr>
        <w:pStyle w:val="ListParagraph"/>
        <w:numPr>
          <w:ilvl w:val="2"/>
          <w:numId w:val="6"/>
        </w:numPr>
        <w:tabs>
          <w:tab w:pos="2459" w:val="left" w:leader="none"/>
          <w:tab w:pos="2460" w:val="left" w:leader="none"/>
        </w:tabs>
        <w:spacing w:line="268" w:lineRule="exact" w:before="1" w:after="0"/>
        <w:ind w:left="2459" w:right="0" w:hanging="683"/>
        <w:jc w:val="left"/>
        <w:rPr>
          <w:sz w:val="22"/>
        </w:rPr>
      </w:pPr>
      <w:r>
        <w:rPr>
          <w:color w:val="1A171C"/>
          <w:spacing w:val="-3"/>
          <w:sz w:val="22"/>
        </w:rPr>
        <w:t>this </w:t>
      </w:r>
      <w:r>
        <w:rPr>
          <w:color w:val="1A171C"/>
          <w:sz w:val="22"/>
        </w:rPr>
        <w:t>is a </w:t>
      </w:r>
      <w:r>
        <w:rPr>
          <w:color w:val="1A171C"/>
          <w:spacing w:val="-3"/>
          <w:sz w:val="22"/>
        </w:rPr>
        <w:t>deeply emotive </w:t>
      </w:r>
      <w:r>
        <w:rPr>
          <w:color w:val="1A171C"/>
          <w:sz w:val="22"/>
        </w:rPr>
        <w:t>and </w:t>
      </w:r>
      <w:r>
        <w:rPr>
          <w:color w:val="1A171C"/>
          <w:spacing w:val="-3"/>
          <w:sz w:val="22"/>
        </w:rPr>
        <w:t>potentially divisive</w:t>
      </w:r>
      <w:r>
        <w:rPr>
          <w:color w:val="1A171C"/>
          <w:spacing w:val="-21"/>
          <w:sz w:val="22"/>
        </w:rPr>
        <w:t> </w:t>
      </w:r>
      <w:r>
        <w:rPr>
          <w:color w:val="1A171C"/>
          <w:spacing w:val="-3"/>
          <w:sz w:val="22"/>
        </w:rPr>
        <w:t>issue;</w:t>
      </w:r>
    </w:p>
    <w:p>
      <w:pPr>
        <w:pStyle w:val="ListParagraph"/>
        <w:numPr>
          <w:ilvl w:val="2"/>
          <w:numId w:val="6"/>
        </w:numPr>
        <w:tabs>
          <w:tab w:pos="2459" w:val="left" w:leader="none"/>
          <w:tab w:pos="2460" w:val="left" w:leader="none"/>
        </w:tabs>
        <w:spacing w:line="240" w:lineRule="auto" w:before="0" w:after="0"/>
        <w:ind w:left="2459" w:right="2242" w:hanging="682"/>
        <w:jc w:val="left"/>
        <w:rPr>
          <w:sz w:val="22"/>
        </w:rPr>
      </w:pPr>
      <w:r>
        <w:rPr>
          <w:color w:val="1A171C"/>
          <w:spacing w:val="-3"/>
          <w:sz w:val="22"/>
        </w:rPr>
        <w:t>human sexuality </w:t>
      </w:r>
      <w:r>
        <w:rPr>
          <w:color w:val="1A171C"/>
          <w:sz w:val="22"/>
        </w:rPr>
        <w:t>and the language </w:t>
      </w:r>
      <w:r>
        <w:rPr>
          <w:color w:val="1A171C"/>
          <w:spacing w:val="-3"/>
          <w:sz w:val="22"/>
        </w:rPr>
        <w:t>we </w:t>
      </w:r>
      <w:r>
        <w:rPr>
          <w:color w:val="1A171C"/>
          <w:sz w:val="22"/>
        </w:rPr>
        <w:t>use </w:t>
      </w:r>
      <w:r>
        <w:rPr>
          <w:color w:val="1A171C"/>
          <w:spacing w:val="-3"/>
          <w:sz w:val="22"/>
        </w:rPr>
        <w:t>about </w:t>
      </w:r>
      <w:r>
        <w:rPr>
          <w:color w:val="1A171C"/>
          <w:sz w:val="22"/>
        </w:rPr>
        <w:t>it </w:t>
      </w:r>
      <w:r>
        <w:rPr>
          <w:color w:val="1A171C"/>
          <w:spacing w:val="-3"/>
          <w:sz w:val="22"/>
        </w:rPr>
        <w:t>raises </w:t>
      </w:r>
      <w:r>
        <w:rPr>
          <w:color w:val="1A171C"/>
          <w:sz w:val="22"/>
        </w:rPr>
        <w:t>many</w:t>
      </w:r>
      <w:r>
        <w:rPr>
          <w:color w:val="1A171C"/>
          <w:spacing w:val="-35"/>
          <w:sz w:val="22"/>
        </w:rPr>
        <w:t> </w:t>
      </w:r>
      <w:r>
        <w:rPr>
          <w:color w:val="1A171C"/>
          <w:spacing w:val="-3"/>
          <w:sz w:val="22"/>
        </w:rPr>
        <w:t>complex questions, </w:t>
      </w:r>
      <w:r>
        <w:rPr>
          <w:color w:val="1A171C"/>
          <w:sz w:val="22"/>
        </w:rPr>
        <w:t>not </w:t>
      </w:r>
      <w:r>
        <w:rPr>
          <w:color w:val="1A171C"/>
          <w:spacing w:val="-3"/>
          <w:sz w:val="22"/>
        </w:rPr>
        <w:t>least </w:t>
      </w:r>
      <w:r>
        <w:rPr>
          <w:color w:val="1A171C"/>
          <w:sz w:val="22"/>
        </w:rPr>
        <w:t>in the area </w:t>
      </w:r>
      <w:r>
        <w:rPr>
          <w:color w:val="1A171C"/>
          <w:spacing w:val="-3"/>
          <w:sz w:val="22"/>
        </w:rPr>
        <w:t>of biblical</w:t>
      </w:r>
      <w:r>
        <w:rPr>
          <w:color w:val="1A171C"/>
          <w:spacing w:val="-16"/>
          <w:sz w:val="22"/>
        </w:rPr>
        <w:t> </w:t>
      </w:r>
      <w:r>
        <w:rPr>
          <w:color w:val="1A171C"/>
          <w:spacing w:val="-3"/>
          <w:sz w:val="22"/>
        </w:rPr>
        <w:t>interpretation.</w:t>
      </w:r>
    </w:p>
    <w:p>
      <w:pPr>
        <w:pStyle w:val="BodyText"/>
        <w:spacing w:before="7"/>
        <w:rPr>
          <w:sz w:val="20"/>
        </w:rPr>
      </w:pPr>
    </w:p>
    <w:p>
      <w:pPr>
        <w:pStyle w:val="ListParagraph"/>
        <w:numPr>
          <w:ilvl w:val="1"/>
          <w:numId w:val="6"/>
        </w:numPr>
        <w:tabs>
          <w:tab w:pos="1818" w:val="left" w:leader="none"/>
          <w:tab w:pos="1819" w:val="left" w:leader="none"/>
        </w:tabs>
        <w:spacing w:line="240" w:lineRule="auto" w:before="1" w:after="0"/>
        <w:ind w:left="1098" w:right="1658" w:firstLine="0"/>
        <w:jc w:val="left"/>
        <w:rPr>
          <w:sz w:val="22"/>
        </w:rPr>
      </w:pPr>
      <w:r>
        <w:rPr>
          <w:color w:val="1A171C"/>
          <w:sz w:val="22"/>
        </w:rPr>
        <w:t>while it is not possible to do full justice to the variety of views represented within the church, we recognise that the range includes</w:t>
      </w:r>
      <w:r>
        <w:rPr>
          <w:color w:val="1A171C"/>
          <w:spacing w:val="-4"/>
          <w:sz w:val="22"/>
        </w:rPr>
        <w:t> </w:t>
      </w:r>
      <w:r>
        <w:rPr>
          <w:color w:val="1A171C"/>
          <w:sz w:val="22"/>
        </w:rPr>
        <w:t>–</w:t>
      </w:r>
    </w:p>
    <w:p>
      <w:pPr>
        <w:pStyle w:val="BodyText"/>
        <w:spacing w:before="10"/>
        <w:rPr>
          <w:sz w:val="20"/>
        </w:rPr>
      </w:pPr>
    </w:p>
    <w:p>
      <w:pPr>
        <w:pStyle w:val="ListParagraph"/>
        <w:numPr>
          <w:ilvl w:val="2"/>
          <w:numId w:val="7"/>
        </w:numPr>
        <w:tabs>
          <w:tab w:pos="1778" w:val="left" w:leader="none"/>
        </w:tabs>
        <w:spacing w:line="240" w:lineRule="auto" w:before="0" w:after="0"/>
        <w:ind w:left="1777" w:right="1491" w:hanging="680"/>
        <w:jc w:val="left"/>
        <w:rPr>
          <w:sz w:val="22"/>
        </w:rPr>
      </w:pPr>
      <w:r>
        <w:rPr>
          <w:color w:val="1A171C"/>
          <w:sz w:val="22"/>
        </w:rPr>
        <w:t>some people who feel that the debate on human sexuality has become a wrong focus and has received too much attention, believing</w:t>
      </w:r>
      <w:r>
        <w:rPr>
          <w:color w:val="1A171C"/>
          <w:spacing w:val="-2"/>
          <w:sz w:val="22"/>
        </w:rPr>
        <w:t> </w:t>
      </w:r>
      <w:r>
        <w:rPr>
          <w:color w:val="1A171C"/>
          <w:sz w:val="22"/>
        </w:rPr>
        <w:t>that:</w:t>
      </w:r>
    </w:p>
    <w:p>
      <w:pPr>
        <w:pStyle w:val="ListParagraph"/>
        <w:numPr>
          <w:ilvl w:val="3"/>
          <w:numId w:val="7"/>
        </w:numPr>
        <w:tabs>
          <w:tab w:pos="2459" w:val="left" w:leader="none"/>
          <w:tab w:pos="2460" w:val="left" w:leader="none"/>
        </w:tabs>
        <w:spacing w:line="240" w:lineRule="auto" w:before="0" w:after="0"/>
        <w:ind w:left="2459" w:right="1881" w:hanging="682"/>
        <w:jc w:val="left"/>
        <w:rPr>
          <w:sz w:val="22"/>
        </w:rPr>
      </w:pPr>
      <w:r>
        <w:rPr>
          <w:color w:val="1A171C"/>
          <w:sz w:val="22"/>
        </w:rPr>
        <w:t>faithful </w:t>
      </w:r>
      <w:r>
        <w:rPr>
          <w:color w:val="1A171C"/>
          <w:spacing w:val="-3"/>
          <w:sz w:val="22"/>
        </w:rPr>
        <w:t>living </w:t>
      </w:r>
      <w:r>
        <w:rPr>
          <w:color w:val="1A171C"/>
          <w:sz w:val="22"/>
        </w:rPr>
        <w:t>and </w:t>
      </w:r>
      <w:r>
        <w:rPr>
          <w:color w:val="1A171C"/>
          <w:spacing w:val="-3"/>
          <w:sz w:val="22"/>
        </w:rPr>
        <w:t>worship should </w:t>
      </w:r>
      <w:r>
        <w:rPr>
          <w:color w:val="1A171C"/>
          <w:sz w:val="22"/>
        </w:rPr>
        <w:t>take </w:t>
      </w:r>
      <w:r>
        <w:rPr>
          <w:color w:val="1A171C"/>
          <w:spacing w:val="-3"/>
          <w:sz w:val="22"/>
        </w:rPr>
        <w:t>priority over controversy about human </w:t>
      </w:r>
      <w:r>
        <w:rPr>
          <w:color w:val="1A171C"/>
          <w:spacing w:val="-4"/>
          <w:sz w:val="22"/>
        </w:rPr>
        <w:t>sexuality;</w:t>
      </w:r>
    </w:p>
    <w:p>
      <w:pPr>
        <w:pStyle w:val="ListParagraph"/>
        <w:numPr>
          <w:ilvl w:val="3"/>
          <w:numId w:val="7"/>
        </w:numPr>
        <w:tabs>
          <w:tab w:pos="2459" w:val="left" w:leader="none"/>
          <w:tab w:pos="2460" w:val="left" w:leader="none"/>
        </w:tabs>
        <w:spacing w:line="240" w:lineRule="auto" w:before="0" w:after="0"/>
        <w:ind w:left="2459" w:right="1599" w:hanging="682"/>
        <w:jc w:val="left"/>
        <w:rPr>
          <w:sz w:val="22"/>
        </w:rPr>
      </w:pPr>
      <w:r>
        <w:rPr>
          <w:color w:val="1A171C"/>
          <w:spacing w:val="-3"/>
          <w:sz w:val="22"/>
        </w:rPr>
        <w:t>participation </w:t>
      </w:r>
      <w:r>
        <w:rPr>
          <w:color w:val="1A171C"/>
          <w:sz w:val="22"/>
        </w:rPr>
        <w:t>in God's </w:t>
      </w:r>
      <w:r>
        <w:rPr>
          <w:color w:val="1A171C"/>
          <w:spacing w:val="-3"/>
          <w:sz w:val="22"/>
        </w:rPr>
        <w:t>mission </w:t>
      </w:r>
      <w:r>
        <w:rPr>
          <w:color w:val="1A171C"/>
          <w:sz w:val="22"/>
        </w:rPr>
        <w:t>and </w:t>
      </w:r>
      <w:r>
        <w:rPr>
          <w:color w:val="1A171C"/>
          <w:spacing w:val="-3"/>
          <w:sz w:val="22"/>
        </w:rPr>
        <w:t>Christ's ministry </w:t>
      </w:r>
      <w:r>
        <w:rPr>
          <w:color w:val="1A171C"/>
          <w:sz w:val="22"/>
        </w:rPr>
        <w:t>in the </w:t>
      </w:r>
      <w:r>
        <w:rPr>
          <w:color w:val="1A171C"/>
          <w:spacing w:val="-3"/>
          <w:sz w:val="22"/>
        </w:rPr>
        <w:t>world demands </w:t>
      </w:r>
      <w:r>
        <w:rPr>
          <w:color w:val="1A171C"/>
          <w:sz w:val="22"/>
        </w:rPr>
        <w:t>all </w:t>
      </w:r>
      <w:r>
        <w:rPr>
          <w:color w:val="1A171C"/>
          <w:spacing w:val="-3"/>
          <w:sz w:val="22"/>
        </w:rPr>
        <w:t>the </w:t>
      </w:r>
      <w:r>
        <w:rPr>
          <w:color w:val="1A171C"/>
          <w:sz w:val="22"/>
        </w:rPr>
        <w:t>energy of God's</w:t>
      </w:r>
      <w:r>
        <w:rPr>
          <w:color w:val="1A171C"/>
          <w:spacing w:val="-16"/>
          <w:sz w:val="22"/>
        </w:rPr>
        <w:t> </w:t>
      </w:r>
      <w:r>
        <w:rPr>
          <w:color w:val="1A171C"/>
          <w:spacing w:val="-4"/>
          <w:sz w:val="22"/>
        </w:rPr>
        <w:t>people;</w:t>
      </w:r>
    </w:p>
    <w:p>
      <w:pPr>
        <w:pStyle w:val="ListParagraph"/>
        <w:numPr>
          <w:ilvl w:val="3"/>
          <w:numId w:val="7"/>
        </w:numPr>
        <w:tabs>
          <w:tab w:pos="2459" w:val="left" w:leader="none"/>
          <w:tab w:pos="2460" w:val="left" w:leader="none"/>
        </w:tabs>
        <w:spacing w:line="240" w:lineRule="auto" w:before="0" w:after="0"/>
        <w:ind w:left="2459" w:right="1896" w:hanging="682"/>
        <w:jc w:val="left"/>
        <w:rPr>
          <w:sz w:val="22"/>
        </w:rPr>
      </w:pPr>
      <w:r>
        <w:rPr>
          <w:color w:val="1A171C"/>
          <w:spacing w:val="-3"/>
          <w:sz w:val="22"/>
        </w:rPr>
        <w:t>this </w:t>
      </w:r>
      <w:r>
        <w:rPr>
          <w:color w:val="1A171C"/>
          <w:sz w:val="22"/>
        </w:rPr>
        <w:t>is not a </w:t>
      </w:r>
      <w:r>
        <w:rPr>
          <w:color w:val="1A171C"/>
          <w:spacing w:val="-3"/>
          <w:sz w:val="22"/>
        </w:rPr>
        <w:t>matter over which </w:t>
      </w:r>
      <w:r>
        <w:rPr>
          <w:color w:val="1A171C"/>
          <w:spacing w:val="-2"/>
          <w:sz w:val="22"/>
        </w:rPr>
        <w:t>policy </w:t>
      </w:r>
      <w:r>
        <w:rPr>
          <w:color w:val="1A171C"/>
          <w:spacing w:val="-3"/>
          <w:sz w:val="22"/>
        </w:rPr>
        <w:t>decisions imposing </w:t>
      </w:r>
      <w:r>
        <w:rPr>
          <w:color w:val="1A171C"/>
          <w:sz w:val="22"/>
        </w:rPr>
        <w:t>a </w:t>
      </w:r>
      <w:r>
        <w:rPr>
          <w:color w:val="1A171C"/>
          <w:spacing w:val="-3"/>
          <w:sz w:val="22"/>
        </w:rPr>
        <w:t>universal rule </w:t>
      </w:r>
      <w:r>
        <w:rPr>
          <w:color w:val="1A171C"/>
          <w:sz w:val="22"/>
        </w:rPr>
        <w:t>are </w:t>
      </w:r>
      <w:r>
        <w:rPr>
          <w:color w:val="1A171C"/>
          <w:spacing w:val="-3"/>
          <w:sz w:val="22"/>
        </w:rPr>
        <w:t>necessary </w:t>
      </w:r>
      <w:r>
        <w:rPr>
          <w:color w:val="1A171C"/>
          <w:sz w:val="22"/>
        </w:rPr>
        <w:t>or</w:t>
      </w:r>
      <w:r>
        <w:rPr>
          <w:color w:val="1A171C"/>
          <w:spacing w:val="-6"/>
          <w:sz w:val="22"/>
        </w:rPr>
        <w:t> </w:t>
      </w:r>
      <w:r>
        <w:rPr>
          <w:color w:val="1A171C"/>
          <w:spacing w:val="-3"/>
          <w:sz w:val="22"/>
        </w:rPr>
        <w:t>appropriate;</w:t>
      </w:r>
    </w:p>
    <w:p>
      <w:pPr>
        <w:pStyle w:val="ListParagraph"/>
        <w:numPr>
          <w:ilvl w:val="3"/>
          <w:numId w:val="7"/>
        </w:numPr>
        <w:tabs>
          <w:tab w:pos="2459" w:val="left" w:leader="none"/>
          <w:tab w:pos="2460" w:val="left" w:leader="none"/>
        </w:tabs>
        <w:spacing w:line="240" w:lineRule="auto" w:before="0" w:after="0"/>
        <w:ind w:left="2459" w:right="1597" w:hanging="682"/>
        <w:jc w:val="left"/>
        <w:rPr>
          <w:sz w:val="22"/>
        </w:rPr>
      </w:pPr>
      <w:r>
        <w:rPr>
          <w:color w:val="1A171C"/>
          <w:sz w:val="22"/>
        </w:rPr>
        <w:t>the </w:t>
      </w:r>
      <w:r>
        <w:rPr>
          <w:color w:val="1A171C"/>
          <w:spacing w:val="-3"/>
          <w:sz w:val="22"/>
        </w:rPr>
        <w:t>church's existing assessment procedures </w:t>
      </w:r>
      <w:r>
        <w:rPr>
          <w:color w:val="1A171C"/>
          <w:sz w:val="22"/>
        </w:rPr>
        <w:t>are </w:t>
      </w:r>
      <w:r>
        <w:rPr>
          <w:color w:val="1A171C"/>
          <w:spacing w:val="-3"/>
          <w:sz w:val="22"/>
        </w:rPr>
        <w:t>appropriate </w:t>
      </w:r>
      <w:r>
        <w:rPr>
          <w:color w:val="1A171C"/>
          <w:sz w:val="22"/>
        </w:rPr>
        <w:t>for </w:t>
      </w:r>
      <w:r>
        <w:rPr>
          <w:color w:val="1A171C"/>
          <w:spacing w:val="-3"/>
          <w:sz w:val="22"/>
        </w:rPr>
        <w:t>discerning the call </w:t>
      </w:r>
      <w:r>
        <w:rPr>
          <w:color w:val="1A171C"/>
          <w:sz w:val="22"/>
        </w:rPr>
        <w:t>of</w:t>
      </w:r>
      <w:r>
        <w:rPr>
          <w:color w:val="1A171C"/>
          <w:spacing w:val="-2"/>
          <w:sz w:val="22"/>
        </w:rPr>
        <w:t> </w:t>
      </w:r>
      <w:r>
        <w:rPr>
          <w:color w:val="1A171C"/>
          <w:spacing w:val="-3"/>
          <w:sz w:val="22"/>
        </w:rPr>
        <w:t>God;</w:t>
      </w:r>
    </w:p>
    <w:p>
      <w:pPr>
        <w:pStyle w:val="ListParagraph"/>
        <w:numPr>
          <w:ilvl w:val="3"/>
          <w:numId w:val="7"/>
        </w:numPr>
        <w:tabs>
          <w:tab w:pos="2459" w:val="left" w:leader="none"/>
          <w:tab w:pos="2460" w:val="left" w:leader="none"/>
        </w:tabs>
        <w:spacing w:line="268" w:lineRule="exact" w:before="0" w:after="0"/>
        <w:ind w:left="2459" w:right="0" w:hanging="683"/>
        <w:jc w:val="left"/>
        <w:rPr>
          <w:sz w:val="22"/>
        </w:rPr>
      </w:pPr>
      <w:r>
        <w:rPr>
          <w:color w:val="1A171C"/>
          <w:spacing w:val="-3"/>
          <w:sz w:val="22"/>
        </w:rPr>
        <w:t>responses </w:t>
      </w:r>
      <w:r>
        <w:rPr>
          <w:color w:val="1A171C"/>
          <w:sz w:val="22"/>
        </w:rPr>
        <w:t>to </w:t>
      </w:r>
      <w:r>
        <w:rPr>
          <w:color w:val="1A171C"/>
          <w:spacing w:val="-3"/>
          <w:sz w:val="22"/>
        </w:rPr>
        <w:t>pastoral situations involving people </w:t>
      </w:r>
      <w:r>
        <w:rPr>
          <w:color w:val="1A171C"/>
          <w:sz w:val="22"/>
        </w:rPr>
        <w:t>in same-sex </w:t>
      </w:r>
      <w:r>
        <w:rPr>
          <w:color w:val="1A171C"/>
          <w:spacing w:val="-3"/>
          <w:sz w:val="22"/>
        </w:rPr>
        <w:t>relationships</w:t>
      </w:r>
      <w:r>
        <w:rPr>
          <w:color w:val="1A171C"/>
          <w:spacing w:val="-14"/>
          <w:sz w:val="22"/>
        </w:rPr>
        <w:t> </w:t>
      </w:r>
      <w:r>
        <w:rPr>
          <w:color w:val="1A171C"/>
          <w:sz w:val="22"/>
        </w:rPr>
        <w:t>are</w:t>
      </w:r>
    </w:p>
    <w:p>
      <w:pPr>
        <w:pStyle w:val="BodyText"/>
        <w:spacing w:line="252" w:lineRule="exact"/>
        <w:ind w:left="2459"/>
      </w:pPr>
      <w:r>
        <w:rPr>
          <w:color w:val="1A171C"/>
        </w:rPr>
        <w:t>best determined within the local church;</w:t>
      </w:r>
    </w:p>
    <w:p>
      <w:pPr>
        <w:pStyle w:val="ListParagraph"/>
        <w:numPr>
          <w:ilvl w:val="3"/>
          <w:numId w:val="7"/>
        </w:numPr>
        <w:tabs>
          <w:tab w:pos="2459" w:val="left" w:leader="none"/>
          <w:tab w:pos="2460" w:val="left" w:leader="none"/>
        </w:tabs>
        <w:spacing w:line="240" w:lineRule="auto" w:before="0" w:after="0"/>
        <w:ind w:left="2459" w:right="1831" w:hanging="682"/>
        <w:jc w:val="left"/>
        <w:rPr>
          <w:sz w:val="22"/>
        </w:rPr>
      </w:pPr>
      <w:r>
        <w:rPr>
          <w:color w:val="1A171C"/>
          <w:spacing w:val="-3"/>
          <w:sz w:val="22"/>
        </w:rPr>
        <w:t>working </w:t>
      </w:r>
      <w:r>
        <w:rPr>
          <w:color w:val="1A171C"/>
          <w:sz w:val="22"/>
        </w:rPr>
        <w:t>and </w:t>
      </w:r>
      <w:r>
        <w:rPr>
          <w:color w:val="1A171C"/>
          <w:spacing w:val="-3"/>
          <w:sz w:val="22"/>
        </w:rPr>
        <w:t>sharing fellowship with people </w:t>
      </w:r>
      <w:r>
        <w:rPr>
          <w:color w:val="1A171C"/>
          <w:sz w:val="22"/>
        </w:rPr>
        <w:t>of </w:t>
      </w:r>
      <w:r>
        <w:rPr>
          <w:color w:val="1A171C"/>
          <w:spacing w:val="-3"/>
          <w:sz w:val="22"/>
        </w:rPr>
        <w:t>very different </w:t>
      </w:r>
      <w:r>
        <w:rPr>
          <w:color w:val="1A171C"/>
          <w:spacing w:val="-4"/>
          <w:sz w:val="22"/>
        </w:rPr>
        <w:t>views </w:t>
      </w:r>
      <w:r>
        <w:rPr>
          <w:color w:val="1A171C"/>
          <w:sz w:val="22"/>
        </w:rPr>
        <w:t>can </w:t>
      </w:r>
      <w:r>
        <w:rPr>
          <w:color w:val="1A171C"/>
          <w:spacing w:val="-3"/>
          <w:sz w:val="22"/>
        </w:rPr>
        <w:t>create painful tensions, </w:t>
      </w:r>
      <w:r>
        <w:rPr>
          <w:color w:val="1A171C"/>
          <w:sz w:val="22"/>
        </w:rPr>
        <w:t>though it may </w:t>
      </w:r>
      <w:r>
        <w:rPr>
          <w:color w:val="1A171C"/>
          <w:spacing w:val="-3"/>
          <w:sz w:val="22"/>
        </w:rPr>
        <w:t>also </w:t>
      </w:r>
      <w:r>
        <w:rPr>
          <w:color w:val="1A171C"/>
          <w:sz w:val="22"/>
        </w:rPr>
        <w:t>offer </w:t>
      </w:r>
      <w:r>
        <w:rPr>
          <w:color w:val="1A171C"/>
          <w:spacing w:val="-3"/>
          <w:sz w:val="22"/>
        </w:rPr>
        <w:t>opportunity </w:t>
      </w:r>
      <w:r>
        <w:rPr>
          <w:color w:val="1A171C"/>
          <w:sz w:val="22"/>
        </w:rPr>
        <w:t>for </w:t>
      </w:r>
      <w:r>
        <w:rPr>
          <w:color w:val="1A171C"/>
          <w:spacing w:val="-3"/>
          <w:sz w:val="22"/>
        </w:rPr>
        <w:t>growth and development.</w:t>
      </w:r>
    </w:p>
    <w:p>
      <w:pPr>
        <w:pStyle w:val="BodyText"/>
        <w:spacing w:before="2"/>
        <w:rPr>
          <w:sz w:val="20"/>
        </w:rPr>
      </w:pPr>
    </w:p>
    <w:p>
      <w:pPr>
        <w:pStyle w:val="ListParagraph"/>
        <w:numPr>
          <w:ilvl w:val="2"/>
          <w:numId w:val="7"/>
        </w:numPr>
        <w:tabs>
          <w:tab w:pos="1778" w:val="left" w:leader="none"/>
        </w:tabs>
        <w:spacing w:line="240" w:lineRule="auto" w:before="0" w:after="0"/>
        <w:ind w:left="1777" w:right="1466" w:hanging="680"/>
        <w:jc w:val="left"/>
        <w:rPr>
          <w:sz w:val="22"/>
        </w:rPr>
      </w:pPr>
      <w:r>
        <w:rPr>
          <w:color w:val="1A171C"/>
          <w:sz w:val="22"/>
        </w:rPr>
        <w:t>some other people who feel that this debate is a necessary focus because it concerns the Word of God, and for them is a passionately held matter of holiness, purity and obedience to God’s commands in scripture, believing</w:t>
      </w:r>
      <w:r>
        <w:rPr>
          <w:color w:val="1A171C"/>
          <w:spacing w:val="-4"/>
          <w:sz w:val="22"/>
        </w:rPr>
        <w:t> </w:t>
      </w:r>
      <w:r>
        <w:rPr>
          <w:color w:val="1A171C"/>
          <w:sz w:val="22"/>
        </w:rPr>
        <w:t>that:</w:t>
      </w:r>
    </w:p>
    <w:p>
      <w:pPr>
        <w:pStyle w:val="ListParagraph"/>
        <w:numPr>
          <w:ilvl w:val="3"/>
          <w:numId w:val="7"/>
        </w:numPr>
        <w:tabs>
          <w:tab w:pos="2459" w:val="left" w:leader="none"/>
          <w:tab w:pos="2460" w:val="left" w:leader="none"/>
        </w:tabs>
        <w:spacing w:line="237" w:lineRule="auto" w:before="4" w:after="0"/>
        <w:ind w:left="2459" w:right="1949" w:hanging="682"/>
        <w:jc w:val="left"/>
        <w:rPr>
          <w:sz w:val="22"/>
        </w:rPr>
      </w:pPr>
      <w:r>
        <w:rPr>
          <w:color w:val="1A171C"/>
          <w:spacing w:val="-3"/>
          <w:sz w:val="22"/>
        </w:rPr>
        <w:t>God’s creation plan </w:t>
      </w:r>
      <w:r>
        <w:rPr>
          <w:color w:val="1A171C"/>
          <w:sz w:val="22"/>
        </w:rPr>
        <w:t>is for the </w:t>
      </w:r>
      <w:r>
        <w:rPr>
          <w:color w:val="1A171C"/>
          <w:spacing w:val="-3"/>
          <w:sz w:val="22"/>
        </w:rPr>
        <w:t>complementarity </w:t>
      </w:r>
      <w:r>
        <w:rPr>
          <w:color w:val="1A171C"/>
          <w:sz w:val="22"/>
        </w:rPr>
        <w:t>of </w:t>
      </w:r>
      <w:r>
        <w:rPr>
          <w:color w:val="1A171C"/>
          <w:spacing w:val="-3"/>
          <w:sz w:val="22"/>
        </w:rPr>
        <w:t>man </w:t>
      </w:r>
      <w:r>
        <w:rPr>
          <w:color w:val="1A171C"/>
          <w:sz w:val="22"/>
        </w:rPr>
        <w:t>and </w:t>
      </w:r>
      <w:r>
        <w:rPr>
          <w:color w:val="1A171C"/>
          <w:spacing w:val="-3"/>
          <w:sz w:val="22"/>
        </w:rPr>
        <w:t>woman, </w:t>
      </w:r>
      <w:r>
        <w:rPr>
          <w:color w:val="1A171C"/>
          <w:sz w:val="22"/>
        </w:rPr>
        <w:t>and </w:t>
      </w:r>
      <w:r>
        <w:rPr>
          <w:color w:val="1A171C"/>
          <w:spacing w:val="-3"/>
          <w:sz w:val="22"/>
        </w:rPr>
        <w:t>that sexual relations apart </w:t>
      </w:r>
      <w:r>
        <w:rPr>
          <w:color w:val="1A171C"/>
          <w:sz w:val="22"/>
        </w:rPr>
        <w:t>from that are </w:t>
      </w:r>
      <w:r>
        <w:rPr>
          <w:color w:val="1A171C"/>
          <w:spacing w:val="-3"/>
          <w:sz w:val="22"/>
        </w:rPr>
        <w:t>therefore</w:t>
      </w:r>
      <w:r>
        <w:rPr>
          <w:color w:val="1A171C"/>
          <w:spacing w:val="-19"/>
          <w:sz w:val="22"/>
        </w:rPr>
        <w:t> </w:t>
      </w:r>
      <w:r>
        <w:rPr>
          <w:color w:val="1A171C"/>
          <w:spacing w:val="-3"/>
          <w:sz w:val="22"/>
        </w:rPr>
        <w:t>disordered;</w:t>
      </w:r>
    </w:p>
    <w:p>
      <w:pPr>
        <w:pStyle w:val="ListParagraph"/>
        <w:numPr>
          <w:ilvl w:val="3"/>
          <w:numId w:val="7"/>
        </w:numPr>
        <w:tabs>
          <w:tab w:pos="2459" w:val="left" w:leader="none"/>
          <w:tab w:pos="2460" w:val="left" w:leader="none"/>
        </w:tabs>
        <w:spacing w:line="240" w:lineRule="auto" w:before="1" w:after="0"/>
        <w:ind w:left="2459" w:right="1751" w:hanging="682"/>
        <w:jc w:val="left"/>
        <w:rPr>
          <w:sz w:val="22"/>
        </w:rPr>
      </w:pPr>
      <w:r>
        <w:rPr>
          <w:color w:val="1A171C"/>
          <w:spacing w:val="-3"/>
          <w:sz w:val="22"/>
        </w:rPr>
        <w:t>scripture </w:t>
      </w:r>
      <w:r>
        <w:rPr>
          <w:color w:val="1A171C"/>
          <w:sz w:val="22"/>
        </w:rPr>
        <w:t>and the </w:t>
      </w:r>
      <w:r>
        <w:rPr>
          <w:color w:val="1A171C"/>
          <w:spacing w:val="-3"/>
          <w:sz w:val="22"/>
        </w:rPr>
        <w:t>traditions of </w:t>
      </w:r>
      <w:r>
        <w:rPr>
          <w:color w:val="1A171C"/>
          <w:sz w:val="22"/>
        </w:rPr>
        <w:t>the </w:t>
      </w:r>
      <w:r>
        <w:rPr>
          <w:color w:val="1A171C"/>
          <w:spacing w:val="-3"/>
          <w:sz w:val="22"/>
        </w:rPr>
        <w:t>church teach </w:t>
      </w:r>
      <w:r>
        <w:rPr>
          <w:color w:val="1A171C"/>
          <w:sz w:val="22"/>
        </w:rPr>
        <w:t>that the </w:t>
      </w:r>
      <w:r>
        <w:rPr>
          <w:color w:val="1A171C"/>
          <w:spacing w:val="-3"/>
          <w:sz w:val="22"/>
        </w:rPr>
        <w:t>only legitimate pattern </w:t>
      </w:r>
      <w:r>
        <w:rPr>
          <w:color w:val="1A171C"/>
          <w:sz w:val="22"/>
        </w:rPr>
        <w:t>for </w:t>
      </w:r>
      <w:r>
        <w:rPr>
          <w:color w:val="1A171C"/>
          <w:spacing w:val="-3"/>
          <w:sz w:val="22"/>
        </w:rPr>
        <w:t>sexual relations </w:t>
      </w:r>
      <w:r>
        <w:rPr>
          <w:color w:val="1A171C"/>
          <w:sz w:val="22"/>
        </w:rPr>
        <w:t>is </w:t>
      </w:r>
      <w:r>
        <w:rPr>
          <w:color w:val="1A171C"/>
          <w:spacing w:val="-3"/>
          <w:sz w:val="22"/>
        </w:rPr>
        <w:t>between </w:t>
      </w:r>
      <w:r>
        <w:rPr>
          <w:color w:val="1A171C"/>
          <w:sz w:val="22"/>
        </w:rPr>
        <w:t>a man and </w:t>
      </w:r>
      <w:r>
        <w:rPr>
          <w:color w:val="1A171C"/>
          <w:spacing w:val="-3"/>
          <w:sz w:val="22"/>
        </w:rPr>
        <w:t>woman within </w:t>
      </w:r>
      <w:r>
        <w:rPr>
          <w:color w:val="1A171C"/>
          <w:sz w:val="22"/>
        </w:rPr>
        <w:t>the </w:t>
      </w:r>
      <w:r>
        <w:rPr>
          <w:color w:val="1A171C"/>
          <w:spacing w:val="-3"/>
          <w:sz w:val="22"/>
        </w:rPr>
        <w:t>commitment of marriage;</w:t>
      </w:r>
    </w:p>
    <w:p>
      <w:pPr>
        <w:pStyle w:val="ListParagraph"/>
        <w:numPr>
          <w:ilvl w:val="3"/>
          <w:numId w:val="7"/>
        </w:numPr>
        <w:tabs>
          <w:tab w:pos="2459" w:val="left" w:leader="none"/>
          <w:tab w:pos="2460" w:val="left" w:leader="none"/>
        </w:tabs>
        <w:spacing w:line="266" w:lineRule="exact" w:before="0" w:after="0"/>
        <w:ind w:left="2459" w:right="0" w:hanging="683"/>
        <w:jc w:val="left"/>
        <w:rPr>
          <w:sz w:val="22"/>
        </w:rPr>
      </w:pPr>
      <w:r>
        <w:rPr>
          <w:color w:val="1A171C"/>
          <w:spacing w:val="-3"/>
          <w:sz w:val="22"/>
        </w:rPr>
        <w:t>all scriptural references </w:t>
      </w:r>
      <w:r>
        <w:rPr>
          <w:color w:val="1A171C"/>
          <w:sz w:val="22"/>
        </w:rPr>
        <w:t>to </w:t>
      </w:r>
      <w:r>
        <w:rPr>
          <w:color w:val="1A171C"/>
          <w:spacing w:val="-3"/>
          <w:sz w:val="22"/>
        </w:rPr>
        <w:t>same-sex activity </w:t>
      </w:r>
      <w:r>
        <w:rPr>
          <w:color w:val="1A171C"/>
          <w:sz w:val="22"/>
        </w:rPr>
        <w:t>are </w:t>
      </w:r>
      <w:r>
        <w:rPr>
          <w:color w:val="1A171C"/>
          <w:spacing w:val="-3"/>
          <w:sz w:val="22"/>
        </w:rPr>
        <w:t>explicit </w:t>
      </w:r>
      <w:r>
        <w:rPr>
          <w:color w:val="1A171C"/>
          <w:sz w:val="22"/>
        </w:rPr>
        <w:t>in </w:t>
      </w:r>
      <w:r>
        <w:rPr>
          <w:color w:val="1A171C"/>
          <w:spacing w:val="-3"/>
          <w:sz w:val="22"/>
        </w:rPr>
        <w:t>their</w:t>
      </w:r>
      <w:r>
        <w:rPr>
          <w:color w:val="1A171C"/>
          <w:spacing w:val="-14"/>
          <w:sz w:val="22"/>
        </w:rPr>
        <w:t> </w:t>
      </w:r>
      <w:r>
        <w:rPr>
          <w:color w:val="1A171C"/>
          <w:spacing w:val="-3"/>
          <w:sz w:val="22"/>
        </w:rPr>
        <w:t>condemnation;</w:t>
      </w:r>
    </w:p>
    <w:p>
      <w:pPr>
        <w:pStyle w:val="ListParagraph"/>
        <w:numPr>
          <w:ilvl w:val="3"/>
          <w:numId w:val="7"/>
        </w:numPr>
        <w:tabs>
          <w:tab w:pos="2459" w:val="left" w:leader="none"/>
          <w:tab w:pos="2460" w:val="left" w:leader="none"/>
        </w:tabs>
        <w:spacing w:line="237" w:lineRule="auto" w:before="2" w:after="0"/>
        <w:ind w:left="2459" w:right="1454" w:hanging="682"/>
        <w:jc w:val="left"/>
        <w:rPr>
          <w:sz w:val="22"/>
        </w:rPr>
      </w:pPr>
      <w:r>
        <w:rPr>
          <w:color w:val="1A171C"/>
          <w:spacing w:val="-3"/>
          <w:sz w:val="22"/>
        </w:rPr>
        <w:t>same-sex activity </w:t>
      </w:r>
      <w:r>
        <w:rPr>
          <w:color w:val="1A171C"/>
          <w:sz w:val="22"/>
        </w:rPr>
        <w:t>is an </w:t>
      </w:r>
      <w:r>
        <w:rPr>
          <w:color w:val="1A171C"/>
          <w:spacing w:val="-3"/>
          <w:sz w:val="22"/>
        </w:rPr>
        <w:t>affront </w:t>
      </w:r>
      <w:r>
        <w:rPr>
          <w:color w:val="1A171C"/>
          <w:sz w:val="22"/>
        </w:rPr>
        <w:t>to </w:t>
      </w:r>
      <w:r>
        <w:rPr>
          <w:color w:val="1A171C"/>
          <w:spacing w:val="-3"/>
          <w:sz w:val="22"/>
        </w:rPr>
        <w:t>Christian morality </w:t>
      </w:r>
      <w:r>
        <w:rPr>
          <w:color w:val="1A171C"/>
          <w:sz w:val="22"/>
        </w:rPr>
        <w:t>and </w:t>
      </w:r>
      <w:r>
        <w:rPr>
          <w:color w:val="1A171C"/>
          <w:spacing w:val="-3"/>
          <w:sz w:val="22"/>
        </w:rPr>
        <w:t>offensive </w:t>
      </w:r>
      <w:r>
        <w:rPr>
          <w:color w:val="1A171C"/>
          <w:sz w:val="22"/>
        </w:rPr>
        <w:t>to many </w:t>
      </w:r>
      <w:r>
        <w:rPr>
          <w:color w:val="1A171C"/>
          <w:spacing w:val="-3"/>
          <w:sz w:val="22"/>
        </w:rPr>
        <w:t>people </w:t>
      </w:r>
      <w:r>
        <w:rPr>
          <w:color w:val="1A171C"/>
          <w:sz w:val="22"/>
        </w:rPr>
        <w:t>of </w:t>
      </w:r>
      <w:r>
        <w:rPr>
          <w:color w:val="1A171C"/>
          <w:spacing w:val="-3"/>
          <w:sz w:val="22"/>
        </w:rPr>
        <w:t>other </w:t>
      </w:r>
      <w:r>
        <w:rPr>
          <w:color w:val="1A171C"/>
          <w:sz w:val="22"/>
        </w:rPr>
        <w:t>faiths and </w:t>
      </w:r>
      <w:r>
        <w:rPr>
          <w:color w:val="1A171C"/>
          <w:spacing w:val="-3"/>
          <w:sz w:val="22"/>
        </w:rPr>
        <w:t>of</w:t>
      </w:r>
      <w:r>
        <w:rPr>
          <w:color w:val="1A171C"/>
          <w:spacing w:val="-18"/>
          <w:sz w:val="22"/>
        </w:rPr>
        <w:t> </w:t>
      </w:r>
      <w:r>
        <w:rPr>
          <w:color w:val="1A171C"/>
          <w:spacing w:val="-3"/>
          <w:sz w:val="22"/>
        </w:rPr>
        <w:t>none;</w:t>
      </w:r>
    </w:p>
    <w:p>
      <w:pPr>
        <w:pStyle w:val="ListParagraph"/>
        <w:numPr>
          <w:ilvl w:val="3"/>
          <w:numId w:val="7"/>
        </w:numPr>
        <w:tabs>
          <w:tab w:pos="2459" w:val="left" w:leader="none"/>
          <w:tab w:pos="2460" w:val="left" w:leader="none"/>
        </w:tabs>
        <w:spacing w:line="268" w:lineRule="exact" w:before="1" w:after="0"/>
        <w:ind w:left="2459" w:right="0" w:hanging="683"/>
        <w:jc w:val="left"/>
        <w:rPr>
          <w:sz w:val="22"/>
        </w:rPr>
      </w:pPr>
      <w:r>
        <w:rPr>
          <w:color w:val="1A171C"/>
          <w:spacing w:val="-3"/>
          <w:sz w:val="22"/>
        </w:rPr>
        <w:t>people </w:t>
      </w:r>
      <w:r>
        <w:rPr>
          <w:color w:val="1A171C"/>
          <w:sz w:val="22"/>
        </w:rPr>
        <w:t>in </w:t>
      </w:r>
      <w:r>
        <w:rPr>
          <w:color w:val="1A171C"/>
          <w:spacing w:val="-3"/>
          <w:sz w:val="22"/>
        </w:rPr>
        <w:t>sexually active same-sex relationships should </w:t>
      </w:r>
      <w:r>
        <w:rPr>
          <w:color w:val="1A171C"/>
          <w:sz w:val="22"/>
        </w:rPr>
        <w:t>not be </w:t>
      </w:r>
      <w:r>
        <w:rPr>
          <w:color w:val="1A171C"/>
          <w:spacing w:val="-3"/>
          <w:sz w:val="22"/>
        </w:rPr>
        <w:t>accepted</w:t>
      </w:r>
      <w:r>
        <w:rPr>
          <w:color w:val="1A171C"/>
          <w:spacing w:val="-15"/>
          <w:sz w:val="22"/>
        </w:rPr>
        <w:t> </w:t>
      </w:r>
      <w:r>
        <w:rPr>
          <w:color w:val="1A171C"/>
          <w:sz w:val="22"/>
        </w:rPr>
        <w:t>for</w:t>
      </w:r>
    </w:p>
    <w:p>
      <w:pPr>
        <w:pStyle w:val="BodyText"/>
        <w:spacing w:line="252" w:lineRule="exact"/>
        <w:ind w:left="2459"/>
      </w:pPr>
      <w:r>
        <w:rPr>
          <w:color w:val="1A171C"/>
        </w:rPr>
        <w:t>ministry;</w:t>
      </w:r>
    </w:p>
    <w:p>
      <w:pPr>
        <w:pStyle w:val="ListParagraph"/>
        <w:numPr>
          <w:ilvl w:val="3"/>
          <w:numId w:val="7"/>
        </w:numPr>
        <w:tabs>
          <w:tab w:pos="2459" w:val="left" w:leader="none"/>
          <w:tab w:pos="2460" w:val="left" w:leader="none"/>
        </w:tabs>
        <w:spacing w:line="237" w:lineRule="auto" w:before="3" w:after="0"/>
        <w:ind w:left="2459" w:right="1783" w:hanging="682"/>
        <w:jc w:val="left"/>
        <w:rPr>
          <w:sz w:val="22"/>
        </w:rPr>
      </w:pPr>
      <w:r>
        <w:rPr>
          <w:color w:val="1A171C"/>
          <w:sz w:val="22"/>
        </w:rPr>
        <w:t>the </w:t>
      </w:r>
      <w:r>
        <w:rPr>
          <w:color w:val="1A171C"/>
          <w:spacing w:val="-3"/>
          <w:sz w:val="22"/>
        </w:rPr>
        <w:t>acceptance </w:t>
      </w:r>
      <w:r>
        <w:rPr>
          <w:color w:val="1A171C"/>
          <w:sz w:val="22"/>
        </w:rPr>
        <w:t>of </w:t>
      </w:r>
      <w:r>
        <w:rPr>
          <w:color w:val="1A171C"/>
          <w:spacing w:val="-3"/>
          <w:sz w:val="22"/>
        </w:rPr>
        <w:t>same-sex (civil) partnerships </w:t>
      </w:r>
      <w:r>
        <w:rPr>
          <w:color w:val="1A171C"/>
          <w:sz w:val="22"/>
        </w:rPr>
        <w:t>on the part of </w:t>
      </w:r>
      <w:r>
        <w:rPr>
          <w:color w:val="1A171C"/>
          <w:spacing w:val="-3"/>
          <w:sz w:val="22"/>
        </w:rPr>
        <w:t>society </w:t>
      </w:r>
      <w:r>
        <w:rPr>
          <w:color w:val="1A171C"/>
          <w:sz w:val="22"/>
        </w:rPr>
        <w:t>and </w:t>
      </w:r>
      <w:r>
        <w:rPr>
          <w:color w:val="1A171C"/>
          <w:spacing w:val="-3"/>
          <w:sz w:val="22"/>
        </w:rPr>
        <w:t>the </w:t>
      </w:r>
      <w:r>
        <w:rPr>
          <w:color w:val="1A171C"/>
          <w:sz w:val="22"/>
        </w:rPr>
        <w:t>state is a </w:t>
      </w:r>
      <w:r>
        <w:rPr>
          <w:color w:val="1A171C"/>
          <w:spacing w:val="-3"/>
          <w:sz w:val="22"/>
        </w:rPr>
        <w:t>matter </w:t>
      </w:r>
      <w:r>
        <w:rPr>
          <w:color w:val="1A171C"/>
          <w:sz w:val="22"/>
        </w:rPr>
        <w:t>to be</w:t>
      </w:r>
      <w:r>
        <w:rPr>
          <w:color w:val="1A171C"/>
          <w:spacing w:val="-24"/>
          <w:sz w:val="22"/>
        </w:rPr>
        <w:t> </w:t>
      </w:r>
      <w:r>
        <w:rPr>
          <w:color w:val="1A171C"/>
          <w:spacing w:val="-3"/>
          <w:sz w:val="22"/>
        </w:rPr>
        <w:t>resisted;</w:t>
      </w:r>
    </w:p>
    <w:p>
      <w:pPr>
        <w:pStyle w:val="BodyText"/>
        <w:rPr>
          <w:sz w:val="20"/>
        </w:rPr>
      </w:pPr>
    </w:p>
    <w:p>
      <w:pPr>
        <w:pStyle w:val="Heading6"/>
        <w:spacing w:before="263"/>
        <w:rPr>
          <w:rFonts w:ascii="Stone Sans II ITC Std X Bd"/>
          <w:b/>
        </w:rPr>
      </w:pPr>
      <w:r>
        <w:rPr>
          <w:rFonts w:ascii="Stone Sans II ITC Std X Bd"/>
          <w:b/>
          <w:color w:val="1A171C"/>
        </w:rPr>
        <w:t>19</w:t>
      </w:r>
    </w:p>
    <w:p>
      <w:pPr>
        <w:spacing w:after="0"/>
        <w:rPr>
          <w:rFonts w:ascii="Stone Sans II ITC Std X Bd"/>
        </w:rPr>
        <w:sectPr>
          <w:pgSz w:w="11910" w:h="16840"/>
          <w:pgMar w:top="240" w:bottom="0" w:left="320" w:right="0"/>
        </w:sectPr>
      </w:pPr>
    </w:p>
    <w:p>
      <w:pPr>
        <w:pStyle w:val="BodyText"/>
        <w:rPr>
          <w:rFonts w:ascii="Stone Sans II ITC Std X Bd"/>
          <w:b/>
          <w:sz w:val="20"/>
        </w:rPr>
      </w:pPr>
      <w:r>
        <w:rPr/>
        <w:pict>
          <v:group style="position:absolute;margin-left:12.756pt;margin-top:12.755014pt;width:77.8pt;height:816.4pt;mso-position-horizontal-relative:page;mso-position-vertical-relative:page;z-index:-253368320" coordorigin="255,255" coordsize="1556,16328">
            <v:shape style="position:absolute;left:255;top:255;width:681;height:16328" type="#_x0000_t75" stroked="false">
              <v:imagedata r:id="rId20"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3BA533" w:color="auto" w:val="clear"/>
                      </w:rPr>
                      <w:t>A</w:t>
                    </w:r>
                    <w:r>
                      <w:rPr>
                        <w:rFonts w:ascii="Stone Sans II ITC Std X Bd"/>
                        <w:b/>
                        <w:color w:val="FFFFFF"/>
                        <w:sz w:val="65"/>
                        <w:shd w:fill="3BA533" w:color="auto" w:val="clear"/>
                      </w:rPr>
                      <w:tab/>
                    </w:r>
                  </w:p>
                </w:txbxContent>
              </v:textbox>
              <w10:wrap type="none"/>
            </v:shape>
            <v:shape style="position:absolute;left:435;top:15990;width:34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20</w:t>
                    </w:r>
                  </w:p>
                </w:txbxContent>
              </v:textbox>
              <w10:wrap type="none"/>
            </v:shape>
            <w10:wrap type="none"/>
          </v:group>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1"/>
        <w:rPr>
          <w:rFonts w:ascii="Stone Sans II ITC Std X Bd"/>
          <w:b/>
          <w:sz w:val="19"/>
        </w:rPr>
      </w:pPr>
    </w:p>
    <w:p>
      <w:pPr>
        <w:pStyle w:val="ListParagraph"/>
        <w:numPr>
          <w:ilvl w:val="3"/>
          <w:numId w:val="7"/>
        </w:numPr>
        <w:tabs>
          <w:tab w:pos="2459" w:val="left" w:leader="none"/>
          <w:tab w:pos="2460" w:val="left" w:leader="none"/>
        </w:tabs>
        <w:spacing w:line="237" w:lineRule="auto" w:before="104" w:after="0"/>
        <w:ind w:left="2459" w:right="1639" w:hanging="682"/>
        <w:jc w:val="left"/>
        <w:rPr>
          <w:sz w:val="22"/>
        </w:rPr>
      </w:pPr>
      <w:r>
        <w:rPr/>
        <w:pict>
          <v:shape style="position:absolute;margin-left:21.22007pt;margin-top:-18.030668pt;width:16.3500pt;height:346.1pt;mso-position-horizontal-relative:page;mso-position-vertical-relative:paragraph;z-index:251745280"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sz w:val="22"/>
        </w:rPr>
        <w:t>the </w:t>
      </w:r>
      <w:r>
        <w:rPr>
          <w:color w:val="1A171C"/>
          <w:spacing w:val="-3"/>
          <w:sz w:val="22"/>
        </w:rPr>
        <w:t>character </w:t>
      </w:r>
      <w:r>
        <w:rPr>
          <w:color w:val="1A171C"/>
          <w:sz w:val="22"/>
        </w:rPr>
        <w:t>and </w:t>
      </w:r>
      <w:r>
        <w:rPr>
          <w:color w:val="1A171C"/>
          <w:spacing w:val="-3"/>
          <w:sz w:val="22"/>
        </w:rPr>
        <w:t>teaching of Jesus requires </w:t>
      </w:r>
      <w:r>
        <w:rPr>
          <w:color w:val="1A171C"/>
          <w:sz w:val="22"/>
        </w:rPr>
        <w:t>that </w:t>
      </w:r>
      <w:r>
        <w:rPr>
          <w:color w:val="1A171C"/>
          <w:spacing w:val="-3"/>
          <w:sz w:val="22"/>
        </w:rPr>
        <w:t>both grace </w:t>
      </w:r>
      <w:r>
        <w:rPr>
          <w:color w:val="1A171C"/>
          <w:sz w:val="22"/>
        </w:rPr>
        <w:t>and truth must</w:t>
      </w:r>
      <w:r>
        <w:rPr>
          <w:color w:val="1A171C"/>
          <w:spacing w:val="-32"/>
          <w:sz w:val="22"/>
        </w:rPr>
        <w:t> </w:t>
      </w:r>
      <w:r>
        <w:rPr>
          <w:color w:val="1A171C"/>
          <w:spacing w:val="-3"/>
          <w:sz w:val="22"/>
        </w:rPr>
        <w:t>be embodied </w:t>
      </w:r>
      <w:r>
        <w:rPr>
          <w:color w:val="1A171C"/>
          <w:sz w:val="22"/>
        </w:rPr>
        <w:t>in </w:t>
      </w:r>
      <w:r>
        <w:rPr>
          <w:color w:val="1A171C"/>
          <w:spacing w:val="-3"/>
          <w:sz w:val="22"/>
        </w:rPr>
        <w:t>dealing with this issue </w:t>
      </w:r>
      <w:r>
        <w:rPr>
          <w:color w:val="1A171C"/>
          <w:sz w:val="22"/>
        </w:rPr>
        <w:t>and </w:t>
      </w:r>
      <w:r>
        <w:rPr>
          <w:color w:val="1A171C"/>
          <w:spacing w:val="-3"/>
          <w:sz w:val="22"/>
        </w:rPr>
        <w:t>with </w:t>
      </w:r>
      <w:r>
        <w:rPr>
          <w:color w:val="1A171C"/>
          <w:sz w:val="22"/>
        </w:rPr>
        <w:t>the </w:t>
      </w:r>
      <w:r>
        <w:rPr>
          <w:color w:val="1A171C"/>
          <w:spacing w:val="-3"/>
          <w:sz w:val="22"/>
        </w:rPr>
        <w:t>people</w:t>
      </w:r>
      <w:r>
        <w:rPr>
          <w:color w:val="1A171C"/>
          <w:spacing w:val="-8"/>
          <w:sz w:val="22"/>
        </w:rPr>
        <w:t> </w:t>
      </w:r>
      <w:r>
        <w:rPr>
          <w:color w:val="1A171C"/>
          <w:spacing w:val="-3"/>
          <w:sz w:val="22"/>
        </w:rPr>
        <w:t>concerned;</w:t>
      </w:r>
    </w:p>
    <w:p>
      <w:pPr>
        <w:pStyle w:val="ListParagraph"/>
        <w:numPr>
          <w:ilvl w:val="3"/>
          <w:numId w:val="7"/>
        </w:numPr>
        <w:tabs>
          <w:tab w:pos="2459" w:val="left" w:leader="none"/>
          <w:tab w:pos="2460" w:val="left" w:leader="none"/>
        </w:tabs>
        <w:spacing w:line="237" w:lineRule="auto" w:before="3" w:after="0"/>
        <w:ind w:left="2459" w:right="1663" w:hanging="682"/>
        <w:jc w:val="left"/>
        <w:rPr>
          <w:sz w:val="22"/>
        </w:rPr>
      </w:pPr>
      <w:r>
        <w:rPr>
          <w:color w:val="1A171C"/>
          <w:spacing w:val="-3"/>
          <w:sz w:val="22"/>
        </w:rPr>
        <w:t>working </w:t>
      </w:r>
      <w:r>
        <w:rPr>
          <w:color w:val="1A171C"/>
          <w:sz w:val="22"/>
        </w:rPr>
        <w:t>and </w:t>
      </w:r>
      <w:r>
        <w:rPr>
          <w:color w:val="1A171C"/>
          <w:spacing w:val="-3"/>
          <w:sz w:val="22"/>
        </w:rPr>
        <w:t>sharing fellowship with people </w:t>
      </w:r>
      <w:r>
        <w:rPr>
          <w:color w:val="1A171C"/>
          <w:sz w:val="22"/>
        </w:rPr>
        <w:t>of </w:t>
      </w:r>
      <w:r>
        <w:rPr>
          <w:color w:val="1A171C"/>
          <w:spacing w:val="-3"/>
          <w:sz w:val="22"/>
        </w:rPr>
        <w:t>very different </w:t>
      </w:r>
      <w:r>
        <w:rPr>
          <w:color w:val="1A171C"/>
          <w:spacing w:val="-4"/>
          <w:sz w:val="22"/>
        </w:rPr>
        <w:t>views </w:t>
      </w:r>
      <w:r>
        <w:rPr>
          <w:color w:val="1A171C"/>
          <w:sz w:val="22"/>
        </w:rPr>
        <w:t>and </w:t>
      </w:r>
      <w:r>
        <w:rPr>
          <w:color w:val="1A171C"/>
          <w:spacing w:val="-3"/>
          <w:sz w:val="22"/>
        </w:rPr>
        <w:t>practice creates painful</w:t>
      </w:r>
      <w:r>
        <w:rPr>
          <w:color w:val="1A171C"/>
          <w:spacing w:val="-6"/>
          <w:sz w:val="22"/>
        </w:rPr>
        <w:t> </w:t>
      </w:r>
      <w:r>
        <w:rPr>
          <w:color w:val="1A171C"/>
          <w:spacing w:val="-3"/>
          <w:sz w:val="22"/>
        </w:rPr>
        <w:t>tensions.</w:t>
      </w:r>
    </w:p>
    <w:p>
      <w:pPr>
        <w:pStyle w:val="BodyText"/>
        <w:rPr>
          <w:sz w:val="21"/>
        </w:rPr>
      </w:pPr>
    </w:p>
    <w:p>
      <w:pPr>
        <w:pStyle w:val="ListParagraph"/>
        <w:numPr>
          <w:ilvl w:val="2"/>
          <w:numId w:val="7"/>
        </w:numPr>
        <w:tabs>
          <w:tab w:pos="1778" w:val="left" w:leader="none"/>
        </w:tabs>
        <w:spacing w:line="240" w:lineRule="auto" w:before="0" w:after="0"/>
        <w:ind w:left="1777" w:right="1463" w:hanging="680"/>
        <w:jc w:val="left"/>
        <w:rPr>
          <w:sz w:val="22"/>
        </w:rPr>
      </w:pPr>
      <w:r>
        <w:rPr>
          <w:color w:val="1A171C"/>
          <w:sz w:val="22"/>
        </w:rPr>
        <w:t>some others again who feel that this debate is a necessary focus because it is a passionately held matter of God’s unbounded grace, justice, the work of the Spirit and faithfulness to God’s revelation in Christ and in scripture, believing</w:t>
      </w:r>
      <w:r>
        <w:rPr>
          <w:color w:val="1A171C"/>
          <w:spacing w:val="-15"/>
          <w:sz w:val="22"/>
        </w:rPr>
        <w:t> </w:t>
      </w:r>
      <w:r>
        <w:rPr>
          <w:color w:val="1A171C"/>
          <w:sz w:val="22"/>
        </w:rPr>
        <w:t>that:</w:t>
      </w:r>
    </w:p>
    <w:p>
      <w:pPr>
        <w:pStyle w:val="ListParagraph"/>
        <w:numPr>
          <w:ilvl w:val="3"/>
          <w:numId w:val="7"/>
        </w:numPr>
        <w:tabs>
          <w:tab w:pos="2459" w:val="left" w:leader="none"/>
          <w:tab w:pos="2460" w:val="left" w:leader="none"/>
        </w:tabs>
        <w:spacing w:line="240" w:lineRule="auto" w:before="0" w:after="0"/>
        <w:ind w:left="2459" w:right="1567" w:hanging="682"/>
        <w:jc w:val="both"/>
        <w:rPr>
          <w:sz w:val="22"/>
        </w:rPr>
      </w:pPr>
      <w:r>
        <w:rPr>
          <w:color w:val="1A171C"/>
          <w:spacing w:val="-3"/>
          <w:sz w:val="22"/>
        </w:rPr>
        <w:t>God’s will </w:t>
      </w:r>
      <w:r>
        <w:rPr>
          <w:color w:val="1A171C"/>
          <w:sz w:val="22"/>
        </w:rPr>
        <w:t>is for </w:t>
      </w:r>
      <w:r>
        <w:rPr>
          <w:color w:val="1A171C"/>
          <w:spacing w:val="-3"/>
          <w:sz w:val="22"/>
        </w:rPr>
        <w:t>newness </w:t>
      </w:r>
      <w:r>
        <w:rPr>
          <w:color w:val="1A171C"/>
          <w:sz w:val="22"/>
        </w:rPr>
        <w:t>of life for </w:t>
      </w:r>
      <w:r>
        <w:rPr>
          <w:color w:val="1A171C"/>
          <w:spacing w:val="-3"/>
          <w:sz w:val="22"/>
        </w:rPr>
        <w:t>all people </w:t>
      </w:r>
      <w:r>
        <w:rPr>
          <w:color w:val="1A171C"/>
          <w:sz w:val="22"/>
        </w:rPr>
        <w:t>in </w:t>
      </w:r>
      <w:r>
        <w:rPr>
          <w:color w:val="1A171C"/>
          <w:spacing w:val="-3"/>
          <w:sz w:val="22"/>
        </w:rPr>
        <w:t>Christ, regardless </w:t>
      </w:r>
      <w:r>
        <w:rPr>
          <w:color w:val="1A171C"/>
          <w:sz w:val="22"/>
        </w:rPr>
        <w:t>of any</w:t>
      </w:r>
      <w:r>
        <w:rPr>
          <w:color w:val="1A171C"/>
          <w:spacing w:val="-34"/>
          <w:sz w:val="22"/>
        </w:rPr>
        <w:t> </w:t>
      </w:r>
      <w:r>
        <w:rPr>
          <w:color w:val="1A171C"/>
          <w:spacing w:val="-3"/>
          <w:sz w:val="22"/>
        </w:rPr>
        <w:t>human distinctions, including sexual orientation;</w:t>
      </w:r>
    </w:p>
    <w:p>
      <w:pPr>
        <w:pStyle w:val="ListParagraph"/>
        <w:numPr>
          <w:ilvl w:val="3"/>
          <w:numId w:val="7"/>
        </w:numPr>
        <w:tabs>
          <w:tab w:pos="2459" w:val="left" w:leader="none"/>
          <w:tab w:pos="2460" w:val="left" w:leader="none"/>
        </w:tabs>
        <w:spacing w:line="240" w:lineRule="auto" w:before="0" w:after="0"/>
        <w:ind w:left="2459" w:right="1655" w:hanging="682"/>
        <w:jc w:val="both"/>
        <w:rPr>
          <w:sz w:val="22"/>
        </w:rPr>
      </w:pPr>
      <w:r>
        <w:rPr>
          <w:color w:val="1A171C"/>
          <w:sz w:val="22"/>
        </w:rPr>
        <w:t>it is </w:t>
      </w:r>
      <w:r>
        <w:rPr>
          <w:color w:val="1A171C"/>
          <w:spacing w:val="-3"/>
          <w:sz w:val="22"/>
        </w:rPr>
        <w:t>God’s creative intent </w:t>
      </w:r>
      <w:r>
        <w:rPr>
          <w:color w:val="1A171C"/>
          <w:sz w:val="22"/>
        </w:rPr>
        <w:t>that there </w:t>
      </w:r>
      <w:r>
        <w:rPr>
          <w:color w:val="1A171C"/>
          <w:spacing w:val="-3"/>
          <w:sz w:val="22"/>
        </w:rPr>
        <w:t>are people whose innate sexual orientation </w:t>
      </w:r>
      <w:r>
        <w:rPr>
          <w:color w:val="1A171C"/>
          <w:sz w:val="22"/>
        </w:rPr>
        <w:t>and </w:t>
      </w:r>
      <w:r>
        <w:rPr>
          <w:color w:val="1A171C"/>
          <w:spacing w:val="-2"/>
          <w:sz w:val="22"/>
        </w:rPr>
        <w:t>its </w:t>
      </w:r>
      <w:r>
        <w:rPr>
          <w:color w:val="1A171C"/>
          <w:spacing w:val="-3"/>
          <w:sz w:val="22"/>
        </w:rPr>
        <w:t>fulfilment </w:t>
      </w:r>
      <w:r>
        <w:rPr>
          <w:color w:val="1A171C"/>
          <w:sz w:val="22"/>
        </w:rPr>
        <w:t>are </w:t>
      </w:r>
      <w:r>
        <w:rPr>
          <w:color w:val="1A171C"/>
          <w:spacing w:val="-3"/>
          <w:sz w:val="22"/>
        </w:rPr>
        <w:t>directed towards others </w:t>
      </w:r>
      <w:r>
        <w:rPr>
          <w:color w:val="1A171C"/>
          <w:sz w:val="22"/>
        </w:rPr>
        <w:t>of the same</w:t>
      </w:r>
      <w:r>
        <w:rPr>
          <w:color w:val="1A171C"/>
          <w:spacing w:val="-25"/>
          <w:sz w:val="22"/>
        </w:rPr>
        <w:t> </w:t>
      </w:r>
      <w:r>
        <w:rPr>
          <w:color w:val="1A171C"/>
          <w:spacing w:val="-3"/>
          <w:sz w:val="22"/>
        </w:rPr>
        <w:t>sex;</w:t>
      </w:r>
    </w:p>
    <w:p>
      <w:pPr>
        <w:pStyle w:val="ListParagraph"/>
        <w:numPr>
          <w:ilvl w:val="3"/>
          <w:numId w:val="7"/>
        </w:numPr>
        <w:tabs>
          <w:tab w:pos="2459" w:val="left" w:leader="none"/>
          <w:tab w:pos="2460" w:val="left" w:leader="none"/>
        </w:tabs>
        <w:spacing w:line="240" w:lineRule="auto" w:before="0" w:after="0"/>
        <w:ind w:left="2459" w:right="1552" w:hanging="682"/>
        <w:jc w:val="both"/>
        <w:rPr>
          <w:sz w:val="22"/>
        </w:rPr>
      </w:pPr>
      <w:r>
        <w:rPr>
          <w:color w:val="1A171C"/>
          <w:sz w:val="22"/>
        </w:rPr>
        <w:t>some </w:t>
      </w:r>
      <w:r>
        <w:rPr>
          <w:color w:val="1A171C"/>
          <w:spacing w:val="-3"/>
          <w:sz w:val="22"/>
        </w:rPr>
        <w:t>people </w:t>
      </w:r>
      <w:r>
        <w:rPr>
          <w:color w:val="1A171C"/>
          <w:sz w:val="22"/>
        </w:rPr>
        <w:t>are </w:t>
      </w:r>
      <w:r>
        <w:rPr>
          <w:color w:val="1A171C"/>
          <w:spacing w:val="-3"/>
          <w:sz w:val="22"/>
        </w:rPr>
        <w:t>called </w:t>
      </w:r>
      <w:r>
        <w:rPr>
          <w:color w:val="1A171C"/>
          <w:sz w:val="22"/>
        </w:rPr>
        <w:t>by God </w:t>
      </w:r>
      <w:r>
        <w:rPr>
          <w:color w:val="1A171C"/>
          <w:spacing w:val="-3"/>
          <w:sz w:val="22"/>
        </w:rPr>
        <w:t>into committed, loving, </w:t>
      </w:r>
      <w:r>
        <w:rPr>
          <w:color w:val="1A171C"/>
          <w:sz w:val="22"/>
        </w:rPr>
        <w:t>same-sex </w:t>
      </w:r>
      <w:r>
        <w:rPr>
          <w:color w:val="1A171C"/>
          <w:spacing w:val="-3"/>
          <w:sz w:val="22"/>
        </w:rPr>
        <w:t>relationships, including their sexual consummation, </w:t>
      </w:r>
      <w:r>
        <w:rPr>
          <w:color w:val="1A171C"/>
          <w:sz w:val="22"/>
        </w:rPr>
        <w:t>and that </w:t>
      </w:r>
      <w:r>
        <w:rPr>
          <w:color w:val="1A171C"/>
          <w:spacing w:val="-3"/>
          <w:sz w:val="22"/>
        </w:rPr>
        <w:t>such relationships </w:t>
      </w:r>
      <w:r>
        <w:rPr>
          <w:color w:val="1A171C"/>
          <w:sz w:val="22"/>
        </w:rPr>
        <w:t>can be </w:t>
      </w:r>
      <w:r>
        <w:rPr>
          <w:color w:val="1A171C"/>
          <w:spacing w:val="-3"/>
          <w:sz w:val="22"/>
        </w:rPr>
        <w:t>judged </w:t>
      </w:r>
      <w:r>
        <w:rPr>
          <w:color w:val="1A171C"/>
          <w:sz w:val="22"/>
        </w:rPr>
        <w:t>by the fruits </w:t>
      </w:r>
      <w:r>
        <w:rPr>
          <w:color w:val="1A171C"/>
          <w:spacing w:val="-3"/>
          <w:sz w:val="22"/>
        </w:rPr>
        <w:t>of </w:t>
      </w:r>
      <w:r>
        <w:rPr>
          <w:color w:val="1A171C"/>
          <w:sz w:val="22"/>
        </w:rPr>
        <w:t>the </w:t>
      </w:r>
      <w:r>
        <w:rPr>
          <w:color w:val="1A171C"/>
          <w:spacing w:val="-3"/>
          <w:sz w:val="22"/>
        </w:rPr>
        <w:t>Spirit that</w:t>
      </w:r>
      <w:r>
        <w:rPr>
          <w:color w:val="1A171C"/>
          <w:spacing w:val="-22"/>
          <w:sz w:val="22"/>
        </w:rPr>
        <w:t> </w:t>
      </w:r>
      <w:r>
        <w:rPr>
          <w:color w:val="1A171C"/>
          <w:spacing w:val="-3"/>
          <w:sz w:val="22"/>
        </w:rPr>
        <w:t>result;</w:t>
      </w:r>
    </w:p>
    <w:p>
      <w:pPr>
        <w:pStyle w:val="ListParagraph"/>
        <w:numPr>
          <w:ilvl w:val="3"/>
          <w:numId w:val="7"/>
        </w:numPr>
        <w:tabs>
          <w:tab w:pos="2459" w:val="left" w:leader="none"/>
          <w:tab w:pos="2460" w:val="left" w:leader="none"/>
        </w:tabs>
        <w:spacing w:line="240" w:lineRule="auto" w:before="0" w:after="0"/>
        <w:ind w:left="2459" w:right="1735" w:hanging="682"/>
        <w:jc w:val="left"/>
        <w:rPr>
          <w:sz w:val="22"/>
        </w:rPr>
      </w:pPr>
      <w:r>
        <w:rPr>
          <w:color w:val="1A171C"/>
          <w:spacing w:val="-3"/>
          <w:sz w:val="22"/>
        </w:rPr>
        <w:t>whilst </w:t>
      </w:r>
      <w:r>
        <w:rPr>
          <w:color w:val="1A171C"/>
          <w:sz w:val="22"/>
        </w:rPr>
        <w:t>most </w:t>
      </w:r>
      <w:r>
        <w:rPr>
          <w:color w:val="1A171C"/>
          <w:spacing w:val="-3"/>
          <w:sz w:val="22"/>
        </w:rPr>
        <w:t>scriptural references </w:t>
      </w:r>
      <w:r>
        <w:rPr>
          <w:color w:val="1A171C"/>
          <w:sz w:val="22"/>
        </w:rPr>
        <w:t>to </w:t>
      </w:r>
      <w:r>
        <w:rPr>
          <w:color w:val="1A171C"/>
          <w:spacing w:val="-3"/>
          <w:sz w:val="22"/>
        </w:rPr>
        <w:t>same-sex activity seem negative, </w:t>
      </w:r>
      <w:r>
        <w:rPr>
          <w:color w:val="1A171C"/>
          <w:sz w:val="22"/>
        </w:rPr>
        <w:t>they are not </w:t>
      </w:r>
      <w:r>
        <w:rPr>
          <w:color w:val="1A171C"/>
          <w:spacing w:val="-3"/>
          <w:sz w:val="22"/>
        </w:rPr>
        <w:t>relevant </w:t>
      </w:r>
      <w:r>
        <w:rPr>
          <w:color w:val="1A171C"/>
          <w:sz w:val="22"/>
        </w:rPr>
        <w:t>to the </w:t>
      </w:r>
      <w:r>
        <w:rPr>
          <w:color w:val="1A171C"/>
          <w:spacing w:val="-3"/>
          <w:sz w:val="22"/>
        </w:rPr>
        <w:t>contemporary understanding </w:t>
      </w:r>
      <w:r>
        <w:rPr>
          <w:color w:val="1A171C"/>
          <w:sz w:val="22"/>
        </w:rPr>
        <w:t>of same-sex </w:t>
      </w:r>
      <w:r>
        <w:rPr>
          <w:color w:val="1A171C"/>
          <w:spacing w:val="-3"/>
          <w:sz w:val="22"/>
        </w:rPr>
        <w:t>relationships; emphasis needs </w:t>
      </w:r>
      <w:r>
        <w:rPr>
          <w:color w:val="1A171C"/>
          <w:sz w:val="22"/>
        </w:rPr>
        <w:t>to be </w:t>
      </w:r>
      <w:r>
        <w:rPr>
          <w:color w:val="1A171C"/>
          <w:spacing w:val="-3"/>
          <w:sz w:val="22"/>
        </w:rPr>
        <w:t>given </w:t>
      </w:r>
      <w:r>
        <w:rPr>
          <w:color w:val="1A171C"/>
          <w:sz w:val="22"/>
        </w:rPr>
        <w:t>to the </w:t>
      </w:r>
      <w:r>
        <w:rPr>
          <w:color w:val="1A171C"/>
          <w:spacing w:val="-3"/>
          <w:sz w:val="22"/>
        </w:rPr>
        <w:t>scriptural themes of </w:t>
      </w:r>
      <w:r>
        <w:rPr>
          <w:color w:val="1A171C"/>
          <w:sz w:val="22"/>
        </w:rPr>
        <w:t>grace, </w:t>
      </w:r>
      <w:r>
        <w:rPr>
          <w:color w:val="1A171C"/>
          <w:spacing w:val="-3"/>
          <w:sz w:val="22"/>
        </w:rPr>
        <w:t>love and faithfulness;</w:t>
      </w:r>
    </w:p>
    <w:p>
      <w:pPr>
        <w:pStyle w:val="ListParagraph"/>
        <w:numPr>
          <w:ilvl w:val="3"/>
          <w:numId w:val="7"/>
        </w:numPr>
        <w:tabs>
          <w:tab w:pos="2459" w:val="left" w:leader="none"/>
          <w:tab w:pos="2460" w:val="left" w:leader="none"/>
        </w:tabs>
        <w:spacing w:line="240" w:lineRule="auto" w:before="0" w:after="0"/>
        <w:ind w:left="2459" w:right="1583" w:hanging="682"/>
        <w:jc w:val="left"/>
        <w:rPr>
          <w:sz w:val="22"/>
        </w:rPr>
      </w:pPr>
      <w:r>
        <w:rPr>
          <w:color w:val="1A171C"/>
          <w:spacing w:val="-3"/>
          <w:sz w:val="22"/>
        </w:rPr>
        <w:t>where vocations </w:t>
      </w:r>
      <w:r>
        <w:rPr>
          <w:color w:val="1A171C"/>
          <w:sz w:val="22"/>
        </w:rPr>
        <w:t>to </w:t>
      </w:r>
      <w:r>
        <w:rPr>
          <w:color w:val="1A171C"/>
          <w:spacing w:val="-3"/>
          <w:sz w:val="22"/>
        </w:rPr>
        <w:t>ministry </w:t>
      </w:r>
      <w:r>
        <w:rPr>
          <w:color w:val="1A171C"/>
          <w:sz w:val="22"/>
        </w:rPr>
        <w:t>of </w:t>
      </w:r>
      <w:r>
        <w:rPr>
          <w:color w:val="1A171C"/>
          <w:spacing w:val="-3"/>
          <w:sz w:val="22"/>
        </w:rPr>
        <w:t>those </w:t>
      </w:r>
      <w:r>
        <w:rPr>
          <w:color w:val="1A171C"/>
          <w:sz w:val="22"/>
        </w:rPr>
        <w:t>in </w:t>
      </w:r>
      <w:r>
        <w:rPr>
          <w:color w:val="1A171C"/>
          <w:spacing w:val="-3"/>
          <w:sz w:val="22"/>
        </w:rPr>
        <w:t>committed same-sex relationships </w:t>
      </w:r>
      <w:r>
        <w:rPr>
          <w:color w:val="1A171C"/>
          <w:sz w:val="22"/>
        </w:rPr>
        <w:t>are </w:t>
      </w:r>
      <w:r>
        <w:rPr>
          <w:color w:val="1A171C"/>
          <w:spacing w:val="-3"/>
          <w:sz w:val="22"/>
        </w:rPr>
        <w:t>discerned </w:t>
      </w:r>
      <w:r>
        <w:rPr>
          <w:color w:val="1A171C"/>
          <w:sz w:val="22"/>
        </w:rPr>
        <w:t>through the </w:t>
      </w:r>
      <w:r>
        <w:rPr>
          <w:color w:val="1A171C"/>
          <w:spacing w:val="-3"/>
          <w:sz w:val="22"/>
        </w:rPr>
        <w:t>processes </w:t>
      </w:r>
      <w:r>
        <w:rPr>
          <w:color w:val="1A171C"/>
          <w:sz w:val="22"/>
        </w:rPr>
        <w:t>of the </w:t>
      </w:r>
      <w:r>
        <w:rPr>
          <w:color w:val="1A171C"/>
          <w:spacing w:val="-3"/>
          <w:sz w:val="22"/>
        </w:rPr>
        <w:t>church </w:t>
      </w:r>
      <w:r>
        <w:rPr>
          <w:color w:val="1A171C"/>
          <w:sz w:val="22"/>
        </w:rPr>
        <w:t>to be the </w:t>
      </w:r>
      <w:r>
        <w:rPr>
          <w:color w:val="1A171C"/>
          <w:spacing w:val="-3"/>
          <w:sz w:val="22"/>
        </w:rPr>
        <w:t>work of </w:t>
      </w:r>
      <w:r>
        <w:rPr>
          <w:color w:val="1A171C"/>
          <w:sz w:val="22"/>
        </w:rPr>
        <w:t>the</w:t>
      </w:r>
      <w:r>
        <w:rPr>
          <w:color w:val="1A171C"/>
          <w:spacing w:val="-43"/>
          <w:sz w:val="22"/>
        </w:rPr>
        <w:t> </w:t>
      </w:r>
      <w:r>
        <w:rPr>
          <w:color w:val="1A171C"/>
          <w:spacing w:val="-3"/>
          <w:sz w:val="22"/>
        </w:rPr>
        <w:t>Holy Spirit, such vocations should </w:t>
      </w:r>
      <w:r>
        <w:rPr>
          <w:color w:val="1A171C"/>
          <w:sz w:val="22"/>
        </w:rPr>
        <w:t>be</w:t>
      </w:r>
      <w:r>
        <w:rPr>
          <w:color w:val="1A171C"/>
          <w:spacing w:val="-4"/>
          <w:sz w:val="22"/>
        </w:rPr>
        <w:t> upheld;</w:t>
      </w:r>
    </w:p>
    <w:p>
      <w:pPr>
        <w:pStyle w:val="ListParagraph"/>
        <w:numPr>
          <w:ilvl w:val="3"/>
          <w:numId w:val="7"/>
        </w:numPr>
        <w:tabs>
          <w:tab w:pos="2459" w:val="left" w:leader="none"/>
          <w:tab w:pos="2460" w:val="left" w:leader="none"/>
        </w:tabs>
        <w:spacing w:line="237" w:lineRule="auto" w:before="0" w:after="0"/>
        <w:ind w:left="2459" w:right="1901" w:hanging="682"/>
        <w:jc w:val="left"/>
        <w:rPr>
          <w:sz w:val="22"/>
        </w:rPr>
      </w:pPr>
      <w:r>
        <w:rPr>
          <w:color w:val="1A171C"/>
          <w:spacing w:val="-3"/>
          <w:sz w:val="22"/>
        </w:rPr>
        <w:t>this </w:t>
      </w:r>
      <w:r>
        <w:rPr>
          <w:color w:val="1A171C"/>
          <w:sz w:val="22"/>
        </w:rPr>
        <w:t>is an </w:t>
      </w:r>
      <w:r>
        <w:rPr>
          <w:color w:val="1A171C"/>
          <w:spacing w:val="-3"/>
          <w:sz w:val="22"/>
        </w:rPr>
        <w:t>issue </w:t>
      </w:r>
      <w:r>
        <w:rPr>
          <w:color w:val="1A171C"/>
          <w:sz w:val="22"/>
        </w:rPr>
        <w:t>of </w:t>
      </w:r>
      <w:r>
        <w:rPr>
          <w:color w:val="1A171C"/>
          <w:spacing w:val="-3"/>
          <w:sz w:val="22"/>
        </w:rPr>
        <w:t>justice, </w:t>
      </w:r>
      <w:r>
        <w:rPr>
          <w:color w:val="1A171C"/>
          <w:sz w:val="22"/>
        </w:rPr>
        <w:t>and the </w:t>
      </w:r>
      <w:r>
        <w:rPr>
          <w:color w:val="1A171C"/>
          <w:spacing w:val="-3"/>
          <w:sz w:val="22"/>
        </w:rPr>
        <w:t>church should celebrate changes </w:t>
      </w:r>
      <w:r>
        <w:rPr>
          <w:color w:val="1A171C"/>
          <w:sz w:val="22"/>
        </w:rPr>
        <w:t>made to </w:t>
      </w:r>
      <w:r>
        <w:rPr>
          <w:color w:val="1A171C"/>
          <w:spacing w:val="-3"/>
          <w:sz w:val="22"/>
        </w:rPr>
        <w:t>address unjust structures </w:t>
      </w:r>
      <w:r>
        <w:rPr>
          <w:color w:val="1A171C"/>
          <w:sz w:val="22"/>
        </w:rPr>
        <w:t>in </w:t>
      </w:r>
      <w:r>
        <w:rPr>
          <w:color w:val="1A171C"/>
          <w:spacing w:val="-3"/>
          <w:sz w:val="22"/>
        </w:rPr>
        <w:t>society </w:t>
      </w:r>
      <w:r>
        <w:rPr>
          <w:color w:val="1A171C"/>
          <w:sz w:val="22"/>
        </w:rPr>
        <w:t>as, in part, the </w:t>
      </w:r>
      <w:r>
        <w:rPr>
          <w:color w:val="1A171C"/>
          <w:spacing w:val="-3"/>
          <w:sz w:val="22"/>
        </w:rPr>
        <w:t>work of </w:t>
      </w:r>
      <w:r>
        <w:rPr>
          <w:color w:val="1A171C"/>
          <w:sz w:val="22"/>
        </w:rPr>
        <w:t>the</w:t>
      </w:r>
      <w:r>
        <w:rPr>
          <w:color w:val="1A171C"/>
          <w:spacing w:val="-27"/>
          <w:sz w:val="22"/>
        </w:rPr>
        <w:t> </w:t>
      </w:r>
      <w:r>
        <w:rPr>
          <w:color w:val="1A171C"/>
          <w:spacing w:val="-3"/>
          <w:sz w:val="22"/>
        </w:rPr>
        <w:t>Spirit;</w:t>
      </w:r>
    </w:p>
    <w:p>
      <w:pPr>
        <w:pStyle w:val="ListParagraph"/>
        <w:numPr>
          <w:ilvl w:val="3"/>
          <w:numId w:val="7"/>
        </w:numPr>
        <w:tabs>
          <w:tab w:pos="2459" w:val="left" w:leader="none"/>
          <w:tab w:pos="2460" w:val="left" w:leader="none"/>
        </w:tabs>
        <w:spacing w:line="268" w:lineRule="exact" w:before="0" w:after="0"/>
        <w:ind w:left="2459" w:right="0" w:hanging="683"/>
        <w:jc w:val="left"/>
        <w:rPr>
          <w:sz w:val="22"/>
        </w:rPr>
      </w:pPr>
      <w:r>
        <w:rPr>
          <w:color w:val="1A171C"/>
          <w:sz w:val="22"/>
        </w:rPr>
        <w:t>the </w:t>
      </w:r>
      <w:r>
        <w:rPr>
          <w:color w:val="1A171C"/>
          <w:spacing w:val="-3"/>
          <w:sz w:val="22"/>
        </w:rPr>
        <w:t>church should welcome </w:t>
      </w:r>
      <w:r>
        <w:rPr>
          <w:color w:val="1A171C"/>
          <w:sz w:val="22"/>
        </w:rPr>
        <w:t>the </w:t>
      </w:r>
      <w:r>
        <w:rPr>
          <w:color w:val="1A171C"/>
          <w:spacing w:val="-3"/>
          <w:sz w:val="22"/>
        </w:rPr>
        <w:t>creation of civil partnerships </w:t>
      </w:r>
      <w:r>
        <w:rPr>
          <w:color w:val="1A171C"/>
          <w:sz w:val="22"/>
        </w:rPr>
        <w:t>and </w:t>
      </w:r>
      <w:r>
        <w:rPr>
          <w:color w:val="1A171C"/>
          <w:spacing w:val="-3"/>
          <w:sz w:val="22"/>
        </w:rPr>
        <w:t>support</w:t>
      </w:r>
      <w:r>
        <w:rPr>
          <w:color w:val="1A171C"/>
          <w:spacing w:val="-11"/>
          <w:sz w:val="22"/>
        </w:rPr>
        <w:t> </w:t>
      </w:r>
      <w:r>
        <w:rPr>
          <w:color w:val="1A171C"/>
          <w:spacing w:val="-3"/>
          <w:sz w:val="22"/>
        </w:rPr>
        <w:t>such</w:t>
      </w:r>
    </w:p>
    <w:p>
      <w:pPr>
        <w:pStyle w:val="BodyText"/>
        <w:spacing w:line="252" w:lineRule="exact"/>
        <w:ind w:left="2459"/>
      </w:pPr>
      <w:r>
        <w:rPr>
          <w:color w:val="1A171C"/>
        </w:rPr>
        <w:t>unions pastorally;</w:t>
      </w:r>
    </w:p>
    <w:p>
      <w:pPr>
        <w:pStyle w:val="ListParagraph"/>
        <w:numPr>
          <w:ilvl w:val="3"/>
          <w:numId w:val="7"/>
        </w:numPr>
        <w:tabs>
          <w:tab w:pos="2459" w:val="left" w:leader="none"/>
          <w:tab w:pos="2460" w:val="left" w:leader="none"/>
        </w:tabs>
        <w:spacing w:line="237" w:lineRule="auto" w:before="0" w:after="0"/>
        <w:ind w:left="2459" w:right="1663" w:hanging="682"/>
        <w:jc w:val="left"/>
        <w:rPr>
          <w:sz w:val="22"/>
        </w:rPr>
      </w:pPr>
      <w:r>
        <w:rPr>
          <w:color w:val="1A171C"/>
          <w:spacing w:val="-3"/>
          <w:sz w:val="22"/>
        </w:rPr>
        <w:t>working </w:t>
      </w:r>
      <w:r>
        <w:rPr>
          <w:color w:val="1A171C"/>
          <w:sz w:val="22"/>
        </w:rPr>
        <w:t>and </w:t>
      </w:r>
      <w:r>
        <w:rPr>
          <w:color w:val="1A171C"/>
          <w:spacing w:val="-3"/>
          <w:sz w:val="22"/>
        </w:rPr>
        <w:t>sharing fellowship with people </w:t>
      </w:r>
      <w:r>
        <w:rPr>
          <w:color w:val="1A171C"/>
          <w:sz w:val="22"/>
        </w:rPr>
        <w:t>of </w:t>
      </w:r>
      <w:r>
        <w:rPr>
          <w:color w:val="1A171C"/>
          <w:spacing w:val="-3"/>
          <w:sz w:val="22"/>
        </w:rPr>
        <w:t>very different </w:t>
      </w:r>
      <w:r>
        <w:rPr>
          <w:color w:val="1A171C"/>
          <w:spacing w:val="-4"/>
          <w:sz w:val="22"/>
        </w:rPr>
        <w:t>views </w:t>
      </w:r>
      <w:r>
        <w:rPr>
          <w:color w:val="1A171C"/>
          <w:sz w:val="22"/>
        </w:rPr>
        <w:t>and practice </w:t>
      </w:r>
      <w:r>
        <w:rPr>
          <w:color w:val="1A171C"/>
          <w:spacing w:val="-3"/>
          <w:sz w:val="22"/>
        </w:rPr>
        <w:t>creates painful</w:t>
      </w:r>
      <w:r>
        <w:rPr>
          <w:color w:val="1A171C"/>
          <w:spacing w:val="-6"/>
          <w:sz w:val="22"/>
        </w:rPr>
        <w:t> </w:t>
      </w:r>
      <w:r>
        <w:rPr>
          <w:color w:val="1A171C"/>
          <w:spacing w:val="-3"/>
          <w:sz w:val="22"/>
        </w:rPr>
        <w:t>tensions.</w:t>
      </w:r>
    </w:p>
    <w:p>
      <w:pPr>
        <w:pStyle w:val="BodyText"/>
        <w:spacing w:before="9"/>
        <w:rPr>
          <w:sz w:val="20"/>
        </w:rPr>
      </w:pPr>
    </w:p>
    <w:p>
      <w:pPr>
        <w:pStyle w:val="ListParagraph"/>
        <w:numPr>
          <w:ilvl w:val="1"/>
          <w:numId w:val="6"/>
        </w:numPr>
        <w:tabs>
          <w:tab w:pos="1777" w:val="left" w:leader="none"/>
          <w:tab w:pos="1778" w:val="left" w:leader="none"/>
        </w:tabs>
        <w:spacing w:line="252" w:lineRule="exact" w:before="1" w:after="0"/>
        <w:ind w:left="1777" w:right="0" w:hanging="680"/>
        <w:jc w:val="left"/>
        <w:rPr>
          <w:sz w:val="22"/>
        </w:rPr>
      </w:pPr>
      <w:r>
        <w:rPr>
          <w:color w:val="1A171C"/>
          <w:sz w:val="22"/>
        </w:rPr>
        <w:t>recognising this very wide range of views, we</w:t>
      </w:r>
      <w:r>
        <w:rPr>
          <w:color w:val="1A171C"/>
          <w:spacing w:val="-4"/>
          <w:sz w:val="22"/>
        </w:rPr>
        <w:t> </w:t>
      </w:r>
      <w:r>
        <w:rPr>
          <w:color w:val="1A171C"/>
          <w:sz w:val="22"/>
        </w:rPr>
        <w:t>–</w:t>
      </w:r>
    </w:p>
    <w:p>
      <w:pPr>
        <w:pStyle w:val="ListParagraph"/>
        <w:numPr>
          <w:ilvl w:val="2"/>
          <w:numId w:val="6"/>
        </w:numPr>
        <w:tabs>
          <w:tab w:pos="2459" w:val="left" w:leader="none"/>
          <w:tab w:pos="2460" w:val="left" w:leader="none"/>
        </w:tabs>
        <w:spacing w:line="268" w:lineRule="exact" w:before="0" w:after="0"/>
        <w:ind w:left="2459" w:right="0" w:hanging="683"/>
        <w:jc w:val="left"/>
        <w:rPr>
          <w:sz w:val="22"/>
        </w:rPr>
      </w:pPr>
      <w:r>
        <w:rPr>
          <w:color w:val="1A171C"/>
          <w:spacing w:val="-3"/>
          <w:sz w:val="22"/>
        </w:rPr>
        <w:t>acknowledge this</w:t>
      </w:r>
      <w:r>
        <w:rPr>
          <w:color w:val="1A171C"/>
          <w:spacing w:val="-5"/>
          <w:sz w:val="22"/>
        </w:rPr>
        <w:t> </w:t>
      </w:r>
      <w:r>
        <w:rPr>
          <w:color w:val="1A171C"/>
          <w:spacing w:val="-3"/>
          <w:sz w:val="22"/>
        </w:rPr>
        <w:t>diversity;</w:t>
      </w:r>
    </w:p>
    <w:p>
      <w:pPr>
        <w:pStyle w:val="ListParagraph"/>
        <w:numPr>
          <w:ilvl w:val="2"/>
          <w:numId w:val="6"/>
        </w:numPr>
        <w:tabs>
          <w:tab w:pos="2459" w:val="left" w:leader="none"/>
          <w:tab w:pos="2460" w:val="left" w:leader="none"/>
        </w:tabs>
        <w:spacing w:line="268" w:lineRule="exact" w:before="0" w:after="0"/>
        <w:ind w:left="2459" w:right="0" w:hanging="683"/>
        <w:jc w:val="left"/>
        <w:rPr>
          <w:sz w:val="22"/>
        </w:rPr>
      </w:pPr>
      <w:r>
        <w:rPr>
          <w:color w:val="1A171C"/>
          <w:spacing w:val="-3"/>
          <w:sz w:val="22"/>
        </w:rPr>
        <w:t>accept </w:t>
      </w:r>
      <w:r>
        <w:rPr>
          <w:color w:val="1A171C"/>
          <w:sz w:val="22"/>
        </w:rPr>
        <w:t>that </w:t>
      </w:r>
      <w:r>
        <w:rPr>
          <w:color w:val="1A171C"/>
          <w:spacing w:val="-3"/>
          <w:sz w:val="22"/>
        </w:rPr>
        <w:t>these </w:t>
      </w:r>
      <w:r>
        <w:rPr>
          <w:color w:val="1A171C"/>
          <w:spacing w:val="-4"/>
          <w:sz w:val="22"/>
        </w:rPr>
        <w:t>views </w:t>
      </w:r>
      <w:r>
        <w:rPr>
          <w:color w:val="1A171C"/>
          <w:sz w:val="22"/>
        </w:rPr>
        <w:t>are </w:t>
      </w:r>
      <w:r>
        <w:rPr>
          <w:color w:val="1A171C"/>
          <w:spacing w:val="-3"/>
          <w:sz w:val="22"/>
        </w:rPr>
        <w:t>all held with integrity </w:t>
      </w:r>
      <w:r>
        <w:rPr>
          <w:color w:val="1A171C"/>
          <w:sz w:val="22"/>
        </w:rPr>
        <w:t>and often </w:t>
      </w:r>
      <w:r>
        <w:rPr>
          <w:color w:val="1A171C"/>
          <w:spacing w:val="-3"/>
          <w:sz w:val="22"/>
        </w:rPr>
        <w:t>with</w:t>
      </w:r>
      <w:r>
        <w:rPr>
          <w:color w:val="1A171C"/>
          <w:spacing w:val="-20"/>
          <w:sz w:val="22"/>
        </w:rPr>
        <w:t> </w:t>
      </w:r>
      <w:r>
        <w:rPr>
          <w:color w:val="1A171C"/>
          <w:spacing w:val="-3"/>
          <w:sz w:val="22"/>
        </w:rPr>
        <w:t>passion;</w:t>
      </w:r>
    </w:p>
    <w:p>
      <w:pPr>
        <w:pStyle w:val="ListParagraph"/>
        <w:numPr>
          <w:ilvl w:val="2"/>
          <w:numId w:val="6"/>
        </w:numPr>
        <w:tabs>
          <w:tab w:pos="2459" w:val="left" w:leader="none"/>
          <w:tab w:pos="2460" w:val="left" w:leader="none"/>
        </w:tabs>
        <w:spacing w:line="268" w:lineRule="exact" w:before="0" w:after="0"/>
        <w:ind w:left="2459" w:right="0" w:hanging="683"/>
        <w:jc w:val="left"/>
        <w:rPr>
          <w:sz w:val="22"/>
        </w:rPr>
      </w:pPr>
      <w:r>
        <w:rPr>
          <w:color w:val="1A171C"/>
          <w:spacing w:val="-3"/>
          <w:sz w:val="22"/>
        </w:rPr>
        <w:t>acknowledge </w:t>
      </w:r>
      <w:r>
        <w:rPr>
          <w:color w:val="1A171C"/>
          <w:sz w:val="22"/>
        </w:rPr>
        <w:t>that </w:t>
      </w:r>
      <w:r>
        <w:rPr>
          <w:color w:val="1A171C"/>
          <w:spacing w:val="-3"/>
          <w:sz w:val="22"/>
        </w:rPr>
        <w:t>those who </w:t>
      </w:r>
      <w:r>
        <w:rPr>
          <w:color w:val="1A171C"/>
          <w:sz w:val="22"/>
        </w:rPr>
        <w:t>are </w:t>
      </w:r>
      <w:r>
        <w:rPr>
          <w:color w:val="1A171C"/>
          <w:spacing w:val="-3"/>
          <w:sz w:val="22"/>
        </w:rPr>
        <w:t>sisters </w:t>
      </w:r>
      <w:r>
        <w:rPr>
          <w:color w:val="1A171C"/>
          <w:sz w:val="22"/>
        </w:rPr>
        <w:t>and </w:t>
      </w:r>
      <w:r>
        <w:rPr>
          <w:color w:val="1A171C"/>
          <w:spacing w:val="-3"/>
          <w:sz w:val="22"/>
        </w:rPr>
        <w:t>brothers </w:t>
      </w:r>
      <w:r>
        <w:rPr>
          <w:color w:val="1A171C"/>
          <w:sz w:val="22"/>
        </w:rPr>
        <w:t>in </w:t>
      </w:r>
      <w:r>
        <w:rPr>
          <w:color w:val="1A171C"/>
          <w:spacing w:val="-3"/>
          <w:sz w:val="22"/>
        </w:rPr>
        <w:t>Christ </w:t>
      </w:r>
      <w:r>
        <w:rPr>
          <w:color w:val="1A171C"/>
          <w:sz w:val="22"/>
        </w:rPr>
        <w:t>are so</w:t>
      </w:r>
      <w:r>
        <w:rPr>
          <w:color w:val="1A171C"/>
          <w:spacing w:val="-25"/>
          <w:sz w:val="22"/>
        </w:rPr>
        <w:t> </w:t>
      </w:r>
      <w:r>
        <w:rPr>
          <w:color w:val="1A171C"/>
          <w:spacing w:val="-3"/>
          <w:sz w:val="22"/>
        </w:rPr>
        <w:t>through</w:t>
      </w:r>
    </w:p>
    <w:p>
      <w:pPr>
        <w:pStyle w:val="BodyText"/>
        <w:spacing w:line="252" w:lineRule="exact"/>
        <w:ind w:left="2459"/>
      </w:pPr>
      <w:r>
        <w:rPr>
          <w:color w:val="1A171C"/>
        </w:rPr>
        <w:t>God's calling rather than personal choosing;</w:t>
      </w:r>
    </w:p>
    <w:p>
      <w:pPr>
        <w:pStyle w:val="ListParagraph"/>
        <w:numPr>
          <w:ilvl w:val="2"/>
          <w:numId w:val="6"/>
        </w:numPr>
        <w:tabs>
          <w:tab w:pos="2459" w:val="left" w:leader="none"/>
          <w:tab w:pos="2460" w:val="left" w:leader="none"/>
        </w:tabs>
        <w:spacing w:line="268" w:lineRule="exact" w:before="0" w:after="0"/>
        <w:ind w:left="2459" w:right="0" w:hanging="683"/>
        <w:jc w:val="left"/>
        <w:rPr>
          <w:sz w:val="22"/>
        </w:rPr>
      </w:pPr>
      <w:r>
        <w:rPr>
          <w:color w:val="1A171C"/>
          <w:spacing w:val="-3"/>
          <w:sz w:val="22"/>
        </w:rPr>
        <w:t>believe </w:t>
      </w:r>
      <w:r>
        <w:rPr>
          <w:color w:val="1A171C"/>
          <w:sz w:val="22"/>
        </w:rPr>
        <w:t>that </w:t>
      </w:r>
      <w:r>
        <w:rPr>
          <w:color w:val="1A171C"/>
          <w:spacing w:val="-3"/>
          <w:sz w:val="22"/>
        </w:rPr>
        <w:t>Christ calls </w:t>
      </w:r>
      <w:r>
        <w:rPr>
          <w:color w:val="1A171C"/>
          <w:sz w:val="22"/>
        </w:rPr>
        <w:t>us to </w:t>
      </w:r>
      <w:r>
        <w:rPr>
          <w:color w:val="1A171C"/>
          <w:spacing w:val="-3"/>
          <w:sz w:val="22"/>
        </w:rPr>
        <w:t>strive </w:t>
      </w:r>
      <w:r>
        <w:rPr>
          <w:color w:val="1A171C"/>
          <w:sz w:val="22"/>
        </w:rPr>
        <w:t>to </w:t>
      </w:r>
      <w:r>
        <w:rPr>
          <w:color w:val="1A171C"/>
          <w:spacing w:val="-3"/>
          <w:sz w:val="22"/>
        </w:rPr>
        <w:t>live</w:t>
      </w:r>
      <w:r>
        <w:rPr>
          <w:color w:val="1A171C"/>
          <w:spacing w:val="-21"/>
          <w:sz w:val="22"/>
        </w:rPr>
        <w:t> </w:t>
      </w:r>
      <w:r>
        <w:rPr>
          <w:color w:val="1A171C"/>
          <w:spacing w:val="-3"/>
          <w:sz w:val="22"/>
        </w:rPr>
        <w:t>together;</w:t>
      </w:r>
    </w:p>
    <w:p>
      <w:pPr>
        <w:pStyle w:val="ListParagraph"/>
        <w:numPr>
          <w:ilvl w:val="2"/>
          <w:numId w:val="6"/>
        </w:numPr>
        <w:tabs>
          <w:tab w:pos="2459" w:val="left" w:leader="none"/>
          <w:tab w:pos="2460" w:val="left" w:leader="none"/>
        </w:tabs>
        <w:spacing w:line="237" w:lineRule="auto" w:before="1" w:after="0"/>
        <w:ind w:left="2459" w:right="1963" w:hanging="682"/>
        <w:jc w:val="left"/>
        <w:rPr>
          <w:sz w:val="22"/>
        </w:rPr>
      </w:pPr>
      <w:r>
        <w:rPr>
          <w:color w:val="1A171C"/>
          <w:spacing w:val="-3"/>
          <w:sz w:val="22"/>
        </w:rPr>
        <w:t>realise</w:t>
      </w:r>
      <w:r>
        <w:rPr>
          <w:color w:val="1A171C"/>
          <w:spacing w:val="-5"/>
          <w:sz w:val="22"/>
        </w:rPr>
        <w:t> </w:t>
      </w:r>
      <w:r>
        <w:rPr>
          <w:color w:val="1A171C"/>
          <w:sz w:val="22"/>
        </w:rPr>
        <w:t>that</w:t>
      </w:r>
      <w:r>
        <w:rPr>
          <w:color w:val="1A171C"/>
          <w:spacing w:val="-4"/>
          <w:sz w:val="22"/>
        </w:rPr>
        <w:t> </w:t>
      </w:r>
      <w:r>
        <w:rPr>
          <w:color w:val="1A171C"/>
          <w:spacing w:val="-3"/>
          <w:sz w:val="22"/>
        </w:rPr>
        <w:t>this</w:t>
      </w:r>
      <w:r>
        <w:rPr>
          <w:color w:val="1A171C"/>
          <w:spacing w:val="-5"/>
          <w:sz w:val="22"/>
        </w:rPr>
        <w:t> </w:t>
      </w:r>
      <w:r>
        <w:rPr>
          <w:color w:val="1A171C"/>
          <w:sz w:val="22"/>
        </w:rPr>
        <w:t>can</w:t>
      </w:r>
      <w:r>
        <w:rPr>
          <w:color w:val="1A171C"/>
          <w:spacing w:val="-5"/>
          <w:sz w:val="22"/>
        </w:rPr>
        <w:t> </w:t>
      </w:r>
      <w:r>
        <w:rPr>
          <w:color w:val="1A171C"/>
          <w:sz w:val="22"/>
        </w:rPr>
        <w:t>only</w:t>
      </w:r>
      <w:r>
        <w:rPr>
          <w:color w:val="1A171C"/>
          <w:spacing w:val="-7"/>
          <w:sz w:val="22"/>
        </w:rPr>
        <w:t> </w:t>
      </w:r>
      <w:r>
        <w:rPr>
          <w:color w:val="1A171C"/>
          <w:sz w:val="22"/>
        </w:rPr>
        <w:t>be</w:t>
      </w:r>
      <w:r>
        <w:rPr>
          <w:color w:val="1A171C"/>
          <w:spacing w:val="-4"/>
          <w:sz w:val="22"/>
        </w:rPr>
        <w:t> </w:t>
      </w:r>
      <w:r>
        <w:rPr>
          <w:color w:val="1A171C"/>
          <w:spacing w:val="-3"/>
          <w:sz w:val="22"/>
        </w:rPr>
        <w:t>done</w:t>
      </w:r>
      <w:r>
        <w:rPr>
          <w:color w:val="1A171C"/>
          <w:spacing w:val="-5"/>
          <w:sz w:val="22"/>
        </w:rPr>
        <w:t> </w:t>
      </w:r>
      <w:r>
        <w:rPr>
          <w:color w:val="1A171C"/>
          <w:sz w:val="22"/>
        </w:rPr>
        <w:t>by</w:t>
      </w:r>
      <w:r>
        <w:rPr>
          <w:color w:val="1A171C"/>
          <w:spacing w:val="-7"/>
          <w:sz w:val="22"/>
        </w:rPr>
        <w:t> </w:t>
      </w:r>
      <w:r>
        <w:rPr>
          <w:color w:val="1A171C"/>
          <w:spacing w:val="-3"/>
          <w:sz w:val="22"/>
        </w:rPr>
        <w:t>reliance</w:t>
      </w:r>
      <w:r>
        <w:rPr>
          <w:color w:val="1A171C"/>
          <w:spacing w:val="-5"/>
          <w:sz w:val="22"/>
        </w:rPr>
        <w:t> </w:t>
      </w:r>
      <w:r>
        <w:rPr>
          <w:color w:val="1A171C"/>
          <w:sz w:val="22"/>
        </w:rPr>
        <w:t>on</w:t>
      </w:r>
      <w:r>
        <w:rPr>
          <w:color w:val="1A171C"/>
          <w:spacing w:val="-5"/>
          <w:sz w:val="22"/>
        </w:rPr>
        <w:t> </w:t>
      </w:r>
      <w:r>
        <w:rPr>
          <w:color w:val="1A171C"/>
          <w:sz w:val="22"/>
        </w:rPr>
        <w:t>the</w:t>
      </w:r>
      <w:r>
        <w:rPr>
          <w:color w:val="1A171C"/>
          <w:spacing w:val="-5"/>
          <w:sz w:val="22"/>
        </w:rPr>
        <w:t> </w:t>
      </w:r>
      <w:r>
        <w:rPr>
          <w:color w:val="1A171C"/>
          <w:sz w:val="22"/>
        </w:rPr>
        <w:t>grace</w:t>
      </w:r>
      <w:r>
        <w:rPr>
          <w:color w:val="1A171C"/>
          <w:spacing w:val="-4"/>
          <w:sz w:val="22"/>
        </w:rPr>
        <w:t> </w:t>
      </w:r>
      <w:r>
        <w:rPr>
          <w:color w:val="1A171C"/>
          <w:spacing w:val="-3"/>
          <w:sz w:val="22"/>
        </w:rPr>
        <w:t>of</w:t>
      </w:r>
      <w:r>
        <w:rPr>
          <w:color w:val="1A171C"/>
          <w:spacing w:val="-6"/>
          <w:sz w:val="22"/>
        </w:rPr>
        <w:t> </w:t>
      </w:r>
      <w:r>
        <w:rPr>
          <w:color w:val="1A171C"/>
          <w:sz w:val="22"/>
        </w:rPr>
        <w:t>God</w:t>
      </w:r>
      <w:r>
        <w:rPr>
          <w:color w:val="1A171C"/>
          <w:spacing w:val="-5"/>
          <w:sz w:val="22"/>
        </w:rPr>
        <w:t> </w:t>
      </w:r>
      <w:r>
        <w:rPr>
          <w:color w:val="1A171C"/>
          <w:sz w:val="22"/>
        </w:rPr>
        <w:t>to</w:t>
      </w:r>
      <w:r>
        <w:rPr>
          <w:color w:val="1A171C"/>
          <w:spacing w:val="-5"/>
          <w:sz w:val="22"/>
        </w:rPr>
        <w:t> </w:t>
      </w:r>
      <w:r>
        <w:rPr>
          <w:color w:val="1A171C"/>
          <w:spacing w:val="-3"/>
          <w:sz w:val="22"/>
        </w:rPr>
        <w:t>enable mutual respect, love </w:t>
      </w:r>
      <w:r>
        <w:rPr>
          <w:color w:val="1A171C"/>
          <w:sz w:val="22"/>
        </w:rPr>
        <w:t>and </w:t>
      </w:r>
      <w:r>
        <w:rPr>
          <w:color w:val="1A171C"/>
          <w:spacing w:val="-3"/>
          <w:sz w:val="22"/>
        </w:rPr>
        <w:t>continuing exploration</w:t>
      </w:r>
      <w:r>
        <w:rPr>
          <w:color w:val="1A171C"/>
          <w:spacing w:val="-5"/>
          <w:sz w:val="22"/>
        </w:rPr>
        <w:t> </w:t>
      </w:r>
      <w:r>
        <w:rPr>
          <w:color w:val="1A171C"/>
          <w:spacing w:val="-3"/>
          <w:sz w:val="22"/>
        </w:rPr>
        <w:t>together;</w:t>
      </w:r>
    </w:p>
    <w:p>
      <w:pPr>
        <w:pStyle w:val="ListParagraph"/>
        <w:numPr>
          <w:ilvl w:val="2"/>
          <w:numId w:val="6"/>
        </w:numPr>
        <w:tabs>
          <w:tab w:pos="2459" w:val="left" w:leader="none"/>
          <w:tab w:pos="2460" w:val="left" w:leader="none"/>
        </w:tabs>
        <w:spacing w:line="240" w:lineRule="auto" w:before="2" w:after="0"/>
        <w:ind w:left="2459" w:right="1441" w:hanging="682"/>
        <w:jc w:val="left"/>
        <w:rPr>
          <w:sz w:val="22"/>
        </w:rPr>
      </w:pPr>
      <w:r>
        <w:rPr>
          <w:color w:val="1A171C"/>
          <w:sz w:val="22"/>
        </w:rPr>
        <w:t>agree to </w:t>
      </w:r>
      <w:r>
        <w:rPr>
          <w:color w:val="1A171C"/>
          <w:spacing w:val="-3"/>
          <w:sz w:val="22"/>
        </w:rPr>
        <w:t>continue </w:t>
      </w:r>
      <w:r>
        <w:rPr>
          <w:color w:val="1A171C"/>
          <w:sz w:val="22"/>
        </w:rPr>
        <w:t>to </w:t>
      </w:r>
      <w:r>
        <w:rPr>
          <w:color w:val="1A171C"/>
          <w:spacing w:val="-3"/>
          <w:sz w:val="22"/>
        </w:rPr>
        <w:t>explore these differences </w:t>
      </w:r>
      <w:r>
        <w:rPr>
          <w:color w:val="1A171C"/>
          <w:sz w:val="22"/>
        </w:rPr>
        <w:t>in </w:t>
      </w:r>
      <w:r>
        <w:rPr>
          <w:color w:val="1A171C"/>
          <w:spacing w:val="-3"/>
          <w:sz w:val="22"/>
        </w:rPr>
        <w:t>the light of </w:t>
      </w:r>
      <w:r>
        <w:rPr>
          <w:color w:val="1A171C"/>
          <w:sz w:val="22"/>
        </w:rPr>
        <w:t>our </w:t>
      </w:r>
      <w:r>
        <w:rPr>
          <w:color w:val="1A171C"/>
          <w:spacing w:val="-3"/>
          <w:sz w:val="22"/>
        </w:rPr>
        <w:t>understanding of Scripture </w:t>
      </w:r>
      <w:r>
        <w:rPr>
          <w:color w:val="1A171C"/>
          <w:sz w:val="22"/>
        </w:rPr>
        <w:t>and </w:t>
      </w:r>
      <w:r>
        <w:rPr>
          <w:color w:val="1A171C"/>
          <w:spacing w:val="-3"/>
          <w:sz w:val="22"/>
        </w:rPr>
        <w:t>under </w:t>
      </w:r>
      <w:r>
        <w:rPr>
          <w:color w:val="1A171C"/>
          <w:sz w:val="22"/>
        </w:rPr>
        <w:t>the </w:t>
      </w:r>
      <w:r>
        <w:rPr>
          <w:color w:val="1A171C"/>
          <w:spacing w:val="-3"/>
          <w:sz w:val="22"/>
        </w:rPr>
        <w:t>Holy Spirit's guidance </w:t>
      </w:r>
      <w:r>
        <w:rPr>
          <w:color w:val="1A171C"/>
          <w:sz w:val="22"/>
        </w:rPr>
        <w:t>for our </w:t>
      </w:r>
      <w:r>
        <w:rPr>
          <w:color w:val="1A171C"/>
          <w:spacing w:val="-3"/>
          <w:sz w:val="22"/>
        </w:rPr>
        <w:t>individual </w:t>
      </w:r>
      <w:r>
        <w:rPr>
          <w:color w:val="1A171C"/>
          <w:sz w:val="22"/>
        </w:rPr>
        <w:t>and </w:t>
      </w:r>
      <w:r>
        <w:rPr>
          <w:color w:val="1A171C"/>
          <w:spacing w:val="-3"/>
          <w:sz w:val="22"/>
        </w:rPr>
        <w:t>shared </w:t>
      </w:r>
      <w:r>
        <w:rPr>
          <w:color w:val="1A171C"/>
          <w:sz w:val="22"/>
        </w:rPr>
        <w:t>life in </w:t>
      </w:r>
      <w:r>
        <w:rPr>
          <w:color w:val="1A171C"/>
          <w:spacing w:val="-3"/>
          <w:sz w:val="22"/>
        </w:rPr>
        <w:t>today's</w:t>
      </w:r>
      <w:r>
        <w:rPr>
          <w:color w:val="1A171C"/>
          <w:spacing w:val="-6"/>
          <w:sz w:val="22"/>
        </w:rPr>
        <w:t> </w:t>
      </w:r>
      <w:r>
        <w:rPr>
          <w:color w:val="1A171C"/>
          <w:spacing w:val="-4"/>
          <w:sz w:val="22"/>
        </w:rPr>
        <w:t>world.</w:t>
      </w:r>
    </w:p>
    <w:p>
      <w:pPr>
        <w:pStyle w:val="BodyText"/>
        <w:spacing w:before="7"/>
        <w:rPr>
          <w:sz w:val="20"/>
        </w:rPr>
      </w:pPr>
    </w:p>
    <w:p>
      <w:pPr>
        <w:pStyle w:val="ListParagraph"/>
        <w:numPr>
          <w:ilvl w:val="1"/>
          <w:numId w:val="6"/>
        </w:numPr>
        <w:tabs>
          <w:tab w:pos="1818" w:val="left" w:leader="none"/>
          <w:tab w:pos="1819" w:val="left" w:leader="none"/>
        </w:tabs>
        <w:spacing w:line="240" w:lineRule="auto" w:before="0" w:after="0"/>
        <w:ind w:left="1098" w:right="1580" w:firstLine="0"/>
        <w:jc w:val="left"/>
        <w:rPr>
          <w:sz w:val="22"/>
        </w:rPr>
      </w:pPr>
      <w:r>
        <w:rPr>
          <w:color w:val="1A171C"/>
          <w:sz w:val="22"/>
        </w:rPr>
        <w:t>in love and submission to Christ who holds us together, we therefore commit ourselves to stay together, to work and pray together, to treat one another with respect, and to seek God’s gifts of unity, harmony, wisdom and deeper</w:t>
      </w:r>
      <w:r>
        <w:rPr>
          <w:color w:val="1A171C"/>
          <w:spacing w:val="-8"/>
          <w:sz w:val="22"/>
        </w:rPr>
        <w:t> </w:t>
      </w:r>
      <w:r>
        <w:rPr>
          <w:color w:val="1A171C"/>
          <w:sz w:val="22"/>
        </w:rPr>
        <w:t>understanding.</w:t>
      </w:r>
    </w:p>
    <w:p>
      <w:pPr>
        <w:pStyle w:val="BodyText"/>
        <w:rPr>
          <w:sz w:val="24"/>
        </w:rPr>
      </w:pPr>
    </w:p>
    <w:p>
      <w:pPr>
        <w:pStyle w:val="BodyText"/>
        <w:rPr>
          <w:sz w:val="24"/>
        </w:rPr>
      </w:pPr>
    </w:p>
    <w:p>
      <w:pPr>
        <w:spacing w:before="191"/>
        <w:ind w:left="1818" w:right="0" w:firstLine="0"/>
        <w:jc w:val="left"/>
        <w:rPr>
          <w:b/>
          <w:sz w:val="22"/>
        </w:rPr>
      </w:pPr>
      <w:r>
        <w:rPr>
          <w:b/>
          <w:color w:val="1A171C"/>
          <w:sz w:val="22"/>
        </w:rPr>
        <w:t>The text above is taken from the </w:t>
      </w:r>
      <w:r>
        <w:rPr>
          <w:b/>
          <w:i/>
          <w:color w:val="1A171C"/>
          <w:sz w:val="22"/>
        </w:rPr>
        <w:t>Book of Reports 2007 </w:t>
      </w:r>
      <w:r>
        <w:rPr>
          <w:b/>
          <w:color w:val="1A171C"/>
          <w:sz w:val="22"/>
        </w:rPr>
        <w:t>pp232-233</w:t>
      </w:r>
    </w:p>
    <w:p>
      <w:pPr>
        <w:pStyle w:val="Heading7"/>
        <w:spacing w:before="2"/>
        <w:ind w:left="1818"/>
      </w:pPr>
      <w:r>
        <w:rPr>
          <w:color w:val="1A171C"/>
        </w:rPr>
        <w:t>©The United Reformed Church 2007</w:t>
      </w:r>
    </w:p>
    <w:p>
      <w:pPr>
        <w:spacing w:after="0"/>
        <w:sectPr>
          <w:pgSz w:w="11910" w:h="16840"/>
          <w:pgMar w:top="240" w:bottom="0" w:left="320" w:right="0"/>
        </w:sectPr>
      </w:pPr>
    </w:p>
    <w:p>
      <w:pPr>
        <w:tabs>
          <w:tab w:pos="864" w:val="left" w:leader="none"/>
        </w:tabs>
        <w:spacing w:before="68"/>
        <w:ind w:left="0" w:right="394" w:firstLine="0"/>
        <w:jc w:val="right"/>
        <w:rPr>
          <w:rFonts w:ascii="Stone Sans II ITC Std X Bd"/>
          <w:b/>
          <w:sz w:val="65"/>
        </w:rPr>
      </w:pPr>
      <w:r>
        <w:rPr/>
        <w:drawing>
          <wp:anchor distT="0" distB="0" distL="0" distR="0" allowOverlap="1" layoutInCell="1" locked="0" behindDoc="1" simplePos="0" relativeHeight="249950208">
            <wp:simplePos x="0" y="0"/>
            <wp:positionH relativeFrom="page">
              <wp:posOffset>6974928</wp:posOffset>
            </wp:positionH>
            <wp:positionV relativeFrom="page">
              <wp:posOffset>161988</wp:posOffset>
            </wp:positionV>
            <wp:extent cx="432079" cy="10368000"/>
            <wp:effectExtent l="0" t="0" r="0" b="0"/>
            <wp:wrapNone/>
            <wp:docPr id="21" name="image12.png"/>
            <wp:cNvGraphicFramePr>
              <a:graphicFrameLocks noChangeAspect="1"/>
            </wp:cNvGraphicFramePr>
            <a:graphic>
              <a:graphicData uri="http://schemas.openxmlformats.org/drawingml/2006/picture">
                <pic:pic>
                  <pic:nvPicPr>
                    <pic:cNvPr id="22" name="image12.png"/>
                    <pic:cNvPicPr/>
                  </pic:nvPicPr>
                  <pic:blipFill>
                    <a:blip r:embed="rId19" cstate="print"/>
                    <a:stretch>
                      <a:fillRect/>
                    </a:stretch>
                  </pic:blipFill>
                  <pic:spPr>
                    <a:xfrm>
                      <a:off x="0" y="0"/>
                      <a:ext cx="432079" cy="10368000"/>
                    </a:xfrm>
                    <a:prstGeom prst="rect">
                      <a:avLst/>
                    </a:prstGeom>
                  </pic:spPr>
                </pic:pic>
              </a:graphicData>
            </a:graphic>
          </wp:anchor>
        </w:drawing>
      </w:r>
      <w:r>
        <w:rPr>
          <w:rFonts w:ascii="Stone Sans II ITC Std X Bd"/>
          <w:b/>
          <w:color w:val="FFFFFF"/>
          <w:w w:val="110"/>
          <w:sz w:val="65"/>
          <w:shd w:fill="3BA533" w:color="auto" w:val="clear"/>
        </w:rPr>
        <w:t> </w:t>
      </w:r>
      <w:r>
        <w:rPr>
          <w:rFonts w:ascii="Stone Sans II ITC Std X Bd"/>
          <w:b/>
          <w:color w:val="FFFFFF"/>
          <w:sz w:val="65"/>
          <w:shd w:fill="3BA533" w:color="auto" w:val="clear"/>
        </w:rPr>
        <w:tab/>
      </w:r>
      <w:r>
        <w:rPr>
          <w:rFonts w:ascii="Stone Sans II ITC Std X Bd"/>
          <w:b/>
          <w:color w:val="FFFFFF"/>
          <w:w w:val="110"/>
          <w:sz w:val="65"/>
          <w:shd w:fill="3BA533" w:color="auto" w:val="clear"/>
        </w:rPr>
        <w:t>B</w:t>
      </w:r>
    </w:p>
    <w:p>
      <w:pPr>
        <w:pStyle w:val="BodyText"/>
        <w:spacing w:before="10"/>
        <w:rPr>
          <w:rFonts w:ascii="Stone Sans II ITC Std X Bd"/>
          <w:b/>
          <w:sz w:val="25"/>
        </w:rPr>
      </w:pPr>
    </w:p>
    <w:p>
      <w:pPr>
        <w:spacing w:before="88"/>
        <w:ind w:left="1105" w:right="1363" w:firstLine="0"/>
        <w:jc w:val="center"/>
        <w:rPr>
          <w:b/>
          <w:sz w:val="40"/>
        </w:rPr>
      </w:pPr>
      <w:r>
        <w:rPr/>
        <w:pict>
          <v:shape style="position:absolute;margin-left:557.985779pt;margin-top:-15.569252pt;width:16.3500pt;height:347.3pt;mso-position-horizontal-relative:page;mso-position-vertical-relative:paragraph;z-index:251747328"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b/>
          <w:color w:val="2DA651"/>
          <w:sz w:val="40"/>
        </w:rPr>
        <w:t>Appendix B</w:t>
      </w:r>
    </w:p>
    <w:p>
      <w:pPr>
        <w:pStyle w:val="BodyText"/>
        <w:rPr>
          <w:b/>
          <w:sz w:val="44"/>
        </w:rPr>
      </w:pPr>
    </w:p>
    <w:p>
      <w:pPr>
        <w:spacing w:before="0"/>
        <w:ind w:left="1105" w:right="1362" w:firstLine="0"/>
        <w:jc w:val="center"/>
        <w:rPr>
          <w:b/>
          <w:sz w:val="44"/>
        </w:rPr>
      </w:pPr>
      <w:r>
        <w:rPr>
          <w:b/>
          <w:color w:val="1A171C"/>
          <w:sz w:val="44"/>
        </w:rPr>
        <w:t>Standing Orders of General Assembly</w:t>
      </w:r>
    </w:p>
    <w:p>
      <w:pPr>
        <w:pStyle w:val="ListParagraph"/>
        <w:numPr>
          <w:ilvl w:val="0"/>
          <w:numId w:val="8"/>
        </w:numPr>
        <w:tabs>
          <w:tab w:pos="1819" w:val="left" w:leader="none"/>
          <w:tab w:pos="1820" w:val="left" w:leader="none"/>
        </w:tabs>
        <w:spacing w:line="240" w:lineRule="auto" w:before="274" w:after="0"/>
        <w:ind w:left="1819" w:right="0" w:hanging="721"/>
        <w:jc w:val="left"/>
        <w:rPr>
          <w:b/>
          <w:sz w:val="22"/>
        </w:rPr>
      </w:pPr>
      <w:r>
        <w:rPr>
          <w:b/>
          <w:color w:val="1A171C"/>
          <w:sz w:val="22"/>
        </w:rPr>
        <w:t>The Agenda of the</w:t>
      </w:r>
      <w:r>
        <w:rPr>
          <w:b/>
          <w:color w:val="1A171C"/>
          <w:spacing w:val="-10"/>
          <w:sz w:val="22"/>
        </w:rPr>
        <w:t> </w:t>
      </w:r>
      <w:r>
        <w:rPr>
          <w:b/>
          <w:color w:val="1A171C"/>
          <w:sz w:val="22"/>
        </w:rPr>
        <w:t>Assembly</w:t>
      </w:r>
    </w:p>
    <w:p>
      <w:pPr>
        <w:pStyle w:val="ListParagraph"/>
        <w:numPr>
          <w:ilvl w:val="1"/>
          <w:numId w:val="8"/>
        </w:numPr>
        <w:tabs>
          <w:tab w:pos="1819" w:val="left" w:leader="none"/>
          <w:tab w:pos="1820" w:val="left" w:leader="none"/>
        </w:tabs>
        <w:spacing w:line="240" w:lineRule="auto" w:before="3" w:after="0"/>
        <w:ind w:left="1099" w:right="1375" w:firstLine="0"/>
        <w:jc w:val="left"/>
        <w:rPr>
          <w:sz w:val="22"/>
        </w:rPr>
      </w:pPr>
      <w:r>
        <w:rPr>
          <w:color w:val="1A171C"/>
          <w:sz w:val="22"/>
        </w:rPr>
        <w:t>At </w:t>
      </w:r>
      <w:r>
        <w:rPr>
          <w:color w:val="1A171C"/>
          <w:spacing w:val="-2"/>
          <w:sz w:val="22"/>
        </w:rPr>
        <w:t>its </w:t>
      </w:r>
      <w:r>
        <w:rPr>
          <w:color w:val="1A171C"/>
          <w:sz w:val="22"/>
        </w:rPr>
        <w:t>meetings the Assembly shall consider reports and draft motions prepared by its committees which include the Mission Council or by synods, and motions and amendments </w:t>
      </w:r>
      <w:r>
        <w:rPr>
          <w:color w:val="1A171C"/>
          <w:spacing w:val="-3"/>
          <w:sz w:val="22"/>
        </w:rPr>
        <w:t>of </w:t>
      </w:r>
      <w:r>
        <w:rPr>
          <w:color w:val="1A171C"/>
          <w:sz w:val="22"/>
        </w:rPr>
        <w:t>which due notice has been given submitted by individual members of the</w:t>
      </w:r>
      <w:r>
        <w:rPr>
          <w:color w:val="1A171C"/>
          <w:spacing w:val="-27"/>
          <w:sz w:val="22"/>
        </w:rPr>
        <w:t> </w:t>
      </w:r>
      <w:r>
        <w:rPr>
          <w:color w:val="1A171C"/>
          <w:spacing w:val="-3"/>
          <w:sz w:val="22"/>
        </w:rPr>
        <w:t>Assembly.</w:t>
      </w:r>
    </w:p>
    <w:p>
      <w:pPr>
        <w:pStyle w:val="BodyText"/>
        <w:spacing w:before="10"/>
        <w:rPr>
          <w:sz w:val="21"/>
        </w:rPr>
      </w:pPr>
    </w:p>
    <w:p>
      <w:pPr>
        <w:pStyle w:val="ListParagraph"/>
        <w:numPr>
          <w:ilvl w:val="1"/>
          <w:numId w:val="8"/>
        </w:numPr>
        <w:tabs>
          <w:tab w:pos="1819" w:val="left" w:leader="none"/>
          <w:tab w:pos="1820" w:val="left" w:leader="none"/>
        </w:tabs>
        <w:spacing w:line="240" w:lineRule="auto" w:before="0" w:after="0"/>
        <w:ind w:left="1099" w:right="1486" w:firstLine="0"/>
        <w:jc w:val="left"/>
        <w:rPr>
          <w:sz w:val="22"/>
        </w:rPr>
      </w:pPr>
      <w:r>
        <w:rPr>
          <w:color w:val="1A171C"/>
          <w:sz w:val="22"/>
        </w:rPr>
        <w:t>For the good ordering of General Assembly's time, the Moderators for that </w:t>
      </w:r>
      <w:r>
        <w:rPr>
          <w:color w:val="1A171C"/>
          <w:spacing w:val="-3"/>
          <w:sz w:val="22"/>
        </w:rPr>
        <w:t>Assembly, </w:t>
      </w:r>
      <w:r>
        <w:rPr>
          <w:color w:val="1A171C"/>
          <w:sz w:val="22"/>
        </w:rPr>
        <w:t>in consultation with the General Secretary and the Clerk, shall group the draft motions into three groups which shall determine the manner in which the Assembly shall consider them: A – en bloc, B – majority voting, and C – consensus. All matters covered by paragraphs</w:t>
      </w:r>
      <w:r>
        <w:rPr>
          <w:color w:val="1A171C"/>
          <w:spacing w:val="-5"/>
          <w:sz w:val="22"/>
        </w:rPr>
        <w:t> </w:t>
      </w:r>
      <w:r>
        <w:rPr>
          <w:color w:val="1A171C"/>
          <w:sz w:val="22"/>
        </w:rPr>
        <w:t>3(1)</w:t>
      </w:r>
    </w:p>
    <w:p>
      <w:pPr>
        <w:pStyle w:val="BodyText"/>
        <w:spacing w:before="1"/>
        <w:ind w:left="1099" w:right="1402"/>
      </w:pPr>
      <w:r>
        <w:rPr>
          <w:color w:val="1A171C"/>
        </w:rPr>
        <w:t>&amp; (2) of the Structure of the United Reformed Church shall be placed in Group B. In the case of any other matter the Moderator may rule at any time that a motion be taken from Group B and placed in Group C. At the same time the grouping of draft motions is published any matters already known to be urgent under Standing Order 2.3 shall also be published, with reasons given.</w:t>
      </w:r>
    </w:p>
    <w:p>
      <w:pPr>
        <w:pStyle w:val="BodyText"/>
        <w:spacing w:before="10"/>
        <w:rPr>
          <w:sz w:val="21"/>
        </w:rPr>
      </w:pPr>
    </w:p>
    <w:p>
      <w:pPr>
        <w:pStyle w:val="ListParagraph"/>
        <w:numPr>
          <w:ilvl w:val="1"/>
          <w:numId w:val="8"/>
        </w:numPr>
        <w:tabs>
          <w:tab w:pos="1819" w:val="left" w:leader="none"/>
          <w:tab w:pos="1820" w:val="left" w:leader="none"/>
        </w:tabs>
        <w:spacing w:line="240" w:lineRule="auto" w:before="0" w:after="0"/>
        <w:ind w:left="1099" w:right="1542" w:firstLine="0"/>
        <w:jc w:val="left"/>
        <w:rPr>
          <w:sz w:val="22"/>
        </w:rPr>
      </w:pPr>
      <w:r>
        <w:rPr>
          <w:color w:val="1A171C"/>
          <w:sz w:val="22"/>
        </w:rPr>
        <w:t>The</w:t>
      </w:r>
      <w:r>
        <w:rPr>
          <w:color w:val="1A171C"/>
          <w:spacing w:val="-4"/>
          <w:sz w:val="22"/>
        </w:rPr>
        <w:t> </w:t>
      </w:r>
      <w:r>
        <w:rPr>
          <w:color w:val="1A171C"/>
          <w:sz w:val="22"/>
        </w:rPr>
        <w:t>motions in</w:t>
      </w:r>
      <w:r>
        <w:rPr>
          <w:color w:val="1A171C"/>
          <w:spacing w:val="-4"/>
          <w:sz w:val="22"/>
        </w:rPr>
        <w:t> </w:t>
      </w:r>
      <w:r>
        <w:rPr>
          <w:color w:val="1A171C"/>
          <w:sz w:val="22"/>
        </w:rPr>
        <w:t>Group</w:t>
      </w:r>
      <w:r>
        <w:rPr>
          <w:color w:val="1A171C"/>
          <w:spacing w:val="-15"/>
          <w:sz w:val="22"/>
        </w:rPr>
        <w:t> </w:t>
      </w:r>
      <w:r>
        <w:rPr>
          <w:color w:val="1A171C"/>
          <w:sz w:val="22"/>
        </w:rPr>
        <w:t>A</w:t>
      </w:r>
      <w:r>
        <w:rPr>
          <w:color w:val="1A171C"/>
          <w:spacing w:val="-18"/>
          <w:sz w:val="22"/>
        </w:rPr>
        <w:t> </w:t>
      </w:r>
      <w:r>
        <w:rPr>
          <w:color w:val="1A171C"/>
          <w:sz w:val="22"/>
        </w:rPr>
        <w:t>shall</w:t>
      </w:r>
      <w:r>
        <w:rPr>
          <w:color w:val="1A171C"/>
          <w:spacing w:val="-1"/>
          <w:sz w:val="22"/>
        </w:rPr>
        <w:t> </w:t>
      </w:r>
      <w:r>
        <w:rPr>
          <w:color w:val="1A171C"/>
          <w:sz w:val="22"/>
        </w:rPr>
        <w:t>be</w:t>
      </w:r>
      <w:r>
        <w:rPr>
          <w:color w:val="1A171C"/>
          <w:spacing w:val="-2"/>
          <w:sz w:val="22"/>
        </w:rPr>
        <w:t> </w:t>
      </w:r>
      <w:r>
        <w:rPr>
          <w:color w:val="1A171C"/>
          <w:sz w:val="22"/>
        </w:rPr>
        <w:t>taken</w:t>
      </w:r>
      <w:r>
        <w:rPr>
          <w:color w:val="1A171C"/>
          <w:spacing w:val="-1"/>
          <w:sz w:val="22"/>
        </w:rPr>
        <w:t> </w:t>
      </w:r>
      <w:r>
        <w:rPr>
          <w:color w:val="1A171C"/>
          <w:sz w:val="22"/>
        </w:rPr>
        <w:t>en</w:t>
      </w:r>
      <w:r>
        <w:rPr>
          <w:color w:val="1A171C"/>
          <w:spacing w:val="-4"/>
          <w:sz w:val="22"/>
        </w:rPr>
        <w:t> </w:t>
      </w:r>
      <w:r>
        <w:rPr>
          <w:color w:val="1A171C"/>
          <w:sz w:val="22"/>
        </w:rPr>
        <w:t>bloc.</w:t>
      </w:r>
      <w:r>
        <w:rPr>
          <w:color w:val="1A171C"/>
          <w:spacing w:val="-1"/>
          <w:sz w:val="22"/>
        </w:rPr>
        <w:t> </w:t>
      </w:r>
      <w:r>
        <w:rPr>
          <w:color w:val="1A171C"/>
          <w:sz w:val="22"/>
        </w:rPr>
        <w:t>Notice</w:t>
      </w:r>
      <w:r>
        <w:rPr>
          <w:color w:val="1A171C"/>
          <w:spacing w:val="-2"/>
          <w:sz w:val="22"/>
        </w:rPr>
        <w:t> </w:t>
      </w:r>
      <w:r>
        <w:rPr>
          <w:color w:val="1A171C"/>
          <w:sz w:val="22"/>
        </w:rPr>
        <w:t>in</w:t>
      </w:r>
      <w:r>
        <w:rPr>
          <w:color w:val="1A171C"/>
          <w:spacing w:val="-1"/>
          <w:sz w:val="22"/>
        </w:rPr>
        <w:t> </w:t>
      </w:r>
      <w:r>
        <w:rPr>
          <w:color w:val="1A171C"/>
          <w:sz w:val="22"/>
        </w:rPr>
        <w:t>writing</w:t>
      </w:r>
      <w:r>
        <w:rPr>
          <w:color w:val="1A171C"/>
          <w:spacing w:val="-2"/>
          <w:sz w:val="22"/>
        </w:rPr>
        <w:t> </w:t>
      </w:r>
      <w:r>
        <w:rPr>
          <w:color w:val="1A171C"/>
          <w:sz w:val="22"/>
        </w:rPr>
        <w:t>to</w:t>
      </w:r>
      <w:r>
        <w:rPr>
          <w:color w:val="1A171C"/>
          <w:spacing w:val="-3"/>
          <w:sz w:val="22"/>
        </w:rPr>
        <w:t> </w:t>
      </w:r>
      <w:r>
        <w:rPr>
          <w:color w:val="1A171C"/>
          <w:sz w:val="22"/>
        </w:rPr>
        <w:t>the</w:t>
      </w:r>
      <w:r>
        <w:rPr>
          <w:color w:val="1A171C"/>
          <w:spacing w:val="-3"/>
          <w:sz w:val="22"/>
        </w:rPr>
        <w:t> </w:t>
      </w:r>
      <w:r>
        <w:rPr>
          <w:color w:val="1A171C"/>
          <w:sz w:val="22"/>
        </w:rPr>
        <w:t>effect</w:t>
      </w:r>
      <w:r>
        <w:rPr>
          <w:color w:val="1A171C"/>
          <w:spacing w:val="-2"/>
          <w:sz w:val="22"/>
        </w:rPr>
        <w:t> </w:t>
      </w:r>
      <w:r>
        <w:rPr>
          <w:color w:val="1A171C"/>
          <w:sz w:val="22"/>
        </w:rPr>
        <w:t>that</w:t>
      </w:r>
      <w:r>
        <w:rPr>
          <w:color w:val="1A171C"/>
          <w:spacing w:val="-1"/>
          <w:sz w:val="22"/>
        </w:rPr>
        <w:t> </w:t>
      </w:r>
      <w:r>
        <w:rPr>
          <w:color w:val="1A171C"/>
          <w:sz w:val="22"/>
        </w:rPr>
        <w:t>one or more of the motions included in Group A should be considered separately may be given to the General Secretary by the close of business on the first day of the meeting of the </w:t>
      </w:r>
      <w:r>
        <w:rPr>
          <w:color w:val="1A171C"/>
          <w:spacing w:val="-3"/>
          <w:sz w:val="22"/>
        </w:rPr>
        <w:t>Assembly. </w:t>
      </w:r>
      <w:r>
        <w:rPr>
          <w:color w:val="1A171C"/>
          <w:sz w:val="22"/>
        </w:rPr>
        <w:t>If such notice, which must be signed by at least six members of the </w:t>
      </w:r>
      <w:r>
        <w:rPr>
          <w:color w:val="1A171C"/>
          <w:spacing w:val="-3"/>
          <w:sz w:val="22"/>
        </w:rPr>
        <w:t>Assembly, </w:t>
      </w:r>
      <w:r>
        <w:rPr>
          <w:color w:val="1A171C"/>
          <w:sz w:val="22"/>
        </w:rPr>
        <w:t>is duly received, then the motion(s) in question shall be removed from Group A. It shall be for the Moderators, in consultation with the General Secretary and the Clerk, to determine in which of Groups B and C any such separated motions should be placed. When the single motion to approve Group A is before the </w:t>
      </w:r>
      <w:r>
        <w:rPr>
          <w:color w:val="1A171C"/>
          <w:spacing w:val="-3"/>
          <w:sz w:val="22"/>
        </w:rPr>
        <w:t>Assembly, </w:t>
      </w:r>
      <w:r>
        <w:rPr>
          <w:color w:val="1A171C"/>
          <w:sz w:val="22"/>
        </w:rPr>
        <w:t>the vote shall be taken </w:t>
      </w:r>
      <w:r>
        <w:rPr>
          <w:color w:val="1A171C"/>
          <w:spacing w:val="-3"/>
          <w:sz w:val="22"/>
        </w:rPr>
        <w:t>immediately, </w:t>
      </w:r>
      <w:r>
        <w:rPr>
          <w:color w:val="1A171C"/>
          <w:sz w:val="22"/>
        </w:rPr>
        <w:t>the motion being determined by a majority of the votes of members of the Assembly present and voting as indicated by a show of voting</w:t>
      </w:r>
      <w:r>
        <w:rPr>
          <w:color w:val="1A171C"/>
          <w:spacing w:val="-4"/>
          <w:sz w:val="22"/>
        </w:rPr>
        <w:t> </w:t>
      </w:r>
      <w:r>
        <w:rPr>
          <w:color w:val="1A171C"/>
          <w:sz w:val="22"/>
        </w:rPr>
        <w:t>cards.</w:t>
      </w:r>
    </w:p>
    <w:p>
      <w:pPr>
        <w:pStyle w:val="BodyText"/>
      </w:pPr>
    </w:p>
    <w:p>
      <w:pPr>
        <w:pStyle w:val="ListParagraph"/>
        <w:numPr>
          <w:ilvl w:val="1"/>
          <w:numId w:val="8"/>
        </w:numPr>
        <w:tabs>
          <w:tab w:pos="1819" w:val="left" w:leader="none"/>
          <w:tab w:pos="1820" w:val="left" w:leader="none"/>
        </w:tabs>
        <w:spacing w:line="252" w:lineRule="exact" w:before="1" w:after="0"/>
        <w:ind w:left="1819" w:right="0" w:hanging="721"/>
        <w:jc w:val="left"/>
        <w:rPr>
          <w:sz w:val="22"/>
        </w:rPr>
      </w:pPr>
      <w:r>
        <w:rPr>
          <w:color w:val="1A171C"/>
          <w:sz w:val="22"/>
        </w:rPr>
        <w:t>The motions in Group B shall be determined by majority vote, and </w:t>
      </w:r>
      <w:r>
        <w:rPr>
          <w:color w:val="1A171C"/>
          <w:spacing w:val="-3"/>
          <w:sz w:val="22"/>
        </w:rPr>
        <w:t>Standing </w:t>
      </w:r>
      <w:r>
        <w:rPr>
          <w:color w:val="1A171C"/>
          <w:sz w:val="22"/>
        </w:rPr>
        <w:t>Order</w:t>
      </w:r>
      <w:r>
        <w:rPr>
          <w:color w:val="1A171C"/>
          <w:spacing w:val="-14"/>
          <w:sz w:val="22"/>
        </w:rPr>
        <w:t> </w:t>
      </w:r>
      <w:r>
        <w:rPr>
          <w:color w:val="1A171C"/>
          <w:sz w:val="22"/>
        </w:rPr>
        <w:t>2</w:t>
      </w:r>
    </w:p>
    <w:p>
      <w:pPr>
        <w:pStyle w:val="BodyText"/>
        <w:spacing w:line="252" w:lineRule="exact"/>
        <w:ind w:left="1099"/>
      </w:pPr>
      <w:r>
        <w:rPr>
          <w:color w:val="1A171C"/>
        </w:rPr>
        <w:t>shall not apply.</w:t>
      </w:r>
    </w:p>
    <w:p>
      <w:pPr>
        <w:pStyle w:val="BodyText"/>
      </w:pPr>
    </w:p>
    <w:p>
      <w:pPr>
        <w:pStyle w:val="ListParagraph"/>
        <w:numPr>
          <w:ilvl w:val="1"/>
          <w:numId w:val="8"/>
        </w:numPr>
        <w:tabs>
          <w:tab w:pos="1819" w:val="left" w:leader="none"/>
          <w:tab w:pos="1820" w:val="left" w:leader="none"/>
        </w:tabs>
        <w:spacing w:line="240" w:lineRule="auto" w:before="0" w:after="0"/>
        <w:ind w:left="1099" w:right="1866" w:firstLine="0"/>
        <w:jc w:val="left"/>
        <w:rPr>
          <w:sz w:val="22"/>
        </w:rPr>
      </w:pPr>
      <w:r>
        <w:rPr>
          <w:color w:val="1A171C"/>
          <w:sz w:val="22"/>
        </w:rPr>
        <w:t>The motions in Group C shall be considered by means of the consensus decision making process set out in </w:t>
      </w:r>
      <w:r>
        <w:rPr>
          <w:color w:val="1A171C"/>
          <w:spacing w:val="-3"/>
          <w:sz w:val="22"/>
        </w:rPr>
        <w:t>Standing </w:t>
      </w:r>
      <w:r>
        <w:rPr>
          <w:color w:val="1A171C"/>
          <w:sz w:val="22"/>
        </w:rPr>
        <w:t>Order 2.</w:t>
      </w:r>
    </w:p>
    <w:p>
      <w:pPr>
        <w:pStyle w:val="BodyText"/>
        <w:spacing w:before="11"/>
        <w:rPr>
          <w:sz w:val="21"/>
        </w:rPr>
      </w:pPr>
    </w:p>
    <w:p>
      <w:pPr>
        <w:pStyle w:val="ListParagraph"/>
        <w:numPr>
          <w:ilvl w:val="1"/>
          <w:numId w:val="8"/>
        </w:numPr>
        <w:tabs>
          <w:tab w:pos="1819" w:val="left" w:leader="none"/>
          <w:tab w:pos="1820" w:val="left" w:leader="none"/>
        </w:tabs>
        <w:spacing w:line="240" w:lineRule="auto" w:before="0" w:after="0"/>
        <w:ind w:left="1099" w:right="1632" w:firstLine="0"/>
        <w:jc w:val="left"/>
        <w:rPr>
          <w:sz w:val="22"/>
        </w:rPr>
      </w:pPr>
      <w:r>
        <w:rPr>
          <w:color w:val="1A171C"/>
          <w:sz w:val="22"/>
        </w:rPr>
        <w:t>The Assembly arrangements committee shall prepare before each meeting of the Assembly</w:t>
      </w:r>
      <w:r>
        <w:rPr>
          <w:color w:val="1A171C"/>
          <w:spacing w:val="-5"/>
          <w:sz w:val="22"/>
        </w:rPr>
        <w:t> </w:t>
      </w:r>
      <w:r>
        <w:rPr>
          <w:color w:val="1A171C"/>
          <w:sz w:val="22"/>
        </w:rPr>
        <w:t>a</w:t>
      </w:r>
      <w:r>
        <w:rPr>
          <w:color w:val="1A171C"/>
          <w:spacing w:val="-2"/>
          <w:sz w:val="22"/>
        </w:rPr>
        <w:t> </w:t>
      </w:r>
      <w:r>
        <w:rPr>
          <w:color w:val="1A171C"/>
          <w:sz w:val="22"/>
        </w:rPr>
        <w:t>draft</w:t>
      </w:r>
      <w:r>
        <w:rPr>
          <w:color w:val="1A171C"/>
          <w:spacing w:val="-2"/>
          <w:sz w:val="22"/>
        </w:rPr>
        <w:t> </w:t>
      </w:r>
      <w:r>
        <w:rPr>
          <w:color w:val="1A171C"/>
          <w:sz w:val="22"/>
        </w:rPr>
        <w:t>order</w:t>
      </w:r>
      <w:r>
        <w:rPr>
          <w:color w:val="1A171C"/>
          <w:spacing w:val="-3"/>
          <w:sz w:val="22"/>
        </w:rPr>
        <w:t> </w:t>
      </w:r>
      <w:r>
        <w:rPr>
          <w:color w:val="1A171C"/>
          <w:sz w:val="22"/>
        </w:rPr>
        <w:t>of business,</w:t>
      </w:r>
      <w:r>
        <w:rPr>
          <w:color w:val="1A171C"/>
          <w:spacing w:val="-2"/>
          <w:sz w:val="22"/>
        </w:rPr>
        <w:t> </w:t>
      </w:r>
      <w:r>
        <w:rPr>
          <w:color w:val="1A171C"/>
          <w:sz w:val="22"/>
        </w:rPr>
        <w:t>and</w:t>
      </w:r>
      <w:r>
        <w:rPr>
          <w:color w:val="1A171C"/>
          <w:spacing w:val="-4"/>
          <w:sz w:val="22"/>
        </w:rPr>
        <w:t> </w:t>
      </w:r>
      <w:r>
        <w:rPr>
          <w:color w:val="1A171C"/>
          <w:sz w:val="22"/>
        </w:rPr>
        <w:t>submit</w:t>
      </w:r>
      <w:r>
        <w:rPr>
          <w:color w:val="1A171C"/>
          <w:spacing w:val="-2"/>
          <w:sz w:val="22"/>
        </w:rPr>
        <w:t> </w:t>
      </w:r>
      <w:r>
        <w:rPr>
          <w:color w:val="1A171C"/>
          <w:sz w:val="22"/>
        </w:rPr>
        <w:t>it</w:t>
      </w:r>
      <w:r>
        <w:rPr>
          <w:color w:val="1A171C"/>
          <w:spacing w:val="-2"/>
          <w:sz w:val="22"/>
        </w:rPr>
        <w:t> </w:t>
      </w:r>
      <w:r>
        <w:rPr>
          <w:color w:val="1A171C"/>
          <w:sz w:val="22"/>
        </w:rPr>
        <w:t>to</w:t>
      </w:r>
      <w:r>
        <w:rPr>
          <w:color w:val="1A171C"/>
          <w:spacing w:val="-2"/>
          <w:sz w:val="22"/>
        </w:rPr>
        <w:t> </w:t>
      </w:r>
      <w:r>
        <w:rPr>
          <w:color w:val="1A171C"/>
          <w:sz w:val="22"/>
        </w:rPr>
        <w:t>the</w:t>
      </w:r>
      <w:r>
        <w:rPr>
          <w:color w:val="1A171C"/>
          <w:spacing w:val="-16"/>
          <w:sz w:val="22"/>
        </w:rPr>
        <w:t> </w:t>
      </w:r>
      <w:r>
        <w:rPr>
          <w:color w:val="1A171C"/>
          <w:sz w:val="22"/>
        </w:rPr>
        <w:t>Assembly</w:t>
      </w:r>
      <w:r>
        <w:rPr>
          <w:color w:val="1A171C"/>
          <w:spacing w:val="-4"/>
          <w:sz w:val="22"/>
        </w:rPr>
        <w:t> </w:t>
      </w:r>
      <w:r>
        <w:rPr>
          <w:color w:val="1A171C"/>
          <w:sz w:val="22"/>
        </w:rPr>
        <w:t>as</w:t>
      </w:r>
      <w:r>
        <w:rPr>
          <w:color w:val="1A171C"/>
          <w:spacing w:val="-1"/>
          <w:sz w:val="22"/>
        </w:rPr>
        <w:t> </w:t>
      </w:r>
      <w:r>
        <w:rPr>
          <w:color w:val="1A171C"/>
          <w:sz w:val="22"/>
        </w:rPr>
        <w:t>early</w:t>
      </w:r>
      <w:r>
        <w:rPr>
          <w:color w:val="1A171C"/>
          <w:spacing w:val="-4"/>
          <w:sz w:val="22"/>
        </w:rPr>
        <w:t> </w:t>
      </w:r>
      <w:r>
        <w:rPr>
          <w:color w:val="1A171C"/>
          <w:sz w:val="22"/>
        </w:rPr>
        <w:t>as</w:t>
      </w:r>
      <w:r>
        <w:rPr>
          <w:color w:val="1A171C"/>
          <w:spacing w:val="-1"/>
          <w:sz w:val="22"/>
        </w:rPr>
        <w:t> </w:t>
      </w:r>
      <w:r>
        <w:rPr>
          <w:color w:val="1A171C"/>
          <w:sz w:val="22"/>
        </w:rPr>
        <w:t>convenient in the</w:t>
      </w:r>
      <w:r>
        <w:rPr>
          <w:color w:val="1A171C"/>
          <w:spacing w:val="-1"/>
          <w:sz w:val="22"/>
        </w:rPr>
        <w:t> </w:t>
      </w:r>
      <w:r>
        <w:rPr>
          <w:color w:val="1A171C"/>
          <w:sz w:val="22"/>
        </w:rPr>
        <w:t>programme.</w:t>
      </w:r>
    </w:p>
    <w:p>
      <w:pPr>
        <w:pStyle w:val="BodyText"/>
      </w:pPr>
    </w:p>
    <w:p>
      <w:pPr>
        <w:pStyle w:val="ListParagraph"/>
        <w:numPr>
          <w:ilvl w:val="1"/>
          <w:numId w:val="8"/>
        </w:numPr>
        <w:tabs>
          <w:tab w:pos="1819" w:val="left" w:leader="none"/>
          <w:tab w:pos="1820" w:val="left" w:leader="none"/>
        </w:tabs>
        <w:spacing w:line="240" w:lineRule="auto" w:before="0" w:after="0"/>
        <w:ind w:left="1099" w:right="1830" w:firstLine="0"/>
        <w:jc w:val="left"/>
        <w:rPr>
          <w:sz w:val="22"/>
        </w:rPr>
      </w:pPr>
      <w:r>
        <w:rPr>
          <w:color w:val="1A171C"/>
          <w:sz w:val="22"/>
        </w:rPr>
        <w:t>Motions arising from a report which have been duly seconded and submitted by individual members of Assembly under </w:t>
      </w:r>
      <w:r>
        <w:rPr>
          <w:color w:val="1A171C"/>
          <w:spacing w:val="-3"/>
          <w:sz w:val="22"/>
        </w:rPr>
        <w:t>Standing </w:t>
      </w:r>
      <w:r>
        <w:rPr>
          <w:color w:val="1A171C"/>
          <w:sz w:val="22"/>
        </w:rPr>
        <w:t>Order 4.2 shall be taken at a point in the business determined by the Moderator on the advice of the convener of the Assembly arrangements committee.</w:t>
      </w:r>
    </w:p>
    <w:p>
      <w:pPr>
        <w:pStyle w:val="BodyText"/>
      </w:pPr>
    </w:p>
    <w:p>
      <w:pPr>
        <w:pStyle w:val="ListParagraph"/>
        <w:numPr>
          <w:ilvl w:val="1"/>
          <w:numId w:val="8"/>
        </w:numPr>
        <w:tabs>
          <w:tab w:pos="1819" w:val="left" w:leader="none"/>
          <w:tab w:pos="1820" w:val="left" w:leader="none"/>
        </w:tabs>
        <w:spacing w:line="240" w:lineRule="auto" w:before="0" w:after="0"/>
        <w:ind w:left="1099" w:right="1478" w:firstLine="0"/>
        <w:jc w:val="left"/>
        <w:rPr>
          <w:sz w:val="22"/>
        </w:rPr>
      </w:pPr>
      <w:r>
        <w:rPr>
          <w:color w:val="1A171C"/>
          <w:sz w:val="22"/>
        </w:rPr>
        <w:t>If notice has been given of two or more motions on the same subject, or two or more amendments to the same motion, these shall be taken in the order decided by the</w:t>
      </w:r>
      <w:r>
        <w:rPr>
          <w:color w:val="1A171C"/>
          <w:spacing w:val="-44"/>
          <w:sz w:val="22"/>
        </w:rPr>
        <w:t> </w:t>
      </w:r>
      <w:r>
        <w:rPr>
          <w:color w:val="1A171C"/>
          <w:sz w:val="22"/>
        </w:rPr>
        <w:t>Moderator on the advice of the</w:t>
      </w:r>
      <w:r>
        <w:rPr>
          <w:color w:val="1A171C"/>
          <w:spacing w:val="-1"/>
          <w:sz w:val="22"/>
        </w:rPr>
        <w:t> </w:t>
      </w:r>
      <w:r>
        <w:rPr>
          <w:color w:val="1A171C"/>
          <w:sz w:val="22"/>
        </w:rPr>
        <w:t>Clerk.</w:t>
      </w:r>
    </w:p>
    <w:p>
      <w:pPr>
        <w:pStyle w:val="BodyText"/>
        <w:spacing w:before="1"/>
      </w:pPr>
    </w:p>
    <w:p>
      <w:pPr>
        <w:pStyle w:val="ListParagraph"/>
        <w:numPr>
          <w:ilvl w:val="1"/>
          <w:numId w:val="8"/>
        </w:numPr>
        <w:tabs>
          <w:tab w:pos="1819" w:val="left" w:leader="none"/>
          <w:tab w:pos="1820" w:val="left" w:leader="none"/>
        </w:tabs>
        <w:spacing w:line="240" w:lineRule="auto" w:before="0" w:after="0"/>
        <w:ind w:left="1099" w:right="1662" w:firstLine="0"/>
        <w:jc w:val="left"/>
        <w:rPr>
          <w:sz w:val="22"/>
        </w:rPr>
      </w:pPr>
      <w:r>
        <w:rPr>
          <w:color w:val="1A171C"/>
          <w:sz w:val="22"/>
        </w:rPr>
        <w:t>The convener of the Assembly arrangements committee </w:t>
      </w:r>
      <w:r>
        <w:rPr>
          <w:color w:val="1A171C"/>
          <w:spacing w:val="-6"/>
          <w:sz w:val="22"/>
        </w:rPr>
        <w:t>may, </w:t>
      </w:r>
      <w:r>
        <w:rPr>
          <w:color w:val="1A171C"/>
          <w:sz w:val="22"/>
        </w:rPr>
        <w:t>during the meeting of the </w:t>
      </w:r>
      <w:r>
        <w:rPr>
          <w:color w:val="1A171C"/>
          <w:spacing w:val="-3"/>
          <w:sz w:val="22"/>
        </w:rPr>
        <w:t>Assembly, </w:t>
      </w:r>
      <w:r>
        <w:rPr>
          <w:color w:val="1A171C"/>
          <w:sz w:val="22"/>
        </w:rPr>
        <w:t>propose that the order of business be</w:t>
      </w:r>
      <w:r>
        <w:rPr>
          <w:color w:val="1A171C"/>
          <w:spacing w:val="-12"/>
          <w:sz w:val="22"/>
        </w:rPr>
        <w:t> </w:t>
      </w:r>
      <w:r>
        <w:rPr>
          <w:color w:val="1A171C"/>
          <w:sz w:val="22"/>
        </w:rPr>
        <w:t>changed.</w:t>
      </w:r>
    </w:p>
    <w:p>
      <w:pPr>
        <w:pStyle w:val="BodyText"/>
        <w:rPr>
          <w:sz w:val="20"/>
        </w:rPr>
      </w:pPr>
    </w:p>
    <w:p>
      <w:pPr>
        <w:pStyle w:val="BodyText"/>
        <w:rPr>
          <w:sz w:val="20"/>
        </w:rPr>
      </w:pPr>
    </w:p>
    <w:p>
      <w:pPr>
        <w:pStyle w:val="Heading6"/>
        <w:spacing w:before="249"/>
        <w:rPr>
          <w:rFonts w:ascii="Stone Sans II ITC Std X Bd"/>
          <w:b/>
        </w:rPr>
      </w:pPr>
      <w:r>
        <w:rPr>
          <w:rFonts w:ascii="Stone Sans II ITC Std X Bd"/>
          <w:b/>
          <w:color w:val="1A171C"/>
        </w:rPr>
        <w:t>21</w:t>
      </w:r>
    </w:p>
    <w:p>
      <w:pPr>
        <w:spacing w:after="0"/>
        <w:rPr>
          <w:rFonts w:ascii="Stone Sans II ITC Std X Bd"/>
        </w:rPr>
        <w:sectPr>
          <w:pgSz w:w="11910" w:h="16840"/>
          <w:pgMar w:top="240" w:bottom="0" w:left="320" w:right="0"/>
        </w:sectPr>
      </w:pPr>
    </w:p>
    <w:p>
      <w:pPr>
        <w:pStyle w:val="BodyText"/>
        <w:rPr>
          <w:rFonts w:ascii="Stone Sans II ITC Std X Bd"/>
          <w:b/>
          <w:sz w:val="20"/>
        </w:rPr>
      </w:pPr>
      <w:r>
        <w:rPr/>
        <w:pict>
          <v:group style="position:absolute;margin-left:12.756pt;margin-top:12.755014pt;width:77.8pt;height:816.4pt;mso-position-horizontal-relative:page;mso-position-vertical-relative:page;z-index:-253362176" coordorigin="255,255" coordsize="1556,16328">
            <v:shape style="position:absolute;left:255;top:255;width:681;height:16328" type="#_x0000_t75" stroked="false">
              <v:imagedata r:id="rId20"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3BA533" w:color="auto" w:val="clear"/>
                      </w:rPr>
                      <w:t>B</w:t>
                    </w:r>
                    <w:r>
                      <w:rPr>
                        <w:rFonts w:ascii="Stone Sans II ITC Std X Bd"/>
                        <w:b/>
                        <w:color w:val="FFFFFF"/>
                        <w:sz w:val="65"/>
                        <w:shd w:fill="3BA533" w:color="auto" w:val="clear"/>
                      </w:rPr>
                      <w:tab/>
                    </w:r>
                  </w:p>
                </w:txbxContent>
              </v:textbox>
              <w10:wrap type="none"/>
            </v:shape>
            <v:shape style="position:absolute;left:435;top:15990;width:34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22</w:t>
                    </w:r>
                  </w:p>
                </w:txbxContent>
              </v:textbox>
              <w10:wrap type="none"/>
            </v:shape>
            <w10:wrap type="none"/>
          </v:group>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12"/>
        <w:rPr>
          <w:rFonts w:ascii="Stone Sans II ITC Std X Bd"/>
          <w:b/>
          <w:sz w:val="29"/>
        </w:rPr>
      </w:pPr>
    </w:p>
    <w:p>
      <w:pPr>
        <w:pStyle w:val="Heading7"/>
        <w:numPr>
          <w:ilvl w:val="0"/>
          <w:numId w:val="8"/>
        </w:numPr>
        <w:tabs>
          <w:tab w:pos="1761" w:val="left" w:leader="none"/>
        </w:tabs>
        <w:spacing w:line="240" w:lineRule="auto" w:before="94" w:after="0"/>
        <w:ind w:left="1760" w:right="0" w:hanging="721"/>
        <w:jc w:val="both"/>
      </w:pPr>
      <w:r>
        <w:rPr/>
        <w:pict>
          <v:shape style="position:absolute;margin-left:21.22007pt;margin-top:-25.358736pt;width:16.3500pt;height:346.1pt;mso-position-horizontal-relative:page;mso-position-vertical-relative:paragraph;z-index:251751424"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rPr>
        <w:t>Consensus decision</w:t>
      </w:r>
      <w:r>
        <w:rPr>
          <w:color w:val="1A171C"/>
          <w:spacing w:val="-3"/>
        </w:rPr>
        <w:t> </w:t>
      </w:r>
      <w:r>
        <w:rPr>
          <w:color w:val="1A171C"/>
        </w:rPr>
        <w:t>making</w:t>
      </w:r>
    </w:p>
    <w:p>
      <w:pPr>
        <w:pStyle w:val="ListParagraph"/>
        <w:numPr>
          <w:ilvl w:val="1"/>
          <w:numId w:val="8"/>
        </w:numPr>
        <w:tabs>
          <w:tab w:pos="1761" w:val="left" w:leader="none"/>
        </w:tabs>
        <w:spacing w:line="240" w:lineRule="auto" w:before="1" w:after="0"/>
        <w:ind w:left="1040" w:right="1788" w:firstLine="0"/>
        <w:jc w:val="both"/>
        <w:rPr>
          <w:sz w:val="22"/>
        </w:rPr>
      </w:pPr>
      <w:r>
        <w:rPr>
          <w:color w:val="1A171C"/>
          <w:sz w:val="22"/>
        </w:rPr>
        <w:t>Those motions in Group C shall be determined by a process of decision making by consensus. For these purposes the following </w:t>
      </w:r>
      <w:r>
        <w:rPr>
          <w:color w:val="1A171C"/>
          <w:spacing w:val="-3"/>
          <w:sz w:val="22"/>
        </w:rPr>
        <w:t>Standing </w:t>
      </w:r>
      <w:r>
        <w:rPr>
          <w:color w:val="1A171C"/>
          <w:sz w:val="22"/>
        </w:rPr>
        <w:t>Order 2 will apply and the </w:t>
      </w:r>
      <w:r>
        <w:rPr>
          <w:color w:val="1A171C"/>
          <w:spacing w:val="-3"/>
          <w:sz w:val="22"/>
        </w:rPr>
        <w:t>Standing </w:t>
      </w:r>
      <w:r>
        <w:rPr>
          <w:color w:val="1A171C"/>
          <w:sz w:val="22"/>
        </w:rPr>
        <w:t>Orders 4, 5.4, 5.5, 5.6, 6.2, 6.3, 6.5 will not</w:t>
      </w:r>
      <w:r>
        <w:rPr>
          <w:color w:val="1A171C"/>
          <w:spacing w:val="7"/>
          <w:sz w:val="22"/>
        </w:rPr>
        <w:t> </w:t>
      </w:r>
      <w:r>
        <w:rPr>
          <w:color w:val="1A171C"/>
          <w:spacing w:val="-5"/>
          <w:sz w:val="22"/>
        </w:rPr>
        <w:t>apply.</w:t>
      </w:r>
    </w:p>
    <w:p>
      <w:pPr>
        <w:pStyle w:val="BodyText"/>
        <w:spacing w:before="1"/>
      </w:pPr>
    </w:p>
    <w:p>
      <w:pPr>
        <w:pStyle w:val="ListParagraph"/>
        <w:numPr>
          <w:ilvl w:val="1"/>
          <w:numId w:val="8"/>
        </w:numPr>
        <w:tabs>
          <w:tab w:pos="1760" w:val="left" w:leader="none"/>
          <w:tab w:pos="1761" w:val="left" w:leader="none"/>
        </w:tabs>
        <w:spacing w:line="252" w:lineRule="exact" w:before="0" w:after="0"/>
        <w:ind w:left="1760" w:right="0" w:hanging="721"/>
        <w:jc w:val="left"/>
        <w:rPr>
          <w:sz w:val="22"/>
        </w:rPr>
      </w:pPr>
      <w:r>
        <w:rPr>
          <w:color w:val="1A171C"/>
          <w:sz w:val="22"/>
        </w:rPr>
        <w:t>The process of consensus:</w:t>
      </w:r>
    </w:p>
    <w:p>
      <w:pPr>
        <w:pStyle w:val="ListParagraph"/>
        <w:numPr>
          <w:ilvl w:val="2"/>
          <w:numId w:val="8"/>
        </w:numPr>
        <w:tabs>
          <w:tab w:pos="1760" w:val="left" w:leader="none"/>
          <w:tab w:pos="1761" w:val="left" w:leader="none"/>
        </w:tabs>
        <w:spacing w:line="240" w:lineRule="auto" w:before="0" w:after="0"/>
        <w:ind w:left="1760" w:right="1720" w:hanging="720"/>
        <w:jc w:val="left"/>
        <w:rPr>
          <w:sz w:val="22"/>
        </w:rPr>
      </w:pPr>
      <w:r>
        <w:rPr>
          <w:color w:val="1A171C"/>
          <w:sz w:val="22"/>
        </w:rPr>
        <w:t>Consensus means a decision of the council reached </w:t>
      </w:r>
      <w:r>
        <w:rPr>
          <w:color w:val="1A171C"/>
          <w:spacing w:val="-3"/>
          <w:sz w:val="22"/>
        </w:rPr>
        <w:t>unanimously, </w:t>
      </w:r>
      <w:r>
        <w:rPr>
          <w:color w:val="1A171C"/>
          <w:sz w:val="22"/>
        </w:rPr>
        <w:t>or where a small minority of members of the council is willing to accept a proposal that is not their first</w:t>
      </w:r>
      <w:r>
        <w:rPr>
          <w:color w:val="1A171C"/>
          <w:spacing w:val="-1"/>
          <w:sz w:val="22"/>
        </w:rPr>
        <w:t> </w:t>
      </w:r>
      <w:r>
        <w:rPr>
          <w:color w:val="1A171C"/>
          <w:sz w:val="22"/>
        </w:rPr>
        <w:t>preference.</w:t>
      </w:r>
    </w:p>
    <w:p>
      <w:pPr>
        <w:pStyle w:val="ListParagraph"/>
        <w:numPr>
          <w:ilvl w:val="2"/>
          <w:numId w:val="8"/>
        </w:numPr>
        <w:tabs>
          <w:tab w:pos="1760" w:val="left" w:leader="none"/>
          <w:tab w:pos="1761" w:val="left" w:leader="none"/>
        </w:tabs>
        <w:spacing w:line="240" w:lineRule="auto" w:before="1" w:after="0"/>
        <w:ind w:left="1760" w:right="1689" w:hanging="721"/>
        <w:jc w:val="left"/>
        <w:rPr>
          <w:sz w:val="22"/>
        </w:rPr>
      </w:pPr>
      <w:r>
        <w:rPr>
          <w:color w:val="1A171C"/>
          <w:sz w:val="22"/>
        </w:rPr>
        <w:t>Passed, recognising disagreement means a decision of the council where, after careful consideration of the options, a small number is unable to accept the majority opinion but agree to stand aside so that the matter may be</w:t>
      </w:r>
      <w:r>
        <w:rPr>
          <w:color w:val="1A171C"/>
          <w:spacing w:val="-17"/>
          <w:sz w:val="22"/>
        </w:rPr>
        <w:t> </w:t>
      </w:r>
      <w:r>
        <w:rPr>
          <w:color w:val="1A171C"/>
          <w:sz w:val="22"/>
        </w:rPr>
        <w:t>resolved.</w:t>
      </w:r>
    </w:p>
    <w:p>
      <w:pPr>
        <w:pStyle w:val="ListParagraph"/>
        <w:numPr>
          <w:ilvl w:val="2"/>
          <w:numId w:val="8"/>
        </w:numPr>
        <w:tabs>
          <w:tab w:pos="1760" w:val="left" w:leader="none"/>
          <w:tab w:pos="1761" w:val="left" w:leader="none"/>
        </w:tabs>
        <w:spacing w:line="240" w:lineRule="auto" w:before="0" w:after="0"/>
        <w:ind w:left="1760" w:right="2075" w:hanging="721"/>
        <w:jc w:val="left"/>
        <w:rPr>
          <w:sz w:val="22"/>
        </w:rPr>
      </w:pPr>
      <w:r>
        <w:rPr>
          <w:color w:val="1A171C"/>
          <w:sz w:val="22"/>
        </w:rPr>
        <w:t>At each stage of the process the Moderator will clarify the nature of the session, that is whether it is for information, discussion or decision</w:t>
      </w:r>
      <w:r>
        <w:rPr>
          <w:color w:val="1A171C"/>
          <w:spacing w:val="-8"/>
          <w:sz w:val="22"/>
        </w:rPr>
        <w:t> </w:t>
      </w:r>
      <w:r>
        <w:rPr>
          <w:color w:val="1A171C"/>
          <w:sz w:val="22"/>
        </w:rPr>
        <w:t>making.</w:t>
      </w:r>
    </w:p>
    <w:p>
      <w:pPr>
        <w:pStyle w:val="BodyText"/>
        <w:spacing w:before="10"/>
        <w:rPr>
          <w:sz w:val="21"/>
        </w:rPr>
      </w:pPr>
    </w:p>
    <w:p>
      <w:pPr>
        <w:pStyle w:val="ListParagraph"/>
        <w:numPr>
          <w:ilvl w:val="1"/>
          <w:numId w:val="8"/>
        </w:numPr>
        <w:tabs>
          <w:tab w:pos="1760" w:val="left" w:leader="none"/>
          <w:tab w:pos="1761" w:val="left" w:leader="none"/>
        </w:tabs>
        <w:spacing w:line="240" w:lineRule="auto" w:before="0" w:after="0"/>
        <w:ind w:left="1760" w:right="0" w:hanging="721"/>
        <w:jc w:val="left"/>
        <w:rPr>
          <w:sz w:val="22"/>
        </w:rPr>
      </w:pPr>
      <w:r>
        <w:rPr>
          <w:color w:val="1A171C"/>
          <w:sz w:val="22"/>
        </w:rPr>
        <w:t>The information</w:t>
      </w:r>
      <w:r>
        <w:rPr>
          <w:color w:val="1A171C"/>
          <w:spacing w:val="-5"/>
          <w:sz w:val="22"/>
        </w:rPr>
        <w:t> </w:t>
      </w:r>
      <w:r>
        <w:rPr>
          <w:color w:val="1A171C"/>
          <w:sz w:val="22"/>
        </w:rPr>
        <w:t>session:</w:t>
      </w:r>
    </w:p>
    <w:p>
      <w:pPr>
        <w:pStyle w:val="BodyText"/>
        <w:spacing w:before="2"/>
        <w:ind w:left="1040" w:right="1402"/>
      </w:pPr>
      <w:r>
        <w:rPr>
          <w:color w:val="1A171C"/>
        </w:rPr>
        <w:t>This session aims to inform the Assembly on the issue to be considered. At the start of this session, if s/he judges that the matter before the Assembly is urgent, requiring decision during the current meeting of the Assembly, the Moderator shall inform the Assembly that this is the case and advise that if following the Consensus procedures there is continuing disagreement it may be necessary to move to a majority decision under Standing Order 2.5.9.6. A range</w:t>
      </w:r>
    </w:p>
    <w:p>
      <w:pPr>
        <w:pStyle w:val="BodyText"/>
        <w:ind w:left="1040" w:right="1579"/>
      </w:pPr>
      <w:r>
        <w:rPr>
          <w:color w:val="1A171C"/>
        </w:rPr>
        <w:t>of options may be presented by different people who shall speak in favour of their option. Those presenting issues, reports or proposals may speak for no more than five minutes unless the Assembly agrees to an extension of time. Members of Assembly are then free to ask questions on the issue or seek for clarification or further information.</w:t>
      </w:r>
    </w:p>
    <w:p>
      <w:pPr>
        <w:pStyle w:val="BodyText"/>
        <w:spacing w:before="10"/>
        <w:rPr>
          <w:sz w:val="21"/>
        </w:rPr>
      </w:pPr>
    </w:p>
    <w:p>
      <w:pPr>
        <w:pStyle w:val="ListParagraph"/>
        <w:numPr>
          <w:ilvl w:val="1"/>
          <w:numId w:val="8"/>
        </w:numPr>
        <w:tabs>
          <w:tab w:pos="1760" w:val="left" w:leader="none"/>
          <w:tab w:pos="1761" w:val="left" w:leader="none"/>
        </w:tabs>
        <w:spacing w:line="252" w:lineRule="exact" w:before="0" w:after="0"/>
        <w:ind w:left="1760" w:right="0" w:hanging="721"/>
        <w:jc w:val="left"/>
        <w:rPr>
          <w:sz w:val="22"/>
        </w:rPr>
      </w:pPr>
      <w:r>
        <w:rPr>
          <w:color w:val="1A171C"/>
          <w:sz w:val="22"/>
        </w:rPr>
        <w:t>The discussion</w:t>
      </w:r>
      <w:r>
        <w:rPr>
          <w:color w:val="1A171C"/>
          <w:spacing w:val="-3"/>
          <w:sz w:val="22"/>
        </w:rPr>
        <w:t> </w:t>
      </w:r>
      <w:r>
        <w:rPr>
          <w:color w:val="1A171C"/>
          <w:sz w:val="22"/>
        </w:rPr>
        <w:t>session:</w:t>
      </w:r>
    </w:p>
    <w:p>
      <w:pPr>
        <w:pStyle w:val="BodyText"/>
        <w:spacing w:line="252" w:lineRule="exact"/>
        <w:ind w:left="1040"/>
      </w:pPr>
      <w:r>
        <w:rPr>
          <w:color w:val="1A171C"/>
        </w:rPr>
        <w:t>This is the opportunity for discussion of various viewpoints and vigorous debate on different</w:t>
      </w:r>
    </w:p>
    <w:p>
      <w:pPr>
        <w:pStyle w:val="BodyText"/>
        <w:spacing w:line="252" w:lineRule="exact"/>
        <w:ind w:left="1040"/>
      </w:pPr>
      <w:r>
        <w:rPr>
          <w:color w:val="1A171C"/>
        </w:rPr>
        <w:t>opinions. Speakers may speak for no more than three minutes.</w:t>
      </w:r>
    </w:p>
    <w:p>
      <w:pPr>
        <w:pStyle w:val="ListParagraph"/>
        <w:numPr>
          <w:ilvl w:val="2"/>
          <w:numId w:val="8"/>
        </w:numPr>
        <w:tabs>
          <w:tab w:pos="1760" w:val="left" w:leader="none"/>
          <w:tab w:pos="1761" w:val="left" w:leader="none"/>
        </w:tabs>
        <w:spacing w:line="240" w:lineRule="auto" w:before="2" w:after="0"/>
        <w:ind w:left="1760" w:right="1580" w:hanging="721"/>
        <w:jc w:val="left"/>
        <w:rPr>
          <w:sz w:val="22"/>
        </w:rPr>
      </w:pPr>
      <w:r>
        <w:rPr>
          <w:color w:val="1A171C"/>
          <w:sz w:val="22"/>
        </w:rPr>
        <w:t>The methods used may include </w:t>
      </w:r>
      <w:r>
        <w:rPr>
          <w:color w:val="1A171C"/>
          <w:spacing w:val="-3"/>
          <w:sz w:val="22"/>
        </w:rPr>
        <w:t>prayer, </w:t>
      </w:r>
      <w:r>
        <w:rPr>
          <w:color w:val="1A171C"/>
          <w:sz w:val="22"/>
        </w:rPr>
        <w:t>buzz groups, group discussions, speeches to the whole council, time for thinking during a break etc. The Moderator may invite Assembly to indicate opinions by the use of coloured cards at this</w:t>
      </w:r>
      <w:r>
        <w:rPr>
          <w:color w:val="1A171C"/>
          <w:spacing w:val="-16"/>
          <w:sz w:val="22"/>
        </w:rPr>
        <w:t> </w:t>
      </w:r>
      <w:r>
        <w:rPr>
          <w:color w:val="1A171C"/>
          <w:sz w:val="22"/>
        </w:rPr>
        <w:t>stage.</w:t>
      </w:r>
    </w:p>
    <w:p>
      <w:pPr>
        <w:pStyle w:val="ListParagraph"/>
        <w:numPr>
          <w:ilvl w:val="2"/>
          <w:numId w:val="8"/>
        </w:numPr>
        <w:tabs>
          <w:tab w:pos="1760" w:val="left" w:leader="none"/>
          <w:tab w:pos="1761" w:val="left" w:leader="none"/>
        </w:tabs>
        <w:spacing w:line="240" w:lineRule="auto" w:before="0" w:after="0"/>
        <w:ind w:left="1760" w:right="1831" w:hanging="721"/>
        <w:jc w:val="left"/>
        <w:rPr>
          <w:sz w:val="22"/>
        </w:rPr>
      </w:pPr>
      <w:r>
        <w:rPr>
          <w:color w:val="1A171C"/>
          <w:sz w:val="22"/>
        </w:rPr>
        <w:t>The Moderator shall ensure that those who have different backgrounds or </w:t>
      </w:r>
      <w:r>
        <w:rPr>
          <w:color w:val="1A171C"/>
          <w:spacing w:val="-2"/>
          <w:sz w:val="22"/>
        </w:rPr>
        <w:t>who </w:t>
      </w:r>
      <w:r>
        <w:rPr>
          <w:color w:val="1A171C"/>
          <w:sz w:val="22"/>
        </w:rPr>
        <w:t>disagree or who are unsure are given space to contribute to the debate, as well</w:t>
      </w:r>
      <w:r>
        <w:rPr>
          <w:color w:val="1A171C"/>
          <w:spacing w:val="-41"/>
          <w:sz w:val="22"/>
        </w:rPr>
        <w:t> </w:t>
      </w:r>
      <w:r>
        <w:rPr>
          <w:color w:val="1A171C"/>
          <w:sz w:val="22"/>
        </w:rPr>
        <w:t>as those who are</w:t>
      </w:r>
      <w:r>
        <w:rPr>
          <w:color w:val="1A171C"/>
          <w:spacing w:val="-3"/>
          <w:sz w:val="22"/>
        </w:rPr>
        <w:t> </w:t>
      </w:r>
      <w:r>
        <w:rPr>
          <w:color w:val="1A171C"/>
          <w:sz w:val="22"/>
        </w:rPr>
        <w:t>enthusiastic.</w:t>
      </w:r>
    </w:p>
    <w:p>
      <w:pPr>
        <w:pStyle w:val="ListParagraph"/>
        <w:numPr>
          <w:ilvl w:val="2"/>
          <w:numId w:val="8"/>
        </w:numPr>
        <w:tabs>
          <w:tab w:pos="1760" w:val="left" w:leader="none"/>
          <w:tab w:pos="1761" w:val="left" w:leader="none"/>
        </w:tabs>
        <w:spacing w:line="240" w:lineRule="auto" w:before="0" w:after="0"/>
        <w:ind w:left="1760" w:right="1802" w:hanging="721"/>
        <w:jc w:val="left"/>
        <w:rPr>
          <w:sz w:val="22"/>
        </w:rPr>
      </w:pPr>
      <w:r>
        <w:rPr>
          <w:color w:val="1A171C"/>
          <w:sz w:val="22"/>
        </w:rPr>
        <w:t>The</w:t>
      </w:r>
      <w:r>
        <w:rPr>
          <w:color w:val="1A171C"/>
          <w:spacing w:val="-47"/>
          <w:sz w:val="22"/>
        </w:rPr>
        <w:t> </w:t>
      </w:r>
      <w:r>
        <w:rPr>
          <w:color w:val="1A171C"/>
          <w:sz w:val="22"/>
        </w:rPr>
        <w:t>Assembly may meet around tables so that small group discussion can happen quickly and</w:t>
      </w:r>
      <w:r>
        <w:rPr>
          <w:color w:val="1A171C"/>
          <w:spacing w:val="-2"/>
          <w:sz w:val="22"/>
        </w:rPr>
        <w:t> </w:t>
      </w:r>
      <w:r>
        <w:rPr>
          <w:color w:val="1A171C"/>
          <w:spacing w:val="-4"/>
          <w:sz w:val="22"/>
        </w:rPr>
        <w:t>easily.</w:t>
      </w:r>
    </w:p>
    <w:p>
      <w:pPr>
        <w:pStyle w:val="ListParagraph"/>
        <w:numPr>
          <w:ilvl w:val="2"/>
          <w:numId w:val="8"/>
        </w:numPr>
        <w:tabs>
          <w:tab w:pos="1760" w:val="left" w:leader="none"/>
          <w:tab w:pos="1761" w:val="left" w:leader="none"/>
        </w:tabs>
        <w:spacing w:line="240" w:lineRule="auto" w:before="0" w:after="0"/>
        <w:ind w:left="1760" w:right="2277" w:hanging="721"/>
        <w:jc w:val="left"/>
        <w:rPr>
          <w:sz w:val="22"/>
        </w:rPr>
      </w:pPr>
      <w:r>
        <w:rPr>
          <w:color w:val="1A171C"/>
          <w:sz w:val="22"/>
        </w:rPr>
        <w:t>As the discussion session proceeds possible ways forward for the Church are developed until a specific proposal is</w:t>
      </w:r>
      <w:r>
        <w:rPr>
          <w:color w:val="1A171C"/>
          <w:spacing w:val="-4"/>
          <w:sz w:val="22"/>
        </w:rPr>
        <w:t> </w:t>
      </w:r>
      <w:r>
        <w:rPr>
          <w:color w:val="1A171C"/>
          <w:sz w:val="22"/>
        </w:rPr>
        <w:t>reached.</w:t>
      </w:r>
    </w:p>
    <w:p>
      <w:pPr>
        <w:pStyle w:val="BodyText"/>
        <w:spacing w:before="9"/>
        <w:rPr>
          <w:sz w:val="21"/>
        </w:rPr>
      </w:pPr>
    </w:p>
    <w:p>
      <w:pPr>
        <w:pStyle w:val="ListParagraph"/>
        <w:numPr>
          <w:ilvl w:val="1"/>
          <w:numId w:val="8"/>
        </w:numPr>
        <w:tabs>
          <w:tab w:pos="1760" w:val="left" w:leader="none"/>
          <w:tab w:pos="1761" w:val="left" w:leader="none"/>
        </w:tabs>
        <w:spacing w:line="240" w:lineRule="auto" w:before="0" w:after="0"/>
        <w:ind w:left="1760" w:right="0" w:hanging="721"/>
        <w:jc w:val="left"/>
        <w:rPr>
          <w:sz w:val="22"/>
        </w:rPr>
      </w:pPr>
      <w:r>
        <w:rPr>
          <w:color w:val="1A171C"/>
          <w:sz w:val="22"/>
        </w:rPr>
        <w:t>The decision</w:t>
      </w:r>
      <w:r>
        <w:rPr>
          <w:color w:val="1A171C"/>
          <w:spacing w:val="-3"/>
          <w:sz w:val="22"/>
        </w:rPr>
        <w:t> </w:t>
      </w:r>
      <w:r>
        <w:rPr>
          <w:color w:val="1A171C"/>
          <w:sz w:val="22"/>
        </w:rPr>
        <w:t>session:</w:t>
      </w:r>
    </w:p>
    <w:p>
      <w:pPr>
        <w:pStyle w:val="BodyText"/>
        <w:spacing w:before="2"/>
        <w:ind w:left="1040" w:right="1402"/>
      </w:pPr>
      <w:r>
        <w:rPr>
          <w:color w:val="1A171C"/>
        </w:rPr>
        <w:t>Only those Assembly members present may contribute to this session, they may speak for no more than three minutes.</w:t>
      </w:r>
    </w:p>
    <w:p>
      <w:pPr>
        <w:pStyle w:val="ListParagraph"/>
        <w:numPr>
          <w:ilvl w:val="2"/>
          <w:numId w:val="8"/>
        </w:numPr>
        <w:tabs>
          <w:tab w:pos="1761" w:val="left" w:leader="none"/>
        </w:tabs>
        <w:spacing w:line="240" w:lineRule="auto" w:before="0" w:after="0"/>
        <w:ind w:left="1760" w:right="1612" w:hanging="658"/>
        <w:jc w:val="left"/>
        <w:rPr>
          <w:sz w:val="22"/>
        </w:rPr>
      </w:pPr>
      <w:r>
        <w:rPr>
          <w:color w:val="1A171C"/>
          <w:sz w:val="22"/>
        </w:rPr>
        <w:t>Discussion continues with speakers outlining the advantages and disadvantages of the proposal. At all</w:t>
      </w:r>
      <w:r>
        <w:rPr>
          <w:color w:val="1A171C"/>
          <w:spacing w:val="-45"/>
          <w:sz w:val="22"/>
        </w:rPr>
        <w:t> </w:t>
      </w:r>
      <w:r>
        <w:rPr>
          <w:color w:val="1A171C"/>
          <w:sz w:val="22"/>
        </w:rPr>
        <w:t>times, speakers are encouraged to suggest a way forward for the </w:t>
      </w:r>
      <w:r>
        <w:rPr>
          <w:color w:val="1A171C"/>
          <w:spacing w:val="-3"/>
          <w:sz w:val="22"/>
        </w:rPr>
        <w:t>Assembly, </w:t>
      </w:r>
      <w:r>
        <w:rPr>
          <w:color w:val="1A171C"/>
          <w:sz w:val="22"/>
        </w:rPr>
        <w:t>rather than merely speaking with passion for a pre-determined</w:t>
      </w:r>
      <w:r>
        <w:rPr>
          <w:color w:val="1A171C"/>
          <w:spacing w:val="-11"/>
          <w:sz w:val="22"/>
        </w:rPr>
        <w:t> </w:t>
      </w:r>
      <w:r>
        <w:rPr>
          <w:color w:val="1A171C"/>
          <w:spacing w:val="-4"/>
          <w:sz w:val="22"/>
        </w:rPr>
        <w:t>view.</w:t>
      </w:r>
    </w:p>
    <w:p>
      <w:pPr>
        <w:pStyle w:val="ListParagraph"/>
        <w:numPr>
          <w:ilvl w:val="2"/>
          <w:numId w:val="8"/>
        </w:numPr>
        <w:tabs>
          <w:tab w:pos="1760" w:val="left" w:leader="none"/>
          <w:tab w:pos="1761" w:val="left" w:leader="none"/>
        </w:tabs>
        <w:spacing w:line="240" w:lineRule="auto" w:before="0" w:after="0"/>
        <w:ind w:left="1760" w:right="1622" w:hanging="721"/>
        <w:jc w:val="left"/>
        <w:rPr>
          <w:sz w:val="22"/>
        </w:rPr>
      </w:pPr>
      <w:r>
        <w:rPr>
          <w:color w:val="1A171C"/>
          <w:sz w:val="22"/>
        </w:rPr>
        <w:t>Minor changes of wording may be agreed as the discussion proceeds. It is important to </w:t>
      </w:r>
      <w:r>
        <w:rPr>
          <w:color w:val="1A171C"/>
          <w:spacing w:val="-3"/>
          <w:sz w:val="22"/>
        </w:rPr>
        <w:t>hear </w:t>
      </w:r>
      <w:r>
        <w:rPr>
          <w:color w:val="1A171C"/>
          <w:sz w:val="22"/>
        </w:rPr>
        <w:t>from </w:t>
      </w:r>
      <w:r>
        <w:rPr>
          <w:color w:val="1A171C"/>
          <w:spacing w:val="-3"/>
          <w:sz w:val="22"/>
        </w:rPr>
        <w:t>those indicating disquiet </w:t>
      </w:r>
      <w:r>
        <w:rPr>
          <w:color w:val="1A171C"/>
          <w:sz w:val="22"/>
        </w:rPr>
        <w:t>or </w:t>
      </w:r>
      <w:r>
        <w:rPr>
          <w:color w:val="1A171C"/>
          <w:spacing w:val="-3"/>
          <w:sz w:val="22"/>
        </w:rPr>
        <w:t>disapproval </w:t>
      </w:r>
      <w:r>
        <w:rPr>
          <w:color w:val="1A171C"/>
          <w:sz w:val="22"/>
        </w:rPr>
        <w:t>as </w:t>
      </w:r>
      <w:r>
        <w:rPr>
          <w:color w:val="1A171C"/>
          <w:spacing w:val="-3"/>
          <w:sz w:val="22"/>
        </w:rPr>
        <w:t>well </w:t>
      </w:r>
      <w:r>
        <w:rPr>
          <w:color w:val="1A171C"/>
          <w:sz w:val="22"/>
        </w:rPr>
        <w:t>as </w:t>
      </w:r>
      <w:r>
        <w:rPr>
          <w:color w:val="1A171C"/>
          <w:spacing w:val="-3"/>
          <w:sz w:val="22"/>
        </w:rPr>
        <w:t>those who </w:t>
      </w:r>
      <w:r>
        <w:rPr>
          <w:color w:val="1A171C"/>
          <w:sz w:val="22"/>
        </w:rPr>
        <w:t>are </w:t>
      </w:r>
      <w:r>
        <w:rPr>
          <w:color w:val="1A171C"/>
          <w:spacing w:val="-3"/>
          <w:sz w:val="22"/>
        </w:rPr>
        <w:t>enthusiastic.</w:t>
      </w:r>
    </w:p>
    <w:p>
      <w:pPr>
        <w:pStyle w:val="ListParagraph"/>
        <w:numPr>
          <w:ilvl w:val="2"/>
          <w:numId w:val="8"/>
        </w:numPr>
        <w:tabs>
          <w:tab w:pos="1760" w:val="left" w:leader="none"/>
          <w:tab w:pos="1761" w:val="left" w:leader="none"/>
        </w:tabs>
        <w:spacing w:line="240" w:lineRule="auto" w:before="0" w:after="0"/>
        <w:ind w:left="1760" w:right="1642" w:hanging="721"/>
        <w:jc w:val="left"/>
        <w:rPr>
          <w:sz w:val="22"/>
        </w:rPr>
      </w:pPr>
      <w:r>
        <w:rPr>
          <w:color w:val="1A171C"/>
          <w:sz w:val="22"/>
        </w:rPr>
        <w:t>The proposal shall be displayed throughout the discussion in such a way that all can see the text and any progressively agreed changes to</w:t>
      </w:r>
      <w:r>
        <w:rPr>
          <w:color w:val="1A171C"/>
          <w:spacing w:val="-10"/>
          <w:sz w:val="22"/>
        </w:rPr>
        <w:t> </w:t>
      </w:r>
      <w:r>
        <w:rPr>
          <w:color w:val="1A171C"/>
          <w:sz w:val="22"/>
        </w:rPr>
        <w:t>it.</w:t>
      </w:r>
    </w:p>
    <w:p>
      <w:pPr>
        <w:pStyle w:val="ListParagraph"/>
        <w:numPr>
          <w:ilvl w:val="2"/>
          <w:numId w:val="8"/>
        </w:numPr>
        <w:tabs>
          <w:tab w:pos="1760" w:val="left" w:leader="none"/>
          <w:tab w:pos="1761" w:val="left" w:leader="none"/>
        </w:tabs>
        <w:spacing w:line="252" w:lineRule="exact" w:before="0" w:after="0"/>
        <w:ind w:left="1760" w:right="0" w:hanging="721"/>
        <w:jc w:val="left"/>
        <w:rPr>
          <w:sz w:val="22"/>
        </w:rPr>
      </w:pPr>
      <w:r>
        <w:rPr>
          <w:color w:val="1A171C"/>
          <w:sz w:val="22"/>
        </w:rPr>
        <w:t>If there is a major new insight expressed, the Moderator may determine that it</w:t>
      </w:r>
      <w:r>
        <w:rPr>
          <w:color w:val="1A171C"/>
          <w:spacing w:val="-17"/>
          <w:sz w:val="22"/>
        </w:rPr>
        <w:t> </w:t>
      </w:r>
      <w:r>
        <w:rPr>
          <w:color w:val="1A171C"/>
          <w:sz w:val="22"/>
        </w:rPr>
        <w:t>is</w:t>
      </w:r>
    </w:p>
    <w:p>
      <w:pPr>
        <w:pStyle w:val="BodyText"/>
        <w:spacing w:line="252" w:lineRule="exact"/>
        <w:ind w:left="1760"/>
      </w:pPr>
      <w:r>
        <w:rPr>
          <w:color w:val="1A171C"/>
        </w:rPr>
        <w:t>appropriate to move back into a discussion session.</w:t>
      </w:r>
    </w:p>
    <w:p>
      <w:pPr>
        <w:pStyle w:val="ListParagraph"/>
        <w:numPr>
          <w:ilvl w:val="2"/>
          <w:numId w:val="8"/>
        </w:numPr>
        <w:tabs>
          <w:tab w:pos="1760" w:val="left" w:leader="none"/>
          <w:tab w:pos="1761" w:val="left" w:leader="none"/>
        </w:tabs>
        <w:spacing w:line="240" w:lineRule="auto" w:before="0" w:after="0"/>
        <w:ind w:left="1760" w:right="1730" w:hanging="721"/>
        <w:jc w:val="left"/>
        <w:rPr>
          <w:sz w:val="22"/>
        </w:rPr>
      </w:pPr>
      <w:r>
        <w:rPr>
          <w:color w:val="1A171C"/>
          <w:sz w:val="22"/>
        </w:rPr>
        <w:t>After summing up where the Assembly seems to be heading, the Moderator</w:t>
      </w:r>
      <w:r>
        <w:rPr>
          <w:color w:val="1A171C"/>
          <w:spacing w:val="-42"/>
          <w:sz w:val="22"/>
        </w:rPr>
        <w:t> </w:t>
      </w:r>
      <w:r>
        <w:rPr>
          <w:color w:val="1A171C"/>
          <w:sz w:val="22"/>
        </w:rPr>
        <w:t>checks whether the Assembly is nearing consensus using one or more questions such as the</w:t>
      </w:r>
      <w:r>
        <w:rPr>
          <w:color w:val="1A171C"/>
          <w:spacing w:val="-3"/>
          <w:sz w:val="22"/>
        </w:rPr>
        <w:t> </w:t>
      </w:r>
      <w:r>
        <w:rPr>
          <w:color w:val="1A171C"/>
          <w:sz w:val="22"/>
        </w:rPr>
        <w:t>following:</w:t>
      </w:r>
    </w:p>
    <w:p>
      <w:pPr>
        <w:pStyle w:val="ListParagraph"/>
        <w:numPr>
          <w:ilvl w:val="3"/>
          <w:numId w:val="8"/>
        </w:numPr>
        <w:tabs>
          <w:tab w:pos="3200" w:val="left" w:leader="none"/>
          <w:tab w:pos="3201" w:val="left" w:leader="none"/>
        </w:tabs>
        <w:spacing w:line="252" w:lineRule="exact" w:before="0" w:after="0"/>
        <w:ind w:left="3200" w:right="0" w:hanging="1441"/>
        <w:jc w:val="left"/>
        <w:rPr>
          <w:sz w:val="22"/>
        </w:rPr>
      </w:pPr>
      <w:r>
        <w:rPr>
          <w:color w:val="1A171C"/>
          <w:spacing w:val="-4"/>
          <w:sz w:val="22"/>
        </w:rPr>
        <w:t>What </w:t>
      </w:r>
      <w:r>
        <w:rPr>
          <w:color w:val="1A171C"/>
          <w:spacing w:val="-3"/>
          <w:sz w:val="22"/>
        </w:rPr>
        <w:t>is </w:t>
      </w:r>
      <w:r>
        <w:rPr>
          <w:color w:val="1A171C"/>
          <w:spacing w:val="-5"/>
          <w:sz w:val="22"/>
        </w:rPr>
        <w:t>your response </w:t>
      </w:r>
      <w:r>
        <w:rPr>
          <w:color w:val="1A171C"/>
          <w:sz w:val="22"/>
        </w:rPr>
        <w:t>to </w:t>
      </w:r>
      <w:r>
        <w:rPr>
          <w:color w:val="1A171C"/>
          <w:spacing w:val="-4"/>
          <w:sz w:val="22"/>
        </w:rPr>
        <w:t>this </w:t>
      </w:r>
      <w:r>
        <w:rPr>
          <w:color w:val="1A171C"/>
          <w:spacing w:val="-5"/>
          <w:sz w:val="22"/>
        </w:rPr>
        <w:t>proposal? (inviting </w:t>
      </w:r>
      <w:r>
        <w:rPr>
          <w:color w:val="1A171C"/>
          <w:sz w:val="22"/>
        </w:rPr>
        <w:t>a </w:t>
      </w:r>
      <w:r>
        <w:rPr>
          <w:color w:val="1A171C"/>
          <w:spacing w:val="-4"/>
          <w:sz w:val="22"/>
        </w:rPr>
        <w:t>show</w:t>
      </w:r>
      <w:r>
        <w:rPr>
          <w:color w:val="1A171C"/>
          <w:spacing w:val="-46"/>
          <w:sz w:val="22"/>
        </w:rPr>
        <w:t> </w:t>
      </w:r>
      <w:r>
        <w:rPr>
          <w:color w:val="1A171C"/>
          <w:spacing w:val="-3"/>
          <w:sz w:val="22"/>
        </w:rPr>
        <w:t>of </w:t>
      </w:r>
      <w:r>
        <w:rPr>
          <w:color w:val="1A171C"/>
          <w:spacing w:val="-5"/>
          <w:sz w:val="22"/>
        </w:rPr>
        <w:t>indicator cards)</w:t>
      </w:r>
    </w:p>
    <w:p>
      <w:pPr>
        <w:spacing w:after="0" w:line="252" w:lineRule="exact"/>
        <w:jc w:val="left"/>
        <w:rPr>
          <w:sz w:val="22"/>
        </w:rPr>
        <w:sectPr>
          <w:pgSz w:w="11910" w:h="16840"/>
          <w:pgMar w:top="240" w:bottom="0" w:left="320" w:right="0"/>
        </w:sectPr>
      </w:pPr>
    </w:p>
    <w:p>
      <w:pPr>
        <w:pStyle w:val="Heading1"/>
        <w:tabs>
          <w:tab w:pos="864" w:val="left" w:leader="none"/>
        </w:tabs>
        <w:rPr>
          <w:b/>
        </w:rPr>
      </w:pPr>
      <w:r>
        <w:rPr/>
        <w:drawing>
          <wp:anchor distT="0" distB="0" distL="0" distR="0" allowOverlap="1" layoutInCell="1" locked="0" behindDoc="1" simplePos="0" relativeHeight="249956352">
            <wp:simplePos x="0" y="0"/>
            <wp:positionH relativeFrom="page">
              <wp:posOffset>6974928</wp:posOffset>
            </wp:positionH>
            <wp:positionV relativeFrom="page">
              <wp:posOffset>161988</wp:posOffset>
            </wp:positionV>
            <wp:extent cx="432079" cy="10368000"/>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9" cstate="print"/>
                    <a:stretch>
                      <a:fillRect/>
                    </a:stretch>
                  </pic:blipFill>
                  <pic:spPr>
                    <a:xfrm>
                      <a:off x="0" y="0"/>
                      <a:ext cx="432079" cy="10368000"/>
                    </a:xfrm>
                    <a:prstGeom prst="rect">
                      <a:avLst/>
                    </a:prstGeom>
                  </pic:spPr>
                </pic:pic>
              </a:graphicData>
            </a:graphic>
          </wp:anchor>
        </w:drawing>
      </w:r>
      <w:r>
        <w:rPr>
          <w:b/>
          <w:color w:val="FFFFFF"/>
          <w:w w:val="110"/>
          <w:shd w:fill="3BA533" w:color="auto" w:val="clear"/>
        </w:rPr>
        <w:t> </w:t>
      </w:r>
      <w:r>
        <w:rPr>
          <w:b/>
          <w:color w:val="FFFFFF"/>
          <w:shd w:fill="3BA533" w:color="auto" w:val="clear"/>
        </w:rPr>
        <w:tab/>
      </w:r>
      <w:r>
        <w:rPr>
          <w:b/>
          <w:color w:val="FFFFFF"/>
          <w:w w:val="110"/>
          <w:shd w:fill="3BA533" w:color="auto" w:val="clear"/>
        </w:rPr>
        <w:t>B</w:t>
      </w:r>
    </w:p>
    <w:p>
      <w:pPr>
        <w:pStyle w:val="BodyText"/>
        <w:rPr>
          <w:rFonts w:ascii="Stone Sans II ITC Std X Bd"/>
          <w:b/>
          <w:sz w:val="20"/>
        </w:rPr>
      </w:pPr>
    </w:p>
    <w:p>
      <w:pPr>
        <w:pStyle w:val="BodyText"/>
        <w:spacing w:before="12"/>
        <w:rPr>
          <w:rFonts w:ascii="Stone Sans II ITC Std X Bd"/>
          <w:b/>
          <w:sz w:val="24"/>
        </w:rPr>
      </w:pPr>
    </w:p>
    <w:p>
      <w:pPr>
        <w:pStyle w:val="ListParagraph"/>
        <w:numPr>
          <w:ilvl w:val="3"/>
          <w:numId w:val="8"/>
        </w:numPr>
        <w:tabs>
          <w:tab w:pos="3259" w:val="left" w:leader="none"/>
          <w:tab w:pos="3260" w:val="left" w:leader="none"/>
        </w:tabs>
        <w:spacing w:line="240" w:lineRule="auto" w:before="94" w:after="0"/>
        <w:ind w:left="3259" w:right="0" w:hanging="1441"/>
        <w:jc w:val="left"/>
        <w:rPr>
          <w:sz w:val="22"/>
        </w:rPr>
      </w:pPr>
      <w:r>
        <w:rPr/>
        <w:pict>
          <v:shape style="position:absolute;margin-left:557.985779pt;margin-top:-28.511133pt;width:16.3500pt;height:347.3pt;mso-position-horizontal-relative:page;mso-position-vertical-relative:paragraph;z-index:251753472"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sz w:val="22"/>
        </w:rPr>
        <w:t>Do you believe we have consensus in support of this proposal?</w:t>
      </w:r>
    </w:p>
    <w:p>
      <w:pPr>
        <w:pStyle w:val="ListParagraph"/>
        <w:numPr>
          <w:ilvl w:val="3"/>
          <w:numId w:val="8"/>
        </w:numPr>
        <w:tabs>
          <w:tab w:pos="3259" w:val="left" w:leader="none"/>
          <w:tab w:pos="3260" w:val="left" w:leader="none"/>
        </w:tabs>
        <w:spacing w:line="252" w:lineRule="exact" w:before="1" w:after="0"/>
        <w:ind w:left="3259" w:right="0" w:hanging="1441"/>
        <w:jc w:val="left"/>
        <w:rPr>
          <w:sz w:val="22"/>
        </w:rPr>
      </w:pPr>
      <w:r>
        <w:rPr>
          <w:color w:val="1A171C"/>
          <w:sz w:val="22"/>
        </w:rPr>
        <w:t>Do you believe we have consensus not to support this</w:t>
      </w:r>
      <w:r>
        <w:rPr>
          <w:color w:val="1A171C"/>
          <w:spacing w:val="-2"/>
          <w:sz w:val="22"/>
        </w:rPr>
        <w:t> </w:t>
      </w:r>
      <w:r>
        <w:rPr>
          <w:color w:val="1A171C"/>
          <w:sz w:val="22"/>
        </w:rPr>
        <w:t>proposal?</w:t>
      </w:r>
    </w:p>
    <w:p>
      <w:pPr>
        <w:pStyle w:val="ListParagraph"/>
        <w:numPr>
          <w:ilvl w:val="2"/>
          <w:numId w:val="8"/>
        </w:numPr>
        <w:tabs>
          <w:tab w:pos="1819" w:val="left" w:leader="none"/>
          <w:tab w:pos="1820" w:val="left" w:leader="none"/>
        </w:tabs>
        <w:spacing w:line="252" w:lineRule="exact" w:before="0" w:after="0"/>
        <w:ind w:left="1819" w:right="0" w:hanging="721"/>
        <w:jc w:val="left"/>
        <w:rPr>
          <w:sz w:val="22"/>
        </w:rPr>
      </w:pPr>
      <w:r>
        <w:rPr>
          <w:color w:val="1A171C"/>
          <w:sz w:val="22"/>
        </w:rPr>
        <w:t>If there is strong but not unanimous</w:t>
      </w:r>
      <w:r>
        <w:rPr>
          <w:color w:val="1A171C"/>
          <w:spacing w:val="3"/>
          <w:sz w:val="22"/>
        </w:rPr>
        <w:t> </w:t>
      </w:r>
      <w:r>
        <w:rPr>
          <w:color w:val="1A171C"/>
          <w:sz w:val="22"/>
        </w:rPr>
        <w:t>support:</w:t>
      </w:r>
    </w:p>
    <w:p>
      <w:pPr>
        <w:pStyle w:val="ListParagraph"/>
        <w:numPr>
          <w:ilvl w:val="3"/>
          <w:numId w:val="8"/>
        </w:numPr>
        <w:tabs>
          <w:tab w:pos="3259" w:val="left" w:leader="none"/>
          <w:tab w:pos="3260" w:val="left" w:leader="none"/>
        </w:tabs>
        <w:spacing w:line="252" w:lineRule="exact" w:before="2" w:after="0"/>
        <w:ind w:left="3259" w:right="0" w:hanging="1441"/>
        <w:jc w:val="left"/>
        <w:rPr>
          <w:sz w:val="22"/>
        </w:rPr>
      </w:pPr>
      <w:r>
        <w:rPr>
          <w:color w:val="1A171C"/>
          <w:sz w:val="22"/>
        </w:rPr>
        <w:t>Who supports the</w:t>
      </w:r>
      <w:r>
        <w:rPr>
          <w:color w:val="1A171C"/>
          <w:spacing w:val="-5"/>
          <w:sz w:val="22"/>
        </w:rPr>
        <w:t> </w:t>
      </w:r>
      <w:r>
        <w:rPr>
          <w:color w:val="1A171C"/>
          <w:sz w:val="22"/>
        </w:rPr>
        <w:t>proposal?</w:t>
      </w:r>
    </w:p>
    <w:p>
      <w:pPr>
        <w:pStyle w:val="ListParagraph"/>
        <w:numPr>
          <w:ilvl w:val="3"/>
          <w:numId w:val="8"/>
        </w:numPr>
        <w:tabs>
          <w:tab w:pos="3259" w:val="left" w:leader="none"/>
          <w:tab w:pos="3260" w:val="left" w:leader="none"/>
        </w:tabs>
        <w:spacing w:line="240" w:lineRule="auto" w:before="0" w:after="0"/>
        <w:ind w:left="3259" w:right="2390" w:hanging="1441"/>
        <w:jc w:val="left"/>
        <w:rPr>
          <w:sz w:val="22"/>
        </w:rPr>
      </w:pPr>
      <w:r>
        <w:rPr>
          <w:color w:val="1A171C"/>
          <w:sz w:val="22"/>
        </w:rPr>
        <w:t>Who does not support the proposal as your first option, but is prepared to accept it? Are you prepared to have the issue declared resolved by</w:t>
      </w:r>
      <w:r>
        <w:rPr>
          <w:color w:val="1A171C"/>
          <w:spacing w:val="-3"/>
          <w:sz w:val="22"/>
        </w:rPr>
        <w:t> </w:t>
      </w:r>
      <w:r>
        <w:rPr>
          <w:color w:val="1A171C"/>
          <w:sz w:val="22"/>
        </w:rPr>
        <w:t>consensus?</w:t>
      </w:r>
    </w:p>
    <w:p>
      <w:pPr>
        <w:pStyle w:val="ListParagraph"/>
        <w:numPr>
          <w:ilvl w:val="3"/>
          <w:numId w:val="8"/>
        </w:numPr>
        <w:tabs>
          <w:tab w:pos="3259" w:val="left" w:leader="none"/>
          <w:tab w:pos="3260" w:val="left" w:leader="none"/>
        </w:tabs>
        <w:spacing w:line="252" w:lineRule="exact" w:before="0" w:after="0"/>
        <w:ind w:left="3259" w:right="0" w:hanging="1441"/>
        <w:jc w:val="left"/>
        <w:rPr>
          <w:sz w:val="22"/>
        </w:rPr>
      </w:pPr>
      <w:r>
        <w:rPr>
          <w:color w:val="1A171C"/>
          <w:sz w:val="22"/>
        </w:rPr>
        <w:t>Who is not prepared to accept the</w:t>
      </w:r>
      <w:r>
        <w:rPr>
          <w:color w:val="1A171C"/>
          <w:spacing w:val="-4"/>
          <w:sz w:val="22"/>
        </w:rPr>
        <w:t> </w:t>
      </w:r>
      <w:r>
        <w:rPr>
          <w:color w:val="1A171C"/>
          <w:sz w:val="22"/>
        </w:rPr>
        <w:t>proposal?</w:t>
      </w:r>
    </w:p>
    <w:p>
      <w:pPr>
        <w:pStyle w:val="ListParagraph"/>
        <w:numPr>
          <w:ilvl w:val="2"/>
          <w:numId w:val="8"/>
        </w:numPr>
        <w:tabs>
          <w:tab w:pos="1819" w:val="left" w:leader="none"/>
          <w:tab w:pos="1820" w:val="left" w:leader="none"/>
        </w:tabs>
        <w:spacing w:line="240" w:lineRule="auto" w:before="0" w:after="0"/>
        <w:ind w:left="1819" w:right="1648" w:hanging="721"/>
        <w:jc w:val="left"/>
        <w:rPr>
          <w:sz w:val="22"/>
        </w:rPr>
      </w:pPr>
      <w:r>
        <w:rPr>
          <w:color w:val="1A171C"/>
          <w:sz w:val="22"/>
        </w:rPr>
        <w:t>Where some members of Assembly indicate an unwillingness to accept a proposal there shall be further discussion and then the Moderator shall seek to ascertain that they accept that they have been heard and agree to live with the</w:t>
      </w:r>
      <w:r>
        <w:rPr>
          <w:color w:val="1A171C"/>
          <w:spacing w:val="-21"/>
          <w:sz w:val="22"/>
        </w:rPr>
        <w:t> </w:t>
      </w:r>
      <w:r>
        <w:rPr>
          <w:color w:val="1A171C"/>
          <w:sz w:val="22"/>
        </w:rPr>
        <w:t>outcome.</w:t>
      </w:r>
    </w:p>
    <w:p>
      <w:pPr>
        <w:pStyle w:val="ListParagraph"/>
        <w:numPr>
          <w:ilvl w:val="2"/>
          <w:numId w:val="8"/>
        </w:numPr>
        <w:tabs>
          <w:tab w:pos="1819" w:val="left" w:leader="none"/>
          <w:tab w:pos="1820" w:val="left" w:leader="none"/>
        </w:tabs>
        <w:spacing w:line="252" w:lineRule="exact" w:before="0" w:after="0"/>
        <w:ind w:left="1819" w:right="0" w:hanging="721"/>
        <w:jc w:val="left"/>
        <w:rPr>
          <w:sz w:val="22"/>
        </w:rPr>
      </w:pPr>
      <w:r>
        <w:rPr>
          <w:color w:val="1A171C"/>
          <w:sz w:val="22"/>
        </w:rPr>
        <w:t>The Moderator shall</w:t>
      </w:r>
      <w:r>
        <w:rPr>
          <w:color w:val="1A171C"/>
          <w:spacing w:val="-1"/>
          <w:sz w:val="22"/>
        </w:rPr>
        <w:t> </w:t>
      </w:r>
      <w:r>
        <w:rPr>
          <w:color w:val="1A171C"/>
          <w:sz w:val="22"/>
        </w:rPr>
        <w:t>ask:</w:t>
      </w:r>
    </w:p>
    <w:p>
      <w:pPr>
        <w:pStyle w:val="ListParagraph"/>
        <w:numPr>
          <w:ilvl w:val="3"/>
          <w:numId w:val="8"/>
        </w:numPr>
        <w:tabs>
          <w:tab w:pos="3259" w:val="left" w:leader="none"/>
          <w:tab w:pos="3260" w:val="left" w:leader="none"/>
        </w:tabs>
        <w:spacing w:line="240" w:lineRule="auto" w:before="0" w:after="0"/>
        <w:ind w:left="3260" w:right="1985" w:hanging="1441"/>
        <w:jc w:val="left"/>
        <w:rPr>
          <w:sz w:val="22"/>
        </w:rPr>
      </w:pPr>
      <w:r>
        <w:rPr>
          <w:color w:val="1A171C"/>
          <w:sz w:val="22"/>
        </w:rPr>
        <w:t>Are you prepared to have the issue declared passed,</w:t>
      </w:r>
      <w:r>
        <w:rPr>
          <w:color w:val="1A171C"/>
          <w:spacing w:val="-36"/>
          <w:sz w:val="22"/>
        </w:rPr>
        <w:t> </w:t>
      </w:r>
      <w:r>
        <w:rPr>
          <w:color w:val="1A171C"/>
          <w:sz w:val="22"/>
        </w:rPr>
        <w:t>recognising disagreement? If so they may choose to record their</w:t>
      </w:r>
      <w:r>
        <w:rPr>
          <w:color w:val="1A171C"/>
          <w:spacing w:val="-17"/>
          <w:sz w:val="22"/>
        </w:rPr>
        <w:t> </w:t>
      </w:r>
      <w:r>
        <w:rPr>
          <w:color w:val="1A171C"/>
          <w:sz w:val="22"/>
        </w:rPr>
        <w:t>dissent.</w:t>
      </w:r>
    </w:p>
    <w:p>
      <w:pPr>
        <w:pStyle w:val="ListParagraph"/>
        <w:numPr>
          <w:ilvl w:val="3"/>
          <w:numId w:val="8"/>
        </w:numPr>
        <w:tabs>
          <w:tab w:pos="3260" w:val="left" w:leader="none"/>
          <w:tab w:pos="3261" w:val="left" w:leader="none"/>
        </w:tabs>
        <w:spacing w:line="252" w:lineRule="exact" w:before="0" w:after="0"/>
        <w:ind w:left="3260" w:right="0" w:hanging="1441"/>
        <w:jc w:val="left"/>
        <w:rPr>
          <w:sz w:val="22"/>
        </w:rPr>
      </w:pPr>
      <w:r>
        <w:rPr>
          <w:color w:val="1A171C"/>
          <w:sz w:val="22"/>
        </w:rPr>
        <w:t>Who is not prepared to accept the</w:t>
      </w:r>
      <w:r>
        <w:rPr>
          <w:color w:val="1A171C"/>
          <w:spacing w:val="-5"/>
          <w:sz w:val="22"/>
        </w:rPr>
        <w:t> </w:t>
      </w:r>
      <w:r>
        <w:rPr>
          <w:color w:val="1A171C"/>
          <w:sz w:val="22"/>
        </w:rPr>
        <w:t>proposal?</w:t>
      </w:r>
    </w:p>
    <w:p>
      <w:pPr>
        <w:pStyle w:val="ListParagraph"/>
        <w:numPr>
          <w:ilvl w:val="2"/>
          <w:numId w:val="8"/>
        </w:numPr>
        <w:tabs>
          <w:tab w:pos="1820" w:val="left" w:leader="none"/>
          <w:tab w:pos="1821" w:val="left" w:leader="none"/>
        </w:tabs>
        <w:spacing w:line="252" w:lineRule="exact" w:before="0" w:after="0"/>
        <w:ind w:left="1820" w:right="0" w:hanging="721"/>
        <w:jc w:val="left"/>
        <w:rPr>
          <w:sz w:val="22"/>
        </w:rPr>
      </w:pPr>
      <w:r>
        <w:rPr>
          <w:color w:val="1A171C"/>
          <w:sz w:val="22"/>
        </w:rPr>
        <w:t>Continuing</w:t>
      </w:r>
      <w:r>
        <w:rPr>
          <w:color w:val="1A171C"/>
          <w:spacing w:val="2"/>
          <w:sz w:val="22"/>
        </w:rPr>
        <w:t> </w:t>
      </w:r>
      <w:r>
        <w:rPr>
          <w:color w:val="1A171C"/>
          <w:sz w:val="22"/>
        </w:rPr>
        <w:t>disagreement</w:t>
      </w:r>
    </w:p>
    <w:p>
      <w:pPr>
        <w:pStyle w:val="BodyText"/>
        <w:spacing w:before="2"/>
        <w:ind w:left="1820" w:right="1402"/>
      </w:pPr>
      <w:r>
        <w:rPr>
          <w:color w:val="1A171C"/>
        </w:rPr>
        <w:t>Assembly may, at the discretion of the Moderator, look for further possibilities including:</w:t>
      </w:r>
    </w:p>
    <w:p>
      <w:pPr>
        <w:pStyle w:val="ListParagraph"/>
        <w:numPr>
          <w:ilvl w:val="3"/>
          <w:numId w:val="8"/>
        </w:numPr>
        <w:tabs>
          <w:tab w:pos="3260" w:val="left" w:leader="none"/>
          <w:tab w:pos="3261" w:val="left" w:leader="none"/>
        </w:tabs>
        <w:spacing w:line="240" w:lineRule="auto" w:before="0" w:after="0"/>
        <w:ind w:left="3260" w:right="2161" w:hanging="1441"/>
        <w:jc w:val="left"/>
        <w:rPr>
          <w:sz w:val="22"/>
        </w:rPr>
      </w:pPr>
      <w:r>
        <w:rPr>
          <w:color w:val="1A171C"/>
          <w:sz w:val="22"/>
        </w:rPr>
        <w:t>adjourning the discussion to another time or place perhaps with more work before</w:t>
      </w:r>
      <w:r>
        <w:rPr>
          <w:color w:val="1A171C"/>
          <w:spacing w:val="-4"/>
          <w:sz w:val="22"/>
        </w:rPr>
        <w:t> </w:t>
      </w:r>
      <w:r>
        <w:rPr>
          <w:color w:val="1A171C"/>
          <w:sz w:val="22"/>
        </w:rPr>
        <w:t>reconsideration;</w:t>
      </w:r>
    </w:p>
    <w:p>
      <w:pPr>
        <w:pStyle w:val="ListParagraph"/>
        <w:numPr>
          <w:ilvl w:val="3"/>
          <w:numId w:val="8"/>
        </w:numPr>
        <w:tabs>
          <w:tab w:pos="3260" w:val="left" w:leader="none"/>
          <w:tab w:pos="3261" w:val="left" w:leader="none"/>
        </w:tabs>
        <w:spacing w:line="240" w:lineRule="auto" w:before="0" w:after="0"/>
        <w:ind w:left="3260" w:right="2647" w:hanging="1441"/>
        <w:jc w:val="left"/>
        <w:rPr>
          <w:sz w:val="22"/>
        </w:rPr>
      </w:pPr>
      <w:r>
        <w:rPr>
          <w:color w:val="1A171C"/>
          <w:sz w:val="22"/>
        </w:rPr>
        <w:t>asking the Moderator to continue to work on the issue with relevant people until the next</w:t>
      </w:r>
      <w:r>
        <w:rPr>
          <w:color w:val="1A171C"/>
          <w:spacing w:val="-16"/>
          <w:sz w:val="22"/>
        </w:rPr>
        <w:t> </w:t>
      </w:r>
      <w:r>
        <w:rPr>
          <w:color w:val="1A171C"/>
          <w:sz w:val="22"/>
        </w:rPr>
        <w:t>Assembly;</w:t>
      </w:r>
    </w:p>
    <w:p>
      <w:pPr>
        <w:pStyle w:val="ListParagraph"/>
        <w:numPr>
          <w:ilvl w:val="3"/>
          <w:numId w:val="8"/>
        </w:numPr>
        <w:tabs>
          <w:tab w:pos="3260" w:val="left" w:leader="none"/>
          <w:tab w:pos="3261" w:val="left" w:leader="none"/>
        </w:tabs>
        <w:spacing w:line="251" w:lineRule="exact" w:before="0" w:after="0"/>
        <w:ind w:left="3260" w:right="0" w:hanging="1441"/>
        <w:jc w:val="left"/>
        <w:rPr>
          <w:sz w:val="22"/>
        </w:rPr>
      </w:pPr>
      <w:r>
        <w:rPr>
          <w:color w:val="1A171C"/>
          <w:sz w:val="22"/>
        </w:rPr>
        <w:t>referring the issue to another council or group to deal</w:t>
      </w:r>
      <w:r>
        <w:rPr>
          <w:color w:val="1A171C"/>
          <w:spacing w:val="-16"/>
          <w:sz w:val="22"/>
        </w:rPr>
        <w:t> </w:t>
      </w:r>
      <w:r>
        <w:rPr>
          <w:color w:val="1A171C"/>
          <w:sz w:val="22"/>
        </w:rPr>
        <w:t>with;</w:t>
      </w:r>
    </w:p>
    <w:p>
      <w:pPr>
        <w:pStyle w:val="ListParagraph"/>
        <w:numPr>
          <w:ilvl w:val="3"/>
          <w:numId w:val="8"/>
        </w:numPr>
        <w:tabs>
          <w:tab w:pos="3260" w:val="left" w:leader="none"/>
          <w:tab w:pos="3261" w:val="left" w:leader="none"/>
        </w:tabs>
        <w:spacing w:line="240" w:lineRule="auto" w:before="2" w:after="0"/>
        <w:ind w:left="3261" w:right="2550" w:hanging="1441"/>
        <w:jc w:val="left"/>
        <w:rPr>
          <w:sz w:val="22"/>
        </w:rPr>
      </w:pPr>
      <w:r>
        <w:rPr>
          <w:color w:val="1A171C"/>
          <w:sz w:val="22"/>
        </w:rPr>
        <w:t>deciding the issue is unnecessary/inappropriate to continue dealing</w:t>
      </w:r>
      <w:r>
        <w:rPr>
          <w:color w:val="1A171C"/>
          <w:spacing w:val="2"/>
          <w:sz w:val="22"/>
        </w:rPr>
        <w:t> </w:t>
      </w:r>
      <w:r>
        <w:rPr>
          <w:color w:val="1A171C"/>
          <w:sz w:val="22"/>
        </w:rPr>
        <w:t>with;</w:t>
      </w:r>
    </w:p>
    <w:p>
      <w:pPr>
        <w:pStyle w:val="ListParagraph"/>
        <w:numPr>
          <w:ilvl w:val="3"/>
          <w:numId w:val="8"/>
        </w:numPr>
        <w:tabs>
          <w:tab w:pos="3260" w:val="left" w:leader="none"/>
          <w:tab w:pos="3261" w:val="left" w:leader="none"/>
        </w:tabs>
        <w:spacing w:line="240" w:lineRule="auto" w:before="0" w:after="0"/>
        <w:ind w:left="3261" w:right="2065" w:hanging="1441"/>
        <w:jc w:val="left"/>
        <w:rPr>
          <w:sz w:val="22"/>
        </w:rPr>
      </w:pPr>
      <w:r>
        <w:rPr>
          <w:color w:val="1A171C"/>
          <w:sz w:val="22"/>
        </w:rPr>
        <w:t>declaring that there are diverse views which Christians may hold with equal</w:t>
      </w:r>
      <w:r>
        <w:rPr>
          <w:color w:val="1A171C"/>
          <w:spacing w:val="-1"/>
          <w:sz w:val="22"/>
        </w:rPr>
        <w:t> </w:t>
      </w:r>
      <w:r>
        <w:rPr>
          <w:color w:val="1A171C"/>
          <w:sz w:val="22"/>
        </w:rPr>
        <w:t>integrity;</w:t>
      </w:r>
    </w:p>
    <w:p>
      <w:pPr>
        <w:pStyle w:val="ListParagraph"/>
        <w:numPr>
          <w:ilvl w:val="3"/>
          <w:numId w:val="8"/>
        </w:numPr>
        <w:tabs>
          <w:tab w:pos="3261" w:val="left" w:leader="none"/>
          <w:tab w:pos="3262" w:val="left" w:leader="none"/>
        </w:tabs>
        <w:spacing w:line="242" w:lineRule="auto" w:before="0" w:after="0"/>
        <w:ind w:left="3261" w:right="2427" w:hanging="1441"/>
        <w:jc w:val="left"/>
        <w:rPr>
          <w:sz w:val="22"/>
        </w:rPr>
      </w:pPr>
      <w:r>
        <w:rPr>
          <w:color w:val="1A171C"/>
          <w:sz w:val="22"/>
        </w:rPr>
        <w:t>if the issue has previously been notified as urgent, moving to majority</w:t>
      </w:r>
      <w:r>
        <w:rPr>
          <w:color w:val="1A171C"/>
          <w:spacing w:val="-3"/>
          <w:sz w:val="22"/>
        </w:rPr>
        <w:t> </w:t>
      </w:r>
      <w:r>
        <w:rPr>
          <w:color w:val="1A171C"/>
          <w:sz w:val="22"/>
        </w:rPr>
        <w:t>decision;</w:t>
      </w:r>
    </w:p>
    <w:p>
      <w:pPr>
        <w:pStyle w:val="ListParagraph"/>
        <w:numPr>
          <w:ilvl w:val="3"/>
          <w:numId w:val="8"/>
        </w:numPr>
        <w:tabs>
          <w:tab w:pos="3261" w:val="left" w:leader="none"/>
          <w:tab w:pos="3262" w:val="left" w:leader="none"/>
        </w:tabs>
        <w:spacing w:line="240" w:lineRule="auto" w:before="0" w:after="0"/>
        <w:ind w:left="3261" w:right="1997" w:hanging="1441"/>
        <w:jc w:val="left"/>
        <w:rPr>
          <w:sz w:val="22"/>
        </w:rPr>
      </w:pPr>
      <w:r>
        <w:rPr>
          <w:color w:val="1A171C"/>
          <w:sz w:val="22"/>
        </w:rPr>
        <w:t>in the event of urgency not previously notified, moving to majority decision; in that event, the Moderator shall give her/his reasons, and test the mind of Assembly in forming her/his</w:t>
      </w:r>
      <w:r>
        <w:rPr>
          <w:color w:val="1A171C"/>
          <w:spacing w:val="-30"/>
          <w:sz w:val="22"/>
        </w:rPr>
        <w:t> </w:t>
      </w:r>
      <w:r>
        <w:rPr>
          <w:color w:val="1A171C"/>
          <w:sz w:val="22"/>
        </w:rPr>
        <w:t>judgement.</w:t>
      </w:r>
    </w:p>
    <w:p>
      <w:pPr>
        <w:pStyle w:val="BodyText"/>
        <w:spacing w:before="5"/>
        <w:rPr>
          <w:sz w:val="21"/>
        </w:rPr>
      </w:pPr>
    </w:p>
    <w:p>
      <w:pPr>
        <w:pStyle w:val="ListParagraph"/>
        <w:numPr>
          <w:ilvl w:val="1"/>
          <w:numId w:val="8"/>
        </w:numPr>
        <w:tabs>
          <w:tab w:pos="1821" w:val="left" w:leader="none"/>
          <w:tab w:pos="1822" w:val="left" w:leader="none"/>
        </w:tabs>
        <w:spacing w:line="252" w:lineRule="exact" w:before="0" w:after="0"/>
        <w:ind w:left="1821" w:right="0" w:hanging="721"/>
        <w:jc w:val="left"/>
        <w:rPr>
          <w:sz w:val="22"/>
        </w:rPr>
      </w:pPr>
      <w:r>
        <w:rPr>
          <w:color w:val="1A171C"/>
          <w:sz w:val="22"/>
        </w:rPr>
        <w:t>The</w:t>
      </w:r>
      <w:r>
        <w:rPr>
          <w:color w:val="1A171C"/>
          <w:spacing w:val="-3"/>
          <w:sz w:val="22"/>
        </w:rPr>
        <w:t> </w:t>
      </w:r>
      <w:r>
        <w:rPr>
          <w:color w:val="1A171C"/>
          <w:sz w:val="22"/>
        </w:rPr>
        <w:t>Moderator</w:t>
      </w:r>
    </w:p>
    <w:p>
      <w:pPr>
        <w:pStyle w:val="ListParagraph"/>
        <w:numPr>
          <w:ilvl w:val="2"/>
          <w:numId w:val="8"/>
        </w:numPr>
        <w:tabs>
          <w:tab w:pos="1821" w:val="left" w:leader="none"/>
          <w:tab w:pos="1822" w:val="left" w:leader="none"/>
        </w:tabs>
        <w:spacing w:line="240" w:lineRule="auto" w:before="0" w:after="0"/>
        <w:ind w:left="1821" w:right="5544" w:hanging="721"/>
        <w:jc w:val="left"/>
        <w:rPr>
          <w:sz w:val="22"/>
        </w:rPr>
      </w:pPr>
      <w:r>
        <w:rPr>
          <w:color w:val="1A171C"/>
          <w:sz w:val="22"/>
        </w:rPr>
        <w:t>The role of the Moderator is very important. The</w:t>
      </w:r>
      <w:r>
        <w:rPr>
          <w:color w:val="1A171C"/>
          <w:spacing w:val="-3"/>
          <w:sz w:val="22"/>
        </w:rPr>
        <w:t> </w:t>
      </w:r>
      <w:r>
        <w:rPr>
          <w:color w:val="1A171C"/>
          <w:sz w:val="22"/>
        </w:rPr>
        <w:t>Moderator:</w:t>
      </w:r>
    </w:p>
    <w:p>
      <w:pPr>
        <w:pStyle w:val="ListParagraph"/>
        <w:numPr>
          <w:ilvl w:val="3"/>
          <w:numId w:val="8"/>
        </w:numPr>
        <w:tabs>
          <w:tab w:pos="3261" w:val="left" w:leader="none"/>
          <w:tab w:pos="3262" w:val="left" w:leader="none"/>
        </w:tabs>
        <w:spacing w:line="252" w:lineRule="exact" w:before="0" w:after="0"/>
        <w:ind w:left="3261" w:right="0" w:hanging="1441"/>
        <w:jc w:val="left"/>
        <w:rPr>
          <w:sz w:val="22"/>
        </w:rPr>
      </w:pPr>
      <w:r>
        <w:rPr>
          <w:color w:val="1A171C"/>
          <w:sz w:val="22"/>
        </w:rPr>
        <w:t>assists the Assembly to discern the will of God as far as</w:t>
      </w:r>
      <w:r>
        <w:rPr>
          <w:color w:val="1A171C"/>
          <w:spacing w:val="-29"/>
          <w:sz w:val="22"/>
        </w:rPr>
        <w:t> </w:t>
      </w:r>
      <w:r>
        <w:rPr>
          <w:color w:val="1A171C"/>
          <w:sz w:val="22"/>
        </w:rPr>
        <w:t>possible</w:t>
      </w:r>
    </w:p>
    <w:p>
      <w:pPr>
        <w:pStyle w:val="ListParagraph"/>
        <w:numPr>
          <w:ilvl w:val="3"/>
          <w:numId w:val="8"/>
        </w:numPr>
        <w:tabs>
          <w:tab w:pos="3261" w:val="left" w:leader="none"/>
          <w:tab w:pos="3263" w:val="left" w:leader="none"/>
        </w:tabs>
        <w:spacing w:line="252" w:lineRule="exact" w:before="0" w:after="0"/>
        <w:ind w:left="3262" w:right="0" w:hanging="1441"/>
        <w:jc w:val="left"/>
        <w:rPr>
          <w:sz w:val="22"/>
        </w:rPr>
      </w:pPr>
      <w:r>
        <w:rPr>
          <w:color w:val="1A171C"/>
          <w:sz w:val="22"/>
        </w:rPr>
        <w:t>is alert to the guidance of the Holy </w:t>
      </w:r>
      <w:r>
        <w:rPr>
          <w:color w:val="1A171C"/>
          <w:spacing w:val="-3"/>
          <w:sz w:val="22"/>
        </w:rPr>
        <w:t>Spirit </w:t>
      </w:r>
      <w:r>
        <w:rPr>
          <w:color w:val="1A171C"/>
          <w:sz w:val="22"/>
        </w:rPr>
        <w:t>as members</w:t>
      </w:r>
      <w:r>
        <w:rPr>
          <w:color w:val="1A171C"/>
          <w:spacing w:val="-7"/>
          <w:sz w:val="22"/>
        </w:rPr>
        <w:t> </w:t>
      </w:r>
      <w:r>
        <w:rPr>
          <w:color w:val="1A171C"/>
          <w:sz w:val="22"/>
        </w:rPr>
        <w:t>contribute</w:t>
      </w:r>
    </w:p>
    <w:p>
      <w:pPr>
        <w:pStyle w:val="ListParagraph"/>
        <w:numPr>
          <w:ilvl w:val="3"/>
          <w:numId w:val="8"/>
        </w:numPr>
        <w:tabs>
          <w:tab w:pos="3261" w:val="left" w:leader="none"/>
          <w:tab w:pos="3263" w:val="left" w:leader="none"/>
        </w:tabs>
        <w:spacing w:line="252" w:lineRule="exact" w:before="2" w:after="0"/>
        <w:ind w:left="3262" w:right="0" w:hanging="1441"/>
        <w:jc w:val="left"/>
        <w:rPr>
          <w:sz w:val="22"/>
        </w:rPr>
      </w:pPr>
      <w:r>
        <w:rPr>
          <w:color w:val="1A171C"/>
          <w:sz w:val="22"/>
        </w:rPr>
        <w:t>pauses for prayer or buzz group reflection as</w:t>
      </w:r>
      <w:r>
        <w:rPr>
          <w:color w:val="1A171C"/>
          <w:spacing w:val="-9"/>
          <w:sz w:val="22"/>
        </w:rPr>
        <w:t> </w:t>
      </w:r>
      <w:r>
        <w:rPr>
          <w:color w:val="1A171C"/>
          <w:sz w:val="22"/>
        </w:rPr>
        <w:t>appropriate</w:t>
      </w:r>
    </w:p>
    <w:p>
      <w:pPr>
        <w:pStyle w:val="ListParagraph"/>
        <w:numPr>
          <w:ilvl w:val="3"/>
          <w:numId w:val="8"/>
        </w:numPr>
        <w:tabs>
          <w:tab w:pos="3261" w:val="left" w:leader="none"/>
          <w:tab w:pos="3263" w:val="left" w:leader="none"/>
        </w:tabs>
        <w:spacing w:line="252" w:lineRule="exact" w:before="0" w:after="0"/>
        <w:ind w:left="3262" w:right="0" w:hanging="1441"/>
        <w:jc w:val="left"/>
        <w:rPr>
          <w:sz w:val="22"/>
        </w:rPr>
      </w:pPr>
      <w:r>
        <w:rPr>
          <w:color w:val="1A171C"/>
          <w:sz w:val="22"/>
        </w:rPr>
        <w:t>encourages trust and integrity in</w:t>
      </w:r>
      <w:r>
        <w:rPr>
          <w:color w:val="1A171C"/>
          <w:spacing w:val="-6"/>
          <w:sz w:val="22"/>
        </w:rPr>
        <w:t> </w:t>
      </w:r>
      <w:r>
        <w:rPr>
          <w:color w:val="1A171C"/>
          <w:sz w:val="22"/>
        </w:rPr>
        <w:t>contributions</w:t>
      </w:r>
    </w:p>
    <w:p>
      <w:pPr>
        <w:pStyle w:val="ListParagraph"/>
        <w:numPr>
          <w:ilvl w:val="3"/>
          <w:numId w:val="8"/>
        </w:numPr>
        <w:tabs>
          <w:tab w:pos="3262" w:val="left" w:leader="none"/>
          <w:tab w:pos="3263" w:val="left" w:leader="none"/>
        </w:tabs>
        <w:spacing w:line="240" w:lineRule="auto" w:before="1" w:after="0"/>
        <w:ind w:left="3262" w:right="2291" w:hanging="1441"/>
        <w:jc w:val="left"/>
        <w:rPr>
          <w:sz w:val="22"/>
        </w:rPr>
      </w:pPr>
      <w:r>
        <w:rPr>
          <w:color w:val="1A171C"/>
          <w:sz w:val="22"/>
        </w:rPr>
        <w:t>ensures care and support for those whose honesty or minority voice makes them</w:t>
      </w:r>
      <w:r>
        <w:rPr>
          <w:color w:val="1A171C"/>
          <w:spacing w:val="-4"/>
          <w:sz w:val="22"/>
        </w:rPr>
        <w:t> </w:t>
      </w:r>
      <w:r>
        <w:rPr>
          <w:color w:val="1A171C"/>
          <w:sz w:val="22"/>
        </w:rPr>
        <w:t>vulnerable</w:t>
      </w:r>
    </w:p>
    <w:p>
      <w:pPr>
        <w:pStyle w:val="ListParagraph"/>
        <w:numPr>
          <w:ilvl w:val="3"/>
          <w:numId w:val="8"/>
        </w:numPr>
        <w:tabs>
          <w:tab w:pos="3262" w:val="left" w:leader="none"/>
          <w:tab w:pos="3263" w:val="left" w:leader="none"/>
        </w:tabs>
        <w:spacing w:line="242" w:lineRule="auto" w:before="0" w:after="0"/>
        <w:ind w:left="3262" w:right="1960" w:hanging="1441"/>
        <w:jc w:val="left"/>
        <w:rPr>
          <w:sz w:val="22"/>
        </w:rPr>
      </w:pPr>
      <w:r>
        <w:rPr>
          <w:color w:val="1A171C"/>
          <w:sz w:val="22"/>
        </w:rPr>
        <w:t>invites members to respond to speeches showing indicator</w:t>
      </w:r>
      <w:r>
        <w:rPr>
          <w:color w:val="1A171C"/>
          <w:spacing w:val="-40"/>
          <w:sz w:val="22"/>
        </w:rPr>
        <w:t> </w:t>
      </w:r>
      <w:r>
        <w:rPr>
          <w:color w:val="1A171C"/>
          <w:sz w:val="22"/>
        </w:rPr>
        <w:t>cards, and reflects the mood of the meeting as it becomes</w:t>
      </w:r>
      <w:r>
        <w:rPr>
          <w:color w:val="1A171C"/>
          <w:spacing w:val="-18"/>
          <w:sz w:val="22"/>
        </w:rPr>
        <w:t> </w:t>
      </w:r>
      <w:r>
        <w:rPr>
          <w:color w:val="1A171C"/>
          <w:sz w:val="22"/>
        </w:rPr>
        <w:t>apparent</w:t>
      </w:r>
    </w:p>
    <w:p>
      <w:pPr>
        <w:pStyle w:val="ListParagraph"/>
        <w:numPr>
          <w:ilvl w:val="3"/>
          <w:numId w:val="8"/>
        </w:numPr>
        <w:tabs>
          <w:tab w:pos="3262" w:val="left" w:leader="none"/>
          <w:tab w:pos="3263" w:val="left" w:leader="none"/>
        </w:tabs>
        <w:spacing w:line="242" w:lineRule="auto" w:before="0" w:after="0"/>
        <w:ind w:left="3262" w:right="2402" w:hanging="1441"/>
        <w:jc w:val="left"/>
        <w:rPr>
          <w:sz w:val="22"/>
        </w:rPr>
      </w:pPr>
      <w:r>
        <w:rPr>
          <w:color w:val="1A171C"/>
          <w:sz w:val="22"/>
        </w:rPr>
        <w:t>suggests or encourages creative modifications of a proposal, picking up insights</w:t>
      </w:r>
      <w:r>
        <w:rPr>
          <w:color w:val="1A171C"/>
          <w:spacing w:val="-2"/>
          <w:sz w:val="22"/>
        </w:rPr>
        <w:t> </w:t>
      </w:r>
      <w:r>
        <w:rPr>
          <w:color w:val="1A171C"/>
          <w:sz w:val="22"/>
        </w:rPr>
        <w:t>expressed</w:t>
      </w:r>
    </w:p>
    <w:p>
      <w:pPr>
        <w:pStyle w:val="ListParagraph"/>
        <w:numPr>
          <w:ilvl w:val="3"/>
          <w:numId w:val="8"/>
        </w:numPr>
        <w:tabs>
          <w:tab w:pos="3262" w:val="left" w:leader="none"/>
          <w:tab w:pos="3263" w:val="left" w:leader="none"/>
        </w:tabs>
        <w:spacing w:line="242" w:lineRule="auto" w:before="0" w:after="0"/>
        <w:ind w:left="3262" w:right="2365" w:hanging="1441"/>
        <w:jc w:val="left"/>
        <w:rPr>
          <w:sz w:val="22"/>
        </w:rPr>
      </w:pPr>
      <w:r>
        <w:rPr>
          <w:color w:val="1A171C"/>
          <w:sz w:val="22"/>
        </w:rPr>
        <w:t>summarises discussion from time to time to assist in focusing the</w:t>
      </w:r>
      <w:r>
        <w:rPr>
          <w:color w:val="1A171C"/>
          <w:spacing w:val="-1"/>
          <w:sz w:val="22"/>
        </w:rPr>
        <w:t> </w:t>
      </w:r>
      <w:r>
        <w:rPr>
          <w:color w:val="1A171C"/>
          <w:sz w:val="22"/>
        </w:rPr>
        <w:t>discussion.</w:t>
      </w:r>
    </w:p>
    <w:p>
      <w:pPr>
        <w:pStyle w:val="BodyText"/>
        <w:spacing w:before="6"/>
        <w:rPr>
          <w:sz w:val="20"/>
        </w:rPr>
      </w:pPr>
    </w:p>
    <w:p>
      <w:pPr>
        <w:pStyle w:val="ListParagraph"/>
        <w:numPr>
          <w:ilvl w:val="1"/>
          <w:numId w:val="8"/>
        </w:numPr>
        <w:tabs>
          <w:tab w:pos="1822" w:val="left" w:leader="none"/>
          <w:tab w:pos="1823" w:val="left" w:leader="none"/>
        </w:tabs>
        <w:spacing w:line="240" w:lineRule="auto" w:before="0" w:after="0"/>
        <w:ind w:left="1102" w:right="2638" w:hanging="1"/>
        <w:jc w:val="left"/>
        <w:rPr>
          <w:sz w:val="22"/>
        </w:rPr>
      </w:pPr>
      <w:r>
        <w:rPr>
          <w:color w:val="1A171C"/>
          <w:sz w:val="22"/>
        </w:rPr>
        <w:t>The Assembly and Moderator may be assisted by a facilitation group. This</w:t>
      </w:r>
      <w:r>
        <w:rPr>
          <w:color w:val="1A171C"/>
          <w:spacing w:val="-2"/>
          <w:sz w:val="22"/>
        </w:rPr>
        <w:t> </w:t>
      </w:r>
      <w:r>
        <w:rPr>
          <w:color w:val="1A171C"/>
          <w:sz w:val="22"/>
        </w:rPr>
        <w:t>will</w:t>
      </w:r>
      <w:r>
        <w:rPr>
          <w:color w:val="1A171C"/>
          <w:spacing w:val="-1"/>
          <w:sz w:val="22"/>
        </w:rPr>
        <w:t> </w:t>
      </w:r>
      <w:r>
        <w:rPr>
          <w:color w:val="1A171C"/>
          <w:sz w:val="22"/>
        </w:rPr>
        <w:t>be</w:t>
      </w:r>
      <w:r>
        <w:rPr>
          <w:color w:val="1A171C"/>
          <w:spacing w:val="-2"/>
          <w:sz w:val="22"/>
        </w:rPr>
        <w:t> </w:t>
      </w:r>
      <w:r>
        <w:rPr>
          <w:color w:val="1A171C"/>
          <w:sz w:val="22"/>
        </w:rPr>
        <w:t>appointed</w:t>
      </w:r>
      <w:r>
        <w:rPr>
          <w:color w:val="1A171C"/>
          <w:spacing w:val="-2"/>
          <w:sz w:val="22"/>
        </w:rPr>
        <w:t> </w:t>
      </w:r>
      <w:r>
        <w:rPr>
          <w:color w:val="1A171C"/>
          <w:sz w:val="22"/>
        </w:rPr>
        <w:t>at</w:t>
      </w:r>
      <w:r>
        <w:rPr>
          <w:color w:val="1A171C"/>
          <w:spacing w:val="-5"/>
          <w:sz w:val="22"/>
        </w:rPr>
        <w:t> </w:t>
      </w:r>
      <w:r>
        <w:rPr>
          <w:color w:val="1A171C"/>
          <w:sz w:val="22"/>
        </w:rPr>
        <w:t>the</w:t>
      </w:r>
      <w:r>
        <w:rPr>
          <w:color w:val="1A171C"/>
          <w:spacing w:val="-2"/>
          <w:sz w:val="22"/>
        </w:rPr>
        <w:t> </w:t>
      </w:r>
      <w:r>
        <w:rPr>
          <w:color w:val="1A171C"/>
          <w:sz w:val="22"/>
        </w:rPr>
        <w:t>beginning</w:t>
      </w:r>
      <w:r>
        <w:rPr>
          <w:color w:val="1A171C"/>
          <w:spacing w:val="-2"/>
          <w:sz w:val="22"/>
        </w:rPr>
        <w:t> </w:t>
      </w:r>
      <w:r>
        <w:rPr>
          <w:color w:val="1A171C"/>
          <w:sz w:val="22"/>
        </w:rPr>
        <w:t>of each</w:t>
      </w:r>
      <w:r>
        <w:rPr>
          <w:color w:val="1A171C"/>
          <w:spacing w:val="-16"/>
          <w:sz w:val="22"/>
        </w:rPr>
        <w:t> </w:t>
      </w:r>
      <w:r>
        <w:rPr>
          <w:color w:val="1A171C"/>
          <w:sz w:val="22"/>
        </w:rPr>
        <w:t>Assembly</w:t>
      </w:r>
      <w:r>
        <w:rPr>
          <w:color w:val="1A171C"/>
          <w:spacing w:val="-4"/>
          <w:sz w:val="22"/>
        </w:rPr>
        <w:t> </w:t>
      </w:r>
      <w:r>
        <w:rPr>
          <w:color w:val="1A171C"/>
          <w:sz w:val="22"/>
        </w:rPr>
        <w:t>by</w:t>
      </w:r>
      <w:r>
        <w:rPr>
          <w:color w:val="1A171C"/>
          <w:spacing w:val="-4"/>
          <w:sz w:val="22"/>
        </w:rPr>
        <w:t> </w:t>
      </w:r>
      <w:r>
        <w:rPr>
          <w:color w:val="1A171C"/>
          <w:sz w:val="22"/>
        </w:rPr>
        <w:t>the</w:t>
      </w:r>
      <w:r>
        <w:rPr>
          <w:color w:val="1A171C"/>
          <w:spacing w:val="-13"/>
          <w:sz w:val="22"/>
        </w:rPr>
        <w:t> </w:t>
      </w:r>
      <w:r>
        <w:rPr>
          <w:color w:val="1A171C"/>
          <w:spacing w:val="-3"/>
          <w:sz w:val="22"/>
        </w:rPr>
        <w:t>Assembly.</w:t>
      </w:r>
      <w:r>
        <w:rPr>
          <w:color w:val="1A171C"/>
          <w:sz w:val="22"/>
        </w:rPr>
        <w:t> It will:</w:t>
      </w:r>
    </w:p>
    <w:p>
      <w:pPr>
        <w:pStyle w:val="ListParagraph"/>
        <w:numPr>
          <w:ilvl w:val="2"/>
          <w:numId w:val="8"/>
        </w:numPr>
        <w:tabs>
          <w:tab w:pos="1822" w:val="left" w:leader="none"/>
          <w:tab w:pos="1823" w:val="left" w:leader="none"/>
        </w:tabs>
        <w:spacing w:line="240" w:lineRule="auto" w:before="0" w:after="0"/>
        <w:ind w:left="1822" w:right="0" w:hanging="721"/>
        <w:jc w:val="left"/>
        <w:rPr>
          <w:sz w:val="22"/>
        </w:rPr>
      </w:pPr>
      <w:r>
        <w:rPr>
          <w:color w:val="1A171C"/>
          <w:sz w:val="22"/>
        </w:rPr>
        <w:t>enable group work, collate responses from groups and report back to the</w:t>
      </w:r>
      <w:r>
        <w:rPr>
          <w:color w:val="1A171C"/>
          <w:spacing w:val="-18"/>
          <w:sz w:val="22"/>
        </w:rPr>
        <w:t> </w:t>
      </w:r>
      <w:r>
        <w:rPr>
          <w:color w:val="1A171C"/>
          <w:sz w:val="22"/>
        </w:rPr>
        <w:t>council</w:t>
      </w:r>
    </w:p>
    <w:p>
      <w:pPr>
        <w:pStyle w:val="ListParagraph"/>
        <w:numPr>
          <w:ilvl w:val="2"/>
          <w:numId w:val="8"/>
        </w:numPr>
        <w:tabs>
          <w:tab w:pos="1822" w:val="left" w:leader="none"/>
          <w:tab w:pos="1823" w:val="left" w:leader="none"/>
        </w:tabs>
        <w:spacing w:line="252" w:lineRule="exact" w:before="1" w:after="0"/>
        <w:ind w:left="1822" w:right="0" w:hanging="721"/>
        <w:jc w:val="left"/>
        <w:rPr>
          <w:sz w:val="22"/>
        </w:rPr>
      </w:pPr>
      <w:r>
        <w:rPr>
          <w:color w:val="1A171C"/>
          <w:sz w:val="22"/>
        </w:rPr>
        <w:t>help and support the</w:t>
      </w:r>
      <w:r>
        <w:rPr>
          <w:color w:val="1A171C"/>
          <w:spacing w:val="-3"/>
          <w:sz w:val="22"/>
        </w:rPr>
        <w:t> </w:t>
      </w:r>
      <w:r>
        <w:rPr>
          <w:color w:val="1A171C"/>
          <w:sz w:val="22"/>
        </w:rPr>
        <w:t>Moderator</w:t>
      </w:r>
    </w:p>
    <w:p>
      <w:pPr>
        <w:pStyle w:val="ListParagraph"/>
        <w:numPr>
          <w:ilvl w:val="2"/>
          <w:numId w:val="8"/>
        </w:numPr>
        <w:tabs>
          <w:tab w:pos="1822" w:val="left" w:leader="none"/>
          <w:tab w:pos="1823" w:val="left" w:leader="none"/>
        </w:tabs>
        <w:spacing w:line="252" w:lineRule="exact" w:before="0" w:after="0"/>
        <w:ind w:left="1822" w:right="0" w:hanging="721"/>
        <w:jc w:val="left"/>
        <w:rPr>
          <w:sz w:val="22"/>
        </w:rPr>
      </w:pPr>
      <w:r>
        <w:rPr>
          <w:color w:val="1A171C"/>
          <w:sz w:val="22"/>
        </w:rPr>
        <w:t>be responsible providing the wording of the text under</w:t>
      </w:r>
      <w:r>
        <w:rPr>
          <w:color w:val="1A171C"/>
          <w:spacing w:val="-3"/>
          <w:sz w:val="22"/>
        </w:rPr>
        <w:t> </w:t>
      </w:r>
      <w:r>
        <w:rPr>
          <w:color w:val="1A171C"/>
          <w:sz w:val="22"/>
        </w:rPr>
        <w:t>discussion.</w:t>
      </w:r>
    </w:p>
    <w:p>
      <w:pPr>
        <w:pStyle w:val="BodyText"/>
        <w:spacing w:before="5"/>
        <w:rPr>
          <w:sz w:val="28"/>
        </w:rPr>
      </w:pPr>
    </w:p>
    <w:p>
      <w:pPr>
        <w:pStyle w:val="Heading6"/>
        <w:spacing w:before="96"/>
        <w:rPr>
          <w:rFonts w:ascii="Stone Sans II ITC Std X Bd"/>
          <w:b/>
        </w:rPr>
      </w:pPr>
      <w:r>
        <w:rPr>
          <w:rFonts w:ascii="Stone Sans II ITC Std X Bd"/>
          <w:b/>
          <w:color w:val="1A171C"/>
        </w:rPr>
        <w:t>23</w:t>
      </w:r>
    </w:p>
    <w:p>
      <w:pPr>
        <w:spacing w:after="0"/>
        <w:rPr>
          <w:rFonts w:ascii="Stone Sans II ITC Std X Bd"/>
        </w:rPr>
        <w:sectPr>
          <w:pgSz w:w="11910" w:h="16840"/>
          <w:pgMar w:top="240" w:bottom="0" w:left="320" w:right="0"/>
        </w:sectPr>
      </w:pPr>
    </w:p>
    <w:p>
      <w:pPr>
        <w:pStyle w:val="BodyText"/>
        <w:rPr>
          <w:rFonts w:ascii="Stone Sans II ITC Std X Bd"/>
          <w:b/>
          <w:sz w:val="20"/>
        </w:rPr>
      </w:pPr>
      <w:r>
        <w:rPr/>
        <w:pict>
          <v:group style="position:absolute;margin-left:12.756pt;margin-top:12.755014pt;width:77.8pt;height:816.4pt;mso-position-horizontal-relative:page;mso-position-vertical-relative:page;z-index:-253356032" coordorigin="255,255" coordsize="1556,16328">
            <v:shape style="position:absolute;left:255;top:255;width:681;height:16328" type="#_x0000_t75" stroked="false">
              <v:imagedata r:id="rId20"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3BA533" w:color="auto" w:val="clear"/>
                      </w:rPr>
                      <w:t>B</w:t>
                    </w:r>
                    <w:r>
                      <w:rPr>
                        <w:rFonts w:ascii="Stone Sans II ITC Std X Bd"/>
                        <w:b/>
                        <w:color w:val="FFFFFF"/>
                        <w:sz w:val="65"/>
                        <w:shd w:fill="3BA533" w:color="auto" w:val="clear"/>
                      </w:rPr>
                      <w:tab/>
                    </w:r>
                  </w:p>
                </w:txbxContent>
              </v:textbox>
              <w10:wrap type="none"/>
            </v:shape>
            <v:shape style="position:absolute;left:435;top:15990;width:34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24</w:t>
                    </w:r>
                  </w:p>
                </w:txbxContent>
              </v:textbox>
              <w10:wrap type="none"/>
            </v:shape>
            <w10:wrap type="none"/>
          </v:group>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5"/>
        <w:rPr>
          <w:rFonts w:ascii="Stone Sans II ITC Std X Bd"/>
          <w:b/>
          <w:sz w:val="15"/>
        </w:rPr>
      </w:pPr>
    </w:p>
    <w:p>
      <w:pPr>
        <w:pStyle w:val="ListParagraph"/>
        <w:numPr>
          <w:ilvl w:val="1"/>
          <w:numId w:val="8"/>
        </w:numPr>
        <w:tabs>
          <w:tab w:pos="1760" w:val="left" w:leader="none"/>
          <w:tab w:pos="1761" w:val="left" w:leader="none"/>
        </w:tabs>
        <w:spacing w:line="252" w:lineRule="exact" w:before="94" w:after="0"/>
        <w:ind w:left="1760" w:right="0" w:hanging="721"/>
        <w:jc w:val="left"/>
        <w:rPr>
          <w:sz w:val="22"/>
        </w:rPr>
      </w:pPr>
      <w:r>
        <w:rPr/>
        <w:pict>
          <v:shape style="position:absolute;margin-left:21.22007pt;margin-top:-15.557406pt;width:16.3500pt;height:346.1pt;mso-position-horizontal-relative:page;mso-position-vertical-relative:paragraph;z-index:251757568"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sz w:val="22"/>
        </w:rPr>
        <w:t>Coloured</w:t>
      </w:r>
      <w:r>
        <w:rPr>
          <w:color w:val="1A171C"/>
          <w:spacing w:val="-1"/>
          <w:sz w:val="22"/>
        </w:rPr>
        <w:t> </w:t>
      </w:r>
      <w:r>
        <w:rPr>
          <w:color w:val="1A171C"/>
          <w:sz w:val="22"/>
        </w:rPr>
        <w:t>cards</w:t>
      </w:r>
    </w:p>
    <w:p>
      <w:pPr>
        <w:pStyle w:val="ListParagraph"/>
        <w:numPr>
          <w:ilvl w:val="2"/>
          <w:numId w:val="8"/>
        </w:numPr>
        <w:tabs>
          <w:tab w:pos="1760" w:val="left" w:leader="none"/>
          <w:tab w:pos="1761" w:val="left" w:leader="none"/>
        </w:tabs>
        <w:spacing w:line="252" w:lineRule="exact" w:before="0" w:after="0"/>
        <w:ind w:left="1760" w:right="0" w:hanging="721"/>
        <w:jc w:val="left"/>
        <w:rPr>
          <w:sz w:val="22"/>
        </w:rPr>
      </w:pPr>
      <w:r>
        <w:rPr>
          <w:color w:val="1A171C"/>
          <w:sz w:val="22"/>
        </w:rPr>
        <w:t>Coloured cards are not essential in consensus decision making but they are</w:t>
      </w:r>
      <w:r>
        <w:rPr>
          <w:color w:val="1A171C"/>
          <w:spacing w:val="-14"/>
          <w:sz w:val="22"/>
        </w:rPr>
        <w:t> </w:t>
      </w:r>
      <w:r>
        <w:rPr>
          <w:color w:val="1A171C"/>
          <w:sz w:val="22"/>
        </w:rPr>
        <w:t>helpful.</w:t>
      </w:r>
    </w:p>
    <w:p>
      <w:pPr>
        <w:pStyle w:val="ListParagraph"/>
        <w:numPr>
          <w:ilvl w:val="2"/>
          <w:numId w:val="8"/>
        </w:numPr>
        <w:tabs>
          <w:tab w:pos="1760" w:val="left" w:leader="none"/>
          <w:tab w:pos="1761" w:val="left" w:leader="none"/>
        </w:tabs>
        <w:spacing w:line="252" w:lineRule="exact" w:before="2" w:after="0"/>
        <w:ind w:left="1760" w:right="0" w:hanging="721"/>
        <w:jc w:val="left"/>
        <w:rPr>
          <w:sz w:val="22"/>
        </w:rPr>
      </w:pPr>
      <w:r>
        <w:rPr>
          <w:color w:val="1A171C"/>
          <w:sz w:val="22"/>
        </w:rPr>
        <w:t>Each member receives </w:t>
      </w:r>
      <w:r>
        <w:rPr>
          <w:color w:val="1A171C"/>
          <w:spacing w:val="-2"/>
          <w:sz w:val="22"/>
        </w:rPr>
        <w:t>two</w:t>
      </w:r>
      <w:r>
        <w:rPr>
          <w:color w:val="1A171C"/>
          <w:spacing w:val="-1"/>
          <w:sz w:val="22"/>
        </w:rPr>
        <w:t> </w:t>
      </w:r>
      <w:r>
        <w:rPr>
          <w:color w:val="1A171C"/>
          <w:sz w:val="22"/>
        </w:rPr>
        <w:t>cards:</w:t>
      </w:r>
    </w:p>
    <w:p>
      <w:pPr>
        <w:pStyle w:val="ListParagraph"/>
        <w:numPr>
          <w:ilvl w:val="3"/>
          <w:numId w:val="8"/>
        </w:numPr>
        <w:tabs>
          <w:tab w:pos="3200" w:val="left" w:leader="none"/>
          <w:tab w:pos="3201" w:val="left" w:leader="none"/>
        </w:tabs>
        <w:spacing w:line="240" w:lineRule="auto" w:before="0" w:after="0"/>
        <w:ind w:left="3201" w:right="1644" w:hanging="1441"/>
        <w:jc w:val="left"/>
        <w:rPr>
          <w:sz w:val="22"/>
        </w:rPr>
      </w:pPr>
      <w:r>
        <w:rPr>
          <w:color w:val="1A171C"/>
          <w:sz w:val="22"/>
        </w:rPr>
        <w:t>Orange – held at the end of a speech, so that the Moderator can see, indicates warmth towards a point of view or approval of a</w:t>
      </w:r>
      <w:r>
        <w:rPr>
          <w:color w:val="1A171C"/>
          <w:spacing w:val="-22"/>
          <w:sz w:val="22"/>
        </w:rPr>
        <w:t> </w:t>
      </w:r>
      <w:r>
        <w:rPr>
          <w:color w:val="1A171C"/>
          <w:sz w:val="22"/>
        </w:rPr>
        <w:t>proposal.</w:t>
      </w:r>
    </w:p>
    <w:p>
      <w:pPr>
        <w:pStyle w:val="ListParagraph"/>
        <w:numPr>
          <w:ilvl w:val="3"/>
          <w:numId w:val="8"/>
        </w:numPr>
        <w:tabs>
          <w:tab w:pos="3201" w:val="left" w:leader="none"/>
          <w:tab w:pos="3202" w:val="left" w:leader="none"/>
        </w:tabs>
        <w:spacing w:line="240" w:lineRule="auto" w:before="0" w:after="0"/>
        <w:ind w:left="3201" w:right="1938" w:hanging="1441"/>
        <w:jc w:val="both"/>
        <w:rPr>
          <w:sz w:val="22"/>
        </w:rPr>
      </w:pPr>
      <w:r>
        <w:rPr>
          <w:color w:val="1A171C"/>
          <w:sz w:val="22"/>
        </w:rPr>
        <w:t>Blue – held at the end of a speech, so that the Moderator can see, indicates coolness about what has been heard or disapproval of a proposal.</w:t>
      </w:r>
    </w:p>
    <w:p>
      <w:pPr>
        <w:pStyle w:val="ListParagraph"/>
        <w:numPr>
          <w:ilvl w:val="2"/>
          <w:numId w:val="8"/>
        </w:numPr>
        <w:tabs>
          <w:tab w:pos="1761" w:val="left" w:leader="none"/>
          <w:tab w:pos="1762" w:val="left" w:leader="none"/>
        </w:tabs>
        <w:spacing w:line="252" w:lineRule="exact" w:before="0" w:after="0"/>
        <w:ind w:left="1761" w:right="0" w:hanging="721"/>
        <w:jc w:val="left"/>
        <w:rPr>
          <w:sz w:val="22"/>
        </w:rPr>
      </w:pPr>
      <w:r>
        <w:rPr>
          <w:color w:val="1A171C"/>
          <w:sz w:val="22"/>
        </w:rPr>
        <w:t>Cards held crossed indicate to the Moderator it is time to move on to the next</w:t>
      </w:r>
      <w:r>
        <w:rPr>
          <w:color w:val="1A171C"/>
          <w:spacing w:val="-24"/>
          <w:sz w:val="22"/>
        </w:rPr>
        <w:t> </w:t>
      </w:r>
      <w:r>
        <w:rPr>
          <w:color w:val="1A171C"/>
          <w:sz w:val="22"/>
        </w:rPr>
        <w:t>subject.</w:t>
      </w:r>
    </w:p>
    <w:p>
      <w:pPr>
        <w:pStyle w:val="ListParagraph"/>
        <w:numPr>
          <w:ilvl w:val="2"/>
          <w:numId w:val="8"/>
        </w:numPr>
        <w:tabs>
          <w:tab w:pos="1761" w:val="left" w:leader="none"/>
          <w:tab w:pos="1762" w:val="left" w:leader="none"/>
        </w:tabs>
        <w:spacing w:line="240" w:lineRule="auto" w:before="1" w:after="0"/>
        <w:ind w:left="1761" w:right="1830" w:hanging="721"/>
        <w:jc w:val="left"/>
        <w:rPr>
          <w:sz w:val="22"/>
        </w:rPr>
      </w:pPr>
      <w:r>
        <w:rPr>
          <w:color w:val="1A171C"/>
          <w:sz w:val="22"/>
        </w:rPr>
        <w:t>Cards should be shown only at the invitation of the Moderator and held so that the Moderator can see them. They indicate response to what has just been said.</w:t>
      </w:r>
      <w:r>
        <w:rPr>
          <w:color w:val="1A171C"/>
          <w:spacing w:val="-37"/>
          <w:sz w:val="22"/>
        </w:rPr>
        <w:t> </w:t>
      </w:r>
      <w:r>
        <w:rPr>
          <w:color w:val="1A171C"/>
          <w:sz w:val="22"/>
        </w:rPr>
        <w:t>They help the Moderator to gauge the strength of feeling for various ideas, and to invite speeches from those who are unsure or cool towards the</w:t>
      </w:r>
      <w:r>
        <w:rPr>
          <w:color w:val="1A171C"/>
          <w:spacing w:val="-20"/>
          <w:sz w:val="22"/>
        </w:rPr>
        <w:t> </w:t>
      </w:r>
      <w:r>
        <w:rPr>
          <w:color w:val="1A171C"/>
          <w:sz w:val="22"/>
        </w:rPr>
        <w:t>proposal.</w:t>
      </w:r>
    </w:p>
    <w:p>
      <w:pPr>
        <w:pStyle w:val="BodyText"/>
        <w:spacing w:before="11"/>
        <w:rPr>
          <w:sz w:val="21"/>
        </w:rPr>
      </w:pPr>
    </w:p>
    <w:p>
      <w:pPr>
        <w:pStyle w:val="ListParagraph"/>
        <w:numPr>
          <w:ilvl w:val="1"/>
          <w:numId w:val="8"/>
        </w:numPr>
        <w:tabs>
          <w:tab w:pos="1761" w:val="left" w:leader="none"/>
          <w:tab w:pos="1762" w:val="left" w:leader="none"/>
        </w:tabs>
        <w:spacing w:line="252" w:lineRule="exact" w:before="0" w:after="0"/>
        <w:ind w:left="1761" w:right="0" w:hanging="721"/>
        <w:jc w:val="left"/>
        <w:rPr>
          <w:sz w:val="22"/>
        </w:rPr>
      </w:pPr>
      <w:r>
        <w:rPr>
          <w:color w:val="1A171C"/>
          <w:sz w:val="22"/>
        </w:rPr>
        <w:t>Changes of</w:t>
      </w:r>
      <w:r>
        <w:rPr>
          <w:color w:val="1A171C"/>
          <w:spacing w:val="-8"/>
          <w:sz w:val="22"/>
        </w:rPr>
        <w:t> </w:t>
      </w:r>
      <w:r>
        <w:rPr>
          <w:color w:val="1A171C"/>
          <w:sz w:val="22"/>
        </w:rPr>
        <w:t>order</w:t>
      </w:r>
    </w:p>
    <w:p>
      <w:pPr>
        <w:pStyle w:val="BodyText"/>
        <w:ind w:left="1041" w:right="1402"/>
      </w:pPr>
      <w:r>
        <w:rPr>
          <w:color w:val="1A171C"/>
        </w:rPr>
        <w:t>Changes</w:t>
      </w:r>
      <w:r>
        <w:rPr>
          <w:color w:val="1A171C"/>
          <w:spacing w:val="-4"/>
        </w:rPr>
        <w:t> </w:t>
      </w:r>
      <w:r>
        <w:rPr>
          <w:color w:val="1A171C"/>
        </w:rPr>
        <w:t>of order</w:t>
      </w:r>
      <w:r>
        <w:rPr>
          <w:color w:val="1A171C"/>
          <w:spacing w:val="-3"/>
        </w:rPr>
        <w:t> </w:t>
      </w:r>
      <w:r>
        <w:rPr>
          <w:color w:val="1A171C"/>
        </w:rPr>
        <w:t>may</w:t>
      </w:r>
      <w:r>
        <w:rPr>
          <w:color w:val="1A171C"/>
          <w:spacing w:val="-3"/>
        </w:rPr>
        <w:t> </w:t>
      </w:r>
      <w:r>
        <w:rPr>
          <w:color w:val="1A171C"/>
        </w:rPr>
        <w:t>be</w:t>
      </w:r>
      <w:r>
        <w:rPr>
          <w:color w:val="1A171C"/>
          <w:spacing w:val="-2"/>
        </w:rPr>
        <w:t> </w:t>
      </w:r>
      <w:r>
        <w:rPr>
          <w:color w:val="1A171C"/>
        </w:rPr>
        <w:t>raised</w:t>
      </w:r>
      <w:r>
        <w:rPr>
          <w:color w:val="1A171C"/>
          <w:spacing w:val="-2"/>
        </w:rPr>
        <w:t> </w:t>
      </w:r>
      <w:r>
        <w:rPr>
          <w:color w:val="1A171C"/>
        </w:rPr>
        <w:t>by</w:t>
      </w:r>
      <w:r>
        <w:rPr>
          <w:color w:val="1A171C"/>
          <w:spacing w:val="-4"/>
        </w:rPr>
        <w:t> </w:t>
      </w:r>
      <w:r>
        <w:rPr>
          <w:color w:val="1A171C"/>
        </w:rPr>
        <w:t>any</w:t>
      </w:r>
      <w:r>
        <w:rPr>
          <w:color w:val="1A171C"/>
          <w:spacing w:val="-3"/>
        </w:rPr>
        <w:t> </w:t>
      </w:r>
      <w:r>
        <w:rPr>
          <w:color w:val="1A171C"/>
        </w:rPr>
        <w:t>member</w:t>
      </w:r>
      <w:r>
        <w:rPr>
          <w:color w:val="1A171C"/>
          <w:spacing w:val="-3"/>
        </w:rPr>
        <w:t> </w:t>
      </w:r>
      <w:r>
        <w:rPr>
          <w:color w:val="1A171C"/>
        </w:rPr>
        <w:t>of</w:t>
      </w:r>
      <w:r>
        <w:rPr>
          <w:color w:val="1A171C"/>
          <w:spacing w:val="-10"/>
        </w:rPr>
        <w:t> </w:t>
      </w:r>
      <w:r>
        <w:rPr>
          <w:color w:val="1A171C"/>
        </w:rPr>
        <w:t>Assembly</w:t>
      </w:r>
      <w:r>
        <w:rPr>
          <w:color w:val="1A171C"/>
          <w:spacing w:val="-3"/>
        </w:rPr>
        <w:t> </w:t>
      </w:r>
      <w:r>
        <w:rPr>
          <w:color w:val="1A171C"/>
        </w:rPr>
        <w:t>at any</w:t>
      </w:r>
      <w:r>
        <w:rPr>
          <w:color w:val="1A171C"/>
          <w:spacing w:val="-6"/>
        </w:rPr>
        <w:t> </w:t>
      </w:r>
      <w:r>
        <w:rPr>
          <w:color w:val="1A171C"/>
        </w:rPr>
        <w:t>time</w:t>
      </w:r>
      <w:r>
        <w:rPr>
          <w:color w:val="1A171C"/>
          <w:spacing w:val="-4"/>
        </w:rPr>
        <w:t> </w:t>
      </w:r>
      <w:r>
        <w:rPr>
          <w:color w:val="1A171C"/>
        </w:rPr>
        <w:t>during</w:t>
      </w:r>
      <w:r>
        <w:rPr>
          <w:color w:val="1A171C"/>
          <w:spacing w:val="-1"/>
        </w:rPr>
        <w:t> </w:t>
      </w:r>
      <w:r>
        <w:rPr>
          <w:color w:val="1A171C"/>
        </w:rPr>
        <w:t>the</w:t>
      </w:r>
      <w:r>
        <w:rPr>
          <w:color w:val="1A171C"/>
          <w:spacing w:val="-4"/>
        </w:rPr>
        <w:t> </w:t>
      </w:r>
      <w:r>
        <w:rPr>
          <w:color w:val="1A171C"/>
        </w:rPr>
        <w:t>meeting and must refer to the proceedings of the council. The Moderator asks the member to state their change of </w:t>
      </w:r>
      <w:r>
        <w:rPr>
          <w:color w:val="1A171C"/>
          <w:spacing w:val="-4"/>
        </w:rPr>
        <w:t>order. </w:t>
      </w:r>
      <w:r>
        <w:rPr>
          <w:color w:val="1A171C"/>
        </w:rPr>
        <w:t>The Moderator rules on it </w:t>
      </w:r>
      <w:r>
        <w:rPr>
          <w:color w:val="1A171C"/>
          <w:spacing w:val="-3"/>
        </w:rPr>
        <w:t>immediately, </w:t>
      </w:r>
      <w:r>
        <w:rPr>
          <w:color w:val="1A171C"/>
        </w:rPr>
        <w:t>or asks for a decision by the Assembly via a simple majority</w:t>
      </w:r>
      <w:r>
        <w:rPr>
          <w:color w:val="1A171C"/>
          <w:spacing w:val="-5"/>
        </w:rPr>
        <w:t> </w:t>
      </w:r>
      <w:r>
        <w:rPr>
          <w:color w:val="1A171C"/>
        </w:rPr>
        <w:t>vote.</w:t>
      </w:r>
    </w:p>
    <w:p>
      <w:pPr>
        <w:pStyle w:val="BodyText"/>
        <w:spacing w:before="10"/>
        <w:rPr>
          <w:sz w:val="21"/>
        </w:rPr>
      </w:pPr>
    </w:p>
    <w:p>
      <w:pPr>
        <w:pStyle w:val="BodyText"/>
        <w:ind w:left="1041"/>
      </w:pPr>
      <w:r>
        <w:rPr>
          <w:color w:val="1A171C"/>
        </w:rPr>
        <w:t>Changes of order include:</w:t>
      </w:r>
    </w:p>
    <w:p>
      <w:pPr>
        <w:pStyle w:val="ListParagraph"/>
        <w:numPr>
          <w:ilvl w:val="2"/>
          <w:numId w:val="8"/>
        </w:numPr>
        <w:tabs>
          <w:tab w:pos="1761" w:val="left" w:leader="none"/>
          <w:tab w:pos="1762" w:val="left" w:leader="none"/>
        </w:tabs>
        <w:spacing w:line="252" w:lineRule="exact" w:before="2" w:after="0"/>
        <w:ind w:left="1761" w:right="0" w:hanging="721"/>
        <w:jc w:val="left"/>
        <w:rPr>
          <w:sz w:val="22"/>
        </w:rPr>
      </w:pPr>
      <w:r>
        <w:rPr>
          <w:color w:val="1A171C"/>
          <w:sz w:val="22"/>
        </w:rPr>
        <w:t>Out of order – the speaker is digressing from the matter being</w:t>
      </w:r>
      <w:r>
        <w:rPr>
          <w:color w:val="1A171C"/>
          <w:spacing w:val="-8"/>
          <w:sz w:val="22"/>
        </w:rPr>
        <w:t> </w:t>
      </w:r>
      <w:r>
        <w:rPr>
          <w:color w:val="1A171C"/>
          <w:sz w:val="22"/>
        </w:rPr>
        <w:t>discussed.</w:t>
      </w:r>
    </w:p>
    <w:p>
      <w:pPr>
        <w:pStyle w:val="ListParagraph"/>
        <w:numPr>
          <w:ilvl w:val="2"/>
          <w:numId w:val="8"/>
        </w:numPr>
        <w:tabs>
          <w:tab w:pos="1761" w:val="left" w:leader="none"/>
          <w:tab w:pos="1762" w:val="left" w:leader="none"/>
        </w:tabs>
        <w:spacing w:line="240" w:lineRule="auto" w:before="0" w:after="0"/>
        <w:ind w:left="1761" w:right="1481" w:hanging="721"/>
        <w:jc w:val="left"/>
        <w:rPr>
          <w:sz w:val="22"/>
        </w:rPr>
      </w:pPr>
      <w:r>
        <w:rPr>
          <w:color w:val="1A171C"/>
          <w:sz w:val="22"/>
        </w:rPr>
        <w:t>Closed session – that the matter in hand is sensitive and should be conducted in private. This is voted on immediately without discussion. It can be raised more than once during a discussion. If it is agreed, all those who are not members of the council must leave. Members must treat the subsequent discussion in the strictest confidence and must not divulge its content or process to</w:t>
      </w:r>
      <w:r>
        <w:rPr>
          <w:color w:val="1A171C"/>
          <w:spacing w:val="-11"/>
          <w:sz w:val="22"/>
        </w:rPr>
        <w:t> </w:t>
      </w:r>
      <w:r>
        <w:rPr>
          <w:color w:val="1A171C"/>
          <w:sz w:val="22"/>
        </w:rPr>
        <w:t>non-members.</w:t>
      </w:r>
    </w:p>
    <w:p>
      <w:pPr>
        <w:pStyle w:val="ListParagraph"/>
        <w:numPr>
          <w:ilvl w:val="2"/>
          <w:numId w:val="8"/>
        </w:numPr>
        <w:tabs>
          <w:tab w:pos="1761" w:val="left" w:leader="none"/>
          <w:tab w:pos="1762" w:val="left" w:leader="none"/>
        </w:tabs>
        <w:spacing w:line="240" w:lineRule="auto" w:before="0" w:after="0"/>
        <w:ind w:left="1761" w:right="1677" w:hanging="721"/>
        <w:jc w:val="left"/>
        <w:rPr>
          <w:sz w:val="22"/>
        </w:rPr>
      </w:pPr>
      <w:r>
        <w:rPr>
          <w:color w:val="1A171C"/>
          <w:sz w:val="22"/>
        </w:rPr>
        <w:t>Adjournment of the discussion – this is voted on immediately without further discussion. It can be proposed more than once in a discussion. It cannot be brought by a person who has already spoken. When the discussion is resumed the person whose speech was interrupted has the right to speak</w:t>
      </w:r>
      <w:r>
        <w:rPr>
          <w:color w:val="1A171C"/>
          <w:spacing w:val="-9"/>
          <w:sz w:val="22"/>
        </w:rPr>
        <w:t> </w:t>
      </w:r>
      <w:r>
        <w:rPr>
          <w:color w:val="1A171C"/>
          <w:sz w:val="22"/>
        </w:rPr>
        <w:t>first.</w:t>
      </w:r>
    </w:p>
    <w:p>
      <w:pPr>
        <w:pStyle w:val="ListParagraph"/>
        <w:numPr>
          <w:ilvl w:val="2"/>
          <w:numId w:val="8"/>
        </w:numPr>
        <w:tabs>
          <w:tab w:pos="1761" w:val="left" w:leader="none"/>
          <w:tab w:pos="1762" w:val="left" w:leader="none"/>
        </w:tabs>
        <w:spacing w:line="240" w:lineRule="auto" w:before="0" w:after="0"/>
        <w:ind w:left="1761" w:right="1543" w:hanging="721"/>
        <w:jc w:val="left"/>
        <w:rPr>
          <w:sz w:val="22"/>
        </w:rPr>
      </w:pPr>
      <w:r>
        <w:rPr>
          <w:color w:val="1A171C"/>
          <w:sz w:val="22"/>
        </w:rPr>
        <w:t>Personal explanation – a member feeling that some material part of their former speech has been misunderstood or is being grossly misinterpreted by a later speaker may ask to make a personal</w:t>
      </w:r>
      <w:r>
        <w:rPr>
          <w:color w:val="1A171C"/>
          <w:spacing w:val="-7"/>
          <w:sz w:val="22"/>
        </w:rPr>
        <w:t> </w:t>
      </w:r>
      <w:r>
        <w:rPr>
          <w:color w:val="1A171C"/>
          <w:sz w:val="22"/>
        </w:rPr>
        <w:t>explanation.</w:t>
      </w:r>
    </w:p>
    <w:p>
      <w:pPr>
        <w:pStyle w:val="ListParagraph"/>
        <w:numPr>
          <w:ilvl w:val="2"/>
          <w:numId w:val="8"/>
        </w:numPr>
        <w:tabs>
          <w:tab w:pos="1761" w:val="left" w:leader="none"/>
          <w:tab w:pos="1762" w:val="left" w:leader="none"/>
        </w:tabs>
        <w:spacing w:line="240" w:lineRule="auto" w:before="0" w:after="0"/>
        <w:ind w:left="1761" w:right="1492" w:hanging="721"/>
        <w:jc w:val="left"/>
        <w:rPr>
          <w:sz w:val="22"/>
        </w:rPr>
      </w:pPr>
      <w:r>
        <w:rPr>
          <w:color w:val="1A171C"/>
          <w:sz w:val="22"/>
        </w:rPr>
        <w:t>Objection – a member may raise an objection if the remarks of a speaker are deemed offensive or </w:t>
      </w:r>
      <w:r>
        <w:rPr>
          <w:color w:val="1A171C"/>
          <w:spacing w:val="-3"/>
          <w:sz w:val="22"/>
        </w:rPr>
        <w:t>derogatory. </w:t>
      </w:r>
      <w:r>
        <w:rPr>
          <w:color w:val="1A171C"/>
          <w:sz w:val="22"/>
        </w:rPr>
        <w:t>On such an objection being raised the Moderator shall immediately rule as to whether the remarks are offensive or derogatory and if the ruling is in favour of the objection may require the speaker to withdraw the remark. Should the speaker refuse to do so the Moderator may require the speaker immediately to terminate their</w:t>
      </w:r>
      <w:r>
        <w:rPr>
          <w:color w:val="1A171C"/>
          <w:spacing w:val="-8"/>
          <w:sz w:val="22"/>
        </w:rPr>
        <w:t> </w:t>
      </w:r>
      <w:r>
        <w:rPr>
          <w:color w:val="1A171C"/>
          <w:sz w:val="22"/>
        </w:rPr>
        <w:t>speech.</w:t>
      </w:r>
    </w:p>
    <w:p>
      <w:pPr>
        <w:pStyle w:val="BodyText"/>
        <w:rPr>
          <w:sz w:val="24"/>
        </w:rPr>
      </w:pPr>
    </w:p>
    <w:p>
      <w:pPr>
        <w:pStyle w:val="BodyText"/>
        <w:spacing w:before="7"/>
        <w:rPr>
          <w:sz w:val="19"/>
        </w:rPr>
      </w:pPr>
    </w:p>
    <w:p>
      <w:pPr>
        <w:pStyle w:val="Heading7"/>
        <w:numPr>
          <w:ilvl w:val="0"/>
          <w:numId w:val="8"/>
        </w:numPr>
        <w:tabs>
          <w:tab w:pos="1761" w:val="left" w:leader="none"/>
          <w:tab w:pos="1762" w:val="left" w:leader="none"/>
        </w:tabs>
        <w:spacing w:line="240" w:lineRule="auto" w:before="0" w:after="0"/>
        <w:ind w:left="1761" w:right="0" w:hanging="721"/>
        <w:jc w:val="left"/>
      </w:pPr>
      <w:r>
        <w:rPr>
          <w:color w:val="1A171C"/>
        </w:rPr>
        <w:t>Presentation of</w:t>
      </w:r>
      <w:r>
        <w:rPr>
          <w:color w:val="1A171C"/>
          <w:spacing w:val="-4"/>
        </w:rPr>
        <w:t> </w:t>
      </w:r>
      <w:r>
        <w:rPr>
          <w:color w:val="1A171C"/>
        </w:rPr>
        <w:t>business</w:t>
      </w:r>
    </w:p>
    <w:p>
      <w:pPr>
        <w:pStyle w:val="ListParagraph"/>
        <w:numPr>
          <w:ilvl w:val="1"/>
          <w:numId w:val="8"/>
        </w:numPr>
        <w:tabs>
          <w:tab w:pos="1761" w:val="left" w:leader="none"/>
          <w:tab w:pos="1762" w:val="left" w:leader="none"/>
        </w:tabs>
        <w:spacing w:line="240" w:lineRule="auto" w:before="4" w:after="0"/>
        <w:ind w:left="1041" w:right="1496" w:firstLine="0"/>
        <w:jc w:val="left"/>
        <w:rPr>
          <w:sz w:val="22"/>
        </w:rPr>
      </w:pPr>
      <w:r>
        <w:rPr>
          <w:color w:val="1A171C"/>
          <w:sz w:val="22"/>
        </w:rPr>
        <w:t>All reports of committees, together with the draft motions arising therefrom, shall be delivered to the General Secretary by a date to be determined, so that they may be printed and</w:t>
      </w:r>
      <w:r>
        <w:rPr>
          <w:color w:val="1A171C"/>
          <w:spacing w:val="-2"/>
          <w:sz w:val="22"/>
        </w:rPr>
        <w:t> </w:t>
      </w:r>
      <w:r>
        <w:rPr>
          <w:color w:val="1A171C"/>
          <w:sz w:val="22"/>
        </w:rPr>
        <w:t>circulated</w:t>
      </w:r>
      <w:r>
        <w:rPr>
          <w:color w:val="1A171C"/>
          <w:spacing w:val="-4"/>
          <w:sz w:val="22"/>
        </w:rPr>
        <w:t> </w:t>
      </w:r>
      <w:r>
        <w:rPr>
          <w:color w:val="1A171C"/>
          <w:sz w:val="22"/>
        </w:rPr>
        <w:t>to</w:t>
      </w:r>
      <w:r>
        <w:rPr>
          <w:color w:val="1A171C"/>
          <w:spacing w:val="-3"/>
          <w:sz w:val="22"/>
        </w:rPr>
        <w:t> </w:t>
      </w:r>
      <w:r>
        <w:rPr>
          <w:color w:val="1A171C"/>
          <w:sz w:val="22"/>
        </w:rPr>
        <w:t>members</w:t>
      </w:r>
      <w:r>
        <w:rPr>
          <w:color w:val="1A171C"/>
          <w:spacing w:val="-1"/>
          <w:sz w:val="22"/>
        </w:rPr>
        <w:t> </w:t>
      </w:r>
      <w:r>
        <w:rPr>
          <w:color w:val="1A171C"/>
          <w:sz w:val="22"/>
        </w:rPr>
        <w:t>in</w:t>
      </w:r>
      <w:r>
        <w:rPr>
          <w:color w:val="1A171C"/>
          <w:spacing w:val="-3"/>
          <w:sz w:val="22"/>
        </w:rPr>
        <w:t> </w:t>
      </w:r>
      <w:r>
        <w:rPr>
          <w:color w:val="1A171C"/>
          <w:sz w:val="22"/>
        </w:rPr>
        <w:t>time</w:t>
      </w:r>
      <w:r>
        <w:rPr>
          <w:color w:val="1A171C"/>
          <w:spacing w:val="-6"/>
          <w:sz w:val="22"/>
        </w:rPr>
        <w:t> </w:t>
      </w:r>
      <w:r>
        <w:rPr>
          <w:color w:val="1A171C"/>
          <w:sz w:val="22"/>
        </w:rPr>
        <w:t>for consideration</w:t>
      </w:r>
      <w:r>
        <w:rPr>
          <w:color w:val="1A171C"/>
          <w:spacing w:val="-1"/>
          <w:sz w:val="22"/>
        </w:rPr>
        <w:t> </w:t>
      </w:r>
      <w:r>
        <w:rPr>
          <w:color w:val="1A171C"/>
          <w:sz w:val="22"/>
        </w:rPr>
        <w:t>before</w:t>
      </w:r>
      <w:r>
        <w:rPr>
          <w:color w:val="1A171C"/>
          <w:spacing w:val="-4"/>
          <w:sz w:val="22"/>
        </w:rPr>
        <w:t> </w:t>
      </w:r>
      <w:r>
        <w:rPr>
          <w:color w:val="1A171C"/>
          <w:sz w:val="22"/>
        </w:rPr>
        <w:t>the</w:t>
      </w:r>
      <w:r>
        <w:rPr>
          <w:color w:val="1A171C"/>
          <w:spacing w:val="-1"/>
          <w:sz w:val="22"/>
        </w:rPr>
        <w:t> </w:t>
      </w:r>
      <w:r>
        <w:rPr>
          <w:color w:val="1A171C"/>
          <w:sz w:val="22"/>
        </w:rPr>
        <w:t>date</w:t>
      </w:r>
      <w:r>
        <w:rPr>
          <w:color w:val="1A171C"/>
          <w:spacing w:val="-2"/>
          <w:sz w:val="22"/>
        </w:rPr>
        <w:t> </w:t>
      </w:r>
      <w:r>
        <w:rPr>
          <w:color w:val="1A171C"/>
          <w:sz w:val="22"/>
        </w:rPr>
        <w:t>of</w:t>
      </w:r>
      <w:r>
        <w:rPr>
          <w:color w:val="1A171C"/>
          <w:spacing w:val="-2"/>
          <w:sz w:val="22"/>
        </w:rPr>
        <w:t> </w:t>
      </w:r>
      <w:r>
        <w:rPr>
          <w:color w:val="1A171C"/>
          <w:sz w:val="22"/>
        </w:rPr>
        <w:t>the</w:t>
      </w:r>
      <w:r>
        <w:rPr>
          <w:color w:val="1A171C"/>
          <w:spacing w:val="-18"/>
          <w:sz w:val="22"/>
        </w:rPr>
        <w:t> </w:t>
      </w:r>
      <w:r>
        <w:rPr>
          <w:color w:val="1A171C"/>
          <w:sz w:val="22"/>
        </w:rPr>
        <w:t>Assembly</w:t>
      </w:r>
      <w:r>
        <w:rPr>
          <w:color w:val="1A171C"/>
          <w:spacing w:val="-3"/>
          <w:sz w:val="22"/>
        </w:rPr>
        <w:t> </w:t>
      </w:r>
      <w:r>
        <w:rPr>
          <w:color w:val="1A171C"/>
          <w:sz w:val="22"/>
        </w:rPr>
        <w:t>meeting.</w:t>
      </w:r>
    </w:p>
    <w:p>
      <w:pPr>
        <w:pStyle w:val="BodyText"/>
        <w:rPr>
          <w:sz w:val="20"/>
        </w:rPr>
      </w:pPr>
    </w:p>
    <w:p>
      <w:pPr>
        <w:pStyle w:val="BodyText"/>
        <w:spacing w:before="3"/>
        <w:rPr>
          <w:sz w:val="20"/>
        </w:rPr>
      </w:pPr>
    </w:p>
    <w:p>
      <w:pPr>
        <w:pStyle w:val="ListParagraph"/>
        <w:numPr>
          <w:ilvl w:val="1"/>
          <w:numId w:val="8"/>
        </w:numPr>
        <w:tabs>
          <w:tab w:pos="1761" w:val="left" w:leader="none"/>
          <w:tab w:pos="1762" w:val="left" w:leader="none"/>
        </w:tabs>
        <w:spacing w:line="240" w:lineRule="auto" w:before="0" w:after="0"/>
        <w:ind w:left="1041" w:right="1491" w:firstLine="0"/>
        <w:jc w:val="left"/>
        <w:rPr>
          <w:sz w:val="22"/>
        </w:rPr>
      </w:pPr>
      <w:r>
        <w:rPr>
          <w:color w:val="1A171C"/>
          <w:sz w:val="22"/>
        </w:rPr>
        <w:t>A synod may deliver to the General Secretary not less than twelve weeks before the commencement of the meeting of the</w:t>
      </w:r>
      <w:r>
        <w:rPr>
          <w:color w:val="1A171C"/>
          <w:spacing w:val="-46"/>
          <w:sz w:val="22"/>
        </w:rPr>
        <w:t> </w:t>
      </w:r>
      <w:r>
        <w:rPr>
          <w:color w:val="1A171C"/>
          <w:sz w:val="22"/>
        </w:rPr>
        <w:t>Assembly notice in writing of a motion for consideration at the </w:t>
      </w:r>
      <w:r>
        <w:rPr>
          <w:color w:val="1A171C"/>
          <w:spacing w:val="-3"/>
          <w:sz w:val="22"/>
        </w:rPr>
        <w:t>Assembly. </w:t>
      </w:r>
      <w:r>
        <w:rPr>
          <w:color w:val="1A171C"/>
          <w:sz w:val="22"/>
        </w:rPr>
        <w:t>This notice shall include the names of those appointed to propose and second the motion at the</w:t>
      </w:r>
      <w:r>
        <w:rPr>
          <w:color w:val="1A171C"/>
          <w:spacing w:val="-18"/>
          <w:sz w:val="22"/>
        </w:rPr>
        <w:t> </w:t>
      </w:r>
      <w:r>
        <w:rPr>
          <w:color w:val="1A171C"/>
          <w:spacing w:val="-3"/>
          <w:sz w:val="22"/>
        </w:rPr>
        <w:t>Assembly.</w:t>
      </w:r>
    </w:p>
    <w:p>
      <w:pPr>
        <w:pStyle w:val="BodyText"/>
        <w:spacing w:before="11"/>
        <w:rPr>
          <w:sz w:val="21"/>
        </w:rPr>
      </w:pPr>
    </w:p>
    <w:p>
      <w:pPr>
        <w:pStyle w:val="ListParagraph"/>
        <w:numPr>
          <w:ilvl w:val="1"/>
          <w:numId w:val="8"/>
        </w:numPr>
        <w:tabs>
          <w:tab w:pos="1761" w:val="left" w:leader="none"/>
          <w:tab w:pos="1762" w:val="left" w:leader="none"/>
        </w:tabs>
        <w:spacing w:line="240" w:lineRule="auto" w:before="0" w:after="0"/>
        <w:ind w:left="1041" w:right="1569" w:firstLine="0"/>
        <w:jc w:val="left"/>
        <w:rPr>
          <w:sz w:val="22"/>
        </w:rPr>
      </w:pPr>
      <w:r>
        <w:rPr>
          <w:color w:val="1A171C"/>
          <w:sz w:val="22"/>
        </w:rPr>
        <w:t>A Local Church wishing to put forward a motion for consideration by the General Assembly shall submit the motion to </w:t>
      </w:r>
      <w:r>
        <w:rPr>
          <w:color w:val="1A171C"/>
          <w:spacing w:val="-2"/>
          <w:sz w:val="22"/>
        </w:rPr>
        <w:t>its </w:t>
      </w:r>
      <w:r>
        <w:rPr>
          <w:color w:val="1A171C"/>
          <w:sz w:val="22"/>
        </w:rPr>
        <w:t>synod for consideration and, if the synod so decides, transmission to the </w:t>
      </w:r>
      <w:r>
        <w:rPr>
          <w:color w:val="1A171C"/>
          <w:spacing w:val="-3"/>
          <w:sz w:val="22"/>
        </w:rPr>
        <w:t>Assembly, </w:t>
      </w:r>
      <w:r>
        <w:rPr>
          <w:color w:val="1A171C"/>
          <w:sz w:val="22"/>
        </w:rPr>
        <w:t>at such time as will enable the synod to comply with </w:t>
      </w:r>
      <w:r>
        <w:rPr>
          <w:color w:val="1A171C"/>
          <w:spacing w:val="-3"/>
          <w:sz w:val="22"/>
        </w:rPr>
        <w:t>Standing </w:t>
      </w:r>
      <w:r>
        <w:rPr>
          <w:color w:val="1A171C"/>
          <w:sz w:val="22"/>
        </w:rPr>
        <w:t>Order 3.2</w:t>
      </w:r>
      <w:r>
        <w:rPr>
          <w:color w:val="1A171C"/>
          <w:spacing w:val="1"/>
          <w:sz w:val="22"/>
        </w:rPr>
        <w:t> </w:t>
      </w:r>
      <w:r>
        <w:rPr>
          <w:color w:val="1A171C"/>
          <w:sz w:val="22"/>
        </w:rPr>
        <w:t>above.</w:t>
      </w:r>
    </w:p>
    <w:p>
      <w:pPr>
        <w:spacing w:after="0" w:line="240" w:lineRule="auto"/>
        <w:jc w:val="left"/>
        <w:rPr>
          <w:sz w:val="22"/>
        </w:rPr>
        <w:sectPr>
          <w:pgSz w:w="11910" w:h="16840"/>
          <w:pgMar w:top="240" w:bottom="0" w:left="320" w:right="0"/>
        </w:sectPr>
      </w:pPr>
    </w:p>
    <w:p>
      <w:pPr>
        <w:pStyle w:val="Heading1"/>
        <w:tabs>
          <w:tab w:pos="864" w:val="left" w:leader="none"/>
        </w:tabs>
        <w:rPr>
          <w:b/>
        </w:rPr>
      </w:pPr>
      <w:r>
        <w:rPr/>
        <w:drawing>
          <wp:anchor distT="0" distB="0" distL="0" distR="0" allowOverlap="1" layoutInCell="1" locked="0" behindDoc="1" simplePos="0" relativeHeight="249962496">
            <wp:simplePos x="0" y="0"/>
            <wp:positionH relativeFrom="page">
              <wp:posOffset>6974928</wp:posOffset>
            </wp:positionH>
            <wp:positionV relativeFrom="page">
              <wp:posOffset>161988</wp:posOffset>
            </wp:positionV>
            <wp:extent cx="432079" cy="10368000"/>
            <wp:effectExtent l="0" t="0" r="0" b="0"/>
            <wp:wrapNone/>
            <wp:docPr id="25" name="image12.png"/>
            <wp:cNvGraphicFramePr>
              <a:graphicFrameLocks noChangeAspect="1"/>
            </wp:cNvGraphicFramePr>
            <a:graphic>
              <a:graphicData uri="http://schemas.openxmlformats.org/drawingml/2006/picture">
                <pic:pic>
                  <pic:nvPicPr>
                    <pic:cNvPr id="26" name="image12.png"/>
                    <pic:cNvPicPr/>
                  </pic:nvPicPr>
                  <pic:blipFill>
                    <a:blip r:embed="rId19" cstate="print"/>
                    <a:stretch>
                      <a:fillRect/>
                    </a:stretch>
                  </pic:blipFill>
                  <pic:spPr>
                    <a:xfrm>
                      <a:off x="0" y="0"/>
                      <a:ext cx="432079" cy="10368000"/>
                    </a:xfrm>
                    <a:prstGeom prst="rect">
                      <a:avLst/>
                    </a:prstGeom>
                  </pic:spPr>
                </pic:pic>
              </a:graphicData>
            </a:graphic>
          </wp:anchor>
        </w:drawing>
      </w:r>
      <w:r>
        <w:rPr>
          <w:b/>
          <w:color w:val="FFFFFF"/>
          <w:w w:val="110"/>
          <w:shd w:fill="3BA533" w:color="auto" w:val="clear"/>
        </w:rPr>
        <w:t> </w:t>
      </w:r>
      <w:r>
        <w:rPr>
          <w:b/>
          <w:color w:val="FFFFFF"/>
          <w:shd w:fill="3BA533" w:color="auto" w:val="clear"/>
        </w:rPr>
        <w:tab/>
      </w:r>
      <w:r>
        <w:rPr>
          <w:b/>
          <w:color w:val="FFFFFF"/>
          <w:w w:val="110"/>
          <w:shd w:fill="3BA533" w:color="auto" w:val="clear"/>
        </w:rPr>
        <w:t>B</w:t>
      </w:r>
    </w:p>
    <w:p>
      <w:pPr>
        <w:pStyle w:val="BodyText"/>
        <w:rPr>
          <w:rFonts w:ascii="Stone Sans II ITC Std X Bd"/>
          <w:b/>
          <w:sz w:val="20"/>
        </w:rPr>
      </w:pPr>
    </w:p>
    <w:p>
      <w:pPr>
        <w:pStyle w:val="BodyText"/>
        <w:spacing w:before="3"/>
        <w:rPr>
          <w:rFonts w:ascii="Stone Sans II ITC Std X Bd"/>
          <w:b/>
          <w:sz w:val="19"/>
        </w:rPr>
      </w:pPr>
    </w:p>
    <w:p>
      <w:pPr>
        <w:pStyle w:val="ListParagraph"/>
        <w:numPr>
          <w:ilvl w:val="1"/>
          <w:numId w:val="8"/>
        </w:numPr>
        <w:tabs>
          <w:tab w:pos="1819" w:val="left" w:leader="none"/>
          <w:tab w:pos="1820" w:val="left" w:leader="none"/>
        </w:tabs>
        <w:spacing w:line="240" w:lineRule="auto" w:before="0" w:after="0"/>
        <w:ind w:left="1099" w:right="1366" w:firstLine="0"/>
        <w:jc w:val="left"/>
        <w:rPr>
          <w:sz w:val="22"/>
        </w:rPr>
      </w:pPr>
      <w:r>
        <w:rPr/>
        <w:pict>
          <v:shape style="position:absolute;margin-left:557.985779pt;margin-top:-24.707228pt;width:16.3500pt;height:347.3pt;mso-position-horizontal-relative:page;mso-position-vertical-relative:paragraph;z-index:251759616"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sz w:val="22"/>
        </w:rPr>
        <w:t>A</w:t>
      </w:r>
      <w:r>
        <w:rPr>
          <w:color w:val="1A171C"/>
          <w:spacing w:val="-14"/>
          <w:sz w:val="22"/>
        </w:rPr>
        <w:t> </w:t>
      </w:r>
      <w:r>
        <w:rPr>
          <w:color w:val="1A171C"/>
          <w:sz w:val="22"/>
        </w:rPr>
        <w:t>member</w:t>
      </w:r>
      <w:r>
        <w:rPr>
          <w:color w:val="1A171C"/>
          <w:spacing w:val="-3"/>
          <w:sz w:val="22"/>
        </w:rPr>
        <w:t> </w:t>
      </w:r>
      <w:r>
        <w:rPr>
          <w:color w:val="1A171C"/>
          <w:sz w:val="22"/>
        </w:rPr>
        <w:t>of the</w:t>
      </w:r>
      <w:r>
        <w:rPr>
          <w:color w:val="1A171C"/>
          <w:spacing w:val="-15"/>
          <w:sz w:val="22"/>
        </w:rPr>
        <w:t> </w:t>
      </w:r>
      <w:r>
        <w:rPr>
          <w:color w:val="1A171C"/>
          <w:sz w:val="22"/>
        </w:rPr>
        <w:t>Assembly</w:t>
      </w:r>
      <w:r>
        <w:rPr>
          <w:color w:val="1A171C"/>
          <w:spacing w:val="-4"/>
          <w:sz w:val="22"/>
        </w:rPr>
        <w:t> </w:t>
      </w:r>
      <w:r>
        <w:rPr>
          <w:color w:val="1A171C"/>
          <w:sz w:val="22"/>
        </w:rPr>
        <w:t>may</w:t>
      </w:r>
      <w:r>
        <w:rPr>
          <w:color w:val="1A171C"/>
          <w:spacing w:val="-4"/>
          <w:sz w:val="22"/>
        </w:rPr>
        <w:t> </w:t>
      </w:r>
      <w:r>
        <w:rPr>
          <w:color w:val="1A171C"/>
          <w:sz w:val="22"/>
        </w:rPr>
        <w:t>deliver to</w:t>
      </w:r>
      <w:r>
        <w:rPr>
          <w:color w:val="1A171C"/>
          <w:spacing w:val="-4"/>
          <w:sz w:val="22"/>
        </w:rPr>
        <w:t> </w:t>
      </w:r>
      <w:r>
        <w:rPr>
          <w:color w:val="1A171C"/>
          <w:sz w:val="22"/>
        </w:rPr>
        <w:t>the</w:t>
      </w:r>
      <w:r>
        <w:rPr>
          <w:color w:val="1A171C"/>
          <w:spacing w:val="-4"/>
          <w:sz w:val="22"/>
        </w:rPr>
        <w:t> </w:t>
      </w:r>
      <w:r>
        <w:rPr>
          <w:color w:val="1A171C"/>
          <w:sz w:val="22"/>
        </w:rPr>
        <w:t>General</w:t>
      </w:r>
      <w:r>
        <w:rPr>
          <w:color w:val="1A171C"/>
          <w:spacing w:val="-1"/>
          <w:sz w:val="22"/>
        </w:rPr>
        <w:t> </w:t>
      </w:r>
      <w:r>
        <w:rPr>
          <w:color w:val="1A171C"/>
          <w:sz w:val="22"/>
        </w:rPr>
        <w:t>Secretary</w:t>
      </w:r>
      <w:r>
        <w:rPr>
          <w:color w:val="1A171C"/>
          <w:spacing w:val="-4"/>
          <w:sz w:val="22"/>
        </w:rPr>
        <w:t> </w:t>
      </w:r>
      <w:r>
        <w:rPr>
          <w:color w:val="1A171C"/>
          <w:sz w:val="22"/>
        </w:rPr>
        <w:t>not less</w:t>
      </w:r>
      <w:r>
        <w:rPr>
          <w:color w:val="1A171C"/>
          <w:spacing w:val="-4"/>
          <w:sz w:val="22"/>
        </w:rPr>
        <w:t> </w:t>
      </w:r>
      <w:r>
        <w:rPr>
          <w:color w:val="1A171C"/>
          <w:sz w:val="22"/>
        </w:rPr>
        <w:t>than</w:t>
      </w:r>
      <w:r>
        <w:rPr>
          <w:color w:val="1A171C"/>
          <w:spacing w:val="-2"/>
          <w:sz w:val="22"/>
        </w:rPr>
        <w:t> </w:t>
      </w:r>
      <w:r>
        <w:rPr>
          <w:color w:val="1A171C"/>
          <w:sz w:val="22"/>
        </w:rPr>
        <w:t>21</w:t>
      </w:r>
      <w:r>
        <w:rPr>
          <w:color w:val="1A171C"/>
          <w:spacing w:val="-2"/>
          <w:sz w:val="22"/>
        </w:rPr>
        <w:t> </w:t>
      </w:r>
      <w:r>
        <w:rPr>
          <w:color w:val="1A171C"/>
          <w:sz w:val="22"/>
        </w:rPr>
        <w:t>days before the date of the meeting of the Assembly a notice in writing of a motion (which notice must include the name of a seconder) to be included in the Assembly agenda. If the subject matter of such a notice of motion appears to the General Secretary to be an infringement of the rights of a synod through which the matter could properly have been raised, the General Secretary shall inform the member accordingly and bring the matter before the Assembly arrangements</w:t>
      </w:r>
      <w:r>
        <w:rPr>
          <w:color w:val="1A171C"/>
          <w:spacing w:val="-2"/>
          <w:sz w:val="22"/>
        </w:rPr>
        <w:t> </w:t>
      </w:r>
      <w:r>
        <w:rPr>
          <w:color w:val="1A171C"/>
          <w:sz w:val="22"/>
        </w:rPr>
        <w:t>committee</w:t>
      </w:r>
      <w:r>
        <w:rPr>
          <w:color w:val="1A171C"/>
          <w:spacing w:val="-4"/>
          <w:sz w:val="22"/>
        </w:rPr>
        <w:t> </w:t>
      </w:r>
      <w:r>
        <w:rPr>
          <w:color w:val="1A171C"/>
          <w:sz w:val="22"/>
        </w:rPr>
        <w:t>which</w:t>
      </w:r>
      <w:r>
        <w:rPr>
          <w:color w:val="1A171C"/>
          <w:spacing w:val="-2"/>
          <w:sz w:val="22"/>
        </w:rPr>
        <w:t> </w:t>
      </w:r>
      <w:r>
        <w:rPr>
          <w:color w:val="1A171C"/>
          <w:sz w:val="22"/>
        </w:rPr>
        <w:t>shall</w:t>
      </w:r>
      <w:r>
        <w:rPr>
          <w:color w:val="1A171C"/>
          <w:spacing w:val="-3"/>
          <w:sz w:val="22"/>
        </w:rPr>
        <w:t> </w:t>
      </w:r>
      <w:r>
        <w:rPr>
          <w:color w:val="1A171C"/>
          <w:sz w:val="22"/>
        </w:rPr>
        <w:t>advise</w:t>
      </w:r>
      <w:r>
        <w:rPr>
          <w:color w:val="1A171C"/>
          <w:spacing w:val="-2"/>
          <w:sz w:val="22"/>
        </w:rPr>
        <w:t> </w:t>
      </w:r>
      <w:r>
        <w:rPr>
          <w:color w:val="1A171C"/>
          <w:sz w:val="22"/>
        </w:rPr>
        <w:t>the</w:t>
      </w:r>
      <w:r>
        <w:rPr>
          <w:color w:val="1A171C"/>
          <w:spacing w:val="-14"/>
          <w:sz w:val="22"/>
        </w:rPr>
        <w:t> </w:t>
      </w:r>
      <w:r>
        <w:rPr>
          <w:color w:val="1A171C"/>
          <w:sz w:val="22"/>
        </w:rPr>
        <w:t>Assembly</w:t>
      </w:r>
      <w:r>
        <w:rPr>
          <w:color w:val="1A171C"/>
          <w:spacing w:val="-4"/>
          <w:sz w:val="22"/>
        </w:rPr>
        <w:t> </w:t>
      </w:r>
      <w:r>
        <w:rPr>
          <w:color w:val="1A171C"/>
          <w:sz w:val="22"/>
        </w:rPr>
        <w:t>as</w:t>
      </w:r>
      <w:r>
        <w:rPr>
          <w:color w:val="1A171C"/>
          <w:spacing w:val="-4"/>
          <w:sz w:val="22"/>
        </w:rPr>
        <w:t> </w:t>
      </w:r>
      <w:r>
        <w:rPr>
          <w:color w:val="1A171C"/>
          <w:sz w:val="22"/>
        </w:rPr>
        <w:t>to</w:t>
      </w:r>
      <w:r>
        <w:rPr>
          <w:color w:val="1A171C"/>
          <w:spacing w:val="-5"/>
          <w:sz w:val="22"/>
        </w:rPr>
        <w:t> </w:t>
      </w:r>
      <w:r>
        <w:rPr>
          <w:color w:val="1A171C"/>
          <w:sz w:val="22"/>
        </w:rPr>
        <w:t>the</w:t>
      </w:r>
      <w:r>
        <w:rPr>
          <w:color w:val="1A171C"/>
          <w:spacing w:val="-2"/>
          <w:sz w:val="22"/>
        </w:rPr>
        <w:t> </w:t>
      </w:r>
      <w:r>
        <w:rPr>
          <w:color w:val="1A171C"/>
          <w:sz w:val="22"/>
        </w:rPr>
        <w:t>procedure</w:t>
      </w:r>
      <w:r>
        <w:rPr>
          <w:color w:val="1A171C"/>
          <w:spacing w:val="-4"/>
          <w:sz w:val="22"/>
        </w:rPr>
        <w:t> </w:t>
      </w:r>
      <w:r>
        <w:rPr>
          <w:color w:val="1A171C"/>
          <w:sz w:val="22"/>
        </w:rPr>
        <w:t>to</w:t>
      </w:r>
      <w:r>
        <w:rPr>
          <w:color w:val="1A171C"/>
          <w:spacing w:val="-2"/>
          <w:sz w:val="22"/>
        </w:rPr>
        <w:t> </w:t>
      </w:r>
      <w:r>
        <w:rPr>
          <w:color w:val="1A171C"/>
          <w:sz w:val="22"/>
        </w:rPr>
        <w:t>be</w:t>
      </w:r>
      <w:r>
        <w:rPr>
          <w:color w:val="1A171C"/>
          <w:spacing w:val="-7"/>
          <w:sz w:val="22"/>
        </w:rPr>
        <w:t> </w:t>
      </w:r>
      <w:r>
        <w:rPr>
          <w:color w:val="1A171C"/>
          <w:sz w:val="22"/>
        </w:rPr>
        <w:t>followed.</w:t>
      </w:r>
    </w:p>
    <w:p>
      <w:pPr>
        <w:pStyle w:val="BodyText"/>
        <w:spacing w:before="2"/>
      </w:pPr>
    </w:p>
    <w:p>
      <w:pPr>
        <w:pStyle w:val="ListParagraph"/>
        <w:numPr>
          <w:ilvl w:val="1"/>
          <w:numId w:val="8"/>
        </w:numPr>
        <w:tabs>
          <w:tab w:pos="1819" w:val="left" w:leader="none"/>
          <w:tab w:pos="1820" w:val="left" w:leader="none"/>
        </w:tabs>
        <w:spacing w:line="240" w:lineRule="auto" w:before="0" w:after="0"/>
        <w:ind w:left="1099" w:right="1464" w:firstLine="0"/>
        <w:jc w:val="left"/>
        <w:rPr>
          <w:sz w:val="22"/>
        </w:rPr>
      </w:pPr>
      <w:r>
        <w:rPr>
          <w:color w:val="1A171C"/>
          <w:sz w:val="22"/>
        </w:rPr>
        <w:t>Proposals for amendments to the Basis and Structure of the URC, which may be made by the Mission Council or a committee of the General Assembly or a synod, shall be in the hands of the General Secretary not later than 12 weeks before the opening of the </w:t>
      </w:r>
      <w:r>
        <w:rPr>
          <w:color w:val="1A171C"/>
          <w:spacing w:val="-3"/>
          <w:sz w:val="22"/>
        </w:rPr>
        <w:t>Assembly. </w:t>
      </w:r>
      <w:r>
        <w:rPr>
          <w:color w:val="1A171C"/>
          <w:sz w:val="22"/>
        </w:rPr>
        <w:t>The General </w:t>
      </w:r>
      <w:r>
        <w:rPr>
          <w:color w:val="1A171C"/>
          <w:spacing w:val="-3"/>
          <w:sz w:val="22"/>
        </w:rPr>
        <w:t>Secretary, </w:t>
      </w:r>
      <w:r>
        <w:rPr>
          <w:color w:val="1A171C"/>
          <w:sz w:val="22"/>
        </w:rPr>
        <w:t>in addition to the normal advice to members of the </w:t>
      </w:r>
      <w:r>
        <w:rPr>
          <w:color w:val="1A171C"/>
          <w:spacing w:val="-3"/>
          <w:sz w:val="22"/>
        </w:rPr>
        <w:t>Assembly, </w:t>
      </w:r>
      <w:r>
        <w:rPr>
          <w:color w:val="1A171C"/>
          <w:sz w:val="22"/>
        </w:rPr>
        <w:t>shall, as quickly as possible, inform all Synod Clerks of the proposed</w:t>
      </w:r>
      <w:r>
        <w:rPr>
          <w:color w:val="1A171C"/>
          <w:spacing w:val="-26"/>
          <w:sz w:val="22"/>
        </w:rPr>
        <w:t> </w:t>
      </w:r>
      <w:r>
        <w:rPr>
          <w:color w:val="1A171C"/>
          <w:sz w:val="22"/>
        </w:rPr>
        <w:t>amendment.</w:t>
      </w:r>
    </w:p>
    <w:p>
      <w:pPr>
        <w:pStyle w:val="BodyText"/>
        <w:spacing w:before="10"/>
        <w:rPr>
          <w:sz w:val="21"/>
        </w:rPr>
      </w:pPr>
    </w:p>
    <w:p>
      <w:pPr>
        <w:pStyle w:val="ListParagraph"/>
        <w:numPr>
          <w:ilvl w:val="1"/>
          <w:numId w:val="8"/>
        </w:numPr>
        <w:tabs>
          <w:tab w:pos="1819" w:val="left" w:leader="none"/>
          <w:tab w:pos="1820" w:val="left" w:leader="none"/>
        </w:tabs>
        <w:spacing w:line="240" w:lineRule="auto" w:before="0" w:after="0"/>
        <w:ind w:left="1099" w:right="1852" w:firstLine="0"/>
        <w:jc w:val="left"/>
        <w:rPr>
          <w:sz w:val="22"/>
        </w:rPr>
      </w:pPr>
      <w:r>
        <w:rPr>
          <w:color w:val="1A171C"/>
          <w:sz w:val="22"/>
        </w:rPr>
        <w:t>It shall not be in </w:t>
      </w:r>
      <w:r>
        <w:rPr>
          <w:color w:val="1A171C"/>
          <w:spacing w:val="-4"/>
          <w:sz w:val="22"/>
        </w:rPr>
        <w:t>order, </w:t>
      </w:r>
      <w:r>
        <w:rPr>
          <w:color w:val="1A171C"/>
          <w:sz w:val="22"/>
        </w:rPr>
        <w:t>whether in en bloc business, majority voting, or consensus decision-making, to move a motion or amendment</w:t>
      </w:r>
      <w:r>
        <w:rPr>
          <w:color w:val="1A171C"/>
          <w:spacing w:val="-4"/>
          <w:sz w:val="22"/>
        </w:rPr>
        <w:t> </w:t>
      </w:r>
      <w:r>
        <w:rPr>
          <w:color w:val="1A171C"/>
          <w:sz w:val="22"/>
        </w:rPr>
        <w:t>which:</w:t>
      </w:r>
    </w:p>
    <w:p>
      <w:pPr>
        <w:pStyle w:val="ListParagraph"/>
        <w:numPr>
          <w:ilvl w:val="2"/>
          <w:numId w:val="8"/>
        </w:numPr>
        <w:tabs>
          <w:tab w:pos="1819" w:val="left" w:leader="none"/>
          <w:tab w:pos="1820" w:val="left" w:leader="none"/>
        </w:tabs>
        <w:spacing w:line="252" w:lineRule="exact" w:before="0" w:after="0"/>
        <w:ind w:left="1819" w:right="0" w:hanging="721"/>
        <w:jc w:val="left"/>
        <w:rPr>
          <w:sz w:val="22"/>
        </w:rPr>
      </w:pPr>
      <w:r>
        <w:rPr>
          <w:color w:val="1A171C"/>
          <w:sz w:val="22"/>
        </w:rPr>
        <w:t>contravenes any part of the Basis of Union,</w:t>
      </w:r>
      <w:r>
        <w:rPr>
          <w:color w:val="1A171C"/>
          <w:spacing w:val="1"/>
          <w:sz w:val="22"/>
        </w:rPr>
        <w:t> </w:t>
      </w:r>
      <w:r>
        <w:rPr>
          <w:color w:val="1A171C"/>
          <w:sz w:val="22"/>
        </w:rPr>
        <w:t>or</w:t>
      </w:r>
    </w:p>
    <w:p>
      <w:pPr>
        <w:pStyle w:val="ListParagraph"/>
        <w:numPr>
          <w:ilvl w:val="2"/>
          <w:numId w:val="8"/>
        </w:numPr>
        <w:tabs>
          <w:tab w:pos="1819" w:val="left" w:leader="none"/>
          <w:tab w:pos="1820" w:val="left" w:leader="none"/>
        </w:tabs>
        <w:spacing w:line="240" w:lineRule="auto" w:before="0" w:after="0"/>
        <w:ind w:left="1819" w:right="1925" w:hanging="721"/>
        <w:jc w:val="left"/>
        <w:rPr>
          <w:sz w:val="22"/>
        </w:rPr>
      </w:pPr>
      <w:r>
        <w:rPr>
          <w:color w:val="1A171C"/>
          <w:sz w:val="22"/>
        </w:rPr>
        <w:t>involves the Church in expenditure without prior consideration by the appropriate committee,</w:t>
      </w:r>
      <w:r>
        <w:rPr>
          <w:color w:val="1A171C"/>
          <w:spacing w:val="1"/>
          <w:sz w:val="22"/>
        </w:rPr>
        <w:t> </w:t>
      </w:r>
      <w:r>
        <w:rPr>
          <w:color w:val="1A171C"/>
          <w:sz w:val="22"/>
        </w:rPr>
        <w:t>or</w:t>
      </w:r>
    </w:p>
    <w:p>
      <w:pPr>
        <w:pStyle w:val="ListParagraph"/>
        <w:numPr>
          <w:ilvl w:val="2"/>
          <w:numId w:val="8"/>
        </w:numPr>
        <w:tabs>
          <w:tab w:pos="1819" w:val="left" w:leader="none"/>
          <w:tab w:pos="1820" w:val="left" w:leader="none"/>
        </w:tabs>
        <w:spacing w:line="240" w:lineRule="auto" w:before="0" w:after="0"/>
        <w:ind w:left="1819" w:right="0" w:hanging="721"/>
        <w:jc w:val="left"/>
        <w:rPr>
          <w:sz w:val="22"/>
        </w:rPr>
      </w:pPr>
      <w:r>
        <w:rPr>
          <w:color w:val="1A171C"/>
          <w:sz w:val="22"/>
        </w:rPr>
        <w:t>pre-empts discussion of a matter to be considered later in the agenda,</w:t>
      </w:r>
      <w:r>
        <w:rPr>
          <w:color w:val="1A171C"/>
          <w:spacing w:val="-11"/>
          <w:sz w:val="22"/>
        </w:rPr>
        <w:t> </w:t>
      </w:r>
      <w:r>
        <w:rPr>
          <w:color w:val="1A171C"/>
          <w:sz w:val="22"/>
        </w:rPr>
        <w:t>or</w:t>
      </w:r>
    </w:p>
    <w:p>
      <w:pPr>
        <w:pStyle w:val="ListParagraph"/>
        <w:numPr>
          <w:ilvl w:val="2"/>
          <w:numId w:val="8"/>
        </w:numPr>
        <w:tabs>
          <w:tab w:pos="1819" w:val="left" w:leader="none"/>
          <w:tab w:pos="1820" w:val="left" w:leader="none"/>
        </w:tabs>
        <w:spacing w:line="240" w:lineRule="auto" w:before="1" w:after="0"/>
        <w:ind w:left="1819" w:right="1585" w:hanging="721"/>
        <w:jc w:val="left"/>
        <w:rPr>
          <w:sz w:val="22"/>
        </w:rPr>
      </w:pPr>
      <w:r>
        <w:rPr>
          <w:color w:val="1A171C"/>
          <w:sz w:val="22"/>
        </w:rPr>
        <w:t>amends or reverses a decision reached by the Assembly at </w:t>
      </w:r>
      <w:r>
        <w:rPr>
          <w:color w:val="1A171C"/>
          <w:spacing w:val="-2"/>
          <w:sz w:val="22"/>
        </w:rPr>
        <w:t>its </w:t>
      </w:r>
      <w:r>
        <w:rPr>
          <w:color w:val="1A171C"/>
          <w:sz w:val="22"/>
        </w:rPr>
        <w:t>preceding </w:t>
      </w:r>
      <w:r>
        <w:rPr>
          <w:color w:val="1A171C"/>
          <w:spacing w:val="-2"/>
          <w:sz w:val="22"/>
        </w:rPr>
        <w:t>two </w:t>
      </w:r>
      <w:r>
        <w:rPr>
          <w:color w:val="1A171C"/>
          <w:sz w:val="22"/>
        </w:rPr>
        <w:t>meetings unless the </w:t>
      </w:r>
      <w:r>
        <w:rPr>
          <w:color w:val="1A171C"/>
          <w:spacing w:val="-3"/>
          <w:sz w:val="22"/>
        </w:rPr>
        <w:t>Moderator, </w:t>
      </w:r>
      <w:r>
        <w:rPr>
          <w:color w:val="1A171C"/>
          <w:sz w:val="22"/>
        </w:rPr>
        <w:t>Clerk and General Secretary together decide that changed circumstances or new evidence justify earlier reconsideration of the </w:t>
      </w:r>
      <w:r>
        <w:rPr>
          <w:color w:val="1A171C"/>
          <w:spacing w:val="-3"/>
          <w:sz w:val="22"/>
        </w:rPr>
        <w:t>matter, </w:t>
      </w:r>
      <w:r>
        <w:rPr>
          <w:color w:val="1A171C"/>
          <w:sz w:val="22"/>
        </w:rPr>
        <w:t>or</w:t>
      </w:r>
    </w:p>
    <w:p>
      <w:pPr>
        <w:pStyle w:val="ListParagraph"/>
        <w:numPr>
          <w:ilvl w:val="2"/>
          <w:numId w:val="8"/>
        </w:numPr>
        <w:tabs>
          <w:tab w:pos="1819" w:val="left" w:leader="none"/>
          <w:tab w:pos="1820" w:val="left" w:leader="none"/>
        </w:tabs>
        <w:spacing w:line="240" w:lineRule="auto" w:before="0" w:after="0"/>
        <w:ind w:left="1819" w:right="1741" w:hanging="721"/>
        <w:jc w:val="left"/>
        <w:rPr>
          <w:sz w:val="22"/>
        </w:rPr>
      </w:pPr>
      <w:r>
        <w:rPr>
          <w:color w:val="1A171C"/>
          <w:sz w:val="22"/>
        </w:rPr>
        <w:t>is not related to the report of a committee and has not been the subject of 21 days’ notice under</w:t>
      </w:r>
      <w:r>
        <w:rPr>
          <w:color w:val="1A171C"/>
          <w:spacing w:val="-1"/>
          <w:sz w:val="22"/>
        </w:rPr>
        <w:t> </w:t>
      </w:r>
      <w:r>
        <w:rPr>
          <w:color w:val="1A171C"/>
          <w:sz w:val="22"/>
        </w:rPr>
        <w:t>3d.</w:t>
      </w:r>
    </w:p>
    <w:p>
      <w:pPr>
        <w:pStyle w:val="BodyText"/>
        <w:ind w:left="1100" w:right="1579"/>
      </w:pPr>
      <w:r>
        <w:rPr>
          <w:color w:val="1A171C"/>
        </w:rPr>
        <w:t>The decision of the Moderator (in the case of 3.6.1, 3.6.2, 3.6.3, and 3.6.5) and of the Moderator with the Clerk and the General Secretary (in the case of 3.6.4) on the application of this Standing Order shall be final.</w:t>
      </w:r>
    </w:p>
    <w:p>
      <w:pPr>
        <w:pStyle w:val="BodyText"/>
        <w:rPr>
          <w:sz w:val="24"/>
        </w:rPr>
      </w:pPr>
    </w:p>
    <w:p>
      <w:pPr>
        <w:pStyle w:val="BodyText"/>
        <w:spacing w:before="7"/>
        <w:rPr>
          <w:sz w:val="19"/>
        </w:rPr>
      </w:pPr>
    </w:p>
    <w:p>
      <w:pPr>
        <w:pStyle w:val="Heading7"/>
        <w:numPr>
          <w:ilvl w:val="0"/>
          <w:numId w:val="8"/>
        </w:numPr>
        <w:tabs>
          <w:tab w:pos="1820" w:val="left" w:leader="none"/>
          <w:tab w:pos="1821" w:val="left" w:leader="none"/>
        </w:tabs>
        <w:spacing w:line="240" w:lineRule="auto" w:before="1" w:after="0"/>
        <w:ind w:left="1820" w:right="0" w:hanging="721"/>
        <w:jc w:val="left"/>
      </w:pPr>
      <w:r>
        <w:rPr>
          <w:color w:val="1A171C"/>
        </w:rPr>
        <w:t>Motions and</w:t>
      </w:r>
      <w:r>
        <w:rPr>
          <w:color w:val="1A171C"/>
          <w:spacing w:val="-2"/>
        </w:rPr>
        <w:t> </w:t>
      </w:r>
      <w:r>
        <w:rPr>
          <w:color w:val="1A171C"/>
          <w:spacing w:val="-3"/>
        </w:rPr>
        <w:t>amendments</w:t>
      </w:r>
    </w:p>
    <w:p>
      <w:pPr>
        <w:pStyle w:val="ListParagraph"/>
        <w:numPr>
          <w:ilvl w:val="1"/>
          <w:numId w:val="8"/>
        </w:numPr>
        <w:tabs>
          <w:tab w:pos="1819" w:val="left" w:leader="none"/>
          <w:tab w:pos="1820" w:val="left" w:leader="none"/>
        </w:tabs>
        <w:spacing w:line="240" w:lineRule="auto" w:before="1" w:after="0"/>
        <w:ind w:left="1099" w:right="1765" w:firstLine="0"/>
        <w:jc w:val="left"/>
        <w:rPr>
          <w:sz w:val="22"/>
        </w:rPr>
      </w:pPr>
      <w:r>
        <w:rPr>
          <w:color w:val="1A171C"/>
          <w:sz w:val="22"/>
        </w:rPr>
        <w:t>A report presented to the Assembly by a committee or synod, under </w:t>
      </w:r>
      <w:r>
        <w:rPr>
          <w:color w:val="1A171C"/>
          <w:spacing w:val="-3"/>
          <w:sz w:val="22"/>
        </w:rPr>
        <w:t>Standing </w:t>
      </w:r>
      <w:r>
        <w:rPr>
          <w:color w:val="1A171C"/>
          <w:sz w:val="22"/>
        </w:rPr>
        <w:t>Order 1.1, shall be received for debate, unless notice has been duly given under</w:t>
      </w:r>
      <w:r>
        <w:rPr>
          <w:color w:val="1A171C"/>
          <w:spacing w:val="-28"/>
          <w:sz w:val="22"/>
        </w:rPr>
        <w:t> </w:t>
      </w:r>
      <w:r>
        <w:rPr>
          <w:color w:val="1A171C"/>
          <w:spacing w:val="-3"/>
          <w:sz w:val="22"/>
        </w:rPr>
        <w:t>Standing</w:t>
      </w:r>
    </w:p>
    <w:p>
      <w:pPr>
        <w:pStyle w:val="BodyText"/>
        <w:ind w:left="1099" w:right="1507"/>
      </w:pPr>
      <w:r>
        <w:rPr>
          <w:color w:val="1A171C"/>
        </w:rPr>
        <w:t>Order 3.4 of a motion to refer back to that committee or synod the whole or part of the report and its attached motion(s). Such a motion for reference back shall be debated and voted upon before the relevant report is itself debated. To carry such a motion two-thirds of the votes cast must be given in its favour. When a report has been received for debate, and before any motions consequent upon it are proposed, any member may speak to a matter arising from the report which is not the subject of a motion.</w:t>
      </w:r>
    </w:p>
    <w:p>
      <w:pPr>
        <w:pStyle w:val="BodyText"/>
      </w:pPr>
    </w:p>
    <w:p>
      <w:pPr>
        <w:pStyle w:val="ListParagraph"/>
        <w:numPr>
          <w:ilvl w:val="1"/>
          <w:numId w:val="8"/>
        </w:numPr>
        <w:tabs>
          <w:tab w:pos="1820" w:val="left" w:leader="none"/>
          <w:tab w:pos="1821" w:val="left" w:leader="none"/>
        </w:tabs>
        <w:spacing w:line="240" w:lineRule="auto" w:before="0" w:after="0"/>
        <w:ind w:left="1100" w:right="1453" w:firstLine="0"/>
        <w:jc w:val="left"/>
        <w:rPr>
          <w:sz w:val="22"/>
        </w:rPr>
      </w:pPr>
      <w:r>
        <w:rPr>
          <w:color w:val="1A171C"/>
          <w:sz w:val="22"/>
        </w:rPr>
        <w:t>During the meeting of the Assembly and on the report of a committee, notice (including the names of proposer and seconder) shall be given to the Clerk of any new motions which arise from the material of the report, and of any amendments which affect the substance of motions already presented.</w:t>
      </w:r>
      <w:r>
        <w:rPr>
          <w:color w:val="1A171C"/>
          <w:spacing w:val="-45"/>
          <w:sz w:val="22"/>
        </w:rPr>
        <w:t> </w:t>
      </w:r>
      <w:r>
        <w:rPr>
          <w:color w:val="1A171C"/>
          <w:sz w:val="22"/>
        </w:rPr>
        <w:t>The Moderator shall decide whether such motion or amendment requires to be circulated in writing to members before it is discussed by the </w:t>
      </w:r>
      <w:r>
        <w:rPr>
          <w:color w:val="1A171C"/>
          <w:spacing w:val="-3"/>
          <w:sz w:val="22"/>
        </w:rPr>
        <w:t>Assembly. </w:t>
      </w:r>
      <w:r>
        <w:rPr>
          <w:color w:val="1A171C"/>
          <w:sz w:val="22"/>
        </w:rPr>
        <w:t>During the course of the debate a new motion or amendment may be stated orally without supporting speech in order to ascertain whether a member is willing to second</w:t>
      </w:r>
      <w:r>
        <w:rPr>
          <w:color w:val="1A171C"/>
          <w:spacing w:val="-29"/>
          <w:sz w:val="22"/>
        </w:rPr>
        <w:t> </w:t>
      </w:r>
      <w:r>
        <w:rPr>
          <w:color w:val="1A171C"/>
          <w:sz w:val="22"/>
        </w:rPr>
        <w:t>it.</w:t>
      </w:r>
    </w:p>
    <w:p>
      <w:pPr>
        <w:pStyle w:val="BodyText"/>
        <w:spacing w:before="11"/>
        <w:rPr>
          <w:sz w:val="21"/>
        </w:rPr>
      </w:pPr>
    </w:p>
    <w:p>
      <w:pPr>
        <w:pStyle w:val="ListParagraph"/>
        <w:numPr>
          <w:ilvl w:val="1"/>
          <w:numId w:val="8"/>
        </w:numPr>
        <w:tabs>
          <w:tab w:pos="1820" w:val="left" w:leader="none"/>
          <w:tab w:pos="1821" w:val="left" w:leader="none"/>
        </w:tabs>
        <w:spacing w:line="240" w:lineRule="auto" w:before="0" w:after="0"/>
        <w:ind w:left="1100" w:right="1744" w:firstLine="0"/>
        <w:jc w:val="left"/>
        <w:rPr>
          <w:sz w:val="22"/>
        </w:rPr>
      </w:pPr>
      <w:r>
        <w:rPr>
          <w:color w:val="1A171C"/>
          <w:sz w:val="22"/>
        </w:rPr>
        <w:t>No motion or amendment shall be spoken to by </w:t>
      </w:r>
      <w:r>
        <w:rPr>
          <w:color w:val="1A171C"/>
          <w:spacing w:val="-2"/>
          <w:sz w:val="22"/>
        </w:rPr>
        <w:t>its </w:t>
      </w:r>
      <w:r>
        <w:rPr>
          <w:color w:val="1A171C"/>
          <w:spacing w:val="-3"/>
          <w:sz w:val="22"/>
        </w:rPr>
        <w:t>proposer, </w:t>
      </w:r>
      <w:r>
        <w:rPr>
          <w:color w:val="1A171C"/>
          <w:sz w:val="22"/>
        </w:rPr>
        <w:t>debated, or put to the Assembly unless it is known that there is a </w:t>
      </w:r>
      <w:r>
        <w:rPr>
          <w:color w:val="1A171C"/>
          <w:spacing w:val="-3"/>
          <w:sz w:val="22"/>
        </w:rPr>
        <w:t>seconder, </w:t>
      </w:r>
      <w:r>
        <w:rPr>
          <w:color w:val="1A171C"/>
          <w:sz w:val="22"/>
        </w:rPr>
        <w:t>the exception to this being motions presented on behalf of a committee, of which printed notice has been</w:t>
      </w:r>
      <w:r>
        <w:rPr>
          <w:color w:val="1A171C"/>
          <w:spacing w:val="-13"/>
          <w:sz w:val="22"/>
        </w:rPr>
        <w:t> </w:t>
      </w:r>
      <w:r>
        <w:rPr>
          <w:color w:val="1A171C"/>
          <w:sz w:val="22"/>
        </w:rPr>
        <w:t>given.</w:t>
      </w:r>
    </w:p>
    <w:p>
      <w:pPr>
        <w:pStyle w:val="BodyText"/>
      </w:pPr>
    </w:p>
    <w:p>
      <w:pPr>
        <w:pStyle w:val="ListParagraph"/>
        <w:numPr>
          <w:ilvl w:val="1"/>
          <w:numId w:val="8"/>
        </w:numPr>
        <w:tabs>
          <w:tab w:pos="1820" w:val="left" w:leader="none"/>
          <w:tab w:pos="1821" w:val="left" w:leader="none"/>
        </w:tabs>
        <w:spacing w:line="240" w:lineRule="auto" w:before="0" w:after="0"/>
        <w:ind w:left="1100" w:right="1521" w:firstLine="0"/>
        <w:jc w:val="left"/>
        <w:rPr>
          <w:sz w:val="22"/>
        </w:rPr>
      </w:pPr>
      <w:r>
        <w:rPr>
          <w:color w:val="1A171C"/>
          <w:sz w:val="22"/>
        </w:rPr>
        <w:t>A</w:t>
      </w:r>
      <w:r>
        <w:rPr>
          <w:color w:val="1A171C"/>
          <w:spacing w:val="-46"/>
          <w:sz w:val="22"/>
        </w:rPr>
        <w:t> </w:t>
      </w:r>
      <w:r>
        <w:rPr>
          <w:color w:val="1A171C"/>
          <w:sz w:val="22"/>
        </w:rPr>
        <w:t>seconder may second without speaking and, by declaring the intention of doing so, reserves the right of speaking until a later period in the</w:t>
      </w:r>
      <w:r>
        <w:rPr>
          <w:color w:val="1A171C"/>
          <w:spacing w:val="-5"/>
          <w:sz w:val="22"/>
        </w:rPr>
        <w:t> </w:t>
      </w:r>
      <w:r>
        <w:rPr>
          <w:color w:val="1A171C"/>
          <w:sz w:val="22"/>
        </w:rPr>
        <w:t>debate.</w:t>
      </w:r>
    </w:p>
    <w:p>
      <w:pPr>
        <w:pStyle w:val="BodyText"/>
        <w:spacing w:before="2"/>
        <w:rPr>
          <w:sz w:val="21"/>
        </w:rPr>
      </w:pPr>
    </w:p>
    <w:p>
      <w:pPr>
        <w:spacing w:before="97"/>
        <w:ind w:left="0" w:right="423" w:firstLine="0"/>
        <w:jc w:val="right"/>
        <w:rPr>
          <w:rFonts w:ascii="Stone Sans II ITC Std X Bd"/>
          <w:b/>
          <w:sz w:val="24"/>
        </w:rPr>
      </w:pPr>
      <w:r>
        <w:rPr>
          <w:rFonts w:ascii="Stone Sans II ITC Std X Bd"/>
          <w:b/>
          <w:color w:val="1A171C"/>
          <w:sz w:val="24"/>
        </w:rPr>
        <w:t>25</w:t>
      </w:r>
    </w:p>
    <w:p>
      <w:pPr>
        <w:spacing w:after="0"/>
        <w:jc w:val="right"/>
        <w:rPr>
          <w:rFonts w:ascii="Stone Sans II ITC Std X Bd"/>
          <w:sz w:val="24"/>
        </w:rPr>
        <w:sectPr>
          <w:pgSz w:w="11910" w:h="16840"/>
          <w:pgMar w:top="240" w:bottom="0" w:left="320" w:right="0"/>
        </w:sectPr>
      </w:pPr>
    </w:p>
    <w:p>
      <w:pPr>
        <w:pStyle w:val="BodyText"/>
        <w:rPr>
          <w:rFonts w:ascii="Stone Sans II ITC Std X Bd"/>
          <w:b/>
          <w:sz w:val="20"/>
        </w:rPr>
      </w:pPr>
      <w:r>
        <w:rPr/>
        <w:pict>
          <v:group style="position:absolute;margin-left:12.756pt;margin-top:12.755014pt;width:77.8pt;height:816.4pt;mso-position-horizontal-relative:page;mso-position-vertical-relative:page;z-index:-253349888" coordorigin="255,255" coordsize="1556,16328">
            <v:shape style="position:absolute;left:255;top:255;width:681;height:16328" type="#_x0000_t75" stroked="false">
              <v:imagedata r:id="rId20"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3BA533" w:color="auto" w:val="clear"/>
                      </w:rPr>
                      <w:t>B</w:t>
                    </w:r>
                    <w:r>
                      <w:rPr>
                        <w:rFonts w:ascii="Stone Sans II ITC Std X Bd"/>
                        <w:b/>
                        <w:color w:val="FFFFFF"/>
                        <w:sz w:val="65"/>
                        <w:shd w:fill="3BA533" w:color="auto" w:val="clear"/>
                      </w:rPr>
                      <w:tab/>
                    </w:r>
                  </w:p>
                </w:txbxContent>
              </v:textbox>
              <w10:wrap type="none"/>
            </v:shape>
            <v:shape style="position:absolute;left:435;top:15990;width:34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26</w:t>
                    </w:r>
                  </w:p>
                </w:txbxContent>
              </v:textbox>
              <w10:wrap type="none"/>
            </v:shape>
            <w10:wrap type="none"/>
          </v:group>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5"/>
        <w:rPr>
          <w:rFonts w:ascii="Stone Sans II ITC Std X Bd"/>
          <w:b/>
          <w:sz w:val="15"/>
        </w:rPr>
      </w:pPr>
    </w:p>
    <w:p>
      <w:pPr>
        <w:pStyle w:val="ListParagraph"/>
        <w:numPr>
          <w:ilvl w:val="1"/>
          <w:numId w:val="8"/>
        </w:numPr>
        <w:tabs>
          <w:tab w:pos="1760" w:val="left" w:leader="none"/>
          <w:tab w:pos="1761" w:val="left" w:leader="none"/>
        </w:tabs>
        <w:spacing w:line="240" w:lineRule="auto" w:before="94" w:after="0"/>
        <w:ind w:left="1040" w:right="1570" w:firstLine="0"/>
        <w:jc w:val="left"/>
        <w:rPr>
          <w:sz w:val="22"/>
        </w:rPr>
      </w:pPr>
      <w:r>
        <w:rPr/>
        <w:pict>
          <v:shape style="position:absolute;margin-left:21.22007pt;margin-top:-15.557406pt;width:16.3500pt;height:346.1pt;mso-position-horizontal-relative:page;mso-position-vertical-relative:paragraph;z-index:251763712"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sz w:val="22"/>
        </w:rPr>
        <w:t>An amendment shall be either to omit words or to insert words or to do both, but no amendment shall be in order which has the effect of introducing an irrelevant proposal or of negating the motion. The Moderator may rule that a proposed amendment should be treated as an alternative motion under </w:t>
      </w:r>
      <w:r>
        <w:rPr>
          <w:color w:val="1A171C"/>
          <w:spacing w:val="-3"/>
          <w:sz w:val="22"/>
        </w:rPr>
        <w:t>Standing </w:t>
      </w:r>
      <w:r>
        <w:rPr>
          <w:color w:val="1A171C"/>
          <w:sz w:val="22"/>
        </w:rPr>
        <w:t>Order</w:t>
      </w:r>
      <w:r>
        <w:rPr>
          <w:color w:val="1A171C"/>
          <w:spacing w:val="1"/>
          <w:sz w:val="22"/>
        </w:rPr>
        <w:t> </w:t>
      </w:r>
      <w:r>
        <w:rPr>
          <w:color w:val="1A171C"/>
          <w:sz w:val="22"/>
        </w:rPr>
        <w:t>4.10.</w:t>
      </w:r>
    </w:p>
    <w:p>
      <w:pPr>
        <w:pStyle w:val="BodyText"/>
      </w:pPr>
    </w:p>
    <w:p>
      <w:pPr>
        <w:pStyle w:val="ListParagraph"/>
        <w:numPr>
          <w:ilvl w:val="1"/>
          <w:numId w:val="8"/>
        </w:numPr>
        <w:tabs>
          <w:tab w:pos="1760" w:val="left" w:leader="none"/>
          <w:tab w:pos="1761" w:val="left" w:leader="none"/>
        </w:tabs>
        <w:spacing w:line="240" w:lineRule="auto" w:before="0" w:after="0"/>
        <w:ind w:left="1040" w:right="1559" w:firstLine="0"/>
        <w:jc w:val="left"/>
        <w:rPr>
          <w:sz w:val="22"/>
        </w:rPr>
      </w:pPr>
      <w:r>
        <w:rPr>
          <w:color w:val="1A171C"/>
          <w:sz w:val="22"/>
        </w:rPr>
        <w:t>If an amendment is carried, the motion as amended shall take the place of the original motion and shall become the substantive motion upon which any further amendment may be moved. If an amendment is rejected a further amendment with a different outcome may be</w:t>
      </w:r>
      <w:r>
        <w:rPr>
          <w:color w:val="1A171C"/>
          <w:spacing w:val="-5"/>
          <w:sz w:val="22"/>
        </w:rPr>
        <w:t> </w:t>
      </w:r>
      <w:r>
        <w:rPr>
          <w:color w:val="1A171C"/>
          <w:sz w:val="22"/>
        </w:rPr>
        <w:t>moved.</w:t>
      </w:r>
    </w:p>
    <w:p>
      <w:pPr>
        <w:pStyle w:val="BodyText"/>
        <w:spacing w:before="11"/>
        <w:rPr>
          <w:sz w:val="21"/>
        </w:rPr>
      </w:pPr>
    </w:p>
    <w:p>
      <w:pPr>
        <w:pStyle w:val="ListParagraph"/>
        <w:numPr>
          <w:ilvl w:val="1"/>
          <w:numId w:val="8"/>
        </w:numPr>
        <w:tabs>
          <w:tab w:pos="1760" w:val="left" w:leader="none"/>
          <w:tab w:pos="1761" w:val="left" w:leader="none"/>
        </w:tabs>
        <w:spacing w:line="240" w:lineRule="auto" w:before="0" w:after="0"/>
        <w:ind w:left="1040" w:right="1472" w:firstLine="0"/>
        <w:jc w:val="left"/>
        <w:rPr>
          <w:sz w:val="22"/>
        </w:rPr>
      </w:pPr>
      <w:r>
        <w:rPr>
          <w:color w:val="1A171C"/>
          <w:sz w:val="22"/>
        </w:rPr>
        <w:t>An amendment which has been moved and seconded shall be disposed of before any further amendment may be moved, but notice may be given of intention to move a further amendment should the one before the Assembly be</w:t>
      </w:r>
      <w:r>
        <w:rPr>
          <w:color w:val="1A171C"/>
          <w:spacing w:val="-21"/>
          <w:sz w:val="22"/>
        </w:rPr>
        <w:t> </w:t>
      </w:r>
      <w:r>
        <w:rPr>
          <w:color w:val="1A171C"/>
          <w:sz w:val="22"/>
        </w:rPr>
        <w:t>rejected.</w:t>
      </w:r>
    </w:p>
    <w:p>
      <w:pPr>
        <w:pStyle w:val="BodyText"/>
      </w:pPr>
    </w:p>
    <w:p>
      <w:pPr>
        <w:pStyle w:val="ListParagraph"/>
        <w:numPr>
          <w:ilvl w:val="1"/>
          <w:numId w:val="8"/>
        </w:numPr>
        <w:tabs>
          <w:tab w:pos="1760" w:val="left" w:leader="none"/>
          <w:tab w:pos="1761" w:val="left" w:leader="none"/>
        </w:tabs>
        <w:spacing w:line="240" w:lineRule="auto" w:before="1" w:after="0"/>
        <w:ind w:left="1040" w:right="2346" w:firstLine="0"/>
        <w:jc w:val="left"/>
        <w:rPr>
          <w:sz w:val="22"/>
        </w:rPr>
      </w:pPr>
      <w:r>
        <w:rPr>
          <w:color w:val="1A171C"/>
          <w:sz w:val="22"/>
        </w:rPr>
        <w:t>The mover </w:t>
      </w:r>
      <w:r>
        <w:rPr>
          <w:color w:val="1A171C"/>
          <w:spacing w:val="-6"/>
          <w:sz w:val="22"/>
        </w:rPr>
        <w:t>may, </w:t>
      </w:r>
      <w:r>
        <w:rPr>
          <w:color w:val="1A171C"/>
          <w:sz w:val="22"/>
        </w:rPr>
        <w:t>with the concurrence of the seconder and the consent of the </w:t>
      </w:r>
      <w:r>
        <w:rPr>
          <w:color w:val="1A171C"/>
          <w:spacing w:val="-3"/>
          <w:sz w:val="22"/>
        </w:rPr>
        <w:t>Assembly, </w:t>
      </w:r>
      <w:r>
        <w:rPr>
          <w:color w:val="1A171C"/>
          <w:sz w:val="22"/>
        </w:rPr>
        <w:t>alter the motion or amendment</w:t>
      </w:r>
      <w:r>
        <w:rPr>
          <w:color w:val="1A171C"/>
          <w:spacing w:val="-1"/>
          <w:sz w:val="22"/>
        </w:rPr>
        <w:t> </w:t>
      </w:r>
      <w:r>
        <w:rPr>
          <w:color w:val="1A171C"/>
          <w:sz w:val="22"/>
        </w:rPr>
        <w:t>proposed.</w:t>
      </w:r>
    </w:p>
    <w:p>
      <w:pPr>
        <w:pStyle w:val="BodyText"/>
        <w:spacing w:before="10"/>
        <w:rPr>
          <w:sz w:val="21"/>
        </w:rPr>
      </w:pPr>
    </w:p>
    <w:p>
      <w:pPr>
        <w:pStyle w:val="ListParagraph"/>
        <w:numPr>
          <w:ilvl w:val="1"/>
          <w:numId w:val="8"/>
        </w:numPr>
        <w:tabs>
          <w:tab w:pos="1760" w:val="left" w:leader="none"/>
          <w:tab w:pos="1761" w:val="left" w:leader="none"/>
        </w:tabs>
        <w:spacing w:line="240" w:lineRule="auto" w:before="0" w:after="0"/>
        <w:ind w:left="1040" w:right="1728" w:firstLine="0"/>
        <w:jc w:val="left"/>
        <w:rPr>
          <w:sz w:val="22"/>
        </w:rPr>
      </w:pPr>
      <w:r>
        <w:rPr>
          <w:color w:val="1A171C"/>
          <w:sz w:val="22"/>
        </w:rPr>
        <w:t>A</w:t>
      </w:r>
      <w:r>
        <w:rPr>
          <w:color w:val="1A171C"/>
          <w:spacing w:val="-47"/>
          <w:sz w:val="22"/>
        </w:rPr>
        <w:t> </w:t>
      </w:r>
      <w:r>
        <w:rPr>
          <w:color w:val="1A171C"/>
          <w:sz w:val="22"/>
        </w:rPr>
        <w:t>motion or amendment may be withdrawn by the proposer with the concurrence of the seconder and the consent of the </w:t>
      </w:r>
      <w:r>
        <w:rPr>
          <w:color w:val="1A171C"/>
          <w:spacing w:val="-4"/>
          <w:sz w:val="22"/>
        </w:rPr>
        <w:t>Assembly. </w:t>
      </w:r>
      <w:r>
        <w:rPr>
          <w:color w:val="1A171C"/>
          <w:sz w:val="22"/>
        </w:rPr>
        <w:t>Any such consent shall be signified without discussion. It shall not be in order for any member to speak upon it after the proposer has asked permission to withdraw unless such permission shall have been</w:t>
      </w:r>
      <w:r>
        <w:rPr>
          <w:color w:val="1A171C"/>
          <w:spacing w:val="-17"/>
          <w:sz w:val="22"/>
        </w:rPr>
        <w:t> </w:t>
      </w:r>
      <w:r>
        <w:rPr>
          <w:color w:val="1A171C"/>
          <w:sz w:val="22"/>
        </w:rPr>
        <w:t>refused.</w:t>
      </w:r>
    </w:p>
    <w:p>
      <w:pPr>
        <w:pStyle w:val="BodyText"/>
      </w:pPr>
    </w:p>
    <w:p>
      <w:pPr>
        <w:pStyle w:val="ListParagraph"/>
        <w:numPr>
          <w:ilvl w:val="1"/>
          <w:numId w:val="8"/>
        </w:numPr>
        <w:tabs>
          <w:tab w:pos="1760" w:val="left" w:leader="none"/>
          <w:tab w:pos="1761" w:val="left" w:leader="none"/>
        </w:tabs>
        <w:spacing w:line="240" w:lineRule="auto" w:before="0" w:after="0"/>
        <w:ind w:left="1040" w:right="1422" w:firstLine="0"/>
        <w:jc w:val="left"/>
        <w:rPr>
          <w:sz w:val="22"/>
        </w:rPr>
      </w:pPr>
      <w:r>
        <w:rPr>
          <w:color w:val="1A171C"/>
          <w:sz w:val="22"/>
        </w:rPr>
        <w:t>Alternative (but not directly negative) motions may be moved and seconded in competition with a motion before the </w:t>
      </w:r>
      <w:r>
        <w:rPr>
          <w:color w:val="1A171C"/>
          <w:spacing w:val="-3"/>
          <w:sz w:val="22"/>
        </w:rPr>
        <w:t>Assembly. </w:t>
      </w:r>
      <w:r>
        <w:rPr>
          <w:color w:val="1A171C"/>
          <w:sz w:val="22"/>
        </w:rPr>
        <w:t>After any amendments duly moved under </w:t>
      </w:r>
      <w:r>
        <w:rPr>
          <w:color w:val="1A171C"/>
          <w:spacing w:val="-3"/>
          <w:sz w:val="22"/>
        </w:rPr>
        <w:t>Standing </w:t>
      </w:r>
      <w:r>
        <w:rPr>
          <w:color w:val="1A171C"/>
          <w:sz w:val="22"/>
        </w:rPr>
        <w:t>Orders 4.5, 4.6 and 4.7 have been dealt with and debate on the alternative motions has ended, the movers shall reply to the debate in reverse order to that in which they spoke </w:t>
      </w:r>
      <w:r>
        <w:rPr>
          <w:color w:val="1A171C"/>
          <w:spacing w:val="-3"/>
          <w:sz w:val="22"/>
        </w:rPr>
        <w:t>initially. </w:t>
      </w:r>
      <w:r>
        <w:rPr>
          <w:color w:val="1A171C"/>
          <w:sz w:val="22"/>
        </w:rPr>
        <w:t>The first vote shall be a vote in favour of each of the motions, put in the order in which they were proposed, the result not being announced for one until it is announced for all. If any of them obtains a majority of those voting, it becomes the sole motion before the </w:t>
      </w:r>
      <w:r>
        <w:rPr>
          <w:color w:val="1A171C"/>
          <w:spacing w:val="-3"/>
          <w:sz w:val="22"/>
        </w:rPr>
        <w:t>Assembly. </w:t>
      </w:r>
      <w:r>
        <w:rPr>
          <w:color w:val="1A171C"/>
          <w:sz w:val="22"/>
        </w:rPr>
        <w:t>If none of them does so, the motion having the fewest votes is discarded. Should the lowest two be equal, the Moderator gives a casting vote. The voting process is repeated until one motion achieves a majority of those voting. Once a sole motion remains, votes for and against that motion shall be taken in the normal way and in accordance with </w:t>
      </w:r>
      <w:r>
        <w:rPr>
          <w:color w:val="1A171C"/>
          <w:spacing w:val="-3"/>
          <w:sz w:val="22"/>
        </w:rPr>
        <w:t>Standing </w:t>
      </w:r>
      <w:r>
        <w:rPr>
          <w:color w:val="1A171C"/>
          <w:sz w:val="22"/>
        </w:rPr>
        <w:t>Order</w:t>
      </w:r>
      <w:r>
        <w:rPr>
          <w:color w:val="1A171C"/>
          <w:spacing w:val="-13"/>
          <w:sz w:val="22"/>
        </w:rPr>
        <w:t> </w:t>
      </w:r>
      <w:r>
        <w:rPr>
          <w:color w:val="1A171C"/>
          <w:sz w:val="22"/>
        </w:rPr>
        <w:t>7.</w:t>
      </w:r>
    </w:p>
    <w:p>
      <w:pPr>
        <w:pStyle w:val="BodyText"/>
        <w:rPr>
          <w:sz w:val="24"/>
        </w:rPr>
      </w:pPr>
    </w:p>
    <w:p>
      <w:pPr>
        <w:pStyle w:val="BodyText"/>
        <w:spacing w:before="7"/>
        <w:rPr>
          <w:sz w:val="19"/>
        </w:rPr>
      </w:pPr>
    </w:p>
    <w:p>
      <w:pPr>
        <w:pStyle w:val="Heading7"/>
        <w:numPr>
          <w:ilvl w:val="0"/>
          <w:numId w:val="8"/>
        </w:numPr>
        <w:tabs>
          <w:tab w:pos="1760" w:val="left" w:leader="none"/>
          <w:tab w:pos="1761" w:val="left" w:leader="none"/>
        </w:tabs>
        <w:spacing w:line="240" w:lineRule="auto" w:before="1" w:after="0"/>
        <w:ind w:left="1760" w:right="0" w:hanging="721"/>
        <w:jc w:val="left"/>
      </w:pPr>
      <w:r>
        <w:rPr>
          <w:color w:val="1A171C"/>
        </w:rPr>
        <w:t>Timing of speeches and of other</w:t>
      </w:r>
      <w:r>
        <w:rPr>
          <w:color w:val="1A171C"/>
          <w:spacing w:val="-4"/>
        </w:rPr>
        <w:t> </w:t>
      </w:r>
      <w:r>
        <w:rPr>
          <w:color w:val="1A171C"/>
        </w:rPr>
        <w:t>business</w:t>
      </w:r>
    </w:p>
    <w:p>
      <w:pPr>
        <w:pStyle w:val="ListParagraph"/>
        <w:numPr>
          <w:ilvl w:val="1"/>
          <w:numId w:val="8"/>
        </w:numPr>
        <w:tabs>
          <w:tab w:pos="1760" w:val="left" w:leader="none"/>
          <w:tab w:pos="1761" w:val="left" w:leader="none"/>
        </w:tabs>
        <w:spacing w:line="240" w:lineRule="auto" w:before="3" w:after="0"/>
        <w:ind w:left="1040" w:right="1430" w:hanging="1"/>
        <w:jc w:val="left"/>
        <w:rPr>
          <w:sz w:val="22"/>
        </w:rPr>
      </w:pPr>
      <w:r>
        <w:rPr>
          <w:color w:val="1A171C"/>
          <w:sz w:val="22"/>
        </w:rPr>
        <w:t>Save by prior agreement of the officers of the </w:t>
      </w:r>
      <w:r>
        <w:rPr>
          <w:color w:val="1A171C"/>
          <w:spacing w:val="-4"/>
          <w:sz w:val="22"/>
        </w:rPr>
        <w:t>Assembly, </w:t>
      </w:r>
      <w:r>
        <w:rPr>
          <w:color w:val="1A171C"/>
          <w:sz w:val="22"/>
        </w:rPr>
        <w:t>speeches made in the presentation</w:t>
      </w:r>
      <w:r>
        <w:rPr>
          <w:color w:val="1A171C"/>
          <w:spacing w:val="-4"/>
          <w:sz w:val="22"/>
        </w:rPr>
        <w:t> </w:t>
      </w:r>
      <w:r>
        <w:rPr>
          <w:color w:val="1A171C"/>
          <w:sz w:val="22"/>
        </w:rPr>
        <w:t>of</w:t>
      </w:r>
      <w:r>
        <w:rPr>
          <w:color w:val="1A171C"/>
          <w:spacing w:val="-3"/>
          <w:sz w:val="22"/>
        </w:rPr>
        <w:t> </w:t>
      </w:r>
      <w:r>
        <w:rPr>
          <w:color w:val="1A171C"/>
          <w:sz w:val="22"/>
        </w:rPr>
        <w:t>reports</w:t>
      </w:r>
      <w:r>
        <w:rPr>
          <w:color w:val="1A171C"/>
          <w:spacing w:val="-5"/>
          <w:sz w:val="22"/>
        </w:rPr>
        <w:t> </w:t>
      </w:r>
      <w:r>
        <w:rPr>
          <w:color w:val="1A171C"/>
          <w:sz w:val="22"/>
        </w:rPr>
        <w:t>concerning</w:t>
      </w:r>
      <w:r>
        <w:rPr>
          <w:color w:val="1A171C"/>
          <w:spacing w:val="-4"/>
          <w:sz w:val="22"/>
        </w:rPr>
        <w:t> </w:t>
      </w:r>
      <w:r>
        <w:rPr>
          <w:color w:val="1A171C"/>
          <w:sz w:val="22"/>
        </w:rPr>
        <w:t>past</w:t>
      </w:r>
      <w:r>
        <w:rPr>
          <w:color w:val="1A171C"/>
          <w:spacing w:val="-1"/>
          <w:sz w:val="22"/>
        </w:rPr>
        <w:t> </w:t>
      </w:r>
      <w:r>
        <w:rPr>
          <w:color w:val="1A171C"/>
          <w:sz w:val="22"/>
        </w:rPr>
        <w:t>work of</w:t>
      </w:r>
      <w:r>
        <w:rPr>
          <w:color w:val="1A171C"/>
          <w:spacing w:val="-13"/>
          <w:sz w:val="22"/>
        </w:rPr>
        <w:t> </w:t>
      </w:r>
      <w:r>
        <w:rPr>
          <w:color w:val="1A171C"/>
          <w:sz w:val="22"/>
        </w:rPr>
        <w:t>Assembly</w:t>
      </w:r>
      <w:r>
        <w:rPr>
          <w:color w:val="1A171C"/>
          <w:spacing w:val="-5"/>
          <w:sz w:val="22"/>
        </w:rPr>
        <w:t> </w:t>
      </w:r>
      <w:r>
        <w:rPr>
          <w:color w:val="1A171C"/>
          <w:sz w:val="22"/>
        </w:rPr>
        <w:t>committees</w:t>
      </w:r>
      <w:r>
        <w:rPr>
          <w:color w:val="1A171C"/>
          <w:spacing w:val="-3"/>
          <w:sz w:val="22"/>
        </w:rPr>
        <w:t> </w:t>
      </w:r>
      <w:r>
        <w:rPr>
          <w:color w:val="1A171C"/>
          <w:sz w:val="22"/>
        </w:rPr>
        <w:t>which</w:t>
      </w:r>
      <w:r>
        <w:rPr>
          <w:color w:val="1A171C"/>
          <w:spacing w:val="-3"/>
          <w:sz w:val="22"/>
        </w:rPr>
        <w:t> </w:t>
      </w:r>
      <w:r>
        <w:rPr>
          <w:color w:val="1A171C"/>
          <w:sz w:val="22"/>
        </w:rPr>
        <w:t>are</w:t>
      </w:r>
      <w:r>
        <w:rPr>
          <w:color w:val="1A171C"/>
          <w:spacing w:val="-5"/>
          <w:sz w:val="22"/>
        </w:rPr>
        <w:t> </w:t>
      </w:r>
      <w:r>
        <w:rPr>
          <w:color w:val="1A171C"/>
          <w:sz w:val="22"/>
        </w:rPr>
        <w:t>to</w:t>
      </w:r>
      <w:r>
        <w:rPr>
          <w:color w:val="1A171C"/>
          <w:spacing w:val="-5"/>
          <w:sz w:val="22"/>
        </w:rPr>
        <w:t> </w:t>
      </w:r>
      <w:r>
        <w:rPr>
          <w:color w:val="1A171C"/>
          <w:sz w:val="22"/>
        </w:rPr>
        <w:t>be</w:t>
      </w:r>
      <w:r>
        <w:rPr>
          <w:color w:val="1A171C"/>
          <w:spacing w:val="-4"/>
          <w:sz w:val="22"/>
        </w:rPr>
        <w:t> </w:t>
      </w:r>
      <w:r>
        <w:rPr>
          <w:color w:val="1A171C"/>
          <w:sz w:val="22"/>
        </w:rPr>
        <w:t>open</w:t>
      </w:r>
      <w:r>
        <w:rPr>
          <w:color w:val="1A171C"/>
          <w:spacing w:val="-5"/>
          <w:sz w:val="22"/>
        </w:rPr>
        <w:t> </w:t>
      </w:r>
      <w:r>
        <w:rPr>
          <w:color w:val="1A171C"/>
          <w:sz w:val="22"/>
        </w:rPr>
        <w:t>to question, comment or discussion shall not exceed five</w:t>
      </w:r>
      <w:r>
        <w:rPr>
          <w:color w:val="1A171C"/>
          <w:spacing w:val="-7"/>
          <w:sz w:val="22"/>
        </w:rPr>
        <w:t> </w:t>
      </w:r>
      <w:r>
        <w:rPr>
          <w:color w:val="1A171C"/>
          <w:sz w:val="22"/>
        </w:rPr>
        <w:t>minutes.</w:t>
      </w:r>
    </w:p>
    <w:p>
      <w:pPr>
        <w:pStyle w:val="BodyText"/>
        <w:spacing w:before="10"/>
        <w:rPr>
          <w:sz w:val="21"/>
        </w:rPr>
      </w:pPr>
    </w:p>
    <w:p>
      <w:pPr>
        <w:pStyle w:val="ListParagraph"/>
        <w:numPr>
          <w:ilvl w:val="1"/>
          <w:numId w:val="8"/>
        </w:numPr>
        <w:tabs>
          <w:tab w:pos="1760" w:val="left" w:leader="none"/>
          <w:tab w:pos="1761" w:val="left" w:leader="none"/>
        </w:tabs>
        <w:spacing w:line="240" w:lineRule="auto" w:before="0" w:after="0"/>
        <w:ind w:left="1040" w:right="1759" w:firstLine="0"/>
        <w:jc w:val="left"/>
        <w:rPr>
          <w:sz w:val="22"/>
        </w:rPr>
      </w:pPr>
      <w:r>
        <w:rPr>
          <w:color w:val="1A171C"/>
          <w:sz w:val="22"/>
        </w:rPr>
        <w:t>Save by the prior agreement of the officers of the Assembly, speeches made in support of the motions from any Assembly committee, including the Mission Council, or from any synod shall not in aggregate exceed 45 minutes, nor shall speeches in support of any particular committee or synod motion exceed 12 minutes, (e.g. a committee with three motions may not exceed 36 minutes). The proposers of any other motion of which due notice has been given shall be allowed an aggregate of 10 minutes, unless a longer period be recommended by the officers of the</w:t>
      </w:r>
      <w:r>
        <w:rPr>
          <w:color w:val="1A171C"/>
          <w:spacing w:val="30"/>
          <w:sz w:val="22"/>
        </w:rPr>
        <w:t> </w:t>
      </w:r>
      <w:r>
        <w:rPr>
          <w:color w:val="1A171C"/>
          <w:sz w:val="22"/>
        </w:rPr>
        <w:t>Assembly or determined by the Moderator.</w:t>
      </w:r>
    </w:p>
    <w:p>
      <w:pPr>
        <w:pStyle w:val="BodyText"/>
        <w:ind w:left="1040" w:right="1594"/>
      </w:pPr>
      <w:r>
        <w:rPr>
          <w:color w:val="1A171C"/>
        </w:rPr>
        <w:t>Each subsequent speaker in any debate shall be allowed five minutes unless the Moderator shall determine otherwise; it shall, in particular, be open to the Moderator to determine that  all speeches in a debate or from a particular point in a debate shall be of not more than   three</w:t>
      </w:r>
      <w:r>
        <w:rPr>
          <w:color w:val="1A171C"/>
          <w:spacing w:val="3"/>
        </w:rPr>
        <w:t> </w:t>
      </w:r>
      <w:r>
        <w:rPr>
          <w:color w:val="1A171C"/>
        </w:rPr>
        <w:t>minutes.</w:t>
      </w:r>
    </w:p>
    <w:p>
      <w:pPr>
        <w:pStyle w:val="BodyText"/>
      </w:pPr>
    </w:p>
    <w:p>
      <w:pPr>
        <w:pStyle w:val="ListParagraph"/>
        <w:numPr>
          <w:ilvl w:val="1"/>
          <w:numId w:val="8"/>
        </w:numPr>
        <w:tabs>
          <w:tab w:pos="1760" w:val="left" w:leader="none"/>
          <w:tab w:pos="1761" w:val="left" w:leader="none"/>
        </w:tabs>
        <w:spacing w:line="240" w:lineRule="auto" w:before="0" w:after="0"/>
        <w:ind w:left="1040" w:right="1696" w:firstLine="0"/>
        <w:jc w:val="left"/>
        <w:rPr>
          <w:sz w:val="22"/>
        </w:rPr>
      </w:pPr>
      <w:r>
        <w:rPr>
          <w:color w:val="1A171C"/>
          <w:sz w:val="22"/>
        </w:rPr>
        <w:t>When a speech is made on behalf of a committee, it shall be so stated. Otherwise</w:t>
      </w:r>
      <w:r>
        <w:rPr>
          <w:color w:val="1A171C"/>
          <w:spacing w:val="-34"/>
          <w:sz w:val="22"/>
        </w:rPr>
        <w:t> </w:t>
      </w:r>
      <w:r>
        <w:rPr>
          <w:color w:val="1A171C"/>
          <w:sz w:val="22"/>
        </w:rPr>
        <w:t>a speaker shall begin by giving name and accreditation to the</w:t>
      </w:r>
      <w:r>
        <w:rPr>
          <w:color w:val="1A171C"/>
          <w:spacing w:val="-21"/>
          <w:sz w:val="22"/>
        </w:rPr>
        <w:t> </w:t>
      </w:r>
      <w:r>
        <w:rPr>
          <w:color w:val="1A171C"/>
          <w:spacing w:val="-4"/>
          <w:sz w:val="22"/>
        </w:rPr>
        <w:t>Assembly.</w:t>
      </w:r>
    </w:p>
    <w:p>
      <w:pPr>
        <w:pStyle w:val="BodyText"/>
        <w:spacing w:before="10"/>
        <w:rPr>
          <w:sz w:val="21"/>
        </w:rPr>
      </w:pPr>
    </w:p>
    <w:p>
      <w:pPr>
        <w:pStyle w:val="ListParagraph"/>
        <w:numPr>
          <w:ilvl w:val="1"/>
          <w:numId w:val="8"/>
        </w:numPr>
        <w:tabs>
          <w:tab w:pos="1760" w:val="left" w:leader="none"/>
          <w:tab w:pos="1761" w:val="left" w:leader="none"/>
        </w:tabs>
        <w:spacing w:line="240" w:lineRule="auto" w:before="1" w:after="0"/>
        <w:ind w:left="1040" w:right="1463" w:firstLine="0"/>
        <w:jc w:val="left"/>
        <w:rPr>
          <w:sz w:val="22"/>
        </w:rPr>
      </w:pPr>
      <w:r>
        <w:rPr>
          <w:color w:val="1A171C"/>
          <w:sz w:val="22"/>
        </w:rPr>
        <w:t>Secretaries of committees and full-time executive secretaries who are not members of Assembly may speak on the report of a committee for which they have responsibility at</w:t>
      </w:r>
      <w:r>
        <w:rPr>
          <w:color w:val="1A171C"/>
          <w:spacing w:val="-31"/>
          <w:sz w:val="22"/>
        </w:rPr>
        <w:t> </w:t>
      </w:r>
      <w:r>
        <w:rPr>
          <w:color w:val="1A171C"/>
          <w:sz w:val="22"/>
        </w:rPr>
        <w:t>the</w:t>
      </w:r>
    </w:p>
    <w:p>
      <w:pPr>
        <w:spacing w:after="0" w:line="240" w:lineRule="auto"/>
        <w:jc w:val="left"/>
        <w:rPr>
          <w:sz w:val="22"/>
        </w:rPr>
        <w:sectPr>
          <w:pgSz w:w="11910" w:h="16840"/>
          <w:pgMar w:top="240" w:bottom="0" w:left="320" w:right="0"/>
        </w:sectPr>
      </w:pPr>
    </w:p>
    <w:p>
      <w:pPr>
        <w:pStyle w:val="Heading1"/>
        <w:tabs>
          <w:tab w:pos="864" w:val="left" w:leader="none"/>
        </w:tabs>
        <w:rPr>
          <w:b/>
        </w:rPr>
      </w:pPr>
      <w:r>
        <w:rPr/>
        <w:drawing>
          <wp:anchor distT="0" distB="0" distL="0" distR="0" allowOverlap="1" layoutInCell="1" locked="0" behindDoc="1" simplePos="0" relativeHeight="249968640">
            <wp:simplePos x="0" y="0"/>
            <wp:positionH relativeFrom="page">
              <wp:posOffset>6974928</wp:posOffset>
            </wp:positionH>
            <wp:positionV relativeFrom="page">
              <wp:posOffset>161988</wp:posOffset>
            </wp:positionV>
            <wp:extent cx="432079" cy="10368000"/>
            <wp:effectExtent l="0" t="0" r="0" b="0"/>
            <wp:wrapNone/>
            <wp:docPr id="27" name="image12.png"/>
            <wp:cNvGraphicFramePr>
              <a:graphicFrameLocks noChangeAspect="1"/>
            </wp:cNvGraphicFramePr>
            <a:graphic>
              <a:graphicData uri="http://schemas.openxmlformats.org/drawingml/2006/picture">
                <pic:pic>
                  <pic:nvPicPr>
                    <pic:cNvPr id="28" name="image12.png"/>
                    <pic:cNvPicPr/>
                  </pic:nvPicPr>
                  <pic:blipFill>
                    <a:blip r:embed="rId19" cstate="print"/>
                    <a:stretch>
                      <a:fillRect/>
                    </a:stretch>
                  </pic:blipFill>
                  <pic:spPr>
                    <a:xfrm>
                      <a:off x="0" y="0"/>
                      <a:ext cx="432079" cy="10368000"/>
                    </a:xfrm>
                    <a:prstGeom prst="rect">
                      <a:avLst/>
                    </a:prstGeom>
                  </pic:spPr>
                </pic:pic>
              </a:graphicData>
            </a:graphic>
          </wp:anchor>
        </w:drawing>
      </w:r>
      <w:r>
        <w:rPr>
          <w:b/>
          <w:color w:val="FFFFFF"/>
          <w:w w:val="110"/>
          <w:shd w:fill="3BA533" w:color="auto" w:val="clear"/>
        </w:rPr>
        <w:t> </w:t>
      </w:r>
      <w:r>
        <w:rPr>
          <w:b/>
          <w:color w:val="FFFFFF"/>
          <w:shd w:fill="3BA533" w:color="auto" w:val="clear"/>
        </w:rPr>
        <w:tab/>
      </w:r>
      <w:r>
        <w:rPr>
          <w:b/>
          <w:color w:val="FFFFFF"/>
          <w:w w:val="110"/>
          <w:shd w:fill="3BA533" w:color="auto" w:val="clear"/>
        </w:rPr>
        <w:t>B</w:t>
      </w:r>
    </w:p>
    <w:p>
      <w:pPr>
        <w:pStyle w:val="BodyText"/>
        <w:spacing w:before="2"/>
        <w:rPr>
          <w:rFonts w:ascii="Stone Sans II ITC Std X Bd"/>
          <w:b/>
          <w:sz w:val="28"/>
        </w:rPr>
      </w:pPr>
    </w:p>
    <w:p>
      <w:pPr>
        <w:pStyle w:val="BodyText"/>
        <w:spacing w:before="93"/>
        <w:ind w:left="1099"/>
      </w:pPr>
      <w:r>
        <w:rPr/>
        <w:pict>
          <v:shape style="position:absolute;margin-left:557.985779pt;margin-top:-17.222511pt;width:16.3500pt;height:347.3pt;mso-position-horizontal-relative:page;mso-position-vertical-relative:paragraph;z-index:251765760"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rPr>
        <w:t>request of the convener concerned. They may speak on other reports with the consent of</w:t>
      </w:r>
    </w:p>
    <w:p>
      <w:pPr>
        <w:pStyle w:val="BodyText"/>
        <w:spacing w:before="2"/>
        <w:ind w:left="1099"/>
      </w:pPr>
      <w:r>
        <w:rPr>
          <w:color w:val="1A171C"/>
        </w:rPr>
        <w:t>the Moderator.</w:t>
      </w:r>
    </w:p>
    <w:p>
      <w:pPr>
        <w:pStyle w:val="BodyText"/>
      </w:pPr>
    </w:p>
    <w:p>
      <w:pPr>
        <w:pStyle w:val="ListParagraph"/>
        <w:numPr>
          <w:ilvl w:val="1"/>
          <w:numId w:val="8"/>
        </w:numPr>
        <w:tabs>
          <w:tab w:pos="1819" w:val="left" w:leader="none"/>
          <w:tab w:pos="1820" w:val="left" w:leader="none"/>
        </w:tabs>
        <w:spacing w:line="240" w:lineRule="auto" w:before="0" w:after="0"/>
        <w:ind w:left="1099" w:right="1409" w:firstLine="0"/>
        <w:jc w:val="left"/>
        <w:rPr>
          <w:sz w:val="22"/>
        </w:rPr>
      </w:pPr>
      <w:r>
        <w:rPr>
          <w:color w:val="1A171C"/>
          <w:sz w:val="22"/>
        </w:rPr>
        <w:t>In each debate, whether on a motion or on an amendment, no one shall address the Assembly more than once, except that at the close of each debate the proposer of the motion or the amendment, as the case may be, shall have the right to </w:t>
      </w:r>
      <w:r>
        <w:rPr>
          <w:color w:val="1A171C"/>
          <w:spacing w:val="-4"/>
          <w:sz w:val="22"/>
        </w:rPr>
        <w:t>reply, </w:t>
      </w:r>
      <w:r>
        <w:rPr>
          <w:color w:val="1A171C"/>
          <w:sz w:val="22"/>
        </w:rPr>
        <w:t>but must strictly confine the reply to answering previous speakers and must not introduce new matters. Such reply shall close the debate on the motion or the</w:t>
      </w:r>
      <w:r>
        <w:rPr>
          <w:color w:val="1A171C"/>
          <w:spacing w:val="-13"/>
          <w:sz w:val="22"/>
        </w:rPr>
        <w:t> </w:t>
      </w:r>
      <w:r>
        <w:rPr>
          <w:color w:val="1A171C"/>
          <w:sz w:val="22"/>
        </w:rPr>
        <w:t>amendment.</w:t>
      </w:r>
    </w:p>
    <w:p>
      <w:pPr>
        <w:pStyle w:val="BodyText"/>
        <w:spacing w:before="10"/>
        <w:rPr>
          <w:sz w:val="21"/>
        </w:rPr>
      </w:pPr>
    </w:p>
    <w:p>
      <w:pPr>
        <w:pStyle w:val="ListParagraph"/>
        <w:numPr>
          <w:ilvl w:val="1"/>
          <w:numId w:val="8"/>
        </w:numPr>
        <w:tabs>
          <w:tab w:pos="1820" w:val="left" w:leader="none"/>
        </w:tabs>
        <w:spacing w:line="240" w:lineRule="auto" w:before="0" w:after="0"/>
        <w:ind w:left="1099" w:right="1851" w:firstLine="0"/>
        <w:jc w:val="both"/>
        <w:rPr>
          <w:sz w:val="22"/>
        </w:rPr>
      </w:pPr>
      <w:r>
        <w:rPr>
          <w:color w:val="1A171C"/>
          <w:sz w:val="22"/>
        </w:rPr>
        <w:t>The foregoing </w:t>
      </w:r>
      <w:r>
        <w:rPr>
          <w:color w:val="1A171C"/>
          <w:spacing w:val="-3"/>
          <w:sz w:val="22"/>
        </w:rPr>
        <w:t>Standing </w:t>
      </w:r>
      <w:r>
        <w:rPr>
          <w:color w:val="1A171C"/>
          <w:sz w:val="22"/>
        </w:rPr>
        <w:t>Order (5.5) shall not prevent the asking or answering of a question which arises from the matter before the</w:t>
      </w:r>
      <w:r>
        <w:rPr>
          <w:color w:val="1A171C"/>
          <w:spacing w:val="-49"/>
          <w:sz w:val="22"/>
        </w:rPr>
        <w:t> </w:t>
      </w:r>
      <w:r>
        <w:rPr>
          <w:color w:val="1A171C"/>
          <w:sz w:val="22"/>
        </w:rPr>
        <w:t>Assembly or from a speech made in the debate upon</w:t>
      </w:r>
      <w:r>
        <w:rPr>
          <w:color w:val="1A171C"/>
          <w:spacing w:val="-3"/>
          <w:sz w:val="22"/>
        </w:rPr>
        <w:t> </w:t>
      </w:r>
      <w:r>
        <w:rPr>
          <w:color w:val="1A171C"/>
          <w:sz w:val="22"/>
        </w:rPr>
        <w:t>it.</w:t>
      </w:r>
    </w:p>
    <w:p>
      <w:pPr>
        <w:pStyle w:val="BodyText"/>
        <w:rPr>
          <w:sz w:val="24"/>
        </w:rPr>
      </w:pPr>
    </w:p>
    <w:p>
      <w:pPr>
        <w:pStyle w:val="BodyText"/>
        <w:spacing w:before="9"/>
        <w:rPr>
          <w:sz w:val="19"/>
        </w:rPr>
      </w:pPr>
    </w:p>
    <w:p>
      <w:pPr>
        <w:pStyle w:val="Heading7"/>
        <w:numPr>
          <w:ilvl w:val="0"/>
          <w:numId w:val="8"/>
        </w:numPr>
        <w:tabs>
          <w:tab w:pos="1819" w:val="left" w:leader="none"/>
          <w:tab w:pos="1820" w:val="left" w:leader="none"/>
        </w:tabs>
        <w:spacing w:line="240" w:lineRule="auto" w:before="0" w:after="0"/>
        <w:ind w:left="1819" w:right="0" w:hanging="721"/>
        <w:jc w:val="left"/>
      </w:pPr>
      <w:r>
        <w:rPr>
          <w:color w:val="1A171C"/>
        </w:rPr>
        <w:t>Closure of</w:t>
      </w:r>
      <w:r>
        <w:rPr>
          <w:color w:val="1A171C"/>
          <w:spacing w:val="1"/>
        </w:rPr>
        <w:t> </w:t>
      </w:r>
      <w:r>
        <w:rPr>
          <w:color w:val="1A171C"/>
        </w:rPr>
        <w:t>debate</w:t>
      </w:r>
    </w:p>
    <w:p>
      <w:pPr>
        <w:pStyle w:val="ListParagraph"/>
        <w:numPr>
          <w:ilvl w:val="1"/>
          <w:numId w:val="8"/>
        </w:numPr>
        <w:tabs>
          <w:tab w:pos="1819" w:val="left" w:leader="none"/>
          <w:tab w:pos="1820" w:val="left" w:leader="none"/>
        </w:tabs>
        <w:spacing w:line="240" w:lineRule="auto" w:before="1" w:after="0"/>
        <w:ind w:left="1099" w:right="1379" w:firstLine="0"/>
        <w:jc w:val="left"/>
        <w:rPr>
          <w:sz w:val="22"/>
        </w:rPr>
      </w:pPr>
      <w:r>
        <w:rPr>
          <w:color w:val="1A171C"/>
          <w:sz w:val="22"/>
        </w:rPr>
        <w:t>A member of Assembly may deliver to the General Secretary not less than 21 days before the date of the meeting of the</w:t>
      </w:r>
      <w:r>
        <w:rPr>
          <w:color w:val="1A171C"/>
          <w:spacing w:val="-46"/>
          <w:sz w:val="22"/>
        </w:rPr>
        <w:t> </w:t>
      </w:r>
      <w:r>
        <w:rPr>
          <w:color w:val="1A171C"/>
          <w:sz w:val="22"/>
        </w:rPr>
        <w:t>Assembly a notice in writing of a motion that the General </w:t>
      </w:r>
      <w:r>
        <w:rPr>
          <w:color w:val="1A171C"/>
          <w:spacing w:val="-5"/>
          <w:sz w:val="22"/>
        </w:rPr>
        <w:t>Assembly, </w:t>
      </w:r>
      <w:r>
        <w:rPr>
          <w:color w:val="1A171C"/>
          <w:sz w:val="22"/>
        </w:rPr>
        <w:t>for the </w:t>
      </w:r>
      <w:r>
        <w:rPr>
          <w:color w:val="1A171C"/>
          <w:spacing w:val="-3"/>
          <w:sz w:val="22"/>
        </w:rPr>
        <w:t>better consideration </w:t>
      </w:r>
      <w:r>
        <w:rPr>
          <w:color w:val="1A171C"/>
          <w:sz w:val="22"/>
        </w:rPr>
        <w:t>of a </w:t>
      </w:r>
      <w:r>
        <w:rPr>
          <w:color w:val="1A171C"/>
          <w:spacing w:val="-3"/>
          <w:sz w:val="22"/>
        </w:rPr>
        <w:t>specified resolution </w:t>
      </w:r>
      <w:r>
        <w:rPr>
          <w:color w:val="1A171C"/>
          <w:sz w:val="22"/>
        </w:rPr>
        <w:t>and </w:t>
      </w:r>
      <w:r>
        <w:rPr>
          <w:color w:val="1A171C"/>
          <w:spacing w:val="-3"/>
          <w:sz w:val="22"/>
        </w:rPr>
        <w:t>its related documents, goes into </w:t>
      </w:r>
      <w:r>
        <w:rPr>
          <w:color w:val="1A171C"/>
          <w:sz w:val="22"/>
        </w:rPr>
        <w:t>a </w:t>
      </w:r>
      <w:r>
        <w:rPr>
          <w:color w:val="1A171C"/>
          <w:spacing w:val="-3"/>
          <w:sz w:val="22"/>
        </w:rPr>
        <w:t>committee of </w:t>
      </w:r>
      <w:r>
        <w:rPr>
          <w:color w:val="1A171C"/>
          <w:sz w:val="22"/>
        </w:rPr>
        <w:t>the </w:t>
      </w:r>
      <w:r>
        <w:rPr>
          <w:color w:val="1A171C"/>
          <w:spacing w:val="-4"/>
          <w:sz w:val="22"/>
        </w:rPr>
        <w:t>whole </w:t>
      </w:r>
      <w:r>
        <w:rPr>
          <w:color w:val="1A171C"/>
          <w:spacing w:val="-5"/>
          <w:sz w:val="22"/>
        </w:rPr>
        <w:t>Assembly. </w:t>
      </w:r>
      <w:r>
        <w:rPr>
          <w:color w:val="1A171C"/>
          <w:spacing w:val="-3"/>
          <w:sz w:val="22"/>
        </w:rPr>
        <w:t>Provided </w:t>
      </w:r>
      <w:r>
        <w:rPr>
          <w:color w:val="1A171C"/>
          <w:sz w:val="22"/>
        </w:rPr>
        <w:t>that the </w:t>
      </w:r>
      <w:r>
        <w:rPr>
          <w:color w:val="1A171C"/>
          <w:spacing w:val="-4"/>
          <w:sz w:val="22"/>
        </w:rPr>
        <w:t>Moderator, </w:t>
      </w:r>
      <w:r>
        <w:rPr>
          <w:color w:val="1A171C"/>
          <w:spacing w:val="-3"/>
          <w:sz w:val="22"/>
        </w:rPr>
        <w:t>Clerk </w:t>
      </w:r>
      <w:r>
        <w:rPr>
          <w:color w:val="1A171C"/>
          <w:sz w:val="22"/>
        </w:rPr>
        <w:t>and </w:t>
      </w:r>
      <w:r>
        <w:rPr>
          <w:color w:val="1A171C"/>
          <w:spacing w:val="-3"/>
          <w:sz w:val="22"/>
        </w:rPr>
        <w:t>General Secretary </w:t>
      </w:r>
      <w:r>
        <w:rPr>
          <w:color w:val="1A171C"/>
          <w:sz w:val="22"/>
        </w:rPr>
        <w:t>together </w:t>
      </w:r>
      <w:r>
        <w:rPr>
          <w:color w:val="1A171C"/>
          <w:spacing w:val="-3"/>
          <w:sz w:val="22"/>
        </w:rPr>
        <w:t>decide </w:t>
      </w:r>
      <w:r>
        <w:rPr>
          <w:color w:val="1A171C"/>
          <w:sz w:val="22"/>
        </w:rPr>
        <w:t>that </w:t>
      </w:r>
      <w:r>
        <w:rPr>
          <w:color w:val="1A171C"/>
          <w:spacing w:val="-3"/>
          <w:sz w:val="22"/>
        </w:rPr>
        <w:t>this rule </w:t>
      </w:r>
      <w:r>
        <w:rPr>
          <w:color w:val="1A171C"/>
          <w:sz w:val="22"/>
        </w:rPr>
        <w:t>may </w:t>
      </w:r>
      <w:r>
        <w:rPr>
          <w:color w:val="1A171C"/>
          <w:spacing w:val="-3"/>
          <w:sz w:val="22"/>
        </w:rPr>
        <w:t>appropriately </w:t>
      </w:r>
      <w:r>
        <w:rPr>
          <w:color w:val="1A171C"/>
          <w:sz w:val="22"/>
        </w:rPr>
        <w:t>be </w:t>
      </w:r>
      <w:r>
        <w:rPr>
          <w:color w:val="1A171C"/>
          <w:spacing w:val="-3"/>
          <w:sz w:val="22"/>
        </w:rPr>
        <w:t>applied </w:t>
      </w:r>
      <w:r>
        <w:rPr>
          <w:color w:val="1A171C"/>
          <w:sz w:val="22"/>
        </w:rPr>
        <w:t>in the </w:t>
      </w:r>
      <w:r>
        <w:rPr>
          <w:color w:val="1A171C"/>
          <w:spacing w:val="-3"/>
          <w:sz w:val="22"/>
        </w:rPr>
        <w:t>case </w:t>
      </w:r>
      <w:r>
        <w:rPr>
          <w:color w:val="1A171C"/>
          <w:sz w:val="22"/>
        </w:rPr>
        <w:t>of the </w:t>
      </w:r>
      <w:r>
        <w:rPr>
          <w:color w:val="1A171C"/>
          <w:spacing w:val="-3"/>
          <w:sz w:val="22"/>
        </w:rPr>
        <w:t>said resolution, </w:t>
      </w:r>
      <w:r>
        <w:rPr>
          <w:color w:val="1A171C"/>
          <w:sz w:val="22"/>
        </w:rPr>
        <w:t>the </w:t>
      </w:r>
      <w:r>
        <w:rPr>
          <w:color w:val="1A171C"/>
          <w:spacing w:val="-3"/>
          <w:sz w:val="22"/>
        </w:rPr>
        <w:t>motion shall </w:t>
      </w:r>
      <w:r>
        <w:rPr>
          <w:color w:val="1A171C"/>
          <w:sz w:val="22"/>
        </w:rPr>
        <w:t>be </w:t>
      </w:r>
      <w:r>
        <w:rPr>
          <w:color w:val="1A171C"/>
          <w:spacing w:val="-3"/>
          <w:sz w:val="22"/>
        </w:rPr>
        <w:t>presented immediately following </w:t>
      </w:r>
      <w:r>
        <w:rPr>
          <w:color w:val="1A171C"/>
          <w:sz w:val="22"/>
        </w:rPr>
        <w:t>the </w:t>
      </w:r>
      <w:r>
        <w:rPr>
          <w:color w:val="1A171C"/>
          <w:spacing w:val="-3"/>
          <w:sz w:val="22"/>
        </w:rPr>
        <w:t>opening speeches </w:t>
      </w:r>
      <w:r>
        <w:rPr>
          <w:color w:val="1A171C"/>
          <w:sz w:val="22"/>
        </w:rPr>
        <w:t>in </w:t>
      </w:r>
      <w:r>
        <w:rPr>
          <w:color w:val="1A171C"/>
          <w:spacing w:val="-3"/>
          <w:sz w:val="22"/>
        </w:rPr>
        <w:t>support of </w:t>
      </w:r>
      <w:r>
        <w:rPr>
          <w:color w:val="1A171C"/>
          <w:sz w:val="22"/>
        </w:rPr>
        <w:t>the </w:t>
      </w:r>
      <w:r>
        <w:rPr>
          <w:color w:val="1A171C"/>
          <w:spacing w:val="-3"/>
          <w:sz w:val="22"/>
        </w:rPr>
        <w:t>primary motion. </w:t>
      </w:r>
      <w:r>
        <w:rPr>
          <w:color w:val="1A171C"/>
          <w:sz w:val="22"/>
        </w:rPr>
        <w:t>For </w:t>
      </w:r>
      <w:r>
        <w:rPr>
          <w:color w:val="1A171C"/>
          <w:spacing w:val="-3"/>
          <w:sz w:val="22"/>
        </w:rPr>
        <w:t>such </w:t>
      </w:r>
      <w:r>
        <w:rPr>
          <w:color w:val="1A171C"/>
          <w:sz w:val="22"/>
        </w:rPr>
        <w:t>a </w:t>
      </w:r>
      <w:r>
        <w:rPr>
          <w:color w:val="1A171C"/>
          <w:spacing w:val="-3"/>
          <w:sz w:val="22"/>
        </w:rPr>
        <w:t>motion </w:t>
      </w:r>
      <w:r>
        <w:rPr>
          <w:color w:val="1A171C"/>
          <w:sz w:val="22"/>
        </w:rPr>
        <w:t>to be </w:t>
      </w:r>
      <w:r>
        <w:rPr>
          <w:color w:val="1A171C"/>
          <w:spacing w:val="-3"/>
          <w:sz w:val="22"/>
        </w:rPr>
        <w:t>carried, two thirds </w:t>
      </w:r>
      <w:r>
        <w:rPr>
          <w:color w:val="1A171C"/>
          <w:sz w:val="22"/>
        </w:rPr>
        <w:t>of the </w:t>
      </w:r>
      <w:r>
        <w:rPr>
          <w:color w:val="1A171C"/>
          <w:spacing w:val="-3"/>
          <w:sz w:val="22"/>
        </w:rPr>
        <w:t>votes </w:t>
      </w:r>
      <w:r>
        <w:rPr>
          <w:color w:val="1A171C"/>
          <w:sz w:val="22"/>
        </w:rPr>
        <w:t>cast must be </w:t>
      </w:r>
      <w:r>
        <w:rPr>
          <w:color w:val="1A171C"/>
          <w:spacing w:val="-3"/>
          <w:sz w:val="22"/>
        </w:rPr>
        <w:t>given </w:t>
      </w:r>
      <w:r>
        <w:rPr>
          <w:color w:val="1A171C"/>
          <w:sz w:val="22"/>
        </w:rPr>
        <w:t>in </w:t>
      </w:r>
      <w:r>
        <w:rPr>
          <w:color w:val="1A171C"/>
          <w:spacing w:val="-3"/>
          <w:sz w:val="22"/>
        </w:rPr>
        <w:t>its </w:t>
      </w:r>
      <w:r>
        <w:rPr>
          <w:color w:val="1A171C"/>
          <w:spacing w:val="-4"/>
          <w:sz w:val="22"/>
        </w:rPr>
        <w:t>favour. </w:t>
      </w:r>
      <w:r>
        <w:rPr>
          <w:color w:val="1A171C"/>
          <w:spacing w:val="-3"/>
          <w:sz w:val="22"/>
        </w:rPr>
        <w:t>Committee procedure enables members </w:t>
      </w:r>
      <w:r>
        <w:rPr>
          <w:color w:val="1A171C"/>
          <w:sz w:val="22"/>
        </w:rPr>
        <w:t>to </w:t>
      </w:r>
      <w:r>
        <w:rPr>
          <w:color w:val="1A171C"/>
          <w:spacing w:val="-3"/>
          <w:sz w:val="22"/>
        </w:rPr>
        <w:t>speak more </w:t>
      </w:r>
      <w:r>
        <w:rPr>
          <w:color w:val="1A171C"/>
          <w:sz w:val="22"/>
        </w:rPr>
        <w:t>than </w:t>
      </w:r>
      <w:r>
        <w:rPr>
          <w:color w:val="1A171C"/>
          <w:spacing w:val="-3"/>
          <w:sz w:val="22"/>
        </w:rPr>
        <w:t>once and exploratory votes </w:t>
      </w:r>
      <w:r>
        <w:rPr>
          <w:color w:val="1A171C"/>
          <w:sz w:val="22"/>
        </w:rPr>
        <w:t>to be </w:t>
      </w:r>
      <w:r>
        <w:rPr>
          <w:color w:val="1A171C"/>
          <w:spacing w:val="-3"/>
          <w:sz w:val="22"/>
        </w:rPr>
        <w:t>taken </w:t>
      </w:r>
      <w:r>
        <w:rPr>
          <w:color w:val="1A171C"/>
          <w:sz w:val="22"/>
        </w:rPr>
        <w:t>on </w:t>
      </w:r>
      <w:r>
        <w:rPr>
          <w:color w:val="1A171C"/>
          <w:spacing w:val="-4"/>
          <w:sz w:val="22"/>
        </w:rPr>
        <w:t>particular </w:t>
      </w:r>
      <w:r>
        <w:rPr>
          <w:color w:val="1A171C"/>
          <w:spacing w:val="-3"/>
          <w:sz w:val="22"/>
        </w:rPr>
        <w:t>points </w:t>
      </w:r>
      <w:r>
        <w:rPr>
          <w:color w:val="1A171C"/>
          <w:sz w:val="22"/>
        </w:rPr>
        <w:t>or </w:t>
      </w:r>
      <w:r>
        <w:rPr>
          <w:color w:val="1A171C"/>
          <w:spacing w:val="-3"/>
          <w:sz w:val="22"/>
        </w:rPr>
        <w:t>suggested changes. The number and  length of speeches shall </w:t>
      </w:r>
      <w:r>
        <w:rPr>
          <w:color w:val="1A171C"/>
          <w:sz w:val="22"/>
        </w:rPr>
        <w:t>be at the </w:t>
      </w:r>
      <w:r>
        <w:rPr>
          <w:color w:val="1A171C"/>
          <w:spacing w:val="-3"/>
          <w:sz w:val="22"/>
        </w:rPr>
        <w:t>discretion of </w:t>
      </w:r>
      <w:r>
        <w:rPr>
          <w:color w:val="1A171C"/>
          <w:sz w:val="22"/>
        </w:rPr>
        <w:t>the </w:t>
      </w:r>
      <w:r>
        <w:rPr>
          <w:color w:val="1A171C"/>
          <w:spacing w:val="-4"/>
          <w:sz w:val="22"/>
        </w:rPr>
        <w:t>Moderator. </w:t>
      </w:r>
      <w:r>
        <w:rPr>
          <w:color w:val="1A171C"/>
          <w:spacing w:val="-3"/>
          <w:sz w:val="22"/>
        </w:rPr>
        <w:t>After discussion </w:t>
      </w:r>
      <w:r>
        <w:rPr>
          <w:color w:val="1A171C"/>
          <w:sz w:val="22"/>
        </w:rPr>
        <w:t>in </w:t>
      </w:r>
      <w:r>
        <w:rPr>
          <w:color w:val="1A171C"/>
          <w:spacing w:val="-3"/>
          <w:sz w:val="22"/>
        </w:rPr>
        <w:t>committee </w:t>
      </w:r>
      <w:r>
        <w:rPr>
          <w:color w:val="1A171C"/>
          <w:sz w:val="22"/>
        </w:rPr>
        <w:t>and </w:t>
      </w:r>
      <w:r>
        <w:rPr>
          <w:color w:val="1A171C"/>
          <w:spacing w:val="-3"/>
          <w:sz w:val="22"/>
        </w:rPr>
        <w:t>decision </w:t>
      </w:r>
      <w:r>
        <w:rPr>
          <w:color w:val="1A171C"/>
          <w:sz w:val="22"/>
        </w:rPr>
        <w:t>on any </w:t>
      </w:r>
      <w:r>
        <w:rPr>
          <w:color w:val="1A171C"/>
          <w:spacing w:val="-3"/>
          <w:sz w:val="22"/>
        </w:rPr>
        <w:t>proposed changes </w:t>
      </w:r>
      <w:r>
        <w:rPr>
          <w:color w:val="1A171C"/>
          <w:sz w:val="22"/>
        </w:rPr>
        <w:t>the </w:t>
      </w:r>
      <w:r>
        <w:rPr>
          <w:color w:val="1A171C"/>
          <w:spacing w:val="-3"/>
          <w:sz w:val="22"/>
        </w:rPr>
        <w:t>Clerk shall </w:t>
      </w:r>
      <w:r>
        <w:rPr>
          <w:color w:val="1A171C"/>
          <w:sz w:val="22"/>
        </w:rPr>
        <w:t>draw the </w:t>
      </w:r>
      <w:r>
        <w:rPr>
          <w:color w:val="1A171C"/>
          <w:spacing w:val="-3"/>
          <w:sz w:val="22"/>
        </w:rPr>
        <w:t>attention </w:t>
      </w:r>
      <w:r>
        <w:rPr>
          <w:color w:val="1A171C"/>
          <w:sz w:val="22"/>
        </w:rPr>
        <w:t>of the </w:t>
      </w:r>
      <w:r>
        <w:rPr>
          <w:color w:val="1A171C"/>
          <w:spacing w:val="-3"/>
          <w:sz w:val="22"/>
        </w:rPr>
        <w:t>Assembly </w:t>
      </w:r>
      <w:r>
        <w:rPr>
          <w:color w:val="1A171C"/>
          <w:sz w:val="22"/>
        </w:rPr>
        <w:t>to any </w:t>
      </w:r>
      <w:r>
        <w:rPr>
          <w:color w:val="1A171C"/>
          <w:spacing w:val="-3"/>
          <w:sz w:val="22"/>
        </w:rPr>
        <w:t>changes </w:t>
      </w:r>
      <w:r>
        <w:rPr>
          <w:color w:val="1A171C"/>
          <w:sz w:val="22"/>
        </w:rPr>
        <w:t>to the </w:t>
      </w:r>
      <w:r>
        <w:rPr>
          <w:color w:val="1A171C"/>
          <w:spacing w:val="-3"/>
          <w:sz w:val="22"/>
        </w:rPr>
        <w:t>original text which have been </w:t>
      </w:r>
      <w:r>
        <w:rPr>
          <w:color w:val="1A171C"/>
          <w:sz w:val="22"/>
        </w:rPr>
        <w:t>agreed. The </w:t>
      </w:r>
      <w:r>
        <w:rPr>
          <w:color w:val="1A171C"/>
          <w:spacing w:val="-3"/>
          <w:sz w:val="22"/>
        </w:rPr>
        <w:t>Moderator shall </w:t>
      </w:r>
      <w:r>
        <w:rPr>
          <w:color w:val="1A171C"/>
          <w:sz w:val="22"/>
        </w:rPr>
        <w:t>then </w:t>
      </w:r>
      <w:r>
        <w:rPr>
          <w:color w:val="1A171C"/>
          <w:spacing w:val="-3"/>
          <w:sz w:val="22"/>
        </w:rPr>
        <w:t>declare the committee stage </w:t>
      </w:r>
      <w:r>
        <w:rPr>
          <w:color w:val="1A171C"/>
          <w:sz w:val="22"/>
        </w:rPr>
        <w:t>to be </w:t>
      </w:r>
      <w:r>
        <w:rPr>
          <w:color w:val="1A171C"/>
          <w:spacing w:val="-3"/>
          <w:sz w:val="22"/>
        </w:rPr>
        <w:t>ended, </w:t>
      </w:r>
      <w:r>
        <w:rPr>
          <w:color w:val="1A171C"/>
          <w:sz w:val="22"/>
        </w:rPr>
        <w:t>and the </w:t>
      </w:r>
      <w:r>
        <w:rPr>
          <w:color w:val="1A171C"/>
          <w:spacing w:val="-3"/>
          <w:sz w:val="22"/>
        </w:rPr>
        <w:t>Assembly </w:t>
      </w:r>
      <w:r>
        <w:rPr>
          <w:color w:val="1A171C"/>
          <w:sz w:val="22"/>
        </w:rPr>
        <w:t>shall </w:t>
      </w:r>
      <w:r>
        <w:rPr>
          <w:color w:val="1A171C"/>
          <w:spacing w:val="-3"/>
          <w:sz w:val="22"/>
        </w:rPr>
        <w:t>proceed </w:t>
      </w:r>
      <w:r>
        <w:rPr>
          <w:color w:val="1A171C"/>
          <w:sz w:val="22"/>
        </w:rPr>
        <w:t>to </w:t>
      </w:r>
      <w:r>
        <w:rPr>
          <w:color w:val="1A171C"/>
          <w:spacing w:val="-3"/>
          <w:sz w:val="22"/>
        </w:rPr>
        <w:t>hear </w:t>
      </w:r>
      <w:r>
        <w:rPr>
          <w:color w:val="1A171C"/>
          <w:sz w:val="22"/>
        </w:rPr>
        <w:t>a </w:t>
      </w:r>
      <w:r>
        <w:rPr>
          <w:color w:val="1A171C"/>
          <w:spacing w:val="-3"/>
          <w:sz w:val="22"/>
        </w:rPr>
        <w:t>closing speech </w:t>
      </w:r>
      <w:r>
        <w:rPr>
          <w:color w:val="1A171C"/>
          <w:sz w:val="22"/>
        </w:rPr>
        <w:t>from the </w:t>
      </w:r>
      <w:r>
        <w:rPr>
          <w:color w:val="1A171C"/>
          <w:spacing w:val="-3"/>
          <w:sz w:val="22"/>
        </w:rPr>
        <w:t>mover </w:t>
      </w:r>
      <w:r>
        <w:rPr>
          <w:color w:val="1A171C"/>
          <w:sz w:val="22"/>
        </w:rPr>
        <w:t>of the </w:t>
      </w:r>
      <w:r>
        <w:rPr>
          <w:color w:val="1A171C"/>
          <w:spacing w:val="-3"/>
          <w:sz w:val="22"/>
        </w:rPr>
        <w:t>motion under discussion </w:t>
      </w:r>
      <w:r>
        <w:rPr>
          <w:color w:val="1A171C"/>
          <w:sz w:val="22"/>
        </w:rPr>
        <w:t>and </w:t>
      </w:r>
      <w:r>
        <w:rPr>
          <w:color w:val="1A171C"/>
          <w:spacing w:val="-3"/>
          <w:sz w:val="22"/>
        </w:rPr>
        <w:t>proceed </w:t>
      </w:r>
      <w:r>
        <w:rPr>
          <w:color w:val="1A171C"/>
          <w:sz w:val="22"/>
        </w:rPr>
        <w:t>to a </w:t>
      </w:r>
      <w:r>
        <w:rPr>
          <w:color w:val="1A171C"/>
          <w:spacing w:val="-3"/>
          <w:sz w:val="22"/>
        </w:rPr>
        <w:t>vote </w:t>
      </w:r>
      <w:r>
        <w:rPr>
          <w:color w:val="1A171C"/>
          <w:sz w:val="22"/>
        </w:rPr>
        <w:t>on the </w:t>
      </w:r>
      <w:r>
        <w:rPr>
          <w:color w:val="1A171C"/>
          <w:spacing w:val="-3"/>
          <w:sz w:val="22"/>
        </w:rPr>
        <w:t>motion, subject </w:t>
      </w:r>
      <w:r>
        <w:rPr>
          <w:color w:val="1A171C"/>
          <w:sz w:val="22"/>
        </w:rPr>
        <w:t>to </w:t>
      </w:r>
      <w:r>
        <w:rPr>
          <w:color w:val="1A171C"/>
          <w:spacing w:val="-3"/>
          <w:sz w:val="22"/>
        </w:rPr>
        <w:t>any further motion under </w:t>
      </w:r>
      <w:r>
        <w:rPr>
          <w:color w:val="1A171C"/>
          <w:spacing w:val="-5"/>
          <w:sz w:val="22"/>
        </w:rPr>
        <w:t>Standing </w:t>
      </w:r>
      <w:r>
        <w:rPr>
          <w:color w:val="1A171C"/>
          <w:sz w:val="22"/>
        </w:rPr>
        <w:t>Order 6. The </w:t>
      </w:r>
      <w:r>
        <w:rPr>
          <w:color w:val="1A171C"/>
          <w:spacing w:val="-3"/>
          <w:sz w:val="22"/>
        </w:rPr>
        <w:t>decision </w:t>
      </w:r>
      <w:r>
        <w:rPr>
          <w:color w:val="1A171C"/>
          <w:sz w:val="22"/>
        </w:rPr>
        <w:t>of the </w:t>
      </w:r>
      <w:r>
        <w:rPr>
          <w:color w:val="1A171C"/>
          <w:spacing w:val="-3"/>
          <w:sz w:val="22"/>
        </w:rPr>
        <w:t>Moderator with </w:t>
      </w:r>
      <w:r>
        <w:rPr>
          <w:color w:val="1A171C"/>
          <w:sz w:val="22"/>
        </w:rPr>
        <w:t>the </w:t>
      </w:r>
      <w:r>
        <w:rPr>
          <w:color w:val="1A171C"/>
          <w:spacing w:val="-3"/>
          <w:sz w:val="22"/>
        </w:rPr>
        <w:t>Clerk </w:t>
      </w:r>
      <w:r>
        <w:rPr>
          <w:color w:val="1A171C"/>
          <w:sz w:val="22"/>
        </w:rPr>
        <w:t>and </w:t>
      </w:r>
      <w:r>
        <w:rPr>
          <w:color w:val="1A171C"/>
          <w:spacing w:val="-3"/>
          <w:sz w:val="22"/>
        </w:rPr>
        <w:t>the General Secretary </w:t>
      </w:r>
      <w:r>
        <w:rPr>
          <w:color w:val="1A171C"/>
          <w:sz w:val="22"/>
        </w:rPr>
        <w:t>on the </w:t>
      </w:r>
      <w:r>
        <w:rPr>
          <w:color w:val="1A171C"/>
          <w:spacing w:val="-3"/>
          <w:sz w:val="22"/>
        </w:rPr>
        <w:t>application </w:t>
      </w:r>
      <w:r>
        <w:rPr>
          <w:color w:val="1A171C"/>
          <w:sz w:val="22"/>
        </w:rPr>
        <w:t>of </w:t>
      </w:r>
      <w:r>
        <w:rPr>
          <w:color w:val="1A171C"/>
          <w:spacing w:val="-3"/>
          <w:sz w:val="22"/>
        </w:rPr>
        <w:t>this </w:t>
      </w:r>
      <w:r>
        <w:rPr>
          <w:color w:val="1A171C"/>
          <w:spacing w:val="-5"/>
          <w:sz w:val="22"/>
        </w:rPr>
        <w:t>Standing </w:t>
      </w:r>
      <w:r>
        <w:rPr>
          <w:color w:val="1A171C"/>
          <w:sz w:val="22"/>
        </w:rPr>
        <w:t>Order </w:t>
      </w:r>
      <w:r>
        <w:rPr>
          <w:color w:val="1A171C"/>
          <w:spacing w:val="-3"/>
          <w:sz w:val="22"/>
        </w:rPr>
        <w:t>shall </w:t>
      </w:r>
      <w:r>
        <w:rPr>
          <w:color w:val="1A171C"/>
          <w:sz w:val="22"/>
        </w:rPr>
        <w:t>be</w:t>
      </w:r>
      <w:r>
        <w:rPr>
          <w:color w:val="1A171C"/>
          <w:spacing w:val="-23"/>
          <w:sz w:val="22"/>
        </w:rPr>
        <w:t> </w:t>
      </w:r>
      <w:r>
        <w:rPr>
          <w:color w:val="1A171C"/>
          <w:spacing w:val="-3"/>
          <w:sz w:val="22"/>
        </w:rPr>
        <w:t>final.</w:t>
      </w:r>
    </w:p>
    <w:p>
      <w:pPr>
        <w:pStyle w:val="BodyText"/>
        <w:spacing w:before="11"/>
        <w:rPr>
          <w:sz w:val="21"/>
        </w:rPr>
      </w:pPr>
    </w:p>
    <w:p>
      <w:pPr>
        <w:pStyle w:val="ListParagraph"/>
        <w:numPr>
          <w:ilvl w:val="1"/>
          <w:numId w:val="8"/>
        </w:numPr>
        <w:tabs>
          <w:tab w:pos="1819" w:val="left" w:leader="none"/>
          <w:tab w:pos="1820" w:val="left" w:leader="none"/>
        </w:tabs>
        <w:spacing w:line="240" w:lineRule="auto" w:before="0" w:after="0"/>
        <w:ind w:left="1099" w:right="1533" w:firstLine="0"/>
        <w:jc w:val="left"/>
        <w:rPr>
          <w:sz w:val="22"/>
        </w:rPr>
      </w:pPr>
      <w:r>
        <w:rPr>
          <w:color w:val="1A171C"/>
          <w:sz w:val="22"/>
        </w:rPr>
        <w:t>In the course of the business any member may move that the question under consideration be not put. This motion takes precedence over every motion before the </w:t>
      </w:r>
      <w:r>
        <w:rPr>
          <w:color w:val="1A171C"/>
          <w:spacing w:val="-3"/>
          <w:sz w:val="22"/>
        </w:rPr>
        <w:t>Assembly. </w:t>
      </w:r>
      <w:r>
        <w:rPr>
          <w:color w:val="1A171C"/>
          <w:sz w:val="22"/>
        </w:rPr>
        <w:t>As soon as the member has given reasons for proposing it and it has been seconded and the proposer of the motion or amendment under consideration has been allowed opportunity to comment on the reasons put forward, the vote upon it shall be taken, unless it appears to the Moderator that an unfair use is being made of this rule. Should the motion</w:t>
      </w:r>
      <w:r>
        <w:rPr>
          <w:color w:val="1A171C"/>
          <w:spacing w:val="-2"/>
          <w:sz w:val="22"/>
        </w:rPr>
        <w:t> </w:t>
      </w:r>
      <w:r>
        <w:rPr>
          <w:color w:val="1A171C"/>
          <w:sz w:val="22"/>
        </w:rPr>
        <w:t>be</w:t>
      </w:r>
      <w:r>
        <w:rPr>
          <w:color w:val="1A171C"/>
          <w:spacing w:val="-4"/>
          <w:sz w:val="22"/>
        </w:rPr>
        <w:t> </w:t>
      </w:r>
      <w:r>
        <w:rPr>
          <w:color w:val="1A171C"/>
          <w:sz w:val="22"/>
        </w:rPr>
        <w:t>carried</w:t>
      </w:r>
      <w:r>
        <w:rPr>
          <w:color w:val="1A171C"/>
          <w:spacing w:val="-4"/>
          <w:sz w:val="22"/>
        </w:rPr>
        <w:t> </w:t>
      </w:r>
      <w:r>
        <w:rPr>
          <w:color w:val="1A171C"/>
          <w:sz w:val="22"/>
        </w:rPr>
        <w:t>the</w:t>
      </w:r>
      <w:r>
        <w:rPr>
          <w:color w:val="1A171C"/>
          <w:spacing w:val="-2"/>
          <w:sz w:val="22"/>
        </w:rPr>
        <w:t> </w:t>
      </w:r>
      <w:r>
        <w:rPr>
          <w:color w:val="1A171C"/>
          <w:sz w:val="22"/>
        </w:rPr>
        <w:t>business</w:t>
      </w:r>
      <w:r>
        <w:rPr>
          <w:color w:val="1A171C"/>
          <w:spacing w:val="-1"/>
          <w:sz w:val="22"/>
        </w:rPr>
        <w:t> </w:t>
      </w:r>
      <w:r>
        <w:rPr>
          <w:color w:val="1A171C"/>
          <w:sz w:val="22"/>
        </w:rPr>
        <w:t>shall</w:t>
      </w:r>
      <w:r>
        <w:rPr>
          <w:color w:val="1A171C"/>
          <w:spacing w:val="-2"/>
          <w:sz w:val="22"/>
        </w:rPr>
        <w:t> </w:t>
      </w:r>
      <w:r>
        <w:rPr>
          <w:color w:val="1A171C"/>
          <w:sz w:val="22"/>
        </w:rPr>
        <w:t>immediately</w:t>
      </w:r>
      <w:r>
        <w:rPr>
          <w:color w:val="1A171C"/>
          <w:spacing w:val="-4"/>
          <w:sz w:val="22"/>
        </w:rPr>
        <w:t> </w:t>
      </w:r>
      <w:r>
        <w:rPr>
          <w:color w:val="1A171C"/>
          <w:sz w:val="22"/>
        </w:rPr>
        <w:t>end</w:t>
      </w:r>
      <w:r>
        <w:rPr>
          <w:color w:val="1A171C"/>
          <w:spacing w:val="-2"/>
          <w:sz w:val="22"/>
        </w:rPr>
        <w:t> </w:t>
      </w:r>
      <w:r>
        <w:rPr>
          <w:color w:val="1A171C"/>
          <w:sz w:val="22"/>
        </w:rPr>
        <w:t>and</w:t>
      </w:r>
      <w:r>
        <w:rPr>
          <w:color w:val="1A171C"/>
          <w:spacing w:val="-4"/>
          <w:sz w:val="22"/>
        </w:rPr>
        <w:t> </w:t>
      </w:r>
      <w:r>
        <w:rPr>
          <w:color w:val="1A171C"/>
          <w:sz w:val="22"/>
        </w:rPr>
        <w:t>the</w:t>
      </w:r>
      <w:r>
        <w:rPr>
          <w:color w:val="1A171C"/>
          <w:spacing w:val="-13"/>
          <w:sz w:val="22"/>
        </w:rPr>
        <w:t> </w:t>
      </w:r>
      <w:r>
        <w:rPr>
          <w:color w:val="1A171C"/>
          <w:sz w:val="22"/>
        </w:rPr>
        <w:t>Assembly</w:t>
      </w:r>
      <w:r>
        <w:rPr>
          <w:color w:val="1A171C"/>
          <w:spacing w:val="-4"/>
          <w:sz w:val="22"/>
        </w:rPr>
        <w:t> </w:t>
      </w:r>
      <w:r>
        <w:rPr>
          <w:color w:val="1A171C"/>
          <w:sz w:val="22"/>
        </w:rPr>
        <w:t>shall</w:t>
      </w:r>
      <w:r>
        <w:rPr>
          <w:color w:val="1A171C"/>
          <w:spacing w:val="-2"/>
          <w:sz w:val="22"/>
        </w:rPr>
        <w:t> </w:t>
      </w:r>
      <w:r>
        <w:rPr>
          <w:color w:val="1A171C"/>
          <w:sz w:val="22"/>
        </w:rPr>
        <w:t>proceed</w:t>
      </w:r>
      <w:r>
        <w:rPr>
          <w:color w:val="1A171C"/>
          <w:spacing w:val="-4"/>
          <w:sz w:val="22"/>
        </w:rPr>
        <w:t> </w:t>
      </w:r>
      <w:r>
        <w:rPr>
          <w:color w:val="1A171C"/>
          <w:sz w:val="22"/>
        </w:rPr>
        <w:t>to</w:t>
      </w:r>
      <w:r>
        <w:rPr>
          <w:color w:val="1A171C"/>
          <w:spacing w:val="-4"/>
          <w:sz w:val="22"/>
        </w:rPr>
        <w:t> </w:t>
      </w:r>
      <w:r>
        <w:rPr>
          <w:color w:val="1A171C"/>
          <w:sz w:val="22"/>
        </w:rPr>
        <w:t>the next</w:t>
      </w:r>
      <w:r>
        <w:rPr>
          <w:color w:val="1A171C"/>
          <w:spacing w:val="1"/>
          <w:sz w:val="22"/>
        </w:rPr>
        <w:t> </w:t>
      </w:r>
      <w:r>
        <w:rPr>
          <w:color w:val="1A171C"/>
          <w:sz w:val="22"/>
        </w:rPr>
        <w:t>business.</w:t>
      </w:r>
    </w:p>
    <w:p>
      <w:pPr>
        <w:pStyle w:val="BodyText"/>
      </w:pPr>
    </w:p>
    <w:p>
      <w:pPr>
        <w:pStyle w:val="ListParagraph"/>
        <w:numPr>
          <w:ilvl w:val="1"/>
          <w:numId w:val="8"/>
        </w:numPr>
        <w:tabs>
          <w:tab w:pos="1819" w:val="left" w:leader="none"/>
          <w:tab w:pos="1820" w:val="left" w:leader="none"/>
        </w:tabs>
        <w:spacing w:line="240" w:lineRule="auto" w:before="0" w:after="0"/>
        <w:ind w:left="1099" w:right="1424" w:firstLine="0"/>
        <w:jc w:val="left"/>
        <w:rPr>
          <w:sz w:val="22"/>
        </w:rPr>
      </w:pPr>
      <w:r>
        <w:rPr>
          <w:color w:val="1A171C"/>
          <w:sz w:val="22"/>
        </w:rPr>
        <w:t>In the course of any discussion, any member may move that the question be now put. This is sometimes described as ‘the closure motion’. If the Moderator senses that there is a wish or need to close a debate, the Moderator may ask whether any member wishes so to move; the Moderator may not simply declare a debate closed. Provided that it appears to the Moderator that the motion is a fair use of this rule, the vote shall be taken upon it immediately it has been seconded. When an amendment is under discussion, this motion shall apply only to that amendment. </w:t>
      </w:r>
      <w:r>
        <w:rPr>
          <w:color w:val="1A171C"/>
          <w:spacing w:val="-12"/>
          <w:sz w:val="22"/>
        </w:rPr>
        <w:t>To </w:t>
      </w:r>
      <w:r>
        <w:rPr>
          <w:color w:val="1A171C"/>
          <w:sz w:val="22"/>
        </w:rPr>
        <w:t>carry this motion, two-thirds of the votes cast must be given in its </w:t>
      </w:r>
      <w:r>
        <w:rPr>
          <w:color w:val="1A171C"/>
          <w:spacing w:val="-3"/>
          <w:sz w:val="22"/>
        </w:rPr>
        <w:t>favour. </w:t>
      </w:r>
      <w:r>
        <w:rPr>
          <w:color w:val="1A171C"/>
          <w:sz w:val="22"/>
        </w:rPr>
        <w:t>The mover of the original motion or amendment, as the case may be, retains the right of reply before the vote is taken on the motion or</w:t>
      </w:r>
      <w:r>
        <w:rPr>
          <w:color w:val="1A171C"/>
          <w:spacing w:val="-16"/>
          <w:sz w:val="22"/>
        </w:rPr>
        <w:t> </w:t>
      </w:r>
      <w:r>
        <w:rPr>
          <w:color w:val="1A171C"/>
          <w:sz w:val="22"/>
        </w:rPr>
        <w:t>amendment.</w:t>
      </w:r>
    </w:p>
    <w:p>
      <w:pPr>
        <w:pStyle w:val="BodyText"/>
        <w:spacing w:before="9"/>
        <w:rPr>
          <w:sz w:val="13"/>
        </w:rPr>
      </w:pPr>
    </w:p>
    <w:p>
      <w:pPr>
        <w:pStyle w:val="ListParagraph"/>
        <w:numPr>
          <w:ilvl w:val="1"/>
          <w:numId w:val="8"/>
        </w:numPr>
        <w:tabs>
          <w:tab w:pos="1819" w:val="left" w:leader="none"/>
          <w:tab w:pos="1820" w:val="left" w:leader="none"/>
        </w:tabs>
        <w:spacing w:line="240" w:lineRule="auto" w:before="94" w:after="0"/>
        <w:ind w:left="1099" w:right="1391" w:hanging="1"/>
        <w:jc w:val="left"/>
        <w:rPr>
          <w:sz w:val="22"/>
        </w:rPr>
      </w:pPr>
      <w:r>
        <w:rPr>
          <w:color w:val="1A171C"/>
          <w:sz w:val="22"/>
        </w:rPr>
        <w:t>During the course of a debate on a motion any member may move that decision on this motion be deferred to the next </w:t>
      </w:r>
      <w:r>
        <w:rPr>
          <w:color w:val="1A171C"/>
          <w:spacing w:val="-3"/>
          <w:sz w:val="22"/>
        </w:rPr>
        <w:t>Assembly. </w:t>
      </w:r>
      <w:r>
        <w:rPr>
          <w:color w:val="1A171C"/>
          <w:sz w:val="22"/>
        </w:rPr>
        <w:t>This rule does not apply to debates on amendments since the Assembly needs to decide the final form of a motion before it can responsibly</w:t>
      </w:r>
      <w:r>
        <w:rPr>
          <w:color w:val="1A171C"/>
          <w:spacing w:val="-5"/>
          <w:sz w:val="22"/>
        </w:rPr>
        <w:t> </w:t>
      </w:r>
      <w:r>
        <w:rPr>
          <w:color w:val="1A171C"/>
          <w:sz w:val="22"/>
        </w:rPr>
        <w:t>vote</w:t>
      </w:r>
      <w:r>
        <w:rPr>
          <w:color w:val="1A171C"/>
          <w:spacing w:val="-3"/>
          <w:sz w:val="22"/>
        </w:rPr>
        <w:t> </w:t>
      </w:r>
      <w:r>
        <w:rPr>
          <w:color w:val="1A171C"/>
          <w:sz w:val="22"/>
        </w:rPr>
        <w:t>on</w:t>
      </w:r>
      <w:r>
        <w:rPr>
          <w:color w:val="1A171C"/>
          <w:spacing w:val="-3"/>
          <w:sz w:val="22"/>
        </w:rPr>
        <w:t> </w:t>
      </w:r>
      <w:r>
        <w:rPr>
          <w:color w:val="1A171C"/>
          <w:sz w:val="22"/>
        </w:rPr>
        <w:t>deferral.</w:t>
      </w:r>
      <w:r>
        <w:rPr>
          <w:color w:val="1A171C"/>
          <w:spacing w:val="-7"/>
          <w:sz w:val="22"/>
        </w:rPr>
        <w:t> </w:t>
      </w:r>
      <w:r>
        <w:rPr>
          <w:color w:val="1A171C"/>
          <w:sz w:val="22"/>
        </w:rPr>
        <w:t>The</w:t>
      </w:r>
      <w:r>
        <w:rPr>
          <w:color w:val="1A171C"/>
          <w:spacing w:val="-7"/>
          <w:sz w:val="22"/>
        </w:rPr>
        <w:t> </w:t>
      </w:r>
      <w:r>
        <w:rPr>
          <w:color w:val="1A171C"/>
          <w:sz w:val="22"/>
        </w:rPr>
        <w:t>motion</w:t>
      </w:r>
      <w:r>
        <w:rPr>
          <w:color w:val="1A171C"/>
          <w:spacing w:val="-4"/>
          <w:sz w:val="22"/>
        </w:rPr>
        <w:t> </w:t>
      </w:r>
      <w:r>
        <w:rPr>
          <w:color w:val="1A171C"/>
          <w:sz w:val="22"/>
        </w:rPr>
        <w:t>then</w:t>
      </w:r>
      <w:r>
        <w:rPr>
          <w:color w:val="1A171C"/>
          <w:spacing w:val="-5"/>
          <w:sz w:val="22"/>
        </w:rPr>
        <w:t> </w:t>
      </w:r>
      <w:r>
        <w:rPr>
          <w:color w:val="1A171C"/>
          <w:sz w:val="22"/>
        </w:rPr>
        <w:t>takes</w:t>
      </w:r>
      <w:r>
        <w:rPr>
          <w:color w:val="1A171C"/>
          <w:spacing w:val="-2"/>
          <w:sz w:val="22"/>
        </w:rPr>
        <w:t> </w:t>
      </w:r>
      <w:r>
        <w:rPr>
          <w:color w:val="1A171C"/>
          <w:sz w:val="22"/>
        </w:rPr>
        <w:t>precedence</w:t>
      </w:r>
      <w:r>
        <w:rPr>
          <w:color w:val="1A171C"/>
          <w:spacing w:val="-2"/>
          <w:sz w:val="22"/>
        </w:rPr>
        <w:t> </w:t>
      </w:r>
      <w:r>
        <w:rPr>
          <w:color w:val="1A171C"/>
          <w:sz w:val="22"/>
        </w:rPr>
        <w:t>over</w:t>
      </w:r>
      <w:r>
        <w:rPr>
          <w:color w:val="1A171C"/>
          <w:spacing w:val="-1"/>
          <w:sz w:val="22"/>
        </w:rPr>
        <w:t> </w:t>
      </w:r>
      <w:r>
        <w:rPr>
          <w:color w:val="1A171C"/>
          <w:sz w:val="22"/>
        </w:rPr>
        <w:t>other</w:t>
      </w:r>
      <w:r>
        <w:rPr>
          <w:color w:val="1A171C"/>
          <w:spacing w:val="-1"/>
          <w:sz w:val="22"/>
        </w:rPr>
        <w:t> </w:t>
      </w:r>
      <w:r>
        <w:rPr>
          <w:color w:val="1A171C"/>
          <w:sz w:val="22"/>
        </w:rPr>
        <w:t>business.</w:t>
      </w:r>
      <w:r>
        <w:rPr>
          <w:color w:val="1A171C"/>
          <w:spacing w:val="-12"/>
          <w:sz w:val="22"/>
        </w:rPr>
        <w:t> </w:t>
      </w:r>
      <w:r>
        <w:rPr>
          <w:color w:val="1A171C"/>
          <w:sz w:val="22"/>
        </w:rPr>
        <w:t>As</w:t>
      </w:r>
      <w:r>
        <w:rPr>
          <w:color w:val="1A171C"/>
          <w:spacing w:val="-5"/>
          <w:sz w:val="22"/>
        </w:rPr>
        <w:t> </w:t>
      </w:r>
      <w:r>
        <w:rPr>
          <w:color w:val="1A171C"/>
          <w:sz w:val="22"/>
        </w:rPr>
        <w:t>soon as the member has given reasons for proposing it and it has been seconded and</w:t>
      </w:r>
      <w:r>
        <w:rPr>
          <w:color w:val="1A171C"/>
          <w:spacing w:val="-19"/>
          <w:sz w:val="22"/>
        </w:rPr>
        <w:t> </w:t>
      </w:r>
      <w:r>
        <w:rPr>
          <w:color w:val="1A171C"/>
          <w:sz w:val="22"/>
        </w:rPr>
        <w:t>the</w:t>
      </w:r>
    </w:p>
    <w:p>
      <w:pPr>
        <w:spacing w:before="144"/>
        <w:ind w:left="0" w:right="423" w:firstLine="0"/>
        <w:jc w:val="right"/>
        <w:rPr>
          <w:rFonts w:ascii="Stone Sans II ITC Std X Bd"/>
          <w:b/>
          <w:sz w:val="24"/>
        </w:rPr>
      </w:pPr>
      <w:r>
        <w:rPr>
          <w:rFonts w:ascii="Stone Sans II ITC Std X Bd"/>
          <w:b/>
          <w:color w:val="1A171C"/>
          <w:sz w:val="24"/>
        </w:rPr>
        <w:t>27</w:t>
      </w:r>
    </w:p>
    <w:p>
      <w:pPr>
        <w:spacing w:after="0"/>
        <w:jc w:val="right"/>
        <w:rPr>
          <w:rFonts w:ascii="Stone Sans II ITC Std X Bd"/>
          <w:sz w:val="24"/>
        </w:rPr>
        <w:sectPr>
          <w:pgSz w:w="11910" w:h="16840"/>
          <w:pgMar w:top="240" w:bottom="0" w:left="320" w:right="0"/>
        </w:sectPr>
      </w:pPr>
    </w:p>
    <w:p>
      <w:pPr>
        <w:pStyle w:val="BodyText"/>
        <w:rPr>
          <w:rFonts w:ascii="Stone Sans II ITC Std X Bd"/>
          <w:b/>
          <w:sz w:val="20"/>
        </w:rPr>
      </w:pPr>
      <w:r>
        <w:rPr/>
        <w:pict>
          <v:group style="position:absolute;margin-left:12.756pt;margin-top:12.755014pt;width:77.8pt;height:816.4pt;mso-position-horizontal-relative:page;mso-position-vertical-relative:page;z-index:-253343744" coordorigin="255,255" coordsize="1556,16328">
            <v:shape style="position:absolute;left:255;top:255;width:681;height:16328" type="#_x0000_t75" stroked="false">
              <v:imagedata r:id="rId20"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3BA533" w:color="auto" w:val="clear"/>
                      </w:rPr>
                      <w:t>B</w:t>
                    </w:r>
                    <w:r>
                      <w:rPr>
                        <w:rFonts w:ascii="Stone Sans II ITC Std X Bd"/>
                        <w:b/>
                        <w:color w:val="FFFFFF"/>
                        <w:sz w:val="65"/>
                        <w:shd w:fill="3BA533" w:color="auto" w:val="clear"/>
                      </w:rPr>
                      <w:tab/>
                    </w:r>
                  </w:p>
                </w:txbxContent>
              </v:textbox>
              <w10:wrap type="none"/>
            </v:shape>
            <v:shape style="position:absolute;left:435;top:15990;width:34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28</w:t>
                    </w:r>
                  </w:p>
                </w:txbxContent>
              </v:textbox>
              <w10:wrap type="none"/>
            </v:shape>
            <w10:wrap type="none"/>
          </v:group>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5"/>
        <w:rPr>
          <w:rFonts w:ascii="Stone Sans II ITC Std X Bd"/>
          <w:b/>
          <w:sz w:val="15"/>
        </w:rPr>
      </w:pPr>
    </w:p>
    <w:p>
      <w:pPr>
        <w:pStyle w:val="BodyText"/>
        <w:spacing w:before="94"/>
        <w:ind w:left="1040" w:right="1426"/>
      </w:pPr>
      <w:r>
        <w:rPr/>
        <w:pict>
          <v:shape style="position:absolute;margin-left:21.22007pt;margin-top:-15.557406pt;width:16.3500pt;height:346.1pt;mso-position-horizontal-relative:page;mso-position-vertical-relative:paragraph;z-index:251769856"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rPr>
        <w:t>proposer of the motion under consideration has been allowed opportunity to comment on the reasons put forward, the vote upon it shall be taken, unless it appears to the Moderator that an unfair use is being made of this rule or that deferral would have the effect of annulling the motion. To carry this motion, two-thirds of the votes cast must be given in its favour. At the discretion of the Moderator, the General Secretary may be instructed by a further motion, duly seconded, to refer the matter for consideration by other councils and/or by one or more committees of the Assembly. The General Secretary shall provide for the deferred motion to be represented at the next Meeting of the General Assembly.</w:t>
      </w:r>
    </w:p>
    <w:p>
      <w:pPr>
        <w:pStyle w:val="BodyText"/>
      </w:pPr>
    </w:p>
    <w:p>
      <w:pPr>
        <w:pStyle w:val="ListParagraph"/>
        <w:numPr>
          <w:ilvl w:val="1"/>
          <w:numId w:val="8"/>
        </w:numPr>
        <w:tabs>
          <w:tab w:pos="1760" w:val="left" w:leader="none"/>
          <w:tab w:pos="1761" w:val="left" w:leader="none"/>
        </w:tabs>
        <w:spacing w:line="240" w:lineRule="auto" w:before="0" w:after="0"/>
        <w:ind w:left="1040" w:right="1598" w:firstLine="0"/>
        <w:jc w:val="left"/>
        <w:rPr>
          <w:sz w:val="22"/>
        </w:rPr>
      </w:pPr>
      <w:r>
        <w:rPr>
          <w:color w:val="1A171C"/>
          <w:sz w:val="22"/>
        </w:rPr>
        <w:t>The motions described in </w:t>
      </w:r>
      <w:r>
        <w:rPr>
          <w:color w:val="1A171C"/>
          <w:spacing w:val="-3"/>
          <w:sz w:val="22"/>
        </w:rPr>
        <w:t>Standing </w:t>
      </w:r>
      <w:r>
        <w:rPr>
          <w:color w:val="1A171C"/>
          <w:sz w:val="22"/>
        </w:rPr>
        <w:t>Orders 6.2, 6.3 and 6.4 above are exceptions to </w:t>
      </w:r>
      <w:r>
        <w:rPr>
          <w:color w:val="1A171C"/>
          <w:spacing w:val="-3"/>
          <w:sz w:val="22"/>
        </w:rPr>
        <w:t>Standing </w:t>
      </w:r>
      <w:r>
        <w:rPr>
          <w:color w:val="1A171C"/>
          <w:sz w:val="22"/>
        </w:rPr>
        <w:t>Order 4.3, in that they may be moved and spoken to without the proposer having first obtained and announced the consent of a </w:t>
      </w:r>
      <w:r>
        <w:rPr>
          <w:color w:val="1A171C"/>
          <w:spacing w:val="-3"/>
          <w:sz w:val="22"/>
        </w:rPr>
        <w:t>seconder. </w:t>
      </w:r>
      <w:r>
        <w:rPr>
          <w:color w:val="1A171C"/>
          <w:sz w:val="22"/>
        </w:rPr>
        <w:t>They must, </w:t>
      </w:r>
      <w:r>
        <w:rPr>
          <w:color w:val="1A171C"/>
          <w:spacing w:val="-3"/>
          <w:sz w:val="22"/>
        </w:rPr>
        <w:t>however, </w:t>
      </w:r>
      <w:r>
        <w:rPr>
          <w:color w:val="1A171C"/>
          <w:sz w:val="22"/>
        </w:rPr>
        <w:t>be seconded before being put to the vote. Precedence as between motions under 6.1, 6.2, 6.3 and 6.4 is determined by the fact that after one of them is before the Assembly no other motion can be moved until that one has been dealt</w:t>
      </w:r>
      <w:r>
        <w:rPr>
          <w:color w:val="1A171C"/>
          <w:spacing w:val="-4"/>
          <w:sz w:val="22"/>
        </w:rPr>
        <w:t> </w:t>
      </w:r>
      <w:r>
        <w:rPr>
          <w:color w:val="1A171C"/>
          <w:sz w:val="22"/>
        </w:rPr>
        <w:t>with.</w:t>
      </w:r>
    </w:p>
    <w:p>
      <w:pPr>
        <w:pStyle w:val="BodyText"/>
        <w:rPr>
          <w:sz w:val="24"/>
        </w:rPr>
      </w:pPr>
    </w:p>
    <w:p>
      <w:pPr>
        <w:pStyle w:val="BodyText"/>
        <w:spacing w:before="8"/>
        <w:rPr>
          <w:sz w:val="19"/>
        </w:rPr>
      </w:pPr>
    </w:p>
    <w:p>
      <w:pPr>
        <w:pStyle w:val="Heading7"/>
        <w:numPr>
          <w:ilvl w:val="0"/>
          <w:numId w:val="8"/>
        </w:numPr>
        <w:tabs>
          <w:tab w:pos="1761" w:val="left" w:leader="none"/>
        </w:tabs>
        <w:spacing w:line="240" w:lineRule="auto" w:before="0" w:after="0"/>
        <w:ind w:left="1760" w:right="0" w:hanging="721"/>
        <w:jc w:val="both"/>
      </w:pPr>
      <w:r>
        <w:rPr>
          <w:color w:val="1A171C"/>
          <w:spacing w:val="-4"/>
        </w:rPr>
        <w:t>Voting</w:t>
      </w:r>
    </w:p>
    <w:p>
      <w:pPr>
        <w:pStyle w:val="ListParagraph"/>
        <w:numPr>
          <w:ilvl w:val="1"/>
          <w:numId w:val="8"/>
        </w:numPr>
        <w:tabs>
          <w:tab w:pos="1761" w:val="left" w:leader="none"/>
        </w:tabs>
        <w:spacing w:line="240" w:lineRule="auto" w:before="2" w:after="0"/>
        <w:ind w:left="1040" w:right="1624" w:firstLine="0"/>
        <w:jc w:val="both"/>
        <w:rPr>
          <w:sz w:val="22"/>
        </w:rPr>
      </w:pPr>
      <w:r>
        <w:rPr>
          <w:color w:val="1A171C"/>
          <w:spacing w:val="-3"/>
          <w:sz w:val="22"/>
        </w:rPr>
        <w:t>Voting </w:t>
      </w:r>
      <w:r>
        <w:rPr>
          <w:color w:val="1A171C"/>
          <w:sz w:val="22"/>
        </w:rPr>
        <w:t>on any motion whose effect is to </w:t>
      </w:r>
      <w:r>
        <w:rPr>
          <w:color w:val="1A171C"/>
          <w:spacing w:val="-3"/>
          <w:sz w:val="22"/>
        </w:rPr>
        <w:t>alter, </w:t>
      </w:r>
      <w:r>
        <w:rPr>
          <w:color w:val="1A171C"/>
          <w:sz w:val="22"/>
        </w:rPr>
        <w:t>add to, modify or supersede the Basis, the</w:t>
      </w:r>
      <w:r>
        <w:rPr>
          <w:color w:val="1A171C"/>
          <w:spacing w:val="-3"/>
          <w:sz w:val="22"/>
        </w:rPr>
        <w:t> </w:t>
      </w:r>
      <w:r>
        <w:rPr>
          <w:color w:val="1A171C"/>
          <w:sz w:val="22"/>
        </w:rPr>
        <w:t>Structure</w:t>
      </w:r>
      <w:r>
        <w:rPr>
          <w:color w:val="1A171C"/>
          <w:spacing w:val="-3"/>
          <w:sz w:val="22"/>
        </w:rPr>
        <w:t> </w:t>
      </w:r>
      <w:r>
        <w:rPr>
          <w:color w:val="1A171C"/>
          <w:sz w:val="22"/>
        </w:rPr>
        <w:t>and</w:t>
      </w:r>
      <w:r>
        <w:rPr>
          <w:color w:val="1A171C"/>
          <w:spacing w:val="-5"/>
          <w:sz w:val="22"/>
        </w:rPr>
        <w:t> </w:t>
      </w:r>
      <w:r>
        <w:rPr>
          <w:color w:val="1A171C"/>
          <w:sz w:val="22"/>
        </w:rPr>
        <w:t>any</w:t>
      </w:r>
      <w:r>
        <w:rPr>
          <w:color w:val="1A171C"/>
          <w:spacing w:val="-4"/>
          <w:sz w:val="22"/>
        </w:rPr>
        <w:t> </w:t>
      </w:r>
      <w:r>
        <w:rPr>
          <w:color w:val="1A171C"/>
          <w:sz w:val="22"/>
        </w:rPr>
        <w:t>other</w:t>
      </w:r>
      <w:r>
        <w:rPr>
          <w:color w:val="1A171C"/>
          <w:spacing w:val="-4"/>
          <w:sz w:val="22"/>
        </w:rPr>
        <w:t> </w:t>
      </w:r>
      <w:r>
        <w:rPr>
          <w:color w:val="1A171C"/>
          <w:sz w:val="22"/>
        </w:rPr>
        <w:t>form</w:t>
      </w:r>
      <w:r>
        <w:rPr>
          <w:color w:val="1A171C"/>
          <w:spacing w:val="-1"/>
          <w:sz w:val="22"/>
        </w:rPr>
        <w:t> </w:t>
      </w:r>
      <w:r>
        <w:rPr>
          <w:color w:val="1A171C"/>
          <w:sz w:val="22"/>
        </w:rPr>
        <w:t>or</w:t>
      </w:r>
      <w:r>
        <w:rPr>
          <w:color w:val="1A171C"/>
          <w:spacing w:val="-1"/>
          <w:sz w:val="22"/>
        </w:rPr>
        <w:t> </w:t>
      </w:r>
      <w:r>
        <w:rPr>
          <w:color w:val="1A171C"/>
          <w:sz w:val="22"/>
        </w:rPr>
        <w:t>expression</w:t>
      </w:r>
      <w:r>
        <w:rPr>
          <w:color w:val="1A171C"/>
          <w:spacing w:val="-2"/>
          <w:sz w:val="22"/>
        </w:rPr>
        <w:t> </w:t>
      </w:r>
      <w:r>
        <w:rPr>
          <w:color w:val="1A171C"/>
          <w:sz w:val="22"/>
        </w:rPr>
        <w:t>of</w:t>
      </w:r>
      <w:r>
        <w:rPr>
          <w:color w:val="1A171C"/>
          <w:spacing w:val="-3"/>
          <w:sz w:val="22"/>
        </w:rPr>
        <w:t> </w:t>
      </w:r>
      <w:r>
        <w:rPr>
          <w:color w:val="1A171C"/>
          <w:sz w:val="22"/>
        </w:rPr>
        <w:t>the</w:t>
      </w:r>
      <w:r>
        <w:rPr>
          <w:color w:val="1A171C"/>
          <w:spacing w:val="-5"/>
          <w:sz w:val="22"/>
        </w:rPr>
        <w:t> </w:t>
      </w:r>
      <w:r>
        <w:rPr>
          <w:color w:val="1A171C"/>
          <w:sz w:val="22"/>
        </w:rPr>
        <w:t>polity</w:t>
      </w:r>
      <w:r>
        <w:rPr>
          <w:color w:val="1A171C"/>
          <w:spacing w:val="-4"/>
          <w:sz w:val="22"/>
        </w:rPr>
        <w:t> </w:t>
      </w:r>
      <w:r>
        <w:rPr>
          <w:color w:val="1A171C"/>
          <w:sz w:val="22"/>
        </w:rPr>
        <w:t>and</w:t>
      </w:r>
      <w:r>
        <w:rPr>
          <w:color w:val="1A171C"/>
          <w:spacing w:val="-3"/>
          <w:sz w:val="22"/>
        </w:rPr>
        <w:t> </w:t>
      </w:r>
      <w:r>
        <w:rPr>
          <w:color w:val="1A171C"/>
          <w:sz w:val="22"/>
        </w:rPr>
        <w:t>doctrinal</w:t>
      </w:r>
      <w:r>
        <w:rPr>
          <w:color w:val="1A171C"/>
          <w:spacing w:val="-6"/>
          <w:sz w:val="22"/>
        </w:rPr>
        <w:t> </w:t>
      </w:r>
      <w:r>
        <w:rPr>
          <w:color w:val="1A171C"/>
          <w:sz w:val="22"/>
        </w:rPr>
        <w:t>formulations</w:t>
      </w:r>
      <w:r>
        <w:rPr>
          <w:color w:val="1A171C"/>
          <w:spacing w:val="-4"/>
          <w:sz w:val="22"/>
        </w:rPr>
        <w:t> </w:t>
      </w:r>
      <w:r>
        <w:rPr>
          <w:color w:val="1A171C"/>
          <w:sz w:val="22"/>
        </w:rPr>
        <w:t>of</w:t>
      </w:r>
      <w:r>
        <w:rPr>
          <w:color w:val="1A171C"/>
          <w:spacing w:val="-1"/>
          <w:sz w:val="22"/>
        </w:rPr>
        <w:t> </w:t>
      </w:r>
      <w:r>
        <w:rPr>
          <w:color w:val="1A171C"/>
          <w:sz w:val="22"/>
        </w:rPr>
        <w:t>the United Reformed Church, is governed by paragraph 3(1) and (2) of the</w:t>
      </w:r>
      <w:r>
        <w:rPr>
          <w:color w:val="1A171C"/>
          <w:spacing w:val="-24"/>
          <w:sz w:val="22"/>
        </w:rPr>
        <w:t> </w:t>
      </w:r>
      <w:r>
        <w:rPr>
          <w:color w:val="1A171C"/>
          <w:sz w:val="22"/>
        </w:rPr>
        <w:t>Structure.</w:t>
      </w:r>
    </w:p>
    <w:p>
      <w:pPr>
        <w:pStyle w:val="BodyText"/>
      </w:pPr>
    </w:p>
    <w:p>
      <w:pPr>
        <w:pStyle w:val="ListParagraph"/>
        <w:numPr>
          <w:ilvl w:val="1"/>
          <w:numId w:val="8"/>
        </w:numPr>
        <w:tabs>
          <w:tab w:pos="1760" w:val="left" w:leader="none"/>
          <w:tab w:pos="1761" w:val="left" w:leader="none"/>
        </w:tabs>
        <w:spacing w:line="240" w:lineRule="auto" w:before="0" w:after="0"/>
        <w:ind w:left="1040" w:right="1782" w:firstLine="0"/>
        <w:jc w:val="left"/>
        <w:rPr>
          <w:sz w:val="22"/>
        </w:rPr>
      </w:pPr>
      <w:r>
        <w:rPr>
          <w:color w:val="1A171C"/>
          <w:sz w:val="22"/>
        </w:rPr>
        <w:t>Other motions before the </w:t>
      </w:r>
      <w:r>
        <w:rPr>
          <w:color w:val="1A171C"/>
          <w:spacing w:val="-3"/>
          <w:sz w:val="22"/>
        </w:rPr>
        <w:t>Assembly, </w:t>
      </w:r>
      <w:r>
        <w:rPr>
          <w:color w:val="1A171C"/>
          <w:sz w:val="22"/>
        </w:rPr>
        <w:t>not subject to the consensus process, shall be determined by a majority of the votes of members of the Assembly present and voting as indicated by a show of voting cards,</w:t>
      </w:r>
      <w:r>
        <w:rPr>
          <w:color w:val="1A171C"/>
          <w:spacing w:val="-3"/>
          <w:sz w:val="22"/>
        </w:rPr>
        <w:t> </w:t>
      </w:r>
      <w:r>
        <w:rPr>
          <w:color w:val="1A171C"/>
          <w:sz w:val="22"/>
        </w:rPr>
        <w:t>except:</w:t>
      </w:r>
    </w:p>
    <w:p>
      <w:pPr>
        <w:pStyle w:val="ListParagraph"/>
        <w:numPr>
          <w:ilvl w:val="2"/>
          <w:numId w:val="8"/>
        </w:numPr>
        <w:tabs>
          <w:tab w:pos="1760" w:val="left" w:leader="none"/>
          <w:tab w:pos="1761" w:val="left" w:leader="none"/>
        </w:tabs>
        <w:spacing w:line="252" w:lineRule="exact" w:before="0" w:after="0"/>
        <w:ind w:left="1760" w:right="0" w:hanging="721"/>
        <w:jc w:val="left"/>
        <w:rPr>
          <w:sz w:val="22"/>
        </w:rPr>
      </w:pPr>
      <w:r>
        <w:rPr>
          <w:color w:val="1A171C"/>
          <w:sz w:val="22"/>
        </w:rPr>
        <w:t>if the Assembly decides before the vote that a paper ballot be the method of voting</w:t>
      </w:r>
      <w:r>
        <w:rPr>
          <w:color w:val="1A171C"/>
          <w:spacing w:val="-32"/>
          <w:sz w:val="22"/>
        </w:rPr>
        <w:t> </w:t>
      </w:r>
      <w:r>
        <w:rPr>
          <w:color w:val="1A171C"/>
          <w:sz w:val="22"/>
        </w:rPr>
        <w:t>or</w:t>
      </w:r>
    </w:p>
    <w:p>
      <w:pPr>
        <w:pStyle w:val="ListParagraph"/>
        <w:numPr>
          <w:ilvl w:val="2"/>
          <w:numId w:val="8"/>
        </w:numPr>
        <w:tabs>
          <w:tab w:pos="1760" w:val="left" w:leader="none"/>
          <w:tab w:pos="1761" w:val="left" w:leader="none"/>
        </w:tabs>
        <w:spacing w:line="240" w:lineRule="auto" w:before="2" w:after="0"/>
        <w:ind w:left="1760" w:right="1569" w:hanging="721"/>
        <w:jc w:val="left"/>
        <w:rPr>
          <w:sz w:val="22"/>
        </w:rPr>
      </w:pPr>
      <w:r>
        <w:rPr>
          <w:color w:val="1A171C"/>
          <w:sz w:val="22"/>
        </w:rPr>
        <w:t>if the show of cards indicates a very close vote, and the Moderator decides, or a member</w:t>
      </w:r>
      <w:r>
        <w:rPr>
          <w:color w:val="1A171C"/>
          <w:spacing w:val="-1"/>
          <w:sz w:val="22"/>
        </w:rPr>
        <w:t> </w:t>
      </w:r>
      <w:r>
        <w:rPr>
          <w:color w:val="1A171C"/>
          <w:sz w:val="22"/>
        </w:rPr>
        <w:t>of</w:t>
      </w:r>
      <w:r>
        <w:rPr>
          <w:color w:val="1A171C"/>
          <w:spacing w:val="-12"/>
          <w:sz w:val="22"/>
        </w:rPr>
        <w:t> </w:t>
      </w:r>
      <w:r>
        <w:rPr>
          <w:color w:val="1A171C"/>
          <w:sz w:val="22"/>
        </w:rPr>
        <w:t>Assembly</w:t>
      </w:r>
      <w:r>
        <w:rPr>
          <w:color w:val="1A171C"/>
          <w:spacing w:val="-5"/>
          <w:sz w:val="22"/>
        </w:rPr>
        <w:t> </w:t>
      </w:r>
      <w:r>
        <w:rPr>
          <w:color w:val="1A171C"/>
          <w:sz w:val="22"/>
        </w:rPr>
        <w:t>proposes</w:t>
      </w:r>
      <w:r>
        <w:rPr>
          <w:color w:val="1A171C"/>
          <w:spacing w:val="-2"/>
          <w:sz w:val="22"/>
        </w:rPr>
        <w:t> </w:t>
      </w:r>
      <w:r>
        <w:rPr>
          <w:color w:val="1A171C"/>
          <w:sz w:val="22"/>
        </w:rPr>
        <w:t>and</w:t>
      </w:r>
      <w:r>
        <w:rPr>
          <w:color w:val="1A171C"/>
          <w:spacing w:val="-4"/>
          <w:sz w:val="22"/>
        </w:rPr>
        <w:t> </w:t>
      </w:r>
      <w:r>
        <w:rPr>
          <w:color w:val="1A171C"/>
          <w:sz w:val="22"/>
        </w:rPr>
        <w:t>the</w:t>
      </w:r>
      <w:r>
        <w:rPr>
          <w:color w:val="1A171C"/>
          <w:spacing w:val="-16"/>
          <w:sz w:val="22"/>
        </w:rPr>
        <w:t> </w:t>
      </w:r>
      <w:r>
        <w:rPr>
          <w:color w:val="1A171C"/>
          <w:sz w:val="22"/>
        </w:rPr>
        <w:t>Assembly</w:t>
      </w:r>
      <w:r>
        <w:rPr>
          <w:color w:val="1A171C"/>
          <w:spacing w:val="-7"/>
          <w:sz w:val="22"/>
        </w:rPr>
        <w:t> </w:t>
      </w:r>
      <w:r>
        <w:rPr>
          <w:color w:val="1A171C"/>
          <w:sz w:val="22"/>
        </w:rPr>
        <w:t>agrees,</w:t>
      </w:r>
      <w:r>
        <w:rPr>
          <w:color w:val="1A171C"/>
          <w:spacing w:val="-2"/>
          <w:sz w:val="22"/>
        </w:rPr>
        <w:t> </w:t>
      </w:r>
      <w:r>
        <w:rPr>
          <w:color w:val="1A171C"/>
          <w:sz w:val="22"/>
        </w:rPr>
        <w:t>that</w:t>
      </w:r>
      <w:r>
        <w:rPr>
          <w:color w:val="1A171C"/>
          <w:spacing w:val="-1"/>
          <w:sz w:val="22"/>
        </w:rPr>
        <w:t> </w:t>
      </w:r>
      <w:r>
        <w:rPr>
          <w:color w:val="1A171C"/>
          <w:sz w:val="22"/>
        </w:rPr>
        <w:t>a</w:t>
      </w:r>
      <w:r>
        <w:rPr>
          <w:color w:val="1A171C"/>
          <w:spacing w:val="-5"/>
          <w:sz w:val="22"/>
        </w:rPr>
        <w:t> </w:t>
      </w:r>
      <w:r>
        <w:rPr>
          <w:color w:val="1A171C"/>
          <w:sz w:val="22"/>
        </w:rPr>
        <w:t>paper</w:t>
      </w:r>
      <w:r>
        <w:rPr>
          <w:color w:val="1A171C"/>
          <w:spacing w:val="2"/>
          <w:sz w:val="22"/>
        </w:rPr>
        <w:t> </w:t>
      </w:r>
      <w:r>
        <w:rPr>
          <w:color w:val="1A171C"/>
          <w:sz w:val="22"/>
        </w:rPr>
        <w:t>ballot</w:t>
      </w:r>
      <w:r>
        <w:rPr>
          <w:color w:val="1A171C"/>
          <w:spacing w:val="-1"/>
          <w:sz w:val="22"/>
        </w:rPr>
        <w:t> </w:t>
      </w:r>
      <w:r>
        <w:rPr>
          <w:color w:val="1A171C"/>
          <w:sz w:val="22"/>
        </w:rPr>
        <w:t>shall</w:t>
      </w:r>
      <w:r>
        <w:rPr>
          <w:color w:val="1A171C"/>
          <w:spacing w:val="-3"/>
          <w:sz w:val="22"/>
        </w:rPr>
        <w:t> </w:t>
      </w:r>
      <w:r>
        <w:rPr>
          <w:color w:val="1A171C"/>
          <w:sz w:val="22"/>
        </w:rPr>
        <w:t>be the method of</w:t>
      </w:r>
      <w:r>
        <w:rPr>
          <w:color w:val="1A171C"/>
          <w:spacing w:val="-3"/>
          <w:sz w:val="22"/>
        </w:rPr>
        <w:t> </w:t>
      </w:r>
      <w:r>
        <w:rPr>
          <w:color w:val="1A171C"/>
          <w:sz w:val="22"/>
        </w:rPr>
        <w:t>voting.</w:t>
      </w:r>
    </w:p>
    <w:p>
      <w:pPr>
        <w:pStyle w:val="BodyText"/>
        <w:spacing w:before="9"/>
        <w:rPr>
          <w:sz w:val="21"/>
        </w:rPr>
      </w:pPr>
    </w:p>
    <w:p>
      <w:pPr>
        <w:pStyle w:val="ListParagraph"/>
        <w:numPr>
          <w:ilvl w:val="1"/>
          <w:numId w:val="8"/>
        </w:numPr>
        <w:tabs>
          <w:tab w:pos="1760" w:val="left" w:leader="none"/>
          <w:tab w:pos="1761" w:val="left" w:leader="none"/>
        </w:tabs>
        <w:spacing w:line="240" w:lineRule="auto" w:before="1" w:after="0"/>
        <w:ind w:left="1041" w:right="1463" w:firstLine="0"/>
        <w:jc w:val="left"/>
        <w:rPr>
          <w:sz w:val="22"/>
        </w:rPr>
      </w:pPr>
      <w:r>
        <w:rPr>
          <w:color w:val="1A171C"/>
          <w:spacing w:val="-12"/>
          <w:sz w:val="22"/>
        </w:rPr>
        <w:t>To </w:t>
      </w:r>
      <w:r>
        <w:rPr>
          <w:color w:val="1A171C"/>
          <w:sz w:val="22"/>
        </w:rPr>
        <w:t>provide for voting in the case of a paper ballot, and to assist in taking a count of votes when the Moderator decides this is </w:t>
      </w:r>
      <w:r>
        <w:rPr>
          <w:color w:val="1A171C"/>
          <w:spacing w:val="-3"/>
          <w:sz w:val="22"/>
        </w:rPr>
        <w:t>necessary, </w:t>
      </w:r>
      <w:r>
        <w:rPr>
          <w:color w:val="1A171C"/>
          <w:sz w:val="22"/>
        </w:rPr>
        <w:t>the nominations committee shall appoint tellers for each</w:t>
      </w:r>
      <w:r>
        <w:rPr>
          <w:color w:val="1A171C"/>
          <w:spacing w:val="-15"/>
          <w:sz w:val="22"/>
        </w:rPr>
        <w:t> </w:t>
      </w:r>
      <w:r>
        <w:rPr>
          <w:color w:val="1A171C"/>
          <w:spacing w:val="-4"/>
          <w:sz w:val="22"/>
        </w:rPr>
        <w:t>Assembly.</w:t>
      </w:r>
    </w:p>
    <w:p>
      <w:pPr>
        <w:pStyle w:val="BodyText"/>
      </w:pPr>
    </w:p>
    <w:p>
      <w:pPr>
        <w:pStyle w:val="ListParagraph"/>
        <w:numPr>
          <w:ilvl w:val="1"/>
          <w:numId w:val="8"/>
        </w:numPr>
        <w:tabs>
          <w:tab w:pos="1760" w:val="left" w:leader="none"/>
          <w:tab w:pos="1761" w:val="left" w:leader="none"/>
        </w:tabs>
        <w:spacing w:line="240" w:lineRule="auto" w:before="0" w:after="0"/>
        <w:ind w:left="1041" w:right="1900" w:firstLine="0"/>
        <w:jc w:val="left"/>
        <w:rPr>
          <w:sz w:val="22"/>
        </w:rPr>
      </w:pPr>
      <w:r>
        <w:rPr>
          <w:color w:val="1A171C"/>
          <w:sz w:val="22"/>
        </w:rPr>
        <w:t>Any electronic voting system approved by the</w:t>
      </w:r>
      <w:r>
        <w:rPr>
          <w:color w:val="1A171C"/>
          <w:spacing w:val="-47"/>
          <w:sz w:val="22"/>
        </w:rPr>
        <w:t> </w:t>
      </w:r>
      <w:r>
        <w:rPr>
          <w:color w:val="1A171C"/>
          <w:sz w:val="22"/>
        </w:rPr>
        <w:t>Assembly arrangements committee shall be deemed to meet the requirements of these </w:t>
      </w:r>
      <w:r>
        <w:rPr>
          <w:color w:val="1A171C"/>
          <w:spacing w:val="-3"/>
          <w:sz w:val="22"/>
        </w:rPr>
        <w:t>Standing</w:t>
      </w:r>
      <w:r>
        <w:rPr>
          <w:color w:val="1A171C"/>
          <w:spacing w:val="-12"/>
          <w:sz w:val="22"/>
        </w:rPr>
        <w:t> </w:t>
      </w:r>
      <w:r>
        <w:rPr>
          <w:color w:val="1A171C"/>
          <w:sz w:val="22"/>
        </w:rPr>
        <w:t>Orders.</w:t>
      </w:r>
    </w:p>
    <w:p>
      <w:pPr>
        <w:pStyle w:val="BodyText"/>
        <w:rPr>
          <w:sz w:val="24"/>
        </w:rPr>
      </w:pPr>
    </w:p>
    <w:p>
      <w:pPr>
        <w:pStyle w:val="BodyText"/>
        <w:spacing w:before="7"/>
        <w:rPr>
          <w:sz w:val="19"/>
        </w:rPr>
      </w:pPr>
    </w:p>
    <w:p>
      <w:pPr>
        <w:pStyle w:val="Heading7"/>
        <w:numPr>
          <w:ilvl w:val="0"/>
          <w:numId w:val="8"/>
        </w:numPr>
        <w:tabs>
          <w:tab w:pos="1760" w:val="left" w:leader="none"/>
          <w:tab w:pos="1762" w:val="left" w:leader="none"/>
        </w:tabs>
        <w:spacing w:line="240" w:lineRule="auto" w:before="1" w:after="0"/>
        <w:ind w:left="1761" w:right="0" w:hanging="721"/>
        <w:jc w:val="left"/>
      </w:pPr>
      <w:r>
        <w:rPr>
          <w:color w:val="1A171C"/>
        </w:rPr>
        <w:t>Questions</w:t>
      </w:r>
    </w:p>
    <w:p>
      <w:pPr>
        <w:pStyle w:val="ListParagraph"/>
        <w:numPr>
          <w:ilvl w:val="1"/>
          <w:numId w:val="8"/>
        </w:numPr>
        <w:tabs>
          <w:tab w:pos="1761" w:val="left" w:leader="none"/>
          <w:tab w:pos="1762" w:val="left" w:leader="none"/>
        </w:tabs>
        <w:spacing w:line="240" w:lineRule="auto" w:before="3" w:after="0"/>
        <w:ind w:left="1041" w:right="1524" w:firstLine="0"/>
        <w:jc w:val="left"/>
        <w:rPr>
          <w:sz w:val="22"/>
        </w:rPr>
      </w:pPr>
      <w:r>
        <w:rPr>
          <w:color w:val="1A171C"/>
          <w:sz w:val="22"/>
        </w:rPr>
        <w:t>A </w:t>
      </w:r>
      <w:r>
        <w:rPr>
          <w:color w:val="1A171C"/>
          <w:spacing w:val="-3"/>
          <w:sz w:val="22"/>
        </w:rPr>
        <w:t>member </w:t>
      </w:r>
      <w:r>
        <w:rPr>
          <w:color w:val="1A171C"/>
          <w:spacing w:val="-7"/>
          <w:sz w:val="22"/>
        </w:rPr>
        <w:t>may, </w:t>
      </w:r>
      <w:r>
        <w:rPr>
          <w:color w:val="1A171C"/>
          <w:sz w:val="22"/>
        </w:rPr>
        <w:t>if </w:t>
      </w:r>
      <w:r>
        <w:rPr>
          <w:color w:val="1A171C"/>
          <w:spacing w:val="-3"/>
          <w:sz w:val="22"/>
        </w:rPr>
        <w:t>two days’ notice </w:t>
      </w:r>
      <w:r>
        <w:rPr>
          <w:color w:val="1A171C"/>
          <w:sz w:val="22"/>
        </w:rPr>
        <w:t>in </w:t>
      </w:r>
      <w:r>
        <w:rPr>
          <w:color w:val="1A171C"/>
          <w:spacing w:val="-3"/>
          <w:sz w:val="22"/>
        </w:rPr>
        <w:t>writing </w:t>
      </w:r>
      <w:r>
        <w:rPr>
          <w:color w:val="1A171C"/>
          <w:sz w:val="22"/>
        </w:rPr>
        <w:t>has </w:t>
      </w:r>
      <w:r>
        <w:rPr>
          <w:color w:val="1A171C"/>
          <w:spacing w:val="-3"/>
          <w:sz w:val="22"/>
        </w:rPr>
        <w:t>been given </w:t>
      </w:r>
      <w:r>
        <w:rPr>
          <w:color w:val="1A171C"/>
          <w:sz w:val="22"/>
        </w:rPr>
        <w:t>to the </w:t>
      </w:r>
      <w:r>
        <w:rPr>
          <w:color w:val="1A171C"/>
          <w:spacing w:val="-3"/>
          <w:sz w:val="22"/>
        </w:rPr>
        <w:t>General </w:t>
      </w:r>
      <w:r>
        <w:rPr>
          <w:color w:val="1A171C"/>
          <w:spacing w:val="-5"/>
          <w:sz w:val="22"/>
        </w:rPr>
        <w:t>Secretary, </w:t>
      </w:r>
      <w:r>
        <w:rPr>
          <w:color w:val="1A171C"/>
          <w:sz w:val="22"/>
        </w:rPr>
        <w:t>ask</w:t>
      </w:r>
      <w:r>
        <w:rPr>
          <w:color w:val="1A171C"/>
          <w:spacing w:val="-5"/>
          <w:sz w:val="22"/>
        </w:rPr>
        <w:t> </w:t>
      </w:r>
      <w:r>
        <w:rPr>
          <w:color w:val="1A171C"/>
          <w:sz w:val="22"/>
        </w:rPr>
        <w:t>the</w:t>
      </w:r>
      <w:r>
        <w:rPr>
          <w:color w:val="1A171C"/>
          <w:spacing w:val="-5"/>
          <w:sz w:val="22"/>
        </w:rPr>
        <w:t> </w:t>
      </w:r>
      <w:r>
        <w:rPr>
          <w:color w:val="1A171C"/>
          <w:spacing w:val="-3"/>
          <w:sz w:val="22"/>
        </w:rPr>
        <w:t>Moderator </w:t>
      </w:r>
      <w:r>
        <w:rPr>
          <w:color w:val="1A171C"/>
          <w:sz w:val="22"/>
        </w:rPr>
        <w:t>or</w:t>
      </w:r>
      <w:r>
        <w:rPr>
          <w:color w:val="1A171C"/>
          <w:spacing w:val="-4"/>
          <w:sz w:val="22"/>
        </w:rPr>
        <w:t> </w:t>
      </w:r>
      <w:r>
        <w:rPr>
          <w:color w:val="1A171C"/>
          <w:sz w:val="22"/>
        </w:rPr>
        <w:t>the</w:t>
      </w:r>
      <w:r>
        <w:rPr>
          <w:color w:val="1A171C"/>
          <w:spacing w:val="-8"/>
          <w:sz w:val="22"/>
        </w:rPr>
        <w:t> </w:t>
      </w:r>
      <w:r>
        <w:rPr>
          <w:color w:val="1A171C"/>
          <w:spacing w:val="-3"/>
          <w:sz w:val="22"/>
        </w:rPr>
        <w:t>convener </w:t>
      </w:r>
      <w:r>
        <w:rPr>
          <w:color w:val="1A171C"/>
          <w:sz w:val="22"/>
        </w:rPr>
        <w:t>of</w:t>
      </w:r>
      <w:r>
        <w:rPr>
          <w:color w:val="1A171C"/>
          <w:spacing w:val="-1"/>
          <w:sz w:val="22"/>
        </w:rPr>
        <w:t> </w:t>
      </w:r>
      <w:r>
        <w:rPr>
          <w:color w:val="1A171C"/>
          <w:sz w:val="22"/>
        </w:rPr>
        <w:t>any</w:t>
      </w:r>
      <w:r>
        <w:rPr>
          <w:color w:val="1A171C"/>
          <w:spacing w:val="-6"/>
          <w:sz w:val="22"/>
        </w:rPr>
        <w:t> </w:t>
      </w:r>
      <w:r>
        <w:rPr>
          <w:color w:val="1A171C"/>
          <w:spacing w:val="-3"/>
          <w:sz w:val="22"/>
        </w:rPr>
        <w:t>committee</w:t>
      </w:r>
      <w:r>
        <w:rPr>
          <w:color w:val="1A171C"/>
          <w:spacing w:val="-5"/>
          <w:sz w:val="22"/>
        </w:rPr>
        <w:t> </w:t>
      </w:r>
      <w:r>
        <w:rPr>
          <w:color w:val="1A171C"/>
          <w:sz w:val="22"/>
        </w:rPr>
        <w:t>any</w:t>
      </w:r>
      <w:r>
        <w:rPr>
          <w:color w:val="1A171C"/>
          <w:spacing w:val="-7"/>
          <w:sz w:val="22"/>
        </w:rPr>
        <w:t> </w:t>
      </w:r>
      <w:r>
        <w:rPr>
          <w:color w:val="1A171C"/>
          <w:spacing w:val="-3"/>
          <w:sz w:val="22"/>
        </w:rPr>
        <w:t>question</w:t>
      </w:r>
      <w:r>
        <w:rPr>
          <w:color w:val="1A171C"/>
          <w:spacing w:val="-4"/>
          <w:sz w:val="22"/>
        </w:rPr>
        <w:t> </w:t>
      </w:r>
      <w:r>
        <w:rPr>
          <w:color w:val="1A171C"/>
          <w:sz w:val="22"/>
        </w:rPr>
        <w:t>on</w:t>
      </w:r>
      <w:r>
        <w:rPr>
          <w:color w:val="1A171C"/>
          <w:spacing w:val="-5"/>
          <w:sz w:val="22"/>
        </w:rPr>
        <w:t> </w:t>
      </w:r>
      <w:r>
        <w:rPr>
          <w:color w:val="1A171C"/>
          <w:sz w:val="22"/>
        </w:rPr>
        <w:t>any</w:t>
      </w:r>
      <w:r>
        <w:rPr>
          <w:color w:val="1A171C"/>
          <w:spacing w:val="-6"/>
          <w:sz w:val="22"/>
        </w:rPr>
        <w:t> </w:t>
      </w:r>
      <w:r>
        <w:rPr>
          <w:color w:val="1A171C"/>
          <w:sz w:val="22"/>
        </w:rPr>
        <w:t>matter</w:t>
      </w:r>
      <w:r>
        <w:rPr>
          <w:color w:val="1A171C"/>
          <w:spacing w:val="-7"/>
          <w:sz w:val="22"/>
        </w:rPr>
        <w:t> </w:t>
      </w:r>
      <w:r>
        <w:rPr>
          <w:color w:val="1A171C"/>
          <w:spacing w:val="-3"/>
          <w:sz w:val="22"/>
        </w:rPr>
        <w:t>relating </w:t>
      </w:r>
      <w:r>
        <w:rPr>
          <w:color w:val="1A171C"/>
          <w:sz w:val="22"/>
        </w:rPr>
        <w:t>to</w:t>
      </w:r>
      <w:r>
        <w:rPr>
          <w:color w:val="1A171C"/>
          <w:spacing w:val="-7"/>
          <w:sz w:val="22"/>
        </w:rPr>
        <w:t> </w:t>
      </w:r>
      <w:r>
        <w:rPr>
          <w:color w:val="1A171C"/>
          <w:spacing w:val="-3"/>
          <w:sz w:val="22"/>
        </w:rPr>
        <w:t>the business</w:t>
      </w:r>
      <w:r>
        <w:rPr>
          <w:color w:val="1A171C"/>
          <w:spacing w:val="-5"/>
          <w:sz w:val="22"/>
        </w:rPr>
        <w:t> </w:t>
      </w:r>
      <w:r>
        <w:rPr>
          <w:color w:val="1A171C"/>
          <w:sz w:val="22"/>
        </w:rPr>
        <w:t>of</w:t>
      </w:r>
      <w:r>
        <w:rPr>
          <w:color w:val="1A171C"/>
          <w:spacing w:val="-1"/>
          <w:sz w:val="22"/>
        </w:rPr>
        <w:t> </w:t>
      </w:r>
      <w:r>
        <w:rPr>
          <w:color w:val="1A171C"/>
          <w:sz w:val="22"/>
        </w:rPr>
        <w:t>the</w:t>
      </w:r>
      <w:r>
        <w:rPr>
          <w:color w:val="1A171C"/>
          <w:spacing w:val="-18"/>
          <w:sz w:val="22"/>
        </w:rPr>
        <w:t> </w:t>
      </w:r>
      <w:r>
        <w:rPr>
          <w:color w:val="1A171C"/>
          <w:spacing w:val="-3"/>
          <w:sz w:val="22"/>
        </w:rPr>
        <w:t>Assembly</w:t>
      </w:r>
      <w:r>
        <w:rPr>
          <w:color w:val="1A171C"/>
          <w:spacing w:val="-6"/>
          <w:sz w:val="22"/>
        </w:rPr>
        <w:t> </w:t>
      </w:r>
      <w:r>
        <w:rPr>
          <w:color w:val="1A171C"/>
          <w:sz w:val="22"/>
        </w:rPr>
        <w:t>to</w:t>
      </w:r>
      <w:r>
        <w:rPr>
          <w:color w:val="1A171C"/>
          <w:spacing w:val="-5"/>
          <w:sz w:val="22"/>
        </w:rPr>
        <w:t> </w:t>
      </w:r>
      <w:r>
        <w:rPr>
          <w:color w:val="1A171C"/>
          <w:spacing w:val="-4"/>
          <w:sz w:val="22"/>
        </w:rPr>
        <w:t>which</w:t>
      </w:r>
      <w:r>
        <w:rPr>
          <w:color w:val="1A171C"/>
          <w:spacing w:val="-5"/>
          <w:sz w:val="22"/>
        </w:rPr>
        <w:t> </w:t>
      </w:r>
      <w:r>
        <w:rPr>
          <w:color w:val="1A171C"/>
          <w:sz w:val="22"/>
        </w:rPr>
        <w:t>no</w:t>
      </w:r>
      <w:r>
        <w:rPr>
          <w:color w:val="1A171C"/>
          <w:spacing w:val="-4"/>
          <w:sz w:val="22"/>
        </w:rPr>
        <w:t> </w:t>
      </w:r>
      <w:r>
        <w:rPr>
          <w:color w:val="1A171C"/>
          <w:sz w:val="22"/>
        </w:rPr>
        <w:t>reference</w:t>
      </w:r>
      <w:r>
        <w:rPr>
          <w:color w:val="1A171C"/>
          <w:spacing w:val="-5"/>
          <w:sz w:val="22"/>
        </w:rPr>
        <w:t> </w:t>
      </w:r>
      <w:r>
        <w:rPr>
          <w:color w:val="1A171C"/>
          <w:sz w:val="22"/>
        </w:rPr>
        <w:t>is</w:t>
      </w:r>
      <w:r>
        <w:rPr>
          <w:color w:val="1A171C"/>
          <w:spacing w:val="-7"/>
          <w:sz w:val="22"/>
        </w:rPr>
        <w:t> </w:t>
      </w:r>
      <w:r>
        <w:rPr>
          <w:color w:val="1A171C"/>
          <w:sz w:val="22"/>
        </w:rPr>
        <w:t>made</w:t>
      </w:r>
      <w:r>
        <w:rPr>
          <w:color w:val="1A171C"/>
          <w:spacing w:val="-4"/>
          <w:sz w:val="22"/>
        </w:rPr>
        <w:t> </w:t>
      </w:r>
      <w:r>
        <w:rPr>
          <w:color w:val="1A171C"/>
          <w:sz w:val="22"/>
        </w:rPr>
        <w:t>in</w:t>
      </w:r>
      <w:r>
        <w:rPr>
          <w:color w:val="1A171C"/>
          <w:spacing w:val="-5"/>
          <w:sz w:val="22"/>
        </w:rPr>
        <w:t> </w:t>
      </w:r>
      <w:r>
        <w:rPr>
          <w:color w:val="1A171C"/>
          <w:sz w:val="22"/>
        </w:rPr>
        <w:t>any</w:t>
      </w:r>
      <w:r>
        <w:rPr>
          <w:color w:val="1A171C"/>
          <w:spacing w:val="-7"/>
          <w:sz w:val="22"/>
        </w:rPr>
        <w:t> </w:t>
      </w:r>
      <w:r>
        <w:rPr>
          <w:color w:val="1A171C"/>
          <w:spacing w:val="-3"/>
          <w:sz w:val="22"/>
        </w:rPr>
        <w:t>report</w:t>
      </w:r>
      <w:r>
        <w:rPr>
          <w:color w:val="1A171C"/>
          <w:spacing w:val="-4"/>
          <w:sz w:val="22"/>
        </w:rPr>
        <w:t> </w:t>
      </w:r>
      <w:r>
        <w:rPr>
          <w:color w:val="1A171C"/>
          <w:spacing w:val="-2"/>
          <w:sz w:val="22"/>
        </w:rPr>
        <w:t>before</w:t>
      </w:r>
      <w:r>
        <w:rPr>
          <w:color w:val="1A171C"/>
          <w:spacing w:val="-4"/>
          <w:sz w:val="22"/>
        </w:rPr>
        <w:t> </w:t>
      </w:r>
      <w:r>
        <w:rPr>
          <w:color w:val="1A171C"/>
          <w:sz w:val="22"/>
        </w:rPr>
        <w:t>the</w:t>
      </w:r>
      <w:r>
        <w:rPr>
          <w:color w:val="1A171C"/>
          <w:spacing w:val="-18"/>
          <w:sz w:val="22"/>
        </w:rPr>
        <w:t> </w:t>
      </w:r>
      <w:r>
        <w:rPr>
          <w:color w:val="1A171C"/>
          <w:spacing w:val="-5"/>
          <w:sz w:val="22"/>
        </w:rPr>
        <w:t>Assembly.</w:t>
      </w:r>
    </w:p>
    <w:p>
      <w:pPr>
        <w:pStyle w:val="BodyText"/>
        <w:spacing w:before="1"/>
      </w:pPr>
    </w:p>
    <w:p>
      <w:pPr>
        <w:pStyle w:val="ListParagraph"/>
        <w:numPr>
          <w:ilvl w:val="1"/>
          <w:numId w:val="8"/>
        </w:numPr>
        <w:tabs>
          <w:tab w:pos="1761" w:val="left" w:leader="none"/>
          <w:tab w:pos="1762" w:val="left" w:leader="none"/>
        </w:tabs>
        <w:spacing w:line="240" w:lineRule="auto" w:before="0" w:after="0"/>
        <w:ind w:left="1041" w:right="1641" w:firstLine="0"/>
        <w:jc w:val="left"/>
        <w:rPr>
          <w:sz w:val="22"/>
        </w:rPr>
      </w:pPr>
      <w:r>
        <w:rPr>
          <w:color w:val="1A171C"/>
          <w:sz w:val="22"/>
        </w:rPr>
        <w:t>A member </w:t>
      </w:r>
      <w:r>
        <w:rPr>
          <w:color w:val="1A171C"/>
          <w:spacing w:val="-6"/>
          <w:sz w:val="22"/>
        </w:rPr>
        <w:t>may, </w:t>
      </w:r>
      <w:r>
        <w:rPr>
          <w:color w:val="1A171C"/>
          <w:sz w:val="22"/>
        </w:rPr>
        <w:t>when given opportunity by the </w:t>
      </w:r>
      <w:r>
        <w:rPr>
          <w:color w:val="1A171C"/>
          <w:spacing w:val="-3"/>
          <w:sz w:val="22"/>
        </w:rPr>
        <w:t>Moderator, </w:t>
      </w:r>
      <w:r>
        <w:rPr>
          <w:color w:val="1A171C"/>
          <w:sz w:val="22"/>
        </w:rPr>
        <w:t>ask the presenter of any report</w:t>
      </w:r>
      <w:r>
        <w:rPr>
          <w:color w:val="1A171C"/>
          <w:spacing w:val="-2"/>
          <w:sz w:val="22"/>
        </w:rPr>
        <w:t> </w:t>
      </w:r>
      <w:r>
        <w:rPr>
          <w:color w:val="1A171C"/>
          <w:sz w:val="22"/>
        </w:rPr>
        <w:t>before</w:t>
      </w:r>
      <w:r>
        <w:rPr>
          <w:color w:val="1A171C"/>
          <w:spacing w:val="-6"/>
          <w:sz w:val="22"/>
        </w:rPr>
        <w:t> </w:t>
      </w:r>
      <w:r>
        <w:rPr>
          <w:color w:val="1A171C"/>
          <w:sz w:val="22"/>
        </w:rPr>
        <w:t>the</w:t>
      </w:r>
      <w:r>
        <w:rPr>
          <w:color w:val="1A171C"/>
          <w:spacing w:val="-17"/>
          <w:sz w:val="22"/>
        </w:rPr>
        <w:t> </w:t>
      </w:r>
      <w:r>
        <w:rPr>
          <w:color w:val="1A171C"/>
          <w:sz w:val="22"/>
        </w:rPr>
        <w:t>Assembly</w:t>
      </w:r>
      <w:r>
        <w:rPr>
          <w:color w:val="1A171C"/>
          <w:spacing w:val="-6"/>
          <w:sz w:val="22"/>
        </w:rPr>
        <w:t> </w:t>
      </w:r>
      <w:r>
        <w:rPr>
          <w:color w:val="1A171C"/>
          <w:sz w:val="22"/>
        </w:rPr>
        <w:t>a</w:t>
      </w:r>
      <w:r>
        <w:rPr>
          <w:color w:val="1A171C"/>
          <w:spacing w:val="-3"/>
          <w:sz w:val="22"/>
        </w:rPr>
        <w:t> </w:t>
      </w:r>
      <w:r>
        <w:rPr>
          <w:color w:val="1A171C"/>
          <w:sz w:val="22"/>
        </w:rPr>
        <w:t>question</w:t>
      </w:r>
      <w:r>
        <w:rPr>
          <w:color w:val="1A171C"/>
          <w:spacing w:val="-4"/>
          <w:sz w:val="22"/>
        </w:rPr>
        <w:t> </w:t>
      </w:r>
      <w:r>
        <w:rPr>
          <w:color w:val="1A171C"/>
          <w:sz w:val="22"/>
        </w:rPr>
        <w:t>seeking</w:t>
      </w:r>
      <w:r>
        <w:rPr>
          <w:color w:val="1A171C"/>
          <w:spacing w:val="-1"/>
          <w:sz w:val="22"/>
        </w:rPr>
        <w:t> </w:t>
      </w:r>
      <w:r>
        <w:rPr>
          <w:color w:val="1A171C"/>
          <w:sz w:val="22"/>
        </w:rPr>
        <w:t>additional</w:t>
      </w:r>
      <w:r>
        <w:rPr>
          <w:color w:val="1A171C"/>
          <w:spacing w:val="-4"/>
          <w:sz w:val="22"/>
        </w:rPr>
        <w:t> </w:t>
      </w:r>
      <w:r>
        <w:rPr>
          <w:color w:val="1A171C"/>
          <w:sz w:val="22"/>
        </w:rPr>
        <w:t>information</w:t>
      </w:r>
      <w:r>
        <w:rPr>
          <w:color w:val="1A171C"/>
          <w:spacing w:val="-4"/>
          <w:sz w:val="22"/>
        </w:rPr>
        <w:t> </w:t>
      </w:r>
      <w:r>
        <w:rPr>
          <w:color w:val="1A171C"/>
          <w:sz w:val="22"/>
        </w:rPr>
        <w:t>or</w:t>
      </w:r>
      <w:r>
        <w:rPr>
          <w:color w:val="1A171C"/>
          <w:spacing w:val="-2"/>
          <w:sz w:val="22"/>
        </w:rPr>
        <w:t> </w:t>
      </w:r>
      <w:r>
        <w:rPr>
          <w:color w:val="1A171C"/>
          <w:sz w:val="22"/>
        </w:rPr>
        <w:t>explanation</w:t>
      </w:r>
      <w:r>
        <w:rPr>
          <w:color w:val="1A171C"/>
          <w:spacing w:val="-4"/>
          <w:sz w:val="22"/>
        </w:rPr>
        <w:t> </w:t>
      </w:r>
      <w:r>
        <w:rPr>
          <w:color w:val="1A171C"/>
          <w:sz w:val="22"/>
        </w:rPr>
        <w:t>relating to matters contained within the</w:t>
      </w:r>
      <w:r>
        <w:rPr>
          <w:color w:val="1A171C"/>
          <w:spacing w:val="-7"/>
          <w:sz w:val="22"/>
        </w:rPr>
        <w:t> </w:t>
      </w:r>
      <w:r>
        <w:rPr>
          <w:color w:val="1A171C"/>
          <w:sz w:val="22"/>
        </w:rPr>
        <w:t>report.</w:t>
      </w:r>
    </w:p>
    <w:p>
      <w:pPr>
        <w:pStyle w:val="BodyText"/>
        <w:spacing w:before="10"/>
        <w:rPr>
          <w:sz w:val="21"/>
        </w:rPr>
      </w:pPr>
    </w:p>
    <w:p>
      <w:pPr>
        <w:pStyle w:val="ListParagraph"/>
        <w:numPr>
          <w:ilvl w:val="1"/>
          <w:numId w:val="8"/>
        </w:numPr>
        <w:tabs>
          <w:tab w:pos="1761" w:val="left" w:leader="none"/>
          <w:tab w:pos="1762" w:val="left" w:leader="none"/>
        </w:tabs>
        <w:spacing w:line="240" w:lineRule="auto" w:before="0" w:after="0"/>
        <w:ind w:left="1041" w:right="2123" w:firstLine="0"/>
        <w:jc w:val="left"/>
        <w:rPr>
          <w:sz w:val="22"/>
        </w:rPr>
      </w:pPr>
      <w:r>
        <w:rPr>
          <w:color w:val="1A171C"/>
          <w:sz w:val="22"/>
        </w:rPr>
        <w:t>Questions asked under </w:t>
      </w:r>
      <w:r>
        <w:rPr>
          <w:color w:val="1A171C"/>
          <w:spacing w:val="-3"/>
          <w:sz w:val="22"/>
        </w:rPr>
        <w:t>Standing </w:t>
      </w:r>
      <w:r>
        <w:rPr>
          <w:color w:val="1A171C"/>
          <w:sz w:val="22"/>
        </w:rPr>
        <w:t>Orders 8.1 and 8.2 shall be put and answered without</w:t>
      </w:r>
      <w:r>
        <w:rPr>
          <w:color w:val="1A171C"/>
          <w:spacing w:val="1"/>
          <w:sz w:val="22"/>
        </w:rPr>
        <w:t> </w:t>
      </w:r>
      <w:r>
        <w:rPr>
          <w:color w:val="1A171C"/>
          <w:sz w:val="22"/>
        </w:rPr>
        <w:t>discussion.</w:t>
      </w:r>
    </w:p>
    <w:p>
      <w:pPr>
        <w:pStyle w:val="BodyText"/>
        <w:rPr>
          <w:sz w:val="24"/>
        </w:rPr>
      </w:pPr>
    </w:p>
    <w:p>
      <w:pPr>
        <w:pStyle w:val="BodyText"/>
        <w:spacing w:before="9"/>
        <w:rPr>
          <w:sz w:val="19"/>
        </w:rPr>
      </w:pPr>
    </w:p>
    <w:p>
      <w:pPr>
        <w:pStyle w:val="Heading7"/>
        <w:numPr>
          <w:ilvl w:val="0"/>
          <w:numId w:val="8"/>
        </w:numPr>
        <w:tabs>
          <w:tab w:pos="1761" w:val="left" w:leader="none"/>
          <w:tab w:pos="1762" w:val="left" w:leader="none"/>
        </w:tabs>
        <w:spacing w:line="240" w:lineRule="auto" w:before="1" w:after="0"/>
        <w:ind w:left="1761" w:right="0" w:hanging="721"/>
        <w:jc w:val="left"/>
      </w:pPr>
      <w:r>
        <w:rPr>
          <w:color w:val="1A171C"/>
        </w:rPr>
        <w:t>Points of </w:t>
      </w:r>
      <w:r>
        <w:rPr>
          <w:color w:val="1A171C"/>
          <w:spacing w:val="-3"/>
        </w:rPr>
        <w:t>order, </w:t>
      </w:r>
      <w:r>
        <w:rPr>
          <w:color w:val="1A171C"/>
        </w:rPr>
        <w:t>personal explanations,</w:t>
      </w:r>
      <w:r>
        <w:rPr>
          <w:color w:val="1A171C"/>
          <w:spacing w:val="3"/>
        </w:rPr>
        <w:t> </w:t>
      </w:r>
      <w:r>
        <w:rPr>
          <w:color w:val="1A171C"/>
        </w:rPr>
        <w:t>dissent</w:t>
      </w:r>
    </w:p>
    <w:p>
      <w:pPr>
        <w:pStyle w:val="ListParagraph"/>
        <w:numPr>
          <w:ilvl w:val="1"/>
          <w:numId w:val="8"/>
        </w:numPr>
        <w:tabs>
          <w:tab w:pos="1761" w:val="left" w:leader="none"/>
          <w:tab w:pos="1762" w:val="left" w:leader="none"/>
        </w:tabs>
        <w:spacing w:line="240" w:lineRule="auto" w:before="1" w:after="0"/>
        <w:ind w:left="1041" w:right="1496" w:firstLine="0"/>
        <w:jc w:val="left"/>
        <w:rPr>
          <w:sz w:val="22"/>
        </w:rPr>
      </w:pPr>
      <w:r>
        <w:rPr>
          <w:color w:val="1A171C"/>
          <w:sz w:val="22"/>
        </w:rPr>
        <w:t>A member shall have the right to rise and call attention to a point of </w:t>
      </w:r>
      <w:r>
        <w:rPr>
          <w:color w:val="1A171C"/>
          <w:spacing w:val="-4"/>
          <w:sz w:val="22"/>
        </w:rPr>
        <w:t>order, </w:t>
      </w:r>
      <w:r>
        <w:rPr>
          <w:color w:val="1A171C"/>
          <w:sz w:val="22"/>
        </w:rPr>
        <w:t>and immediately on this being done any other member addressing the Assembly shall cease speaking until the Moderator has determined the question of </w:t>
      </w:r>
      <w:r>
        <w:rPr>
          <w:color w:val="1A171C"/>
          <w:spacing w:val="-4"/>
          <w:sz w:val="22"/>
        </w:rPr>
        <w:t>order. </w:t>
      </w:r>
      <w:r>
        <w:rPr>
          <w:color w:val="1A171C"/>
          <w:sz w:val="22"/>
        </w:rPr>
        <w:t>The decision on any point of order rests entirely with the Moderator. Any member calling to order unnecessarily is liable to censure of the</w:t>
      </w:r>
      <w:r>
        <w:rPr>
          <w:color w:val="1A171C"/>
          <w:spacing w:val="-14"/>
          <w:sz w:val="22"/>
        </w:rPr>
        <w:t> </w:t>
      </w:r>
      <w:r>
        <w:rPr>
          <w:color w:val="1A171C"/>
          <w:spacing w:val="-4"/>
          <w:sz w:val="22"/>
        </w:rPr>
        <w:t>Assembly.</w:t>
      </w:r>
    </w:p>
    <w:p>
      <w:pPr>
        <w:spacing w:after="0" w:line="240" w:lineRule="auto"/>
        <w:jc w:val="left"/>
        <w:rPr>
          <w:sz w:val="22"/>
        </w:rPr>
        <w:sectPr>
          <w:pgSz w:w="11910" w:h="16840"/>
          <w:pgMar w:top="240" w:bottom="0" w:left="320" w:right="0"/>
        </w:sectPr>
      </w:pPr>
    </w:p>
    <w:p>
      <w:pPr>
        <w:pStyle w:val="Heading1"/>
        <w:tabs>
          <w:tab w:pos="864" w:val="left" w:leader="none"/>
        </w:tabs>
        <w:rPr>
          <w:b/>
        </w:rPr>
      </w:pPr>
      <w:r>
        <w:rPr/>
        <w:drawing>
          <wp:anchor distT="0" distB="0" distL="0" distR="0" allowOverlap="1" layoutInCell="1" locked="0" behindDoc="1" simplePos="0" relativeHeight="249974784">
            <wp:simplePos x="0" y="0"/>
            <wp:positionH relativeFrom="page">
              <wp:posOffset>6974928</wp:posOffset>
            </wp:positionH>
            <wp:positionV relativeFrom="page">
              <wp:posOffset>161988</wp:posOffset>
            </wp:positionV>
            <wp:extent cx="432079" cy="10368000"/>
            <wp:effectExtent l="0" t="0" r="0" b="0"/>
            <wp:wrapNone/>
            <wp:docPr id="29" name="image12.png"/>
            <wp:cNvGraphicFramePr>
              <a:graphicFrameLocks noChangeAspect="1"/>
            </wp:cNvGraphicFramePr>
            <a:graphic>
              <a:graphicData uri="http://schemas.openxmlformats.org/drawingml/2006/picture">
                <pic:pic>
                  <pic:nvPicPr>
                    <pic:cNvPr id="30" name="image12.png"/>
                    <pic:cNvPicPr/>
                  </pic:nvPicPr>
                  <pic:blipFill>
                    <a:blip r:embed="rId19" cstate="print"/>
                    <a:stretch>
                      <a:fillRect/>
                    </a:stretch>
                  </pic:blipFill>
                  <pic:spPr>
                    <a:xfrm>
                      <a:off x="0" y="0"/>
                      <a:ext cx="432079" cy="10368000"/>
                    </a:xfrm>
                    <a:prstGeom prst="rect">
                      <a:avLst/>
                    </a:prstGeom>
                  </pic:spPr>
                </pic:pic>
              </a:graphicData>
            </a:graphic>
          </wp:anchor>
        </w:drawing>
      </w:r>
      <w:r>
        <w:rPr>
          <w:b/>
          <w:color w:val="FFFFFF"/>
          <w:w w:val="110"/>
          <w:shd w:fill="3BA533" w:color="auto" w:val="clear"/>
        </w:rPr>
        <w:t> </w:t>
      </w:r>
      <w:r>
        <w:rPr>
          <w:b/>
          <w:color w:val="FFFFFF"/>
          <w:shd w:fill="3BA533" w:color="auto" w:val="clear"/>
        </w:rPr>
        <w:tab/>
      </w:r>
      <w:r>
        <w:rPr>
          <w:b/>
          <w:color w:val="FFFFFF"/>
          <w:w w:val="110"/>
          <w:shd w:fill="3BA533" w:color="auto" w:val="clear"/>
        </w:rPr>
        <w:t>B</w:t>
      </w:r>
    </w:p>
    <w:p>
      <w:pPr>
        <w:pStyle w:val="BodyText"/>
        <w:rPr>
          <w:rFonts w:ascii="Stone Sans II ITC Std X Bd"/>
          <w:b/>
          <w:sz w:val="20"/>
        </w:rPr>
      </w:pPr>
    </w:p>
    <w:p>
      <w:pPr>
        <w:pStyle w:val="BodyText"/>
        <w:spacing w:before="2"/>
        <w:rPr>
          <w:rFonts w:ascii="Stone Sans II ITC Std X Bd"/>
          <w:b/>
          <w:sz w:val="17"/>
        </w:rPr>
      </w:pPr>
    </w:p>
    <w:p>
      <w:pPr>
        <w:pStyle w:val="ListParagraph"/>
        <w:numPr>
          <w:ilvl w:val="1"/>
          <w:numId w:val="8"/>
        </w:numPr>
        <w:tabs>
          <w:tab w:pos="1819" w:val="left" w:leader="none"/>
          <w:tab w:pos="1820" w:val="left" w:leader="none"/>
        </w:tabs>
        <w:spacing w:line="240" w:lineRule="auto" w:before="0" w:after="0"/>
        <w:ind w:left="1099" w:right="1532" w:firstLine="0"/>
        <w:jc w:val="left"/>
        <w:rPr>
          <w:sz w:val="22"/>
        </w:rPr>
      </w:pPr>
      <w:r>
        <w:rPr/>
        <w:pict>
          <v:shape style="position:absolute;margin-left:557.985779pt;margin-top:-23.289808pt;width:16.3500pt;height:347.3pt;mso-position-horizontal-relative:page;mso-position-vertical-relative:paragraph;z-index:251771904"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sz w:val="22"/>
        </w:rPr>
        <w:t>A member feeling that some material part of a former speech by such member at the same meeting has been misunderstood or is being grossly misinterpreted by a later speaker may rise and request the Moderator’s permission to make a personal explanation. If the Moderator so permits, a member so rising shall be entitled to be heard</w:t>
      </w:r>
      <w:r>
        <w:rPr>
          <w:color w:val="1A171C"/>
          <w:spacing w:val="-19"/>
          <w:sz w:val="22"/>
        </w:rPr>
        <w:t> </w:t>
      </w:r>
      <w:r>
        <w:rPr>
          <w:color w:val="1A171C"/>
          <w:sz w:val="22"/>
        </w:rPr>
        <w:t>forthwith.</w:t>
      </w:r>
    </w:p>
    <w:p>
      <w:pPr>
        <w:pStyle w:val="BodyText"/>
      </w:pPr>
    </w:p>
    <w:p>
      <w:pPr>
        <w:pStyle w:val="ListParagraph"/>
        <w:numPr>
          <w:ilvl w:val="1"/>
          <w:numId w:val="8"/>
        </w:numPr>
        <w:tabs>
          <w:tab w:pos="1819" w:val="left" w:leader="none"/>
          <w:tab w:pos="1820" w:val="left" w:leader="none"/>
        </w:tabs>
        <w:spacing w:line="240" w:lineRule="auto" w:before="0" w:after="0"/>
        <w:ind w:left="1099" w:right="1423" w:firstLine="0"/>
        <w:jc w:val="left"/>
        <w:rPr>
          <w:sz w:val="22"/>
        </w:rPr>
      </w:pPr>
      <w:r>
        <w:rPr>
          <w:color w:val="1A171C"/>
          <w:sz w:val="22"/>
        </w:rPr>
        <w:t>The right to record in the minutes a dissent from any decision of the Assembly shall only be granted to a member by the Moderator if the reason stated, either verbally at the time or later in writing, appears to the Moderator to fall within the provisions of paragraph 10 of the Basis of</w:t>
      </w:r>
      <w:r>
        <w:rPr>
          <w:color w:val="1A171C"/>
          <w:spacing w:val="4"/>
          <w:sz w:val="22"/>
        </w:rPr>
        <w:t> </w:t>
      </w:r>
      <w:r>
        <w:rPr>
          <w:color w:val="1A171C"/>
          <w:sz w:val="22"/>
        </w:rPr>
        <w:t>Union.</w:t>
      </w:r>
    </w:p>
    <w:p>
      <w:pPr>
        <w:pStyle w:val="BodyText"/>
        <w:spacing w:before="11"/>
        <w:rPr>
          <w:sz w:val="21"/>
        </w:rPr>
      </w:pPr>
    </w:p>
    <w:p>
      <w:pPr>
        <w:pStyle w:val="ListParagraph"/>
        <w:numPr>
          <w:ilvl w:val="1"/>
          <w:numId w:val="8"/>
        </w:numPr>
        <w:tabs>
          <w:tab w:pos="1819" w:val="left" w:leader="none"/>
          <w:tab w:pos="1820" w:val="left" w:leader="none"/>
        </w:tabs>
        <w:spacing w:line="240" w:lineRule="auto" w:before="0" w:after="0"/>
        <w:ind w:left="1099" w:right="1435" w:firstLine="0"/>
        <w:jc w:val="left"/>
        <w:rPr>
          <w:sz w:val="22"/>
        </w:rPr>
      </w:pPr>
      <w:r>
        <w:rPr>
          <w:color w:val="1A171C"/>
          <w:sz w:val="22"/>
        </w:rPr>
        <w:t>The decision of the Moderator on a point of </w:t>
      </w:r>
      <w:r>
        <w:rPr>
          <w:color w:val="1A171C"/>
          <w:spacing w:val="-4"/>
          <w:sz w:val="22"/>
        </w:rPr>
        <w:t>order, </w:t>
      </w:r>
      <w:r>
        <w:rPr>
          <w:color w:val="1A171C"/>
          <w:sz w:val="22"/>
        </w:rPr>
        <w:t>or on the admissibility of a personal explanation, or on the right to have a dissent recorded, shall not be open to</w:t>
      </w:r>
      <w:r>
        <w:rPr>
          <w:color w:val="1A171C"/>
          <w:spacing w:val="-24"/>
          <w:sz w:val="22"/>
        </w:rPr>
        <w:t> </w:t>
      </w:r>
      <w:r>
        <w:rPr>
          <w:color w:val="1A171C"/>
          <w:sz w:val="22"/>
        </w:rPr>
        <w:t>discussion.</w:t>
      </w:r>
    </w:p>
    <w:p>
      <w:pPr>
        <w:pStyle w:val="BodyText"/>
        <w:rPr>
          <w:sz w:val="24"/>
        </w:rPr>
      </w:pPr>
    </w:p>
    <w:p>
      <w:pPr>
        <w:pStyle w:val="BodyText"/>
        <w:spacing w:before="9"/>
        <w:rPr>
          <w:sz w:val="19"/>
        </w:rPr>
      </w:pPr>
    </w:p>
    <w:p>
      <w:pPr>
        <w:pStyle w:val="Heading7"/>
        <w:numPr>
          <w:ilvl w:val="0"/>
          <w:numId w:val="8"/>
        </w:numPr>
        <w:tabs>
          <w:tab w:pos="1819" w:val="left" w:leader="none"/>
          <w:tab w:pos="1820" w:val="left" w:leader="none"/>
        </w:tabs>
        <w:spacing w:line="240" w:lineRule="auto" w:before="1" w:after="0"/>
        <w:ind w:left="1819" w:right="0" w:hanging="721"/>
        <w:jc w:val="left"/>
      </w:pPr>
      <w:r>
        <w:rPr>
          <w:color w:val="1A171C"/>
        </w:rPr>
        <w:t>Admission of public and</w:t>
      </w:r>
      <w:r>
        <w:rPr>
          <w:color w:val="1A171C"/>
          <w:spacing w:val="-4"/>
        </w:rPr>
        <w:t> </w:t>
      </w:r>
      <w:r>
        <w:rPr>
          <w:color w:val="1A171C"/>
        </w:rPr>
        <w:t>press</w:t>
      </w:r>
    </w:p>
    <w:p>
      <w:pPr>
        <w:pStyle w:val="ListParagraph"/>
        <w:numPr>
          <w:ilvl w:val="1"/>
          <w:numId w:val="8"/>
        </w:numPr>
        <w:tabs>
          <w:tab w:pos="1818" w:val="left" w:leader="none"/>
          <w:tab w:pos="1819" w:val="left" w:leader="none"/>
        </w:tabs>
        <w:spacing w:line="240" w:lineRule="auto" w:before="1" w:after="0"/>
        <w:ind w:left="1099" w:right="1506" w:firstLine="0"/>
        <w:jc w:val="left"/>
        <w:rPr>
          <w:sz w:val="22"/>
        </w:rPr>
      </w:pPr>
      <w:r>
        <w:rPr>
          <w:color w:val="1A171C"/>
          <w:sz w:val="22"/>
        </w:rPr>
        <w:t>Members of the public and representatives of the press shall be admitted to the Assembly</w:t>
      </w:r>
      <w:r>
        <w:rPr>
          <w:color w:val="1A171C"/>
          <w:spacing w:val="-5"/>
          <w:sz w:val="22"/>
        </w:rPr>
        <w:t> </w:t>
      </w:r>
      <w:r>
        <w:rPr>
          <w:color w:val="1A171C"/>
          <w:sz w:val="22"/>
        </w:rPr>
        <w:t>unless</w:t>
      </w:r>
      <w:r>
        <w:rPr>
          <w:color w:val="1A171C"/>
          <w:spacing w:val="-1"/>
          <w:sz w:val="22"/>
        </w:rPr>
        <w:t> </w:t>
      </w:r>
      <w:r>
        <w:rPr>
          <w:color w:val="1A171C"/>
          <w:sz w:val="22"/>
        </w:rPr>
        <w:t>the</w:t>
      </w:r>
      <w:r>
        <w:rPr>
          <w:color w:val="1A171C"/>
          <w:spacing w:val="-15"/>
          <w:sz w:val="22"/>
        </w:rPr>
        <w:t> </w:t>
      </w:r>
      <w:r>
        <w:rPr>
          <w:color w:val="1A171C"/>
          <w:sz w:val="22"/>
        </w:rPr>
        <w:t>Assembly</w:t>
      </w:r>
      <w:r>
        <w:rPr>
          <w:color w:val="1A171C"/>
          <w:spacing w:val="-5"/>
          <w:sz w:val="22"/>
        </w:rPr>
        <w:t> </w:t>
      </w:r>
      <w:r>
        <w:rPr>
          <w:color w:val="1A171C"/>
          <w:sz w:val="22"/>
        </w:rPr>
        <w:t>otherwise</w:t>
      </w:r>
      <w:r>
        <w:rPr>
          <w:color w:val="1A171C"/>
          <w:spacing w:val="-2"/>
          <w:sz w:val="22"/>
        </w:rPr>
        <w:t> </w:t>
      </w:r>
      <w:r>
        <w:rPr>
          <w:color w:val="1A171C"/>
          <w:sz w:val="22"/>
        </w:rPr>
        <w:t>decides, and</w:t>
      </w:r>
      <w:r>
        <w:rPr>
          <w:color w:val="1A171C"/>
          <w:spacing w:val="-4"/>
          <w:sz w:val="22"/>
        </w:rPr>
        <w:t> </w:t>
      </w:r>
      <w:r>
        <w:rPr>
          <w:color w:val="1A171C"/>
          <w:sz w:val="22"/>
        </w:rPr>
        <w:t>they</w:t>
      </w:r>
      <w:r>
        <w:rPr>
          <w:color w:val="1A171C"/>
          <w:spacing w:val="-4"/>
          <w:sz w:val="22"/>
        </w:rPr>
        <w:t> </w:t>
      </w:r>
      <w:r>
        <w:rPr>
          <w:color w:val="1A171C"/>
          <w:sz w:val="22"/>
        </w:rPr>
        <w:t>shall</w:t>
      </w:r>
      <w:r>
        <w:rPr>
          <w:color w:val="1A171C"/>
          <w:spacing w:val="-2"/>
          <w:sz w:val="22"/>
        </w:rPr>
        <w:t> </w:t>
      </w:r>
      <w:r>
        <w:rPr>
          <w:color w:val="1A171C"/>
          <w:sz w:val="22"/>
        </w:rPr>
        <w:t>occupy</w:t>
      </w:r>
      <w:r>
        <w:rPr>
          <w:color w:val="1A171C"/>
          <w:spacing w:val="-4"/>
          <w:sz w:val="22"/>
        </w:rPr>
        <w:t> </w:t>
      </w:r>
      <w:r>
        <w:rPr>
          <w:color w:val="1A171C"/>
          <w:sz w:val="22"/>
        </w:rPr>
        <w:t>such</w:t>
      </w:r>
      <w:r>
        <w:rPr>
          <w:color w:val="1A171C"/>
          <w:spacing w:val="-3"/>
          <w:sz w:val="22"/>
        </w:rPr>
        <w:t> </w:t>
      </w:r>
      <w:r>
        <w:rPr>
          <w:color w:val="1A171C"/>
          <w:sz w:val="22"/>
        </w:rPr>
        <w:t>places</w:t>
      </w:r>
      <w:r>
        <w:rPr>
          <w:color w:val="1A171C"/>
          <w:spacing w:val="-1"/>
          <w:sz w:val="22"/>
        </w:rPr>
        <w:t> </w:t>
      </w:r>
      <w:r>
        <w:rPr>
          <w:color w:val="1A171C"/>
          <w:sz w:val="22"/>
        </w:rPr>
        <w:t>as</w:t>
      </w:r>
      <w:r>
        <w:rPr>
          <w:color w:val="1A171C"/>
          <w:spacing w:val="-4"/>
          <w:sz w:val="22"/>
        </w:rPr>
        <w:t> </w:t>
      </w:r>
      <w:r>
        <w:rPr>
          <w:color w:val="1A171C"/>
          <w:sz w:val="22"/>
        </w:rPr>
        <w:t>are assigned to</w:t>
      </w:r>
      <w:r>
        <w:rPr>
          <w:color w:val="1A171C"/>
          <w:spacing w:val="-5"/>
          <w:sz w:val="22"/>
        </w:rPr>
        <w:t> </w:t>
      </w:r>
      <w:r>
        <w:rPr>
          <w:color w:val="1A171C"/>
          <w:sz w:val="22"/>
        </w:rPr>
        <w:t>them.</w:t>
      </w:r>
    </w:p>
    <w:p>
      <w:pPr>
        <w:pStyle w:val="BodyText"/>
        <w:rPr>
          <w:sz w:val="24"/>
        </w:rPr>
      </w:pPr>
    </w:p>
    <w:p>
      <w:pPr>
        <w:pStyle w:val="BodyText"/>
        <w:spacing w:before="11"/>
        <w:rPr>
          <w:sz w:val="19"/>
        </w:rPr>
      </w:pPr>
    </w:p>
    <w:p>
      <w:pPr>
        <w:pStyle w:val="Heading7"/>
        <w:numPr>
          <w:ilvl w:val="0"/>
          <w:numId w:val="8"/>
        </w:numPr>
        <w:tabs>
          <w:tab w:pos="1819" w:val="left" w:leader="none"/>
          <w:tab w:pos="1820" w:val="left" w:leader="none"/>
        </w:tabs>
        <w:spacing w:line="240" w:lineRule="auto" w:before="0" w:after="0"/>
        <w:ind w:left="1819" w:right="0" w:hanging="721"/>
        <w:jc w:val="left"/>
      </w:pPr>
      <w:r>
        <w:rPr>
          <w:color w:val="1A171C"/>
        </w:rPr>
        <w:t>Circulation of</w:t>
      </w:r>
      <w:r>
        <w:rPr>
          <w:color w:val="1A171C"/>
          <w:spacing w:val="-4"/>
        </w:rPr>
        <w:t> </w:t>
      </w:r>
      <w:r>
        <w:rPr>
          <w:color w:val="1A171C"/>
        </w:rPr>
        <w:t>documents</w:t>
      </w:r>
    </w:p>
    <w:p>
      <w:pPr>
        <w:pStyle w:val="ListParagraph"/>
        <w:numPr>
          <w:ilvl w:val="1"/>
          <w:numId w:val="8"/>
        </w:numPr>
        <w:tabs>
          <w:tab w:pos="1819" w:val="left" w:leader="none"/>
          <w:tab w:pos="1820" w:val="left" w:leader="none"/>
        </w:tabs>
        <w:spacing w:line="240" w:lineRule="auto" w:before="1" w:after="0"/>
        <w:ind w:left="1099" w:right="1573" w:firstLine="0"/>
        <w:jc w:val="left"/>
        <w:rPr>
          <w:sz w:val="22"/>
        </w:rPr>
      </w:pPr>
      <w:r>
        <w:rPr>
          <w:color w:val="1A171C"/>
          <w:sz w:val="22"/>
        </w:rPr>
        <w:t>Only documents authorised by the General Secretary in consultation with the convener</w:t>
      </w:r>
      <w:r>
        <w:rPr>
          <w:color w:val="1A171C"/>
          <w:spacing w:val="-2"/>
          <w:sz w:val="22"/>
        </w:rPr>
        <w:t> </w:t>
      </w:r>
      <w:r>
        <w:rPr>
          <w:color w:val="1A171C"/>
          <w:sz w:val="22"/>
        </w:rPr>
        <w:t>of</w:t>
      </w:r>
      <w:r>
        <w:rPr>
          <w:color w:val="1A171C"/>
          <w:spacing w:val="-1"/>
          <w:sz w:val="22"/>
        </w:rPr>
        <w:t> </w:t>
      </w:r>
      <w:r>
        <w:rPr>
          <w:color w:val="1A171C"/>
          <w:sz w:val="22"/>
        </w:rPr>
        <w:t>the</w:t>
      </w:r>
      <w:r>
        <w:rPr>
          <w:color w:val="1A171C"/>
          <w:spacing w:val="-17"/>
          <w:sz w:val="22"/>
        </w:rPr>
        <w:t> </w:t>
      </w:r>
      <w:r>
        <w:rPr>
          <w:color w:val="1A171C"/>
          <w:sz w:val="22"/>
        </w:rPr>
        <w:t>Assembly</w:t>
      </w:r>
      <w:r>
        <w:rPr>
          <w:color w:val="1A171C"/>
          <w:spacing w:val="-5"/>
          <w:sz w:val="22"/>
        </w:rPr>
        <w:t> </w:t>
      </w:r>
      <w:r>
        <w:rPr>
          <w:color w:val="1A171C"/>
          <w:sz w:val="22"/>
        </w:rPr>
        <w:t>arrangements</w:t>
      </w:r>
      <w:r>
        <w:rPr>
          <w:color w:val="1A171C"/>
          <w:spacing w:val="-5"/>
          <w:sz w:val="22"/>
        </w:rPr>
        <w:t> </w:t>
      </w:r>
      <w:r>
        <w:rPr>
          <w:color w:val="1A171C"/>
          <w:sz w:val="22"/>
        </w:rPr>
        <w:t>committee</w:t>
      </w:r>
      <w:r>
        <w:rPr>
          <w:color w:val="1A171C"/>
          <w:spacing w:val="-3"/>
          <w:sz w:val="22"/>
        </w:rPr>
        <w:t> </w:t>
      </w:r>
      <w:r>
        <w:rPr>
          <w:color w:val="1A171C"/>
          <w:sz w:val="22"/>
        </w:rPr>
        <w:t>may</w:t>
      </w:r>
      <w:r>
        <w:rPr>
          <w:color w:val="1A171C"/>
          <w:spacing w:val="-6"/>
          <w:sz w:val="22"/>
        </w:rPr>
        <w:t> </w:t>
      </w:r>
      <w:r>
        <w:rPr>
          <w:color w:val="1A171C"/>
          <w:sz w:val="22"/>
        </w:rPr>
        <w:t>be</w:t>
      </w:r>
      <w:r>
        <w:rPr>
          <w:color w:val="1A171C"/>
          <w:spacing w:val="-3"/>
          <w:sz w:val="22"/>
        </w:rPr>
        <w:t> </w:t>
      </w:r>
      <w:r>
        <w:rPr>
          <w:color w:val="1A171C"/>
          <w:sz w:val="22"/>
        </w:rPr>
        <w:t>distributed</w:t>
      </w:r>
      <w:r>
        <w:rPr>
          <w:color w:val="1A171C"/>
          <w:spacing w:val="-3"/>
          <w:sz w:val="22"/>
        </w:rPr>
        <w:t> </w:t>
      </w:r>
      <w:r>
        <w:rPr>
          <w:color w:val="1A171C"/>
          <w:sz w:val="22"/>
        </w:rPr>
        <w:t>within</w:t>
      </w:r>
      <w:r>
        <w:rPr>
          <w:color w:val="1A171C"/>
          <w:spacing w:val="-3"/>
          <w:sz w:val="22"/>
        </w:rPr>
        <w:t> </w:t>
      </w:r>
      <w:r>
        <w:rPr>
          <w:color w:val="1A171C"/>
          <w:sz w:val="22"/>
        </w:rPr>
        <w:t>the</w:t>
      </w:r>
      <w:r>
        <w:rPr>
          <w:color w:val="1A171C"/>
          <w:spacing w:val="-4"/>
          <w:sz w:val="22"/>
        </w:rPr>
        <w:t> </w:t>
      </w:r>
      <w:r>
        <w:rPr>
          <w:color w:val="1A171C"/>
          <w:sz w:val="22"/>
        </w:rPr>
        <w:t>building</w:t>
      </w:r>
      <w:r>
        <w:rPr>
          <w:color w:val="1A171C"/>
          <w:spacing w:val="-3"/>
          <w:sz w:val="22"/>
        </w:rPr>
        <w:t> </w:t>
      </w:r>
      <w:r>
        <w:rPr>
          <w:color w:val="1A171C"/>
          <w:sz w:val="22"/>
        </w:rPr>
        <w:t>in which the Assembly is</w:t>
      </w:r>
      <w:r>
        <w:rPr>
          <w:color w:val="1A171C"/>
          <w:spacing w:val="-14"/>
          <w:sz w:val="22"/>
        </w:rPr>
        <w:t> </w:t>
      </w:r>
      <w:r>
        <w:rPr>
          <w:color w:val="1A171C"/>
          <w:sz w:val="22"/>
        </w:rPr>
        <w:t>meeting.</w:t>
      </w:r>
    </w:p>
    <w:p>
      <w:pPr>
        <w:pStyle w:val="BodyText"/>
        <w:rPr>
          <w:sz w:val="24"/>
        </w:rPr>
      </w:pPr>
    </w:p>
    <w:p>
      <w:pPr>
        <w:pStyle w:val="BodyText"/>
        <w:spacing w:before="9"/>
        <w:rPr>
          <w:sz w:val="19"/>
        </w:rPr>
      </w:pPr>
    </w:p>
    <w:p>
      <w:pPr>
        <w:pStyle w:val="Heading7"/>
        <w:numPr>
          <w:ilvl w:val="0"/>
          <w:numId w:val="8"/>
        </w:numPr>
        <w:tabs>
          <w:tab w:pos="1819" w:val="left" w:leader="none"/>
          <w:tab w:pos="1820" w:val="left" w:leader="none"/>
        </w:tabs>
        <w:spacing w:line="240" w:lineRule="auto" w:before="0" w:after="0"/>
        <w:ind w:left="1819" w:right="0" w:hanging="721"/>
        <w:jc w:val="left"/>
      </w:pPr>
      <w:r>
        <w:rPr>
          <w:color w:val="1A171C"/>
        </w:rPr>
        <w:t>Use of Electronic devices and communications during the course of</w:t>
      </w:r>
      <w:r>
        <w:rPr>
          <w:color w:val="1A171C"/>
          <w:spacing w:val="-14"/>
        </w:rPr>
        <w:t> </w:t>
      </w:r>
      <w:r>
        <w:rPr>
          <w:color w:val="1A171C"/>
        </w:rPr>
        <w:t>debate</w:t>
      </w:r>
    </w:p>
    <w:p>
      <w:pPr>
        <w:pStyle w:val="ListParagraph"/>
        <w:numPr>
          <w:ilvl w:val="1"/>
          <w:numId w:val="8"/>
        </w:numPr>
        <w:tabs>
          <w:tab w:pos="1818" w:val="left" w:leader="none"/>
          <w:tab w:pos="1819" w:val="left" w:leader="none"/>
        </w:tabs>
        <w:spacing w:line="240" w:lineRule="auto" w:before="2" w:after="0"/>
        <w:ind w:left="1099" w:right="1452" w:firstLine="0"/>
        <w:jc w:val="left"/>
        <w:rPr>
          <w:sz w:val="22"/>
        </w:rPr>
      </w:pPr>
      <w:r>
        <w:rPr>
          <w:color w:val="1A171C"/>
          <w:sz w:val="22"/>
        </w:rPr>
        <w:t>Although many meetings take place in wi-fi enabled rooms, and many attending will have access to systems of electronic communication and to social media sites during business sessions, their primary responsibility is to attend to the business and participate in the decision making. Those present must refrain both from posting on social media sites during business sessions and from commenting upon partially completed business. It is the responsibility of the communications and editorial committee’s </w:t>
      </w:r>
      <w:r>
        <w:rPr>
          <w:color w:val="1A171C"/>
          <w:spacing w:val="-3"/>
          <w:sz w:val="22"/>
        </w:rPr>
        <w:t>staff </w:t>
      </w:r>
      <w:r>
        <w:rPr>
          <w:color w:val="1A171C"/>
          <w:sz w:val="22"/>
        </w:rPr>
        <w:t>to make official announcements. This restriction is only in place when in session; those attending are free to join</w:t>
      </w:r>
      <w:r>
        <w:rPr>
          <w:color w:val="1A171C"/>
          <w:spacing w:val="-4"/>
          <w:sz w:val="22"/>
        </w:rPr>
        <w:t> </w:t>
      </w:r>
      <w:r>
        <w:rPr>
          <w:color w:val="1A171C"/>
          <w:sz w:val="22"/>
        </w:rPr>
        <w:t>in</w:t>
      </w:r>
      <w:r>
        <w:rPr>
          <w:color w:val="1A171C"/>
          <w:spacing w:val="-5"/>
          <w:sz w:val="22"/>
        </w:rPr>
        <w:t> </w:t>
      </w:r>
      <w:r>
        <w:rPr>
          <w:color w:val="1A171C"/>
          <w:sz w:val="22"/>
        </w:rPr>
        <w:t>the</w:t>
      </w:r>
      <w:r>
        <w:rPr>
          <w:color w:val="1A171C"/>
          <w:spacing w:val="-3"/>
          <w:sz w:val="22"/>
        </w:rPr>
        <w:t> </w:t>
      </w:r>
      <w:r>
        <w:rPr>
          <w:color w:val="1A171C"/>
          <w:sz w:val="22"/>
        </w:rPr>
        <w:t>online</w:t>
      </w:r>
      <w:r>
        <w:rPr>
          <w:color w:val="1A171C"/>
          <w:spacing w:val="-3"/>
          <w:sz w:val="22"/>
        </w:rPr>
        <w:t> </w:t>
      </w:r>
      <w:r>
        <w:rPr>
          <w:color w:val="1A171C"/>
          <w:sz w:val="22"/>
        </w:rPr>
        <w:t>debates</w:t>
      </w:r>
      <w:r>
        <w:rPr>
          <w:color w:val="1A171C"/>
          <w:spacing w:val="-5"/>
          <w:sz w:val="22"/>
        </w:rPr>
        <w:t> </w:t>
      </w:r>
      <w:r>
        <w:rPr>
          <w:color w:val="1A171C"/>
          <w:sz w:val="22"/>
        </w:rPr>
        <w:t>during</w:t>
      </w:r>
      <w:r>
        <w:rPr>
          <w:color w:val="1A171C"/>
          <w:spacing w:val="-1"/>
          <w:sz w:val="22"/>
        </w:rPr>
        <w:t> </w:t>
      </w:r>
      <w:r>
        <w:rPr>
          <w:color w:val="1A171C"/>
          <w:sz w:val="22"/>
        </w:rPr>
        <w:t>breaks</w:t>
      </w:r>
      <w:r>
        <w:rPr>
          <w:color w:val="1A171C"/>
          <w:spacing w:val="-5"/>
          <w:sz w:val="22"/>
        </w:rPr>
        <w:t> </w:t>
      </w:r>
      <w:r>
        <w:rPr>
          <w:color w:val="1A171C"/>
          <w:sz w:val="22"/>
        </w:rPr>
        <w:t>and</w:t>
      </w:r>
      <w:r>
        <w:rPr>
          <w:color w:val="1A171C"/>
          <w:spacing w:val="-3"/>
          <w:sz w:val="22"/>
        </w:rPr>
        <w:t> </w:t>
      </w:r>
      <w:r>
        <w:rPr>
          <w:color w:val="1A171C"/>
          <w:sz w:val="22"/>
        </w:rPr>
        <w:t>after</w:t>
      </w:r>
      <w:r>
        <w:rPr>
          <w:color w:val="1A171C"/>
          <w:spacing w:val="-4"/>
          <w:sz w:val="22"/>
        </w:rPr>
        <w:t> </w:t>
      </w:r>
      <w:r>
        <w:rPr>
          <w:color w:val="1A171C"/>
          <w:sz w:val="22"/>
        </w:rPr>
        <w:t>the</w:t>
      </w:r>
      <w:r>
        <w:rPr>
          <w:color w:val="1A171C"/>
          <w:spacing w:val="-3"/>
          <w:sz w:val="22"/>
        </w:rPr>
        <w:t> </w:t>
      </w:r>
      <w:r>
        <w:rPr>
          <w:color w:val="1A171C"/>
          <w:sz w:val="22"/>
        </w:rPr>
        <w:t>close</w:t>
      </w:r>
      <w:r>
        <w:rPr>
          <w:color w:val="1A171C"/>
          <w:spacing w:val="-4"/>
          <w:sz w:val="22"/>
        </w:rPr>
        <w:t> </w:t>
      </w:r>
      <w:r>
        <w:rPr>
          <w:color w:val="1A171C"/>
          <w:sz w:val="22"/>
        </w:rPr>
        <w:t>of</w:t>
      </w:r>
      <w:r>
        <w:rPr>
          <w:color w:val="1A171C"/>
          <w:spacing w:val="-1"/>
          <w:sz w:val="22"/>
        </w:rPr>
        <w:t> </w:t>
      </w:r>
      <w:r>
        <w:rPr>
          <w:color w:val="1A171C"/>
          <w:sz w:val="22"/>
        </w:rPr>
        <w:t>business.</w:t>
      </w:r>
      <w:r>
        <w:rPr>
          <w:color w:val="1A171C"/>
          <w:spacing w:val="-13"/>
          <w:sz w:val="22"/>
        </w:rPr>
        <w:t> </w:t>
      </w:r>
      <w:r>
        <w:rPr>
          <w:color w:val="1A171C"/>
          <w:sz w:val="22"/>
        </w:rPr>
        <w:t>All</w:t>
      </w:r>
      <w:r>
        <w:rPr>
          <w:color w:val="1A171C"/>
          <w:spacing w:val="-6"/>
          <w:sz w:val="22"/>
        </w:rPr>
        <w:t> </w:t>
      </w:r>
      <w:r>
        <w:rPr>
          <w:color w:val="1A171C"/>
          <w:sz w:val="22"/>
        </w:rPr>
        <w:t>electronic</w:t>
      </w:r>
      <w:r>
        <w:rPr>
          <w:color w:val="1A171C"/>
          <w:spacing w:val="-2"/>
          <w:sz w:val="22"/>
        </w:rPr>
        <w:t> </w:t>
      </w:r>
      <w:r>
        <w:rPr>
          <w:color w:val="1A171C"/>
          <w:sz w:val="22"/>
        </w:rPr>
        <w:t>devices must be silent when a meeting is in</w:t>
      </w:r>
      <w:r>
        <w:rPr>
          <w:color w:val="1A171C"/>
          <w:spacing w:val="-3"/>
          <w:sz w:val="22"/>
        </w:rPr>
        <w:t> </w:t>
      </w:r>
      <w:r>
        <w:rPr>
          <w:color w:val="1A171C"/>
          <w:sz w:val="22"/>
        </w:rPr>
        <w:t>session.</w:t>
      </w:r>
    </w:p>
    <w:p>
      <w:pPr>
        <w:pStyle w:val="BodyText"/>
        <w:spacing w:before="10"/>
        <w:rPr>
          <w:sz w:val="21"/>
        </w:rPr>
      </w:pPr>
    </w:p>
    <w:p>
      <w:pPr>
        <w:pStyle w:val="ListParagraph"/>
        <w:numPr>
          <w:ilvl w:val="1"/>
          <w:numId w:val="8"/>
        </w:numPr>
        <w:tabs>
          <w:tab w:pos="1818" w:val="left" w:leader="none"/>
          <w:tab w:pos="1819" w:val="left" w:leader="none"/>
        </w:tabs>
        <w:spacing w:line="240" w:lineRule="auto" w:before="0" w:after="0"/>
        <w:ind w:left="1099" w:right="1581" w:firstLine="0"/>
        <w:jc w:val="left"/>
        <w:rPr>
          <w:sz w:val="22"/>
        </w:rPr>
      </w:pPr>
      <w:r>
        <w:rPr>
          <w:color w:val="1A171C"/>
          <w:sz w:val="22"/>
        </w:rPr>
        <w:t>Everything written and shared on social media sites at any time is the sole responsibility of the </w:t>
      </w:r>
      <w:r>
        <w:rPr>
          <w:color w:val="1A171C"/>
          <w:spacing w:val="-3"/>
          <w:sz w:val="22"/>
        </w:rPr>
        <w:t>author, </w:t>
      </w:r>
      <w:r>
        <w:rPr>
          <w:color w:val="1A171C"/>
          <w:sz w:val="22"/>
        </w:rPr>
        <w:t>and is subject to the same defamation laws as any other form of written</w:t>
      </w:r>
      <w:r>
        <w:rPr>
          <w:color w:val="1A171C"/>
          <w:spacing w:val="-1"/>
          <w:sz w:val="22"/>
        </w:rPr>
        <w:t> </w:t>
      </w:r>
      <w:r>
        <w:rPr>
          <w:color w:val="1A171C"/>
          <w:sz w:val="22"/>
        </w:rPr>
        <w:t>communication.</w:t>
      </w:r>
    </w:p>
    <w:p>
      <w:pPr>
        <w:pStyle w:val="BodyText"/>
        <w:rPr>
          <w:sz w:val="24"/>
        </w:rPr>
      </w:pPr>
    </w:p>
    <w:p>
      <w:pPr>
        <w:pStyle w:val="BodyText"/>
        <w:spacing w:before="9"/>
        <w:rPr>
          <w:sz w:val="19"/>
        </w:rPr>
      </w:pPr>
    </w:p>
    <w:p>
      <w:pPr>
        <w:pStyle w:val="Heading7"/>
        <w:numPr>
          <w:ilvl w:val="0"/>
          <w:numId w:val="8"/>
        </w:numPr>
        <w:tabs>
          <w:tab w:pos="1819" w:val="left" w:leader="none"/>
          <w:tab w:pos="1820" w:val="left" w:leader="none"/>
        </w:tabs>
        <w:spacing w:line="240" w:lineRule="auto" w:before="0" w:after="0"/>
        <w:ind w:left="1819" w:right="0" w:hanging="721"/>
        <w:jc w:val="left"/>
      </w:pPr>
      <w:r>
        <w:rPr>
          <w:color w:val="1A171C"/>
        </w:rPr>
        <w:t>Record of the</w:t>
      </w:r>
      <w:r>
        <w:rPr>
          <w:color w:val="1A171C"/>
          <w:spacing w:val="-9"/>
        </w:rPr>
        <w:t> </w:t>
      </w:r>
      <w:r>
        <w:rPr>
          <w:color w:val="1A171C"/>
        </w:rPr>
        <w:t>Assembly</w:t>
      </w:r>
    </w:p>
    <w:p>
      <w:pPr>
        <w:pStyle w:val="ListParagraph"/>
        <w:numPr>
          <w:ilvl w:val="1"/>
          <w:numId w:val="8"/>
        </w:numPr>
        <w:tabs>
          <w:tab w:pos="1818" w:val="left" w:leader="none"/>
          <w:tab w:pos="1819" w:val="left" w:leader="none"/>
        </w:tabs>
        <w:spacing w:line="240" w:lineRule="auto" w:before="4" w:after="0"/>
        <w:ind w:left="1098" w:right="2131" w:firstLine="0"/>
        <w:jc w:val="left"/>
        <w:rPr>
          <w:sz w:val="22"/>
        </w:rPr>
      </w:pPr>
      <w:r>
        <w:rPr>
          <w:color w:val="1A171C"/>
          <w:sz w:val="22"/>
        </w:rPr>
        <w:t>A</w:t>
      </w:r>
      <w:r>
        <w:rPr>
          <w:color w:val="1A171C"/>
          <w:spacing w:val="-14"/>
          <w:sz w:val="22"/>
        </w:rPr>
        <w:t> </w:t>
      </w:r>
      <w:r>
        <w:rPr>
          <w:color w:val="1A171C"/>
          <w:sz w:val="22"/>
        </w:rPr>
        <w:t>record</w:t>
      </w:r>
      <w:r>
        <w:rPr>
          <w:color w:val="1A171C"/>
          <w:spacing w:val="-1"/>
          <w:sz w:val="22"/>
        </w:rPr>
        <w:t> </w:t>
      </w:r>
      <w:r>
        <w:rPr>
          <w:color w:val="1A171C"/>
          <w:sz w:val="22"/>
        </w:rPr>
        <w:t>of</w:t>
      </w:r>
      <w:r>
        <w:rPr>
          <w:color w:val="1A171C"/>
          <w:spacing w:val="1"/>
          <w:sz w:val="22"/>
        </w:rPr>
        <w:t> </w:t>
      </w:r>
      <w:r>
        <w:rPr>
          <w:color w:val="1A171C"/>
          <w:sz w:val="22"/>
        </w:rPr>
        <w:t>attendance</w:t>
      </w:r>
      <w:r>
        <w:rPr>
          <w:color w:val="1A171C"/>
          <w:spacing w:val="-2"/>
          <w:sz w:val="22"/>
        </w:rPr>
        <w:t> </w:t>
      </w:r>
      <w:r>
        <w:rPr>
          <w:color w:val="1A171C"/>
          <w:sz w:val="22"/>
        </w:rPr>
        <w:t>at</w:t>
      </w:r>
      <w:r>
        <w:rPr>
          <w:color w:val="1A171C"/>
          <w:spacing w:val="-1"/>
          <w:sz w:val="22"/>
        </w:rPr>
        <w:t> </w:t>
      </w:r>
      <w:r>
        <w:rPr>
          <w:color w:val="1A171C"/>
          <w:sz w:val="22"/>
        </w:rPr>
        <w:t>the</w:t>
      </w:r>
      <w:r>
        <w:rPr>
          <w:color w:val="1A171C"/>
          <w:spacing w:val="-3"/>
          <w:sz w:val="22"/>
        </w:rPr>
        <w:t> </w:t>
      </w:r>
      <w:r>
        <w:rPr>
          <w:color w:val="1A171C"/>
          <w:sz w:val="22"/>
        </w:rPr>
        <w:t>meetings</w:t>
      </w:r>
      <w:r>
        <w:rPr>
          <w:color w:val="1A171C"/>
          <w:spacing w:val="-4"/>
          <w:sz w:val="22"/>
        </w:rPr>
        <w:t> </w:t>
      </w:r>
      <w:r>
        <w:rPr>
          <w:color w:val="1A171C"/>
          <w:sz w:val="22"/>
        </w:rPr>
        <w:t>of</w:t>
      </w:r>
      <w:r>
        <w:rPr>
          <w:color w:val="1A171C"/>
          <w:spacing w:val="1"/>
          <w:sz w:val="22"/>
        </w:rPr>
        <w:t> </w:t>
      </w:r>
      <w:r>
        <w:rPr>
          <w:color w:val="1A171C"/>
          <w:sz w:val="22"/>
        </w:rPr>
        <w:t>the</w:t>
      </w:r>
      <w:r>
        <w:rPr>
          <w:color w:val="1A171C"/>
          <w:spacing w:val="-15"/>
          <w:sz w:val="22"/>
        </w:rPr>
        <w:t> </w:t>
      </w:r>
      <w:r>
        <w:rPr>
          <w:color w:val="1A171C"/>
          <w:sz w:val="22"/>
        </w:rPr>
        <w:t>Assembly</w:t>
      </w:r>
      <w:r>
        <w:rPr>
          <w:color w:val="1A171C"/>
          <w:spacing w:val="-3"/>
          <w:sz w:val="22"/>
        </w:rPr>
        <w:t> </w:t>
      </w:r>
      <w:r>
        <w:rPr>
          <w:color w:val="1A171C"/>
          <w:sz w:val="22"/>
        </w:rPr>
        <w:t>shall</w:t>
      </w:r>
      <w:r>
        <w:rPr>
          <w:color w:val="1A171C"/>
          <w:spacing w:val="-2"/>
          <w:sz w:val="22"/>
        </w:rPr>
        <w:t> </w:t>
      </w:r>
      <w:r>
        <w:rPr>
          <w:color w:val="1A171C"/>
          <w:sz w:val="22"/>
        </w:rPr>
        <w:t>be</w:t>
      </w:r>
      <w:r>
        <w:rPr>
          <w:color w:val="1A171C"/>
          <w:spacing w:val="-3"/>
          <w:sz w:val="22"/>
        </w:rPr>
        <w:t> </w:t>
      </w:r>
      <w:r>
        <w:rPr>
          <w:color w:val="1A171C"/>
          <w:sz w:val="22"/>
        </w:rPr>
        <w:t>kept</w:t>
      </w:r>
      <w:r>
        <w:rPr>
          <w:color w:val="1A171C"/>
          <w:spacing w:val="-1"/>
          <w:sz w:val="22"/>
        </w:rPr>
        <w:t> </w:t>
      </w:r>
      <w:r>
        <w:rPr>
          <w:color w:val="1A171C"/>
          <w:sz w:val="22"/>
        </w:rPr>
        <w:t>in</w:t>
      </w:r>
      <w:r>
        <w:rPr>
          <w:color w:val="1A171C"/>
          <w:spacing w:val="-2"/>
          <w:sz w:val="22"/>
        </w:rPr>
        <w:t> </w:t>
      </w:r>
      <w:r>
        <w:rPr>
          <w:color w:val="1A171C"/>
          <w:sz w:val="22"/>
        </w:rPr>
        <w:t>such</w:t>
      </w:r>
      <w:r>
        <w:rPr>
          <w:color w:val="1A171C"/>
          <w:spacing w:val="-1"/>
          <w:sz w:val="22"/>
        </w:rPr>
        <w:t> </w:t>
      </w:r>
      <w:r>
        <w:rPr>
          <w:color w:val="1A171C"/>
          <w:sz w:val="22"/>
        </w:rPr>
        <w:t>a manner as the Assembly arrangements committee may</w:t>
      </w:r>
      <w:r>
        <w:rPr>
          <w:color w:val="1A171C"/>
          <w:spacing w:val="-27"/>
          <w:sz w:val="22"/>
        </w:rPr>
        <w:t> </w:t>
      </w:r>
      <w:r>
        <w:rPr>
          <w:color w:val="1A171C"/>
          <w:sz w:val="22"/>
        </w:rPr>
        <w:t>determine.</w:t>
      </w:r>
    </w:p>
    <w:p>
      <w:pPr>
        <w:pStyle w:val="BodyText"/>
        <w:spacing w:before="10"/>
        <w:rPr>
          <w:sz w:val="21"/>
        </w:rPr>
      </w:pPr>
    </w:p>
    <w:p>
      <w:pPr>
        <w:pStyle w:val="ListParagraph"/>
        <w:numPr>
          <w:ilvl w:val="1"/>
          <w:numId w:val="8"/>
        </w:numPr>
        <w:tabs>
          <w:tab w:pos="1818" w:val="left" w:leader="none"/>
          <w:tab w:pos="1819" w:val="left" w:leader="none"/>
        </w:tabs>
        <w:spacing w:line="240" w:lineRule="auto" w:before="1" w:after="0"/>
        <w:ind w:left="1098" w:right="1375" w:firstLine="0"/>
        <w:jc w:val="left"/>
        <w:rPr>
          <w:sz w:val="22"/>
        </w:rPr>
      </w:pPr>
      <w:r>
        <w:rPr>
          <w:color w:val="1A171C"/>
          <w:sz w:val="22"/>
        </w:rPr>
        <w:t>The draft minutes of each day's proceedings shall be made available in an appropriate form normally on the following </w:t>
      </w:r>
      <w:r>
        <w:rPr>
          <w:color w:val="1A171C"/>
          <w:spacing w:val="-6"/>
          <w:sz w:val="22"/>
        </w:rPr>
        <w:t>day.  </w:t>
      </w:r>
      <w:r>
        <w:rPr>
          <w:color w:val="1A171C"/>
          <w:sz w:val="22"/>
        </w:rPr>
        <w:t>They shall, after any necessary correction, be approved at the opening of a subsequent session. Concerning the minutes of the closing day of the Assembly the Clerk shall submit a motion approving their insertion in the full minutes of the Assembly after review and any necessary correction by the officers of the </w:t>
      </w:r>
      <w:r>
        <w:rPr>
          <w:color w:val="1A171C"/>
          <w:spacing w:val="-3"/>
          <w:sz w:val="22"/>
        </w:rPr>
        <w:t>Assembly. </w:t>
      </w:r>
      <w:r>
        <w:rPr>
          <w:color w:val="1A171C"/>
          <w:sz w:val="22"/>
        </w:rPr>
        <w:t>Before such a motion is voted upon, any member may ask to have read out the written minute on any particular</w:t>
      </w:r>
      <w:r>
        <w:rPr>
          <w:color w:val="1A171C"/>
          <w:spacing w:val="-4"/>
          <w:sz w:val="22"/>
        </w:rPr>
        <w:t> </w:t>
      </w:r>
      <w:r>
        <w:rPr>
          <w:color w:val="1A171C"/>
          <w:sz w:val="22"/>
        </w:rPr>
        <w:t>item.</w:t>
      </w:r>
    </w:p>
    <w:p>
      <w:pPr>
        <w:pStyle w:val="BodyText"/>
        <w:spacing w:before="8"/>
        <w:rPr>
          <w:sz w:val="13"/>
        </w:rPr>
      </w:pPr>
    </w:p>
    <w:p>
      <w:pPr>
        <w:pStyle w:val="ListParagraph"/>
        <w:numPr>
          <w:ilvl w:val="1"/>
          <w:numId w:val="8"/>
        </w:numPr>
        <w:tabs>
          <w:tab w:pos="1818" w:val="left" w:leader="none"/>
          <w:tab w:pos="1819" w:val="left" w:leader="none"/>
        </w:tabs>
        <w:spacing w:line="240" w:lineRule="auto" w:before="94" w:after="0"/>
        <w:ind w:left="1098" w:right="2218" w:firstLine="0"/>
        <w:jc w:val="left"/>
        <w:rPr>
          <w:sz w:val="22"/>
        </w:rPr>
      </w:pPr>
      <w:r>
        <w:rPr>
          <w:color w:val="1A171C"/>
          <w:sz w:val="22"/>
        </w:rPr>
        <w:t>A signed copy of the minutes shall be preserved in the custody of the</w:t>
      </w:r>
      <w:r>
        <w:rPr>
          <w:color w:val="1A171C"/>
          <w:spacing w:val="-41"/>
          <w:sz w:val="22"/>
        </w:rPr>
        <w:t> </w:t>
      </w:r>
      <w:r>
        <w:rPr>
          <w:color w:val="1A171C"/>
          <w:sz w:val="22"/>
        </w:rPr>
        <w:t>General Secretary as the official record of the Assembly’s</w:t>
      </w:r>
      <w:r>
        <w:rPr>
          <w:color w:val="1A171C"/>
          <w:spacing w:val="-22"/>
          <w:sz w:val="22"/>
        </w:rPr>
        <w:t> </w:t>
      </w:r>
      <w:r>
        <w:rPr>
          <w:color w:val="1A171C"/>
          <w:sz w:val="22"/>
        </w:rPr>
        <w:t>proceedings.</w:t>
      </w:r>
    </w:p>
    <w:p>
      <w:pPr>
        <w:spacing w:before="116"/>
        <w:ind w:left="0" w:right="423" w:firstLine="0"/>
        <w:jc w:val="right"/>
        <w:rPr>
          <w:rFonts w:ascii="Stone Sans II ITC Std X Bd"/>
          <w:b/>
          <w:sz w:val="24"/>
        </w:rPr>
      </w:pPr>
      <w:r>
        <w:rPr>
          <w:rFonts w:ascii="Stone Sans II ITC Std X Bd"/>
          <w:b/>
          <w:color w:val="1A171C"/>
          <w:sz w:val="24"/>
        </w:rPr>
        <w:t>29</w:t>
      </w:r>
    </w:p>
    <w:p>
      <w:pPr>
        <w:spacing w:after="0"/>
        <w:jc w:val="right"/>
        <w:rPr>
          <w:rFonts w:ascii="Stone Sans II ITC Std X Bd"/>
          <w:sz w:val="24"/>
        </w:rPr>
        <w:sectPr>
          <w:pgSz w:w="11910" w:h="16840"/>
          <w:pgMar w:top="240" w:bottom="0" w:left="320" w:right="0"/>
        </w:sectPr>
      </w:pPr>
    </w:p>
    <w:p>
      <w:pPr>
        <w:pStyle w:val="BodyText"/>
        <w:rPr>
          <w:rFonts w:ascii="Stone Sans II ITC Std X Bd"/>
          <w:b/>
          <w:sz w:val="20"/>
        </w:rPr>
      </w:pPr>
      <w:r>
        <w:rPr/>
        <w:pict>
          <v:group style="position:absolute;margin-left:12.756pt;margin-top:12.755014pt;width:77.8pt;height:816.4pt;mso-position-horizontal-relative:page;mso-position-vertical-relative:page;z-index:-253337600" coordorigin="255,255" coordsize="1556,16328">
            <v:shape style="position:absolute;left:255;top:255;width:681;height:16328" type="#_x0000_t75" stroked="false">
              <v:imagedata r:id="rId20"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3BA533" w:color="auto" w:val="clear"/>
                      </w:rPr>
                      <w:t>B</w:t>
                    </w:r>
                    <w:r>
                      <w:rPr>
                        <w:rFonts w:ascii="Stone Sans II ITC Std X Bd"/>
                        <w:b/>
                        <w:color w:val="FFFFFF"/>
                        <w:sz w:val="65"/>
                        <w:shd w:fill="3BA533" w:color="auto" w:val="clear"/>
                      </w:rPr>
                      <w:tab/>
                    </w:r>
                  </w:p>
                </w:txbxContent>
              </v:textbox>
              <w10:wrap type="none"/>
            </v:shape>
            <v:shape style="position:absolute;left:435;top:15990;width:34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30</w:t>
                    </w:r>
                  </w:p>
                </w:txbxContent>
              </v:textbox>
              <w10:wrap type="none"/>
            </v:shape>
            <w10:wrap type="none"/>
          </v:group>
        </w:pic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14"/>
        </w:rPr>
      </w:pPr>
    </w:p>
    <w:p>
      <w:pPr>
        <w:pStyle w:val="ListParagraph"/>
        <w:numPr>
          <w:ilvl w:val="1"/>
          <w:numId w:val="8"/>
        </w:numPr>
        <w:tabs>
          <w:tab w:pos="1760" w:val="left" w:leader="none"/>
          <w:tab w:pos="1761" w:val="left" w:leader="none"/>
        </w:tabs>
        <w:spacing w:line="240" w:lineRule="auto" w:before="94" w:after="0"/>
        <w:ind w:left="1040" w:right="1684" w:firstLine="0"/>
        <w:jc w:val="left"/>
        <w:rPr>
          <w:sz w:val="22"/>
        </w:rPr>
      </w:pPr>
      <w:r>
        <w:rPr/>
        <w:pict>
          <v:shape style="position:absolute;margin-left:21.22007pt;margin-top:-28.154024pt;width:16.3500pt;height:346.1pt;mso-position-horizontal-relative:page;mso-position-vertical-relative:paragraph;z-index:251776000"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color w:val="1A171C"/>
          <w:sz w:val="22"/>
        </w:rPr>
        <w:t>As</w:t>
      </w:r>
      <w:r>
        <w:rPr>
          <w:color w:val="1A171C"/>
          <w:spacing w:val="-2"/>
          <w:sz w:val="22"/>
        </w:rPr>
        <w:t> </w:t>
      </w:r>
      <w:r>
        <w:rPr>
          <w:color w:val="1A171C"/>
          <w:sz w:val="22"/>
        </w:rPr>
        <w:t>soon</w:t>
      </w:r>
      <w:r>
        <w:rPr>
          <w:color w:val="1A171C"/>
          <w:spacing w:val="-2"/>
          <w:sz w:val="22"/>
        </w:rPr>
        <w:t> </w:t>
      </w:r>
      <w:r>
        <w:rPr>
          <w:color w:val="1A171C"/>
          <w:sz w:val="22"/>
        </w:rPr>
        <w:t>as</w:t>
      </w:r>
      <w:r>
        <w:rPr>
          <w:color w:val="1A171C"/>
          <w:spacing w:val="-5"/>
          <w:sz w:val="22"/>
        </w:rPr>
        <w:t> </w:t>
      </w:r>
      <w:r>
        <w:rPr>
          <w:color w:val="1A171C"/>
          <w:sz w:val="22"/>
        </w:rPr>
        <w:t>possible</w:t>
      </w:r>
      <w:r>
        <w:rPr>
          <w:color w:val="1A171C"/>
          <w:spacing w:val="-2"/>
          <w:sz w:val="22"/>
        </w:rPr>
        <w:t> </w:t>
      </w:r>
      <w:r>
        <w:rPr>
          <w:color w:val="1A171C"/>
          <w:sz w:val="22"/>
        </w:rPr>
        <w:t>after</w:t>
      </w:r>
      <w:r>
        <w:rPr>
          <w:color w:val="1A171C"/>
          <w:spacing w:val="-3"/>
          <w:sz w:val="22"/>
        </w:rPr>
        <w:t> </w:t>
      </w:r>
      <w:r>
        <w:rPr>
          <w:color w:val="1A171C"/>
          <w:sz w:val="22"/>
        </w:rPr>
        <w:t>the</w:t>
      </w:r>
      <w:r>
        <w:rPr>
          <w:color w:val="1A171C"/>
          <w:spacing w:val="-16"/>
          <w:sz w:val="22"/>
        </w:rPr>
        <w:t> </w:t>
      </w:r>
      <w:r>
        <w:rPr>
          <w:color w:val="1A171C"/>
          <w:sz w:val="22"/>
        </w:rPr>
        <w:t>Assembly</w:t>
      </w:r>
      <w:r>
        <w:rPr>
          <w:color w:val="1A171C"/>
          <w:spacing w:val="-5"/>
          <w:sz w:val="22"/>
        </w:rPr>
        <w:t> </w:t>
      </w:r>
      <w:r>
        <w:rPr>
          <w:color w:val="1A171C"/>
          <w:sz w:val="22"/>
        </w:rPr>
        <w:t>meeting</w:t>
      </w:r>
      <w:r>
        <w:rPr>
          <w:color w:val="1A171C"/>
          <w:spacing w:val="1"/>
          <w:sz w:val="22"/>
        </w:rPr>
        <w:t> </w:t>
      </w:r>
      <w:r>
        <w:rPr>
          <w:color w:val="1A171C"/>
          <w:sz w:val="22"/>
        </w:rPr>
        <w:t>ends,</w:t>
      </w:r>
      <w:r>
        <w:rPr>
          <w:color w:val="1A171C"/>
          <w:spacing w:val="-3"/>
          <w:sz w:val="22"/>
        </w:rPr>
        <w:t> </w:t>
      </w:r>
      <w:r>
        <w:rPr>
          <w:color w:val="1A171C"/>
          <w:sz w:val="22"/>
        </w:rPr>
        <w:t>the</w:t>
      </w:r>
      <w:r>
        <w:rPr>
          <w:color w:val="1A171C"/>
          <w:spacing w:val="-4"/>
          <w:sz w:val="22"/>
        </w:rPr>
        <w:t> </w:t>
      </w:r>
      <w:r>
        <w:rPr>
          <w:color w:val="1A171C"/>
          <w:sz w:val="22"/>
        </w:rPr>
        <w:t>substance</w:t>
      </w:r>
      <w:r>
        <w:rPr>
          <w:color w:val="1A171C"/>
          <w:spacing w:val="-2"/>
          <w:sz w:val="22"/>
        </w:rPr>
        <w:t> </w:t>
      </w:r>
      <w:r>
        <w:rPr>
          <w:color w:val="1A171C"/>
          <w:sz w:val="22"/>
        </w:rPr>
        <w:t>of</w:t>
      </w:r>
      <w:r>
        <w:rPr>
          <w:color w:val="1A171C"/>
          <w:spacing w:val="-3"/>
          <w:sz w:val="22"/>
        </w:rPr>
        <w:t> </w:t>
      </w:r>
      <w:r>
        <w:rPr>
          <w:color w:val="1A171C"/>
          <w:sz w:val="22"/>
        </w:rPr>
        <w:t>the</w:t>
      </w:r>
      <w:r>
        <w:rPr>
          <w:color w:val="1A171C"/>
          <w:spacing w:val="-4"/>
          <w:sz w:val="22"/>
        </w:rPr>
        <w:t> </w:t>
      </w:r>
      <w:r>
        <w:rPr>
          <w:color w:val="1A171C"/>
          <w:sz w:val="22"/>
        </w:rPr>
        <w:t>minutes together with any other relevant papers shall be published as a </w:t>
      </w:r>
      <w:r>
        <w:rPr>
          <w:i/>
          <w:color w:val="1A171C"/>
          <w:sz w:val="22"/>
        </w:rPr>
        <w:t>Record of Assembly </w:t>
      </w:r>
      <w:r>
        <w:rPr>
          <w:color w:val="1A171C"/>
          <w:sz w:val="22"/>
        </w:rPr>
        <w:t>and a copy sent to every member of the </w:t>
      </w:r>
      <w:r>
        <w:rPr>
          <w:color w:val="1A171C"/>
          <w:spacing w:val="-3"/>
          <w:sz w:val="22"/>
        </w:rPr>
        <w:t>Assembly, </w:t>
      </w:r>
      <w:r>
        <w:rPr>
          <w:color w:val="1A171C"/>
          <w:sz w:val="22"/>
        </w:rPr>
        <w:t>each synod and Local</w:t>
      </w:r>
      <w:r>
        <w:rPr>
          <w:color w:val="1A171C"/>
          <w:spacing w:val="-16"/>
          <w:sz w:val="22"/>
        </w:rPr>
        <w:t> </w:t>
      </w:r>
      <w:r>
        <w:rPr>
          <w:color w:val="1A171C"/>
          <w:sz w:val="22"/>
        </w:rPr>
        <w:t>Church.</w:t>
      </w:r>
    </w:p>
    <w:p>
      <w:pPr>
        <w:pStyle w:val="BodyText"/>
        <w:rPr>
          <w:sz w:val="24"/>
        </w:rPr>
      </w:pPr>
    </w:p>
    <w:p>
      <w:pPr>
        <w:pStyle w:val="BodyText"/>
        <w:spacing w:before="9"/>
        <w:rPr>
          <w:sz w:val="19"/>
        </w:rPr>
      </w:pPr>
    </w:p>
    <w:p>
      <w:pPr>
        <w:pStyle w:val="Heading7"/>
        <w:numPr>
          <w:ilvl w:val="0"/>
          <w:numId w:val="8"/>
        </w:numPr>
        <w:tabs>
          <w:tab w:pos="1760" w:val="left" w:leader="none"/>
          <w:tab w:pos="1761" w:val="left" w:leader="none"/>
        </w:tabs>
        <w:spacing w:line="240" w:lineRule="auto" w:before="0" w:after="0"/>
        <w:ind w:left="1760" w:right="0" w:hanging="721"/>
        <w:jc w:val="left"/>
      </w:pPr>
      <w:r>
        <w:rPr>
          <w:color w:val="1A171C"/>
        </w:rPr>
        <w:t>Suspension and amendment of Standing</w:t>
      </w:r>
      <w:r>
        <w:rPr>
          <w:color w:val="1A171C"/>
          <w:spacing w:val="-8"/>
        </w:rPr>
        <w:t> </w:t>
      </w:r>
      <w:r>
        <w:rPr>
          <w:color w:val="1A171C"/>
        </w:rPr>
        <w:t>Orders</w:t>
      </w:r>
    </w:p>
    <w:p>
      <w:pPr>
        <w:pStyle w:val="ListParagraph"/>
        <w:numPr>
          <w:ilvl w:val="1"/>
          <w:numId w:val="8"/>
        </w:numPr>
        <w:tabs>
          <w:tab w:pos="1760" w:val="left" w:leader="none"/>
          <w:tab w:pos="1761" w:val="left" w:leader="none"/>
        </w:tabs>
        <w:spacing w:line="240" w:lineRule="auto" w:before="4" w:after="0"/>
        <w:ind w:left="1040" w:right="1641" w:firstLine="0"/>
        <w:jc w:val="left"/>
        <w:rPr>
          <w:sz w:val="22"/>
        </w:rPr>
      </w:pPr>
      <w:r>
        <w:rPr>
          <w:color w:val="1A171C"/>
          <w:sz w:val="22"/>
        </w:rPr>
        <w:t>In any case of urgency or upon proposal of a motion of which due notice has been given, any one or more of the </w:t>
      </w:r>
      <w:r>
        <w:rPr>
          <w:color w:val="1A171C"/>
          <w:spacing w:val="-3"/>
          <w:sz w:val="22"/>
        </w:rPr>
        <w:t>Standing </w:t>
      </w:r>
      <w:r>
        <w:rPr>
          <w:color w:val="1A171C"/>
          <w:sz w:val="22"/>
        </w:rPr>
        <w:t>Orders may be suspended at any meeting, provided that three-fourths of the members of the Assembly present and voting shall so</w:t>
      </w:r>
      <w:r>
        <w:rPr>
          <w:color w:val="1A171C"/>
          <w:spacing w:val="-34"/>
          <w:sz w:val="22"/>
        </w:rPr>
        <w:t> </w:t>
      </w:r>
      <w:r>
        <w:rPr>
          <w:color w:val="1A171C"/>
          <w:sz w:val="22"/>
        </w:rPr>
        <w:t>decide.</w:t>
      </w:r>
    </w:p>
    <w:p>
      <w:pPr>
        <w:pStyle w:val="BodyText"/>
        <w:spacing w:before="9"/>
        <w:rPr>
          <w:sz w:val="21"/>
        </w:rPr>
      </w:pPr>
    </w:p>
    <w:p>
      <w:pPr>
        <w:pStyle w:val="ListParagraph"/>
        <w:numPr>
          <w:ilvl w:val="1"/>
          <w:numId w:val="8"/>
        </w:numPr>
        <w:tabs>
          <w:tab w:pos="1760" w:val="left" w:leader="none"/>
          <w:tab w:pos="1761" w:val="left" w:leader="none"/>
        </w:tabs>
        <w:spacing w:line="240" w:lineRule="auto" w:before="0" w:after="0"/>
        <w:ind w:left="1040" w:right="1605" w:firstLine="0"/>
        <w:jc w:val="left"/>
        <w:rPr>
          <w:sz w:val="22"/>
        </w:rPr>
      </w:pPr>
      <w:r>
        <w:rPr>
          <w:color w:val="1A171C"/>
          <w:sz w:val="22"/>
        </w:rPr>
        <w:t>Motions to amend the </w:t>
      </w:r>
      <w:r>
        <w:rPr>
          <w:color w:val="1A171C"/>
          <w:spacing w:val="-3"/>
          <w:sz w:val="22"/>
        </w:rPr>
        <w:t>Standing </w:t>
      </w:r>
      <w:r>
        <w:rPr>
          <w:color w:val="1A171C"/>
          <w:sz w:val="22"/>
        </w:rPr>
        <w:t>Orders shall be referred to the Clerk of the Assembly for report before being voted on by the Assembly </w:t>
      </w:r>
      <w:r>
        <w:rPr>
          <w:color w:val="1A171C"/>
          <w:spacing w:val="-4"/>
          <w:sz w:val="22"/>
        </w:rPr>
        <w:t>(or, </w:t>
      </w:r>
      <w:r>
        <w:rPr>
          <w:color w:val="1A171C"/>
          <w:sz w:val="22"/>
        </w:rPr>
        <w:t>in case of </w:t>
      </w:r>
      <w:r>
        <w:rPr>
          <w:color w:val="1A171C"/>
          <w:spacing w:val="-4"/>
          <w:sz w:val="22"/>
        </w:rPr>
        <w:t>urgency, </w:t>
      </w:r>
      <w:r>
        <w:rPr>
          <w:color w:val="1A171C"/>
          <w:sz w:val="22"/>
        </w:rPr>
        <w:t>by the Mission Council). The Clerk of the Assembly </w:t>
      </w:r>
      <w:r>
        <w:rPr>
          <w:color w:val="1A171C"/>
          <w:spacing w:val="-6"/>
          <w:sz w:val="22"/>
        </w:rPr>
        <w:t>may, </w:t>
      </w:r>
      <w:r>
        <w:rPr>
          <w:color w:val="1A171C"/>
          <w:sz w:val="22"/>
        </w:rPr>
        <w:t>from time-to-time, suggest</w:t>
      </w:r>
      <w:r>
        <w:rPr>
          <w:color w:val="1A171C"/>
          <w:spacing w:val="-20"/>
          <w:sz w:val="22"/>
        </w:rPr>
        <w:t> </w:t>
      </w:r>
      <w:r>
        <w:rPr>
          <w:color w:val="1A171C"/>
          <w:sz w:val="22"/>
        </w:rPr>
        <w:t>amendments.</w:t>
      </w:r>
    </w:p>
    <w:p>
      <w:pPr>
        <w:pStyle w:val="BodyText"/>
        <w:rPr>
          <w:sz w:val="24"/>
        </w:rPr>
      </w:pPr>
    </w:p>
    <w:p>
      <w:pPr>
        <w:pStyle w:val="BodyText"/>
        <w:rPr>
          <w:sz w:val="24"/>
        </w:rPr>
      </w:pPr>
    </w:p>
    <w:p>
      <w:pPr>
        <w:pStyle w:val="BodyText"/>
        <w:rPr>
          <w:sz w:val="24"/>
        </w:rPr>
      </w:pPr>
    </w:p>
    <w:p>
      <w:pPr>
        <w:spacing w:before="184"/>
        <w:ind w:left="1760" w:right="1534" w:firstLine="0"/>
        <w:jc w:val="left"/>
        <w:rPr>
          <w:b/>
          <w:i/>
          <w:sz w:val="22"/>
        </w:rPr>
      </w:pPr>
      <w:r>
        <w:rPr>
          <w:b/>
          <w:i/>
          <w:color w:val="1A171C"/>
          <w:sz w:val="22"/>
        </w:rPr>
        <w:t>Content as amended by resolution of the Mission Council on 4 November 2014. </w:t>
      </w:r>
      <w:r>
        <w:rPr>
          <w:b/>
          <w:i/>
          <w:color w:val="1A171C"/>
          <w:sz w:val="22"/>
        </w:rPr>
        <w:t>Formatting as agreed by the Mission Council on 11 May 2015.</w:t>
      </w:r>
    </w:p>
    <w:p>
      <w:pPr>
        <w:spacing w:before="1"/>
        <w:ind w:left="1760" w:right="0" w:firstLine="0"/>
        <w:jc w:val="left"/>
        <w:rPr>
          <w:b/>
          <w:i/>
          <w:sz w:val="22"/>
        </w:rPr>
      </w:pPr>
      <w:r>
        <w:rPr>
          <w:b/>
          <w:i/>
          <w:color w:val="1A171C"/>
          <w:sz w:val="22"/>
        </w:rPr>
        <w:t>Editor of document: The Clerk of the General Assembly</w:t>
      </w:r>
    </w:p>
    <w:p>
      <w:pPr>
        <w:spacing w:after="0"/>
        <w:jc w:val="left"/>
        <w:rPr>
          <w:sz w:val="22"/>
        </w:rPr>
        <w:sectPr>
          <w:pgSz w:w="11910" w:h="16840"/>
          <w:pgMar w:top="240" w:bottom="0" w:left="320" w:right="0"/>
        </w:sectPr>
      </w:pPr>
    </w:p>
    <w:p>
      <w:pPr>
        <w:tabs>
          <w:tab w:pos="864" w:val="left" w:leader="none"/>
        </w:tabs>
        <w:spacing w:before="68"/>
        <w:ind w:left="0" w:right="394" w:firstLine="0"/>
        <w:jc w:val="right"/>
        <w:rPr>
          <w:rFonts w:ascii="Stone Sans II ITC Std X Bd"/>
          <w:b/>
          <w:sz w:val="65"/>
        </w:rPr>
      </w:pPr>
      <w:r>
        <w:rPr/>
        <w:pict>
          <v:group style="position:absolute;margin-left:36.241238pt;margin-top:12.755014pt;width:547pt;height:816.4pt;mso-position-horizontal-relative:page;mso-position-vertical-relative:page;z-index:-253335552" coordorigin="725,255" coordsize="10940,16328">
            <v:shape style="position:absolute;left:724;top:1485;width:10210;height:14105" type="#_x0000_t75" stroked="false">
              <v:imagedata r:id="rId21" o:title=""/>
            </v:shape>
            <v:shape style="position:absolute;left:10984;top:255;width:681;height:16328" type="#_x0000_t75" stroked="false">
              <v:imagedata r:id="rId19" o:title=""/>
            </v:shape>
            <w10:wrap type="none"/>
          </v:group>
        </w:pict>
      </w:r>
      <w:r>
        <w:rPr/>
        <w:pict>
          <v:shape style="position:absolute;margin-left:557.985779pt;margin-top:49.162571pt;width:16.3500pt;height:347.3pt;mso-position-horizontal-relative:page;mso-position-vertical-relative:paragraph;z-index:251778048" type="#_x0000_t202" filled="false" stroked="false">
            <v:textbox inset="0,0,0,0" style="layout-flow:vertical">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rFonts w:ascii="Stone Sans II ITC Std X Bd"/>
          <w:b/>
          <w:color w:val="FFFFFF"/>
          <w:w w:val="110"/>
          <w:sz w:val="65"/>
          <w:shd w:fill="3BA533" w:color="auto" w:val="clear"/>
        </w:rPr>
        <w:t> </w:t>
      </w:r>
      <w:r>
        <w:rPr>
          <w:rFonts w:ascii="Stone Sans II ITC Std X Bd"/>
          <w:b/>
          <w:color w:val="FFFFFF"/>
          <w:sz w:val="65"/>
          <w:shd w:fill="3BA533" w:color="auto" w:val="clear"/>
        </w:rPr>
        <w:tab/>
      </w:r>
      <w:r>
        <w:rPr>
          <w:rFonts w:ascii="Stone Sans II ITC Std X Bd"/>
          <w:b/>
          <w:color w:val="FFFFFF"/>
          <w:w w:val="110"/>
          <w:sz w:val="65"/>
          <w:shd w:fill="3BA533" w:color="auto" w:val="clear"/>
        </w:rPr>
        <w:t>B</w:t>
      </w: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rPr>
          <w:rFonts w:ascii="Stone Sans II ITC Std X Bd"/>
          <w:b/>
          <w:sz w:val="20"/>
        </w:rPr>
      </w:pPr>
    </w:p>
    <w:p>
      <w:pPr>
        <w:pStyle w:val="BodyText"/>
        <w:spacing w:before="3"/>
        <w:rPr>
          <w:rFonts w:ascii="Stone Sans II ITC Std X Bd"/>
          <w:b/>
          <w:sz w:val="26"/>
        </w:rPr>
      </w:pPr>
    </w:p>
    <w:p>
      <w:pPr>
        <w:tabs>
          <w:tab w:pos="10839" w:val="left" w:leader="none"/>
        </w:tabs>
        <w:spacing w:line="304" w:lineRule="exact" w:before="97"/>
        <w:ind w:left="3355" w:right="0" w:firstLine="0"/>
        <w:jc w:val="left"/>
        <w:rPr>
          <w:rFonts w:ascii="Stone Sans II ITC Std X Bd"/>
          <w:b/>
          <w:sz w:val="24"/>
        </w:rPr>
      </w:pPr>
      <w:r>
        <w:rPr>
          <w:rFonts w:ascii="Lucida Sans"/>
          <w:color w:val="1A171C"/>
          <w:w w:val="95"/>
          <w:position w:val="1"/>
          <w:sz w:val="24"/>
        </w:rPr>
        <w:t>If</w:t>
      </w:r>
      <w:r>
        <w:rPr>
          <w:rFonts w:ascii="Lucida Sans"/>
          <w:color w:val="1A171C"/>
          <w:spacing w:val="-32"/>
          <w:w w:val="95"/>
          <w:position w:val="1"/>
          <w:sz w:val="24"/>
        </w:rPr>
        <w:t> </w:t>
      </w:r>
      <w:r>
        <w:rPr>
          <w:rFonts w:ascii="Lucida Sans"/>
          <w:color w:val="1A171C"/>
          <w:w w:val="95"/>
          <w:position w:val="1"/>
          <w:sz w:val="24"/>
        </w:rPr>
        <w:t>you</w:t>
      </w:r>
      <w:r>
        <w:rPr>
          <w:rFonts w:ascii="Lucida Sans"/>
          <w:color w:val="1A171C"/>
          <w:spacing w:val="-31"/>
          <w:w w:val="95"/>
          <w:position w:val="1"/>
          <w:sz w:val="24"/>
        </w:rPr>
        <w:t> </w:t>
      </w:r>
      <w:r>
        <w:rPr>
          <w:rFonts w:ascii="Lucida Sans"/>
          <w:color w:val="1A171C"/>
          <w:spacing w:val="-3"/>
          <w:w w:val="95"/>
          <w:position w:val="1"/>
          <w:sz w:val="24"/>
        </w:rPr>
        <w:t>have</w:t>
      </w:r>
      <w:r>
        <w:rPr>
          <w:rFonts w:ascii="Lucida Sans"/>
          <w:color w:val="1A171C"/>
          <w:spacing w:val="-32"/>
          <w:w w:val="95"/>
          <w:position w:val="1"/>
          <w:sz w:val="24"/>
        </w:rPr>
        <w:t> </w:t>
      </w:r>
      <w:r>
        <w:rPr>
          <w:rFonts w:ascii="Lucida Sans"/>
          <w:color w:val="1A171C"/>
          <w:w w:val="95"/>
          <w:position w:val="1"/>
          <w:sz w:val="24"/>
        </w:rPr>
        <w:t>difficulty</w:t>
      </w:r>
      <w:r>
        <w:rPr>
          <w:rFonts w:ascii="Lucida Sans"/>
          <w:color w:val="1A171C"/>
          <w:spacing w:val="-31"/>
          <w:w w:val="95"/>
          <w:position w:val="1"/>
          <w:sz w:val="24"/>
        </w:rPr>
        <w:t> </w:t>
      </w:r>
      <w:r>
        <w:rPr>
          <w:rFonts w:ascii="Lucida Sans"/>
          <w:color w:val="1A171C"/>
          <w:w w:val="95"/>
          <w:position w:val="1"/>
          <w:sz w:val="24"/>
        </w:rPr>
        <w:t>reading</w:t>
      </w:r>
      <w:r>
        <w:rPr>
          <w:rFonts w:ascii="Lucida Sans"/>
          <w:color w:val="1A171C"/>
          <w:spacing w:val="-32"/>
          <w:w w:val="95"/>
          <w:position w:val="1"/>
          <w:sz w:val="24"/>
        </w:rPr>
        <w:t> </w:t>
      </w:r>
      <w:r>
        <w:rPr>
          <w:rFonts w:ascii="Lucida Sans"/>
          <w:color w:val="1A171C"/>
          <w:spacing w:val="-3"/>
          <w:w w:val="95"/>
          <w:position w:val="1"/>
          <w:sz w:val="24"/>
        </w:rPr>
        <w:t>this</w:t>
      </w:r>
      <w:r>
        <w:rPr>
          <w:rFonts w:ascii="Lucida Sans"/>
          <w:color w:val="1A171C"/>
          <w:spacing w:val="-31"/>
          <w:w w:val="95"/>
          <w:position w:val="1"/>
          <w:sz w:val="24"/>
        </w:rPr>
        <w:t> </w:t>
      </w:r>
      <w:r>
        <w:rPr>
          <w:rFonts w:ascii="Lucida Sans"/>
          <w:color w:val="1A171C"/>
          <w:spacing w:val="-3"/>
          <w:w w:val="95"/>
          <w:position w:val="1"/>
          <w:sz w:val="24"/>
        </w:rPr>
        <w:t>please,</w:t>
      </w:r>
      <w:r>
        <w:rPr>
          <w:rFonts w:ascii="Lucida Sans"/>
          <w:color w:val="1A171C"/>
          <w:spacing w:val="-32"/>
          <w:w w:val="95"/>
          <w:position w:val="1"/>
          <w:sz w:val="24"/>
        </w:rPr>
        <w:t> </w:t>
      </w:r>
      <w:r>
        <w:rPr>
          <w:rFonts w:ascii="Lucida Sans"/>
          <w:color w:val="1A171C"/>
          <w:w w:val="95"/>
          <w:position w:val="1"/>
          <w:sz w:val="24"/>
        </w:rPr>
        <w:t>contact</w:t>
      </w:r>
      <w:r>
        <w:rPr>
          <w:rFonts w:ascii="Lucida Sans"/>
          <w:color w:val="1A171C"/>
          <w:spacing w:val="-31"/>
          <w:w w:val="95"/>
          <w:position w:val="1"/>
          <w:sz w:val="24"/>
        </w:rPr>
        <w:t> </w:t>
      </w:r>
      <w:r>
        <w:rPr>
          <w:rFonts w:ascii="Lucida Sans"/>
          <w:color w:val="1A171C"/>
          <w:w w:val="95"/>
          <w:position w:val="1"/>
          <w:sz w:val="24"/>
        </w:rPr>
        <w:t>the</w:t>
      </w:r>
      <w:r>
        <w:rPr>
          <w:rFonts w:ascii="Lucida Sans"/>
          <w:color w:val="1A171C"/>
          <w:spacing w:val="-31"/>
          <w:w w:val="95"/>
          <w:position w:val="1"/>
          <w:sz w:val="24"/>
        </w:rPr>
        <w:t> </w:t>
      </w:r>
      <w:r>
        <w:rPr>
          <w:rFonts w:ascii="Lucida Sans"/>
          <w:color w:val="1A171C"/>
          <w:w w:val="95"/>
          <w:position w:val="1"/>
          <w:sz w:val="24"/>
        </w:rPr>
        <w:t>graphics</w:t>
      </w:r>
      <w:r>
        <w:rPr>
          <w:rFonts w:ascii="Lucida Sans"/>
          <w:color w:val="1A171C"/>
          <w:spacing w:val="-32"/>
          <w:w w:val="95"/>
          <w:position w:val="1"/>
          <w:sz w:val="24"/>
        </w:rPr>
        <w:t> </w:t>
      </w:r>
      <w:r>
        <w:rPr>
          <w:rFonts w:ascii="Lucida Sans"/>
          <w:color w:val="1A171C"/>
          <w:w w:val="95"/>
          <w:position w:val="1"/>
          <w:sz w:val="24"/>
        </w:rPr>
        <w:t>office</w:t>
        <w:tab/>
      </w:r>
      <w:r>
        <w:rPr>
          <w:rFonts w:ascii="Stone Sans II ITC Std X Bd"/>
          <w:b/>
          <w:color w:val="1A171C"/>
          <w:sz w:val="24"/>
        </w:rPr>
        <w:t>31</w:t>
      </w:r>
    </w:p>
    <w:p>
      <w:pPr>
        <w:spacing w:line="262" w:lineRule="exact" w:before="0"/>
        <w:ind w:left="3355" w:right="0" w:firstLine="0"/>
        <w:jc w:val="left"/>
        <w:rPr>
          <w:rFonts w:ascii="Lucida Sans"/>
          <w:sz w:val="24"/>
        </w:rPr>
      </w:pPr>
      <w:r>
        <w:rPr>
          <w:rFonts w:ascii="Lucida Sans"/>
          <w:color w:val="1A171C"/>
          <w:sz w:val="24"/>
        </w:rPr>
        <w:t>on 0207 916 8628 and they can re-issue it in a different format.</w:t>
      </w:r>
    </w:p>
    <w:p>
      <w:pPr>
        <w:spacing w:after="0" w:line="262" w:lineRule="exact"/>
        <w:jc w:val="left"/>
        <w:rPr>
          <w:rFonts w:ascii="Lucida Sans"/>
          <w:sz w:val="24"/>
        </w:rPr>
        <w:sectPr>
          <w:pgSz w:w="11910" w:h="16840"/>
          <w:pgMar w:top="240" w:bottom="0" w:left="320" w:right="0"/>
        </w:sectPr>
      </w:pPr>
    </w:p>
    <w:p>
      <w:pPr>
        <w:pStyle w:val="BodyText"/>
        <w:rPr>
          <w:rFonts w:ascii="Lucida Sans"/>
          <w:sz w:val="20"/>
        </w:rPr>
      </w:pPr>
      <w:r>
        <w:rPr/>
        <w:pict>
          <v:group style="position:absolute;margin-left:12.756pt;margin-top:12.755014pt;width:77.8pt;height:816.4pt;mso-position-horizontal-relative:page;mso-position-vertical-relative:page;z-index:-253331456" coordorigin="255,255" coordsize="1556,16328">
            <v:shape style="position:absolute;left:255;top:255;width:681;height:16328" type="#_x0000_t75" stroked="false">
              <v:imagedata r:id="rId20" o:title=""/>
            </v:shape>
            <v:shape style="position:absolute;left:430;top:337;width:1381;height:817" type="#_x0000_t202" filled="false" stroked="false">
              <v:textbox inset="0,0,0,0">
                <w:txbxContent>
                  <w:p>
                    <w:pPr>
                      <w:tabs>
                        <w:tab w:pos="1360" w:val="left" w:leader="none"/>
                      </w:tabs>
                      <w:spacing w:line="816" w:lineRule="exact" w:before="0"/>
                      <w:ind w:left="0" w:right="0" w:firstLine="0"/>
                      <w:jc w:val="left"/>
                      <w:rPr>
                        <w:rFonts w:ascii="Stone Sans II ITC Std X Bd"/>
                        <w:b/>
                        <w:sz w:val="65"/>
                      </w:rPr>
                    </w:pPr>
                    <w:r>
                      <w:rPr>
                        <w:rFonts w:ascii="Stone Sans II ITC Std X Bd"/>
                        <w:b/>
                        <w:color w:val="FFFFFF"/>
                        <w:w w:val="110"/>
                        <w:sz w:val="65"/>
                        <w:shd w:fill="3BA533" w:color="auto" w:val="clear"/>
                      </w:rPr>
                      <w:t>C</w:t>
                    </w:r>
                    <w:r>
                      <w:rPr>
                        <w:rFonts w:ascii="Stone Sans II ITC Std X Bd"/>
                        <w:b/>
                        <w:color w:val="FFFFFF"/>
                        <w:sz w:val="65"/>
                        <w:shd w:fill="3BA533" w:color="auto" w:val="clear"/>
                      </w:rPr>
                      <w:tab/>
                    </w:r>
                  </w:p>
                </w:txbxContent>
              </v:textbox>
              <w10:wrap type="none"/>
            </v:shape>
            <v:shape style="position:absolute;left:435;top:15990;width:341;height:303" type="#_x0000_t202" filled="false" stroked="false">
              <v:textbox inset="0,0,0,0">
                <w:txbxContent>
                  <w:p>
                    <w:pPr>
                      <w:spacing w:line="302" w:lineRule="exact" w:before="0"/>
                      <w:ind w:left="0" w:right="0" w:firstLine="0"/>
                      <w:jc w:val="left"/>
                      <w:rPr>
                        <w:rFonts w:ascii="Stone Sans II ITC Std X Bd"/>
                        <w:b/>
                        <w:sz w:val="24"/>
                      </w:rPr>
                    </w:pPr>
                    <w:r>
                      <w:rPr>
                        <w:rFonts w:ascii="Stone Sans II ITC Std X Bd"/>
                        <w:b/>
                        <w:color w:val="1A171C"/>
                        <w:sz w:val="24"/>
                      </w:rPr>
                      <w:t>32</w:t>
                    </w:r>
                  </w:p>
                </w:txbxContent>
              </v:textbox>
              <w10:wrap type="none"/>
            </v:shape>
            <w10:wrap type="none"/>
          </v:group>
        </w:pic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spacing w:before="265"/>
        <w:ind w:left="1104" w:right="1421" w:firstLine="0"/>
        <w:jc w:val="center"/>
        <w:rPr>
          <w:b/>
          <w:sz w:val="40"/>
        </w:rPr>
      </w:pPr>
      <w:r>
        <w:rPr/>
        <w:pict>
          <v:shape style="position:absolute;margin-left:21.22007pt;margin-top:-9.965536pt;width:16.3500pt;height:346.1pt;mso-position-horizontal-relative:page;mso-position-vertical-relative:paragraph;z-index:251782144" type="#_x0000_t202" filled="false" stroked="false">
            <v:textbox inset="0,0,0,0" style="layout-flow:vertical;mso-layout-flow-alt:bottom-to-top">
              <w:txbxContent>
                <w:p>
                  <w:pPr>
                    <w:spacing w:before="26"/>
                    <w:ind w:left="20" w:right="0" w:firstLine="0"/>
                    <w:jc w:val="left"/>
                    <w:rPr>
                      <w:rFonts w:ascii="Stone Sans II ITC Std Bk" w:hAnsi="Stone Sans II ITC Std Bk"/>
                      <w:b/>
                      <w:sz w:val="22"/>
                    </w:rPr>
                  </w:pPr>
                  <w:r>
                    <w:rPr>
                      <w:rFonts w:ascii="Stone Sans II ITC Std Bk" w:hAnsi="Stone Sans II ITC Std Bk"/>
                      <w:b/>
                      <w:color w:val="FFFFFF"/>
                      <w:w w:val="110"/>
                      <w:sz w:val="22"/>
                    </w:rPr>
                    <w:t>United Reformed Church </w:t>
                  </w:r>
                  <w:r>
                    <w:rPr>
                      <w:rFonts w:ascii="Symbol" w:hAnsi="Symbol"/>
                      <w:color w:val="FFFFFF"/>
                      <w:w w:val="110"/>
                      <w:sz w:val="22"/>
                    </w:rPr>
                    <w:t></w:t>
                  </w:r>
                  <w:r>
                    <w:rPr>
                      <w:rFonts w:ascii="Times New Roman" w:hAnsi="Times New Roman"/>
                      <w:color w:val="FFFFFF"/>
                      <w:w w:val="110"/>
                      <w:sz w:val="22"/>
                    </w:rPr>
                    <w:t> </w:t>
                  </w:r>
                  <w:r>
                    <w:rPr>
                      <w:rFonts w:ascii="Stone Sans II ITC Std Bk" w:hAnsi="Stone Sans II ITC Std Bk"/>
                      <w:b/>
                      <w:color w:val="FFFFFF"/>
                      <w:w w:val="110"/>
                      <w:sz w:val="22"/>
                    </w:rPr>
                    <w:t>General Assembly, June 2015</w:t>
                  </w:r>
                </w:p>
              </w:txbxContent>
            </v:textbox>
            <w10:wrap type="none"/>
          </v:shape>
        </w:pict>
      </w:r>
      <w:r>
        <w:rPr>
          <w:b/>
          <w:color w:val="2DA651"/>
          <w:sz w:val="40"/>
        </w:rPr>
        <w:t>Appendix C</w:t>
      </w:r>
    </w:p>
    <w:p>
      <w:pPr>
        <w:pStyle w:val="BodyText"/>
        <w:spacing w:before="11"/>
        <w:rPr>
          <w:b/>
          <w:sz w:val="43"/>
        </w:rPr>
      </w:pPr>
    </w:p>
    <w:p>
      <w:pPr>
        <w:spacing w:before="0"/>
        <w:ind w:left="1100" w:right="1421" w:firstLine="0"/>
        <w:jc w:val="center"/>
        <w:rPr>
          <w:b/>
          <w:sz w:val="42"/>
        </w:rPr>
      </w:pPr>
      <w:r>
        <w:rPr>
          <w:b/>
          <w:color w:val="1A171C"/>
          <w:sz w:val="42"/>
        </w:rPr>
        <w:t>Paragraph 3.(1) of the Structure of the URC:</w:t>
      </w:r>
    </w:p>
    <w:p>
      <w:pPr>
        <w:pStyle w:val="BodyText"/>
        <w:spacing w:before="5"/>
        <w:rPr>
          <w:b/>
          <w:sz w:val="57"/>
        </w:rPr>
      </w:pPr>
    </w:p>
    <w:p>
      <w:pPr>
        <w:spacing w:before="1"/>
        <w:ind w:left="1098" w:right="0" w:firstLine="0"/>
        <w:jc w:val="left"/>
        <w:rPr>
          <w:b/>
          <w:sz w:val="28"/>
        </w:rPr>
      </w:pPr>
      <w:r>
        <w:rPr>
          <w:b/>
          <w:color w:val="1A171C"/>
          <w:sz w:val="28"/>
        </w:rPr>
        <w:t>Constitutional Amendments</w:t>
      </w:r>
    </w:p>
    <w:p>
      <w:pPr>
        <w:pStyle w:val="BodyText"/>
        <w:tabs>
          <w:tab w:pos="1818" w:val="left" w:leader="none"/>
        </w:tabs>
        <w:spacing w:before="41"/>
        <w:ind w:left="1098" w:right="1537"/>
      </w:pPr>
      <w:r>
        <w:rPr>
          <w:color w:val="1A171C"/>
        </w:rPr>
        <w:t>3.(1)</w:t>
        <w:tab/>
        <w:t>No exercise of the function of constitutional amendment contained in 2(6)(A)(xi) shall have effect unless the following procedure has been</w:t>
      </w:r>
      <w:r>
        <w:rPr>
          <w:color w:val="1A171C"/>
          <w:spacing w:val="-4"/>
        </w:rPr>
        <w:t> </w:t>
      </w:r>
      <w:r>
        <w:rPr>
          <w:color w:val="1A171C"/>
        </w:rPr>
        <w:t>followed:</w:t>
      </w:r>
    </w:p>
    <w:p>
      <w:pPr>
        <w:pStyle w:val="BodyText"/>
        <w:spacing w:before="9"/>
        <w:rPr>
          <w:sz w:val="20"/>
        </w:rPr>
      </w:pPr>
    </w:p>
    <w:p>
      <w:pPr>
        <w:pStyle w:val="ListParagraph"/>
        <w:numPr>
          <w:ilvl w:val="0"/>
          <w:numId w:val="9"/>
        </w:numPr>
        <w:tabs>
          <w:tab w:pos="1778" w:val="left" w:leader="none"/>
          <w:tab w:pos="1779" w:val="left" w:leader="none"/>
        </w:tabs>
        <w:spacing w:line="240" w:lineRule="auto" w:before="0" w:after="0"/>
        <w:ind w:left="1778" w:right="2003" w:hanging="681"/>
        <w:jc w:val="left"/>
        <w:rPr>
          <w:sz w:val="22"/>
        </w:rPr>
      </w:pPr>
      <w:r>
        <w:rPr>
          <w:color w:val="1A171C"/>
          <w:sz w:val="22"/>
        </w:rPr>
        <w:t>The proposal for the amendment shall be made in accordance with the Standing Orders of the General</w:t>
      </w:r>
      <w:r>
        <w:rPr>
          <w:color w:val="1A171C"/>
          <w:spacing w:val="-1"/>
          <w:sz w:val="22"/>
        </w:rPr>
        <w:t> </w:t>
      </w:r>
      <w:r>
        <w:rPr>
          <w:color w:val="1A171C"/>
          <w:sz w:val="22"/>
        </w:rPr>
        <w:t>Assembly.</w:t>
      </w:r>
    </w:p>
    <w:p>
      <w:pPr>
        <w:pStyle w:val="BodyText"/>
        <w:spacing w:before="11"/>
        <w:rPr>
          <w:sz w:val="20"/>
        </w:rPr>
      </w:pPr>
    </w:p>
    <w:p>
      <w:pPr>
        <w:pStyle w:val="ListParagraph"/>
        <w:numPr>
          <w:ilvl w:val="0"/>
          <w:numId w:val="9"/>
        </w:numPr>
        <w:tabs>
          <w:tab w:pos="1779" w:val="left" w:leader="none"/>
          <w:tab w:pos="1780" w:val="left" w:leader="none"/>
        </w:tabs>
        <w:spacing w:line="240" w:lineRule="auto" w:before="0" w:after="0"/>
        <w:ind w:left="1779" w:right="1526" w:hanging="681"/>
        <w:jc w:val="left"/>
        <w:rPr>
          <w:sz w:val="22"/>
        </w:rPr>
      </w:pPr>
      <w:r>
        <w:rPr>
          <w:color w:val="1A171C"/>
          <w:sz w:val="22"/>
        </w:rPr>
        <w:t>Either the General Assembly or, in years when the General Assembly does not meet, the Mission Council, shall vote on a motion to approve the proposal which shall require a majority of two-thirds of the members present and voting to</w:t>
      </w:r>
      <w:r>
        <w:rPr>
          <w:color w:val="1A171C"/>
          <w:spacing w:val="-11"/>
          <w:sz w:val="22"/>
        </w:rPr>
        <w:t> </w:t>
      </w:r>
      <w:r>
        <w:rPr>
          <w:color w:val="1A171C"/>
          <w:sz w:val="22"/>
        </w:rPr>
        <w:t>pass.</w:t>
      </w:r>
    </w:p>
    <w:p>
      <w:pPr>
        <w:pStyle w:val="BodyText"/>
        <w:spacing w:before="9"/>
        <w:rPr>
          <w:sz w:val="20"/>
        </w:rPr>
      </w:pPr>
    </w:p>
    <w:p>
      <w:pPr>
        <w:pStyle w:val="ListParagraph"/>
        <w:numPr>
          <w:ilvl w:val="0"/>
          <w:numId w:val="9"/>
        </w:numPr>
        <w:tabs>
          <w:tab w:pos="1779" w:val="left" w:leader="none"/>
          <w:tab w:pos="1780" w:val="left" w:leader="none"/>
        </w:tabs>
        <w:spacing w:line="240" w:lineRule="auto" w:before="0" w:after="0"/>
        <w:ind w:left="1779" w:right="1416" w:hanging="681"/>
        <w:jc w:val="left"/>
        <w:rPr>
          <w:sz w:val="22"/>
        </w:rPr>
      </w:pPr>
      <w:r>
        <w:rPr>
          <w:color w:val="1A171C"/>
          <w:sz w:val="22"/>
        </w:rPr>
        <w:t>If such motion to approve the proposal is passed the General Assembly or the Mission Council, as the case may be, shall refer the proposal to synods and may, if it deems appropriate, in exceptional cases also to Local</w:t>
      </w:r>
      <w:r>
        <w:rPr>
          <w:color w:val="1A171C"/>
          <w:spacing w:val="-5"/>
          <w:sz w:val="22"/>
        </w:rPr>
        <w:t> </w:t>
      </w:r>
      <w:r>
        <w:rPr>
          <w:color w:val="1A171C"/>
          <w:sz w:val="22"/>
        </w:rPr>
        <w:t>Churches.</w:t>
      </w:r>
    </w:p>
    <w:p>
      <w:pPr>
        <w:pStyle w:val="BodyText"/>
        <w:spacing w:before="11"/>
        <w:rPr>
          <w:sz w:val="20"/>
        </w:rPr>
      </w:pPr>
    </w:p>
    <w:p>
      <w:pPr>
        <w:pStyle w:val="ListParagraph"/>
        <w:numPr>
          <w:ilvl w:val="0"/>
          <w:numId w:val="9"/>
        </w:numPr>
        <w:tabs>
          <w:tab w:pos="1779" w:val="left" w:leader="none"/>
          <w:tab w:pos="1780" w:val="left" w:leader="none"/>
        </w:tabs>
        <w:spacing w:line="240" w:lineRule="auto" w:before="0" w:after="0"/>
        <w:ind w:left="1779" w:right="1684" w:hanging="681"/>
        <w:jc w:val="left"/>
        <w:rPr>
          <w:sz w:val="22"/>
        </w:rPr>
      </w:pPr>
      <w:r>
        <w:rPr>
          <w:color w:val="1A171C"/>
          <w:sz w:val="22"/>
        </w:rPr>
        <w:t>If the proposal has been agreed by the General Assembly it shall set a final date for responses to be made, which shall normally be at an appropriate time before a meeting of the Mission Council not less than nine months after the meeting of the General Assembly at which the proposal was</w:t>
      </w:r>
      <w:r>
        <w:rPr>
          <w:color w:val="1A171C"/>
          <w:spacing w:val="-4"/>
          <w:sz w:val="22"/>
        </w:rPr>
        <w:t> </w:t>
      </w:r>
      <w:r>
        <w:rPr>
          <w:color w:val="1A171C"/>
          <w:sz w:val="22"/>
        </w:rPr>
        <w:t>agreed.</w:t>
      </w:r>
    </w:p>
    <w:p>
      <w:pPr>
        <w:pStyle w:val="BodyText"/>
        <w:spacing w:before="10"/>
        <w:rPr>
          <w:sz w:val="20"/>
        </w:rPr>
      </w:pPr>
    </w:p>
    <w:p>
      <w:pPr>
        <w:pStyle w:val="ListParagraph"/>
        <w:numPr>
          <w:ilvl w:val="0"/>
          <w:numId w:val="9"/>
        </w:numPr>
        <w:tabs>
          <w:tab w:pos="1779" w:val="left" w:leader="none"/>
          <w:tab w:pos="1780" w:val="left" w:leader="none"/>
        </w:tabs>
        <w:spacing w:line="240" w:lineRule="auto" w:before="0" w:after="0"/>
        <w:ind w:left="1779" w:right="1552" w:hanging="681"/>
        <w:jc w:val="left"/>
        <w:rPr>
          <w:sz w:val="22"/>
        </w:rPr>
      </w:pPr>
      <w:r>
        <w:rPr>
          <w:color w:val="1A171C"/>
          <w:sz w:val="22"/>
        </w:rPr>
        <w:t>If the proposal has been agreed by the Mission Council it shall set a final date for responses to be made which shall normally be at an appropriate date before the next ordinary meeting of the General</w:t>
      </w:r>
      <w:r>
        <w:rPr>
          <w:color w:val="1A171C"/>
          <w:spacing w:val="-3"/>
          <w:sz w:val="22"/>
        </w:rPr>
        <w:t> </w:t>
      </w:r>
      <w:r>
        <w:rPr>
          <w:color w:val="1A171C"/>
          <w:sz w:val="22"/>
        </w:rPr>
        <w:t>Assembly.</w:t>
      </w:r>
    </w:p>
    <w:p>
      <w:pPr>
        <w:pStyle w:val="BodyText"/>
        <w:spacing w:before="9"/>
        <w:rPr>
          <w:sz w:val="20"/>
        </w:rPr>
      </w:pPr>
    </w:p>
    <w:p>
      <w:pPr>
        <w:pStyle w:val="ListParagraph"/>
        <w:numPr>
          <w:ilvl w:val="0"/>
          <w:numId w:val="9"/>
        </w:numPr>
        <w:tabs>
          <w:tab w:pos="1779" w:val="left" w:leader="none"/>
          <w:tab w:pos="1780" w:val="left" w:leader="none"/>
        </w:tabs>
        <w:spacing w:line="240" w:lineRule="auto" w:before="0" w:after="0"/>
        <w:ind w:left="1779" w:right="1418" w:hanging="681"/>
        <w:jc w:val="left"/>
        <w:rPr>
          <w:sz w:val="22"/>
        </w:rPr>
      </w:pPr>
      <w:r>
        <w:rPr>
          <w:color w:val="1A171C"/>
          <w:sz w:val="22"/>
        </w:rPr>
        <w:t>If by such date notice has been received by the General Secretary from more than one third of synods (or, if it has been so referred, more than one third of Local Churches) that a motion 'that the proposal be not proceeded with' has been passed by a majority of members present and voting at a duly convened meeting of such body, then the Assembly or the Mission Council, as the case may be, in its concern for the unity of the church shall not proceed to ratify the</w:t>
      </w:r>
      <w:r>
        <w:rPr>
          <w:color w:val="1A171C"/>
          <w:spacing w:val="-7"/>
          <w:sz w:val="22"/>
        </w:rPr>
        <w:t> </w:t>
      </w:r>
      <w:r>
        <w:rPr>
          <w:color w:val="1A171C"/>
          <w:sz w:val="22"/>
        </w:rPr>
        <w:t>proposal.</w:t>
      </w:r>
    </w:p>
    <w:p>
      <w:pPr>
        <w:pStyle w:val="BodyText"/>
        <w:spacing w:before="10"/>
        <w:rPr>
          <w:sz w:val="20"/>
        </w:rPr>
      </w:pPr>
    </w:p>
    <w:p>
      <w:pPr>
        <w:pStyle w:val="ListParagraph"/>
        <w:numPr>
          <w:ilvl w:val="0"/>
          <w:numId w:val="9"/>
        </w:numPr>
        <w:tabs>
          <w:tab w:pos="1779" w:val="left" w:leader="none"/>
          <w:tab w:pos="1780" w:val="left" w:leader="none"/>
        </w:tabs>
        <w:spacing w:line="240" w:lineRule="auto" w:before="0" w:after="0"/>
        <w:ind w:left="1779" w:right="1453" w:hanging="681"/>
        <w:jc w:val="left"/>
        <w:rPr>
          <w:sz w:val="22"/>
        </w:rPr>
      </w:pPr>
      <w:r>
        <w:rPr>
          <w:color w:val="1A171C"/>
          <w:sz w:val="22"/>
        </w:rPr>
        <w:t>If by such date such notice has not been received, a motion to agree the proposed amendment shall come before the General Assembly at its next meeting or before the Mission Council at a meeting specified by the General Assembly. If such a motion is before the General Assembly it shall require a majority of two-thirds of the members present and voting to pass. If the motion is before the Mission Council it shall require a simple majority of the members present and voting to pass. In its concern for mutual understanding within the life of the church, before voting on such a motion the General Assembly or Mission Council shall invite a representative of any synod from which the General Secretary has duly received notification under 3(1)(e) to present the main reasons for its</w:t>
      </w:r>
      <w:r>
        <w:rPr>
          <w:color w:val="1A171C"/>
          <w:spacing w:val="-2"/>
          <w:sz w:val="22"/>
        </w:rPr>
        <w:t> </w:t>
      </w:r>
      <w:r>
        <w:rPr>
          <w:color w:val="1A171C"/>
          <w:sz w:val="22"/>
        </w:rPr>
        <w:t>objection.</w:t>
      </w:r>
    </w:p>
    <w:p>
      <w:pPr>
        <w:pStyle w:val="BodyText"/>
        <w:spacing w:before="10"/>
        <w:rPr>
          <w:sz w:val="20"/>
        </w:rPr>
      </w:pPr>
    </w:p>
    <w:p>
      <w:pPr>
        <w:pStyle w:val="ListParagraph"/>
        <w:numPr>
          <w:ilvl w:val="0"/>
          <w:numId w:val="9"/>
        </w:numPr>
        <w:tabs>
          <w:tab w:pos="1779" w:val="left" w:leader="none"/>
          <w:tab w:pos="1780" w:val="left" w:leader="none"/>
        </w:tabs>
        <w:spacing w:line="240" w:lineRule="auto" w:before="0" w:after="0"/>
        <w:ind w:left="1779" w:right="0" w:hanging="681"/>
        <w:jc w:val="left"/>
        <w:rPr>
          <w:sz w:val="22"/>
        </w:rPr>
      </w:pPr>
      <w:r>
        <w:rPr>
          <w:color w:val="1A171C"/>
          <w:sz w:val="22"/>
        </w:rPr>
        <w:t>If such a motion is passed by such a majority the amendment shall have</w:t>
      </w:r>
      <w:r>
        <w:rPr>
          <w:color w:val="1A171C"/>
          <w:spacing w:val="-8"/>
          <w:sz w:val="22"/>
        </w:rPr>
        <w:t> </w:t>
      </w:r>
      <w:r>
        <w:rPr>
          <w:color w:val="1A171C"/>
          <w:sz w:val="22"/>
        </w:rPr>
        <w:t>effect.</w:t>
      </w:r>
    </w:p>
    <w:p>
      <w:pPr>
        <w:pStyle w:val="BodyText"/>
        <w:spacing w:before="10"/>
        <w:rPr>
          <w:sz w:val="20"/>
        </w:rPr>
      </w:pPr>
    </w:p>
    <w:p>
      <w:pPr>
        <w:pStyle w:val="ListParagraph"/>
        <w:numPr>
          <w:ilvl w:val="0"/>
          <w:numId w:val="9"/>
        </w:numPr>
        <w:tabs>
          <w:tab w:pos="1779" w:val="left" w:leader="none"/>
          <w:tab w:pos="1780" w:val="left" w:leader="none"/>
        </w:tabs>
        <w:spacing w:line="240" w:lineRule="auto" w:before="1" w:after="0"/>
        <w:ind w:left="1779" w:right="1451" w:hanging="681"/>
        <w:jc w:val="left"/>
        <w:rPr>
          <w:sz w:val="22"/>
        </w:rPr>
      </w:pPr>
      <w:r>
        <w:rPr>
          <w:color w:val="1A171C"/>
          <w:sz w:val="22"/>
        </w:rPr>
        <w:t>For the purposes of this paragraph 3(1), only synods and Local Churches in existence on the date set for responses to be made shall be counted in the</w:t>
      </w:r>
      <w:r>
        <w:rPr>
          <w:color w:val="1A171C"/>
          <w:spacing w:val="-14"/>
          <w:sz w:val="22"/>
        </w:rPr>
        <w:t> </w:t>
      </w:r>
      <w:r>
        <w:rPr>
          <w:color w:val="1A171C"/>
          <w:sz w:val="22"/>
        </w:rPr>
        <w:t>calculations.</w:t>
      </w:r>
    </w:p>
    <w:sectPr>
      <w:pgSz w:w="11910" w:h="16840"/>
      <w:pgMar w:top="240" w:bottom="0" w:left="3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Stone Sans II ITC Std X Bd">
    <w:altName w:val="Stone Sans II ITC Std X Bd"/>
    <w:charset w:val="0"/>
    <w:family w:val="swiss"/>
    <w:pitch w:val="variable"/>
  </w:font>
  <w:font w:name="Stone Sans II ITC Std Lt">
    <w:altName w:val="Stone Sans II ITC Std Lt"/>
    <w:charset w:val="0"/>
    <w:family w:val="swiss"/>
    <w:pitch w:val="variable"/>
  </w:font>
  <w:font w:name="Lucida Sans">
    <w:altName w:val="Lucida Sans"/>
    <w:charset w:val="0"/>
    <w:family w:val="swiss"/>
    <w:pitch w:val="variable"/>
  </w:font>
  <w:font w:name="Stone Sans II ITC Std Bk">
    <w:altName w:val="Stone Sans II ITC Std Bk"/>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lowerLetter"/>
      <w:lvlText w:val="(%1)"/>
      <w:lvlJc w:val="left"/>
      <w:pPr>
        <w:ind w:left="1778" w:hanging="681"/>
        <w:jc w:val="left"/>
      </w:pPr>
      <w:rPr>
        <w:rFonts w:hint="default" w:ascii="Arial" w:hAnsi="Arial" w:eastAsia="Arial" w:cs="Arial"/>
        <w:color w:val="1A171C"/>
        <w:w w:val="99"/>
        <w:sz w:val="22"/>
        <w:szCs w:val="22"/>
      </w:rPr>
    </w:lvl>
    <w:lvl w:ilvl="1">
      <w:start w:val="0"/>
      <w:numFmt w:val="bullet"/>
      <w:lvlText w:val="•"/>
      <w:lvlJc w:val="left"/>
      <w:pPr>
        <w:ind w:left="2760" w:hanging="681"/>
      </w:pPr>
      <w:rPr>
        <w:rFonts w:hint="default"/>
      </w:rPr>
    </w:lvl>
    <w:lvl w:ilvl="2">
      <w:start w:val="0"/>
      <w:numFmt w:val="bullet"/>
      <w:lvlText w:val="•"/>
      <w:lvlJc w:val="left"/>
      <w:pPr>
        <w:ind w:left="3741" w:hanging="681"/>
      </w:pPr>
      <w:rPr>
        <w:rFonts w:hint="default"/>
      </w:rPr>
    </w:lvl>
    <w:lvl w:ilvl="3">
      <w:start w:val="0"/>
      <w:numFmt w:val="bullet"/>
      <w:lvlText w:val="•"/>
      <w:lvlJc w:val="left"/>
      <w:pPr>
        <w:ind w:left="4721" w:hanging="681"/>
      </w:pPr>
      <w:rPr>
        <w:rFonts w:hint="default"/>
      </w:rPr>
    </w:lvl>
    <w:lvl w:ilvl="4">
      <w:start w:val="0"/>
      <w:numFmt w:val="bullet"/>
      <w:lvlText w:val="•"/>
      <w:lvlJc w:val="left"/>
      <w:pPr>
        <w:ind w:left="5702" w:hanging="681"/>
      </w:pPr>
      <w:rPr>
        <w:rFonts w:hint="default"/>
      </w:rPr>
    </w:lvl>
    <w:lvl w:ilvl="5">
      <w:start w:val="0"/>
      <w:numFmt w:val="bullet"/>
      <w:lvlText w:val="•"/>
      <w:lvlJc w:val="left"/>
      <w:pPr>
        <w:ind w:left="6682" w:hanging="681"/>
      </w:pPr>
      <w:rPr>
        <w:rFonts w:hint="default"/>
      </w:rPr>
    </w:lvl>
    <w:lvl w:ilvl="6">
      <w:start w:val="0"/>
      <w:numFmt w:val="bullet"/>
      <w:lvlText w:val="•"/>
      <w:lvlJc w:val="left"/>
      <w:pPr>
        <w:ind w:left="7663" w:hanging="681"/>
      </w:pPr>
      <w:rPr>
        <w:rFonts w:hint="default"/>
      </w:rPr>
    </w:lvl>
    <w:lvl w:ilvl="7">
      <w:start w:val="0"/>
      <w:numFmt w:val="bullet"/>
      <w:lvlText w:val="•"/>
      <w:lvlJc w:val="left"/>
      <w:pPr>
        <w:ind w:left="8643" w:hanging="681"/>
      </w:pPr>
      <w:rPr>
        <w:rFonts w:hint="default"/>
      </w:rPr>
    </w:lvl>
    <w:lvl w:ilvl="8">
      <w:start w:val="0"/>
      <w:numFmt w:val="bullet"/>
      <w:lvlText w:val="•"/>
      <w:lvlJc w:val="left"/>
      <w:pPr>
        <w:ind w:left="9624" w:hanging="681"/>
      </w:pPr>
      <w:rPr>
        <w:rFonts w:hint="default"/>
      </w:rPr>
    </w:lvl>
  </w:abstractNum>
  <w:abstractNum w:abstractNumId="7">
    <w:multiLevelType w:val="hybridMultilevel"/>
    <w:lvl w:ilvl="0">
      <w:start w:val="1"/>
      <w:numFmt w:val="decimal"/>
      <w:lvlText w:val="%1."/>
      <w:lvlJc w:val="left"/>
      <w:pPr>
        <w:ind w:left="1819" w:hanging="721"/>
        <w:jc w:val="left"/>
      </w:pPr>
      <w:rPr>
        <w:rFonts w:hint="default" w:ascii="Arial" w:hAnsi="Arial" w:eastAsia="Arial" w:cs="Arial"/>
        <w:b/>
        <w:bCs/>
        <w:color w:val="1A171C"/>
        <w:spacing w:val="-1"/>
        <w:w w:val="100"/>
        <w:sz w:val="22"/>
        <w:szCs w:val="22"/>
      </w:rPr>
    </w:lvl>
    <w:lvl w:ilvl="1">
      <w:start w:val="1"/>
      <w:numFmt w:val="decimal"/>
      <w:lvlText w:val="%1.%2"/>
      <w:lvlJc w:val="left"/>
      <w:pPr>
        <w:ind w:left="1099" w:hanging="720"/>
        <w:jc w:val="left"/>
      </w:pPr>
      <w:rPr>
        <w:rFonts w:hint="default" w:ascii="Arial" w:hAnsi="Arial" w:eastAsia="Arial" w:cs="Arial"/>
        <w:color w:val="1A171C"/>
        <w:spacing w:val="-1"/>
        <w:w w:val="100"/>
        <w:sz w:val="22"/>
        <w:szCs w:val="22"/>
      </w:rPr>
    </w:lvl>
    <w:lvl w:ilvl="2">
      <w:start w:val="1"/>
      <w:numFmt w:val="decimal"/>
      <w:lvlText w:val="%1.%2.%3"/>
      <w:lvlJc w:val="left"/>
      <w:pPr>
        <w:ind w:left="1760" w:hanging="720"/>
        <w:jc w:val="left"/>
      </w:pPr>
      <w:rPr>
        <w:rFonts w:hint="default" w:ascii="Arial" w:hAnsi="Arial" w:eastAsia="Arial" w:cs="Arial"/>
        <w:color w:val="1A171C"/>
        <w:spacing w:val="-1"/>
        <w:w w:val="100"/>
        <w:sz w:val="22"/>
        <w:szCs w:val="22"/>
      </w:rPr>
    </w:lvl>
    <w:lvl w:ilvl="3">
      <w:start w:val="1"/>
      <w:numFmt w:val="decimal"/>
      <w:lvlText w:val="%1.%2.%3.%4"/>
      <w:lvlJc w:val="left"/>
      <w:pPr>
        <w:ind w:left="3200" w:hanging="1441"/>
        <w:jc w:val="left"/>
      </w:pPr>
      <w:rPr>
        <w:rFonts w:hint="default" w:ascii="Arial" w:hAnsi="Arial" w:eastAsia="Arial" w:cs="Arial"/>
        <w:color w:val="1A171C"/>
        <w:spacing w:val="-3"/>
        <w:w w:val="100"/>
        <w:sz w:val="22"/>
        <w:szCs w:val="22"/>
      </w:rPr>
    </w:lvl>
    <w:lvl w:ilvl="4">
      <w:start w:val="0"/>
      <w:numFmt w:val="bullet"/>
      <w:lvlText w:val="•"/>
      <w:lvlJc w:val="left"/>
      <w:pPr>
        <w:ind w:left="3200" w:hanging="1441"/>
      </w:pPr>
      <w:rPr>
        <w:rFonts w:hint="default"/>
      </w:rPr>
    </w:lvl>
    <w:lvl w:ilvl="5">
      <w:start w:val="0"/>
      <w:numFmt w:val="bullet"/>
      <w:lvlText w:val="•"/>
      <w:lvlJc w:val="left"/>
      <w:pPr>
        <w:ind w:left="3260" w:hanging="1441"/>
      </w:pPr>
      <w:rPr>
        <w:rFonts w:hint="default"/>
      </w:rPr>
    </w:lvl>
    <w:lvl w:ilvl="6">
      <w:start w:val="0"/>
      <w:numFmt w:val="bullet"/>
      <w:lvlText w:val="•"/>
      <w:lvlJc w:val="left"/>
      <w:pPr>
        <w:ind w:left="4925" w:hanging="1441"/>
      </w:pPr>
      <w:rPr>
        <w:rFonts w:hint="default"/>
      </w:rPr>
    </w:lvl>
    <w:lvl w:ilvl="7">
      <w:start w:val="0"/>
      <w:numFmt w:val="bullet"/>
      <w:lvlText w:val="•"/>
      <w:lvlJc w:val="left"/>
      <w:pPr>
        <w:ind w:left="6590" w:hanging="1441"/>
      </w:pPr>
      <w:rPr>
        <w:rFonts w:hint="default"/>
      </w:rPr>
    </w:lvl>
    <w:lvl w:ilvl="8">
      <w:start w:val="0"/>
      <w:numFmt w:val="bullet"/>
      <w:lvlText w:val="•"/>
      <w:lvlJc w:val="left"/>
      <w:pPr>
        <w:ind w:left="8255" w:hanging="1441"/>
      </w:pPr>
      <w:rPr>
        <w:rFonts w:hint="default"/>
      </w:rPr>
    </w:lvl>
  </w:abstractNum>
  <w:abstractNum w:abstractNumId="6">
    <w:multiLevelType w:val="hybridMultilevel"/>
    <w:lvl w:ilvl="0">
      <w:start w:val="7"/>
      <w:numFmt w:val="decimal"/>
      <w:lvlText w:val="%1"/>
      <w:lvlJc w:val="left"/>
      <w:pPr>
        <w:ind w:left="1777" w:hanging="680"/>
        <w:jc w:val="left"/>
      </w:pPr>
      <w:rPr>
        <w:rFonts w:hint="default"/>
      </w:rPr>
    </w:lvl>
    <w:lvl w:ilvl="1">
      <w:start w:val="2"/>
      <w:numFmt w:val="decimal"/>
      <w:lvlText w:val="%1.%2"/>
      <w:lvlJc w:val="left"/>
      <w:pPr>
        <w:ind w:left="1777" w:hanging="680"/>
        <w:jc w:val="left"/>
      </w:pPr>
      <w:rPr>
        <w:rFonts w:hint="default"/>
      </w:rPr>
    </w:lvl>
    <w:lvl w:ilvl="2">
      <w:start w:val="1"/>
      <w:numFmt w:val="decimal"/>
      <w:lvlText w:val="%1.%2.%3"/>
      <w:lvlJc w:val="left"/>
      <w:pPr>
        <w:ind w:left="1777" w:hanging="680"/>
        <w:jc w:val="left"/>
      </w:pPr>
      <w:rPr>
        <w:rFonts w:hint="default" w:ascii="Arial" w:hAnsi="Arial" w:eastAsia="Arial" w:cs="Arial"/>
        <w:color w:val="1A171C"/>
        <w:spacing w:val="-1"/>
        <w:w w:val="100"/>
        <w:sz w:val="22"/>
        <w:szCs w:val="22"/>
      </w:rPr>
    </w:lvl>
    <w:lvl w:ilvl="3">
      <w:start w:val="0"/>
      <w:numFmt w:val="bullet"/>
      <w:lvlText w:val=""/>
      <w:lvlJc w:val="left"/>
      <w:pPr>
        <w:ind w:left="2459" w:hanging="682"/>
      </w:pPr>
      <w:rPr>
        <w:rFonts w:hint="default" w:ascii="Symbol" w:hAnsi="Symbol" w:eastAsia="Symbol" w:cs="Symbol"/>
        <w:color w:val="1A171C"/>
        <w:w w:val="100"/>
        <w:sz w:val="22"/>
        <w:szCs w:val="22"/>
      </w:rPr>
    </w:lvl>
    <w:lvl w:ilvl="4">
      <w:start w:val="0"/>
      <w:numFmt w:val="bullet"/>
      <w:lvlText w:val="•"/>
      <w:lvlJc w:val="left"/>
      <w:pPr>
        <w:ind w:left="5501" w:hanging="682"/>
      </w:pPr>
      <w:rPr>
        <w:rFonts w:hint="default"/>
      </w:rPr>
    </w:lvl>
    <w:lvl w:ilvl="5">
      <w:start w:val="0"/>
      <w:numFmt w:val="bullet"/>
      <w:lvlText w:val="•"/>
      <w:lvlJc w:val="left"/>
      <w:pPr>
        <w:ind w:left="6515" w:hanging="682"/>
      </w:pPr>
      <w:rPr>
        <w:rFonts w:hint="default"/>
      </w:rPr>
    </w:lvl>
    <w:lvl w:ilvl="6">
      <w:start w:val="0"/>
      <w:numFmt w:val="bullet"/>
      <w:lvlText w:val="•"/>
      <w:lvlJc w:val="left"/>
      <w:pPr>
        <w:ind w:left="7529" w:hanging="682"/>
      </w:pPr>
      <w:rPr>
        <w:rFonts w:hint="default"/>
      </w:rPr>
    </w:lvl>
    <w:lvl w:ilvl="7">
      <w:start w:val="0"/>
      <w:numFmt w:val="bullet"/>
      <w:lvlText w:val="•"/>
      <w:lvlJc w:val="left"/>
      <w:pPr>
        <w:ind w:left="8543" w:hanging="682"/>
      </w:pPr>
      <w:rPr>
        <w:rFonts w:hint="default"/>
      </w:rPr>
    </w:lvl>
    <w:lvl w:ilvl="8">
      <w:start w:val="0"/>
      <w:numFmt w:val="bullet"/>
      <w:lvlText w:val="•"/>
      <w:lvlJc w:val="left"/>
      <w:pPr>
        <w:ind w:left="9557" w:hanging="682"/>
      </w:pPr>
      <w:rPr>
        <w:rFonts w:hint="default"/>
      </w:rPr>
    </w:lvl>
  </w:abstractNum>
  <w:abstractNum w:abstractNumId="5">
    <w:multiLevelType w:val="hybridMultilevel"/>
    <w:lvl w:ilvl="0">
      <w:start w:val="7"/>
      <w:numFmt w:val="decimal"/>
      <w:lvlText w:val="%1"/>
      <w:lvlJc w:val="left"/>
      <w:pPr>
        <w:ind w:left="1777" w:hanging="680"/>
        <w:jc w:val="left"/>
      </w:pPr>
      <w:rPr>
        <w:rFonts w:hint="default"/>
      </w:rPr>
    </w:lvl>
    <w:lvl w:ilvl="1">
      <w:start w:val="1"/>
      <w:numFmt w:val="decimal"/>
      <w:lvlText w:val="%1.%2"/>
      <w:lvlJc w:val="left"/>
      <w:pPr>
        <w:ind w:left="1777" w:hanging="680"/>
        <w:jc w:val="left"/>
      </w:pPr>
      <w:rPr>
        <w:rFonts w:hint="default" w:ascii="Arial" w:hAnsi="Arial" w:eastAsia="Arial" w:cs="Arial"/>
        <w:color w:val="1A171C"/>
        <w:spacing w:val="-1"/>
        <w:w w:val="100"/>
        <w:sz w:val="22"/>
        <w:szCs w:val="22"/>
      </w:rPr>
    </w:lvl>
    <w:lvl w:ilvl="2">
      <w:start w:val="0"/>
      <w:numFmt w:val="bullet"/>
      <w:lvlText w:val=""/>
      <w:lvlJc w:val="left"/>
      <w:pPr>
        <w:ind w:left="2459" w:hanging="682"/>
      </w:pPr>
      <w:rPr>
        <w:rFonts w:hint="default" w:ascii="Symbol" w:hAnsi="Symbol" w:eastAsia="Symbol" w:cs="Symbol"/>
        <w:color w:val="1A171C"/>
        <w:w w:val="100"/>
        <w:sz w:val="22"/>
        <w:szCs w:val="22"/>
      </w:rPr>
    </w:lvl>
    <w:lvl w:ilvl="3">
      <w:start w:val="0"/>
      <w:numFmt w:val="bullet"/>
      <w:lvlText w:val="•"/>
      <w:lvlJc w:val="left"/>
      <w:pPr>
        <w:ind w:left="4487" w:hanging="682"/>
      </w:pPr>
      <w:rPr>
        <w:rFonts w:hint="default"/>
      </w:rPr>
    </w:lvl>
    <w:lvl w:ilvl="4">
      <w:start w:val="0"/>
      <w:numFmt w:val="bullet"/>
      <w:lvlText w:val="•"/>
      <w:lvlJc w:val="left"/>
      <w:pPr>
        <w:ind w:left="5501" w:hanging="682"/>
      </w:pPr>
      <w:rPr>
        <w:rFonts w:hint="default"/>
      </w:rPr>
    </w:lvl>
    <w:lvl w:ilvl="5">
      <w:start w:val="0"/>
      <w:numFmt w:val="bullet"/>
      <w:lvlText w:val="•"/>
      <w:lvlJc w:val="left"/>
      <w:pPr>
        <w:ind w:left="6515" w:hanging="682"/>
      </w:pPr>
      <w:rPr>
        <w:rFonts w:hint="default"/>
      </w:rPr>
    </w:lvl>
    <w:lvl w:ilvl="6">
      <w:start w:val="0"/>
      <w:numFmt w:val="bullet"/>
      <w:lvlText w:val="•"/>
      <w:lvlJc w:val="left"/>
      <w:pPr>
        <w:ind w:left="7529" w:hanging="682"/>
      </w:pPr>
      <w:rPr>
        <w:rFonts w:hint="default"/>
      </w:rPr>
    </w:lvl>
    <w:lvl w:ilvl="7">
      <w:start w:val="0"/>
      <w:numFmt w:val="bullet"/>
      <w:lvlText w:val="•"/>
      <w:lvlJc w:val="left"/>
      <w:pPr>
        <w:ind w:left="8543" w:hanging="682"/>
      </w:pPr>
      <w:rPr>
        <w:rFonts w:hint="default"/>
      </w:rPr>
    </w:lvl>
    <w:lvl w:ilvl="8">
      <w:start w:val="0"/>
      <w:numFmt w:val="bullet"/>
      <w:lvlText w:val="•"/>
      <w:lvlJc w:val="left"/>
      <w:pPr>
        <w:ind w:left="9557" w:hanging="682"/>
      </w:pPr>
      <w:rPr>
        <w:rFonts w:hint="default"/>
      </w:rPr>
    </w:lvl>
  </w:abstractNum>
  <w:abstractNum w:abstractNumId="4">
    <w:multiLevelType w:val="hybridMultilevel"/>
    <w:lvl w:ilvl="0">
      <w:start w:val="33"/>
      <w:numFmt w:val="decimal"/>
      <w:lvlText w:val="%1"/>
      <w:lvlJc w:val="left"/>
      <w:pPr>
        <w:ind w:left="1836" w:hanging="761"/>
        <w:jc w:val="left"/>
      </w:pPr>
      <w:rPr>
        <w:rFonts w:hint="default"/>
      </w:rPr>
    </w:lvl>
    <w:lvl w:ilvl="1">
      <w:start w:val="2"/>
      <w:numFmt w:val="decimal"/>
      <w:lvlText w:val="%1.%2"/>
      <w:lvlJc w:val="left"/>
      <w:pPr>
        <w:ind w:left="1836" w:hanging="761"/>
        <w:jc w:val="left"/>
      </w:pPr>
      <w:rPr>
        <w:rFonts w:hint="default" w:ascii="Arial" w:hAnsi="Arial" w:eastAsia="Arial" w:cs="Arial"/>
        <w:color w:val="1A171C"/>
        <w:spacing w:val="-1"/>
        <w:w w:val="100"/>
        <w:sz w:val="22"/>
        <w:szCs w:val="22"/>
      </w:rPr>
    </w:lvl>
    <w:lvl w:ilvl="2">
      <w:start w:val="0"/>
      <w:numFmt w:val="bullet"/>
      <w:lvlText w:val="•"/>
      <w:lvlJc w:val="left"/>
      <w:pPr>
        <w:ind w:left="3801" w:hanging="761"/>
      </w:pPr>
      <w:rPr>
        <w:rFonts w:hint="default"/>
      </w:rPr>
    </w:lvl>
    <w:lvl w:ilvl="3">
      <w:start w:val="0"/>
      <w:numFmt w:val="bullet"/>
      <w:lvlText w:val="•"/>
      <w:lvlJc w:val="left"/>
      <w:pPr>
        <w:ind w:left="4781" w:hanging="761"/>
      </w:pPr>
      <w:rPr>
        <w:rFonts w:hint="default"/>
      </w:rPr>
    </w:lvl>
    <w:lvl w:ilvl="4">
      <w:start w:val="0"/>
      <w:numFmt w:val="bullet"/>
      <w:lvlText w:val="•"/>
      <w:lvlJc w:val="left"/>
      <w:pPr>
        <w:ind w:left="5762" w:hanging="761"/>
      </w:pPr>
      <w:rPr>
        <w:rFonts w:hint="default"/>
      </w:rPr>
    </w:lvl>
    <w:lvl w:ilvl="5">
      <w:start w:val="0"/>
      <w:numFmt w:val="bullet"/>
      <w:lvlText w:val="•"/>
      <w:lvlJc w:val="left"/>
      <w:pPr>
        <w:ind w:left="6742" w:hanging="761"/>
      </w:pPr>
      <w:rPr>
        <w:rFonts w:hint="default"/>
      </w:rPr>
    </w:lvl>
    <w:lvl w:ilvl="6">
      <w:start w:val="0"/>
      <w:numFmt w:val="bullet"/>
      <w:lvlText w:val="•"/>
      <w:lvlJc w:val="left"/>
      <w:pPr>
        <w:ind w:left="7723" w:hanging="761"/>
      </w:pPr>
      <w:rPr>
        <w:rFonts w:hint="default"/>
      </w:rPr>
    </w:lvl>
    <w:lvl w:ilvl="7">
      <w:start w:val="0"/>
      <w:numFmt w:val="bullet"/>
      <w:lvlText w:val="•"/>
      <w:lvlJc w:val="left"/>
      <w:pPr>
        <w:ind w:left="8703" w:hanging="761"/>
      </w:pPr>
      <w:rPr>
        <w:rFonts w:hint="default"/>
      </w:rPr>
    </w:lvl>
    <w:lvl w:ilvl="8">
      <w:start w:val="0"/>
      <w:numFmt w:val="bullet"/>
      <w:lvlText w:val="•"/>
      <w:lvlJc w:val="left"/>
      <w:pPr>
        <w:ind w:left="9684" w:hanging="761"/>
      </w:pPr>
      <w:rPr>
        <w:rFonts w:hint="default"/>
      </w:rPr>
    </w:lvl>
  </w:abstractNum>
  <w:abstractNum w:abstractNumId="3">
    <w:multiLevelType w:val="hybridMultilevel"/>
    <w:lvl w:ilvl="0">
      <w:start w:val="3"/>
      <w:numFmt w:val="upperLetter"/>
      <w:lvlText w:val="%1."/>
      <w:lvlJc w:val="left"/>
      <w:pPr>
        <w:ind w:left="1838" w:hanging="680"/>
        <w:jc w:val="left"/>
      </w:pPr>
      <w:rPr>
        <w:rFonts w:hint="default" w:ascii="Arial" w:hAnsi="Arial" w:eastAsia="Arial" w:cs="Arial"/>
        <w:b/>
        <w:bCs/>
        <w:color w:val="1A171C"/>
        <w:spacing w:val="0"/>
        <w:w w:val="99"/>
        <w:sz w:val="32"/>
        <w:szCs w:val="32"/>
      </w:rPr>
    </w:lvl>
    <w:lvl w:ilvl="1">
      <w:start w:val="0"/>
      <w:numFmt w:val="bullet"/>
      <w:lvlText w:val="•"/>
      <w:lvlJc w:val="left"/>
      <w:pPr>
        <w:ind w:left="2820" w:hanging="680"/>
      </w:pPr>
      <w:rPr>
        <w:rFonts w:hint="default"/>
      </w:rPr>
    </w:lvl>
    <w:lvl w:ilvl="2">
      <w:start w:val="0"/>
      <w:numFmt w:val="bullet"/>
      <w:lvlText w:val="•"/>
      <w:lvlJc w:val="left"/>
      <w:pPr>
        <w:ind w:left="3801" w:hanging="680"/>
      </w:pPr>
      <w:rPr>
        <w:rFonts w:hint="default"/>
      </w:rPr>
    </w:lvl>
    <w:lvl w:ilvl="3">
      <w:start w:val="0"/>
      <w:numFmt w:val="bullet"/>
      <w:lvlText w:val="•"/>
      <w:lvlJc w:val="left"/>
      <w:pPr>
        <w:ind w:left="4781" w:hanging="680"/>
      </w:pPr>
      <w:rPr>
        <w:rFonts w:hint="default"/>
      </w:rPr>
    </w:lvl>
    <w:lvl w:ilvl="4">
      <w:start w:val="0"/>
      <w:numFmt w:val="bullet"/>
      <w:lvlText w:val="•"/>
      <w:lvlJc w:val="left"/>
      <w:pPr>
        <w:ind w:left="5762" w:hanging="680"/>
      </w:pPr>
      <w:rPr>
        <w:rFonts w:hint="default"/>
      </w:rPr>
    </w:lvl>
    <w:lvl w:ilvl="5">
      <w:start w:val="0"/>
      <w:numFmt w:val="bullet"/>
      <w:lvlText w:val="•"/>
      <w:lvlJc w:val="left"/>
      <w:pPr>
        <w:ind w:left="6742" w:hanging="680"/>
      </w:pPr>
      <w:rPr>
        <w:rFonts w:hint="default"/>
      </w:rPr>
    </w:lvl>
    <w:lvl w:ilvl="6">
      <w:start w:val="0"/>
      <w:numFmt w:val="bullet"/>
      <w:lvlText w:val="•"/>
      <w:lvlJc w:val="left"/>
      <w:pPr>
        <w:ind w:left="7723" w:hanging="680"/>
      </w:pPr>
      <w:rPr>
        <w:rFonts w:hint="default"/>
      </w:rPr>
    </w:lvl>
    <w:lvl w:ilvl="7">
      <w:start w:val="0"/>
      <w:numFmt w:val="bullet"/>
      <w:lvlText w:val="•"/>
      <w:lvlJc w:val="left"/>
      <w:pPr>
        <w:ind w:left="8703" w:hanging="680"/>
      </w:pPr>
      <w:rPr>
        <w:rFonts w:hint="default"/>
      </w:rPr>
    </w:lvl>
    <w:lvl w:ilvl="8">
      <w:start w:val="0"/>
      <w:numFmt w:val="bullet"/>
      <w:lvlText w:val="•"/>
      <w:lvlJc w:val="left"/>
      <w:pPr>
        <w:ind w:left="9684" w:hanging="680"/>
      </w:pPr>
      <w:rPr>
        <w:rFonts w:hint="default"/>
      </w:rPr>
    </w:lvl>
  </w:abstractNum>
  <w:abstractNum w:abstractNumId="2">
    <w:multiLevelType w:val="hybridMultilevel"/>
    <w:lvl w:ilvl="0">
      <w:start w:val="1"/>
      <w:numFmt w:val="upperLetter"/>
      <w:lvlText w:val="%1."/>
      <w:lvlJc w:val="left"/>
      <w:pPr>
        <w:ind w:left="1838" w:hanging="680"/>
        <w:jc w:val="left"/>
      </w:pPr>
      <w:rPr>
        <w:rFonts w:hint="default"/>
        <w:b/>
        <w:bCs/>
        <w:w w:val="99"/>
      </w:rPr>
    </w:lvl>
    <w:lvl w:ilvl="1">
      <w:start w:val="0"/>
      <w:numFmt w:val="bullet"/>
      <w:lvlText w:val="•"/>
      <w:lvlJc w:val="left"/>
      <w:pPr>
        <w:ind w:left="2820" w:hanging="680"/>
      </w:pPr>
      <w:rPr>
        <w:rFonts w:hint="default"/>
      </w:rPr>
    </w:lvl>
    <w:lvl w:ilvl="2">
      <w:start w:val="0"/>
      <w:numFmt w:val="bullet"/>
      <w:lvlText w:val="•"/>
      <w:lvlJc w:val="left"/>
      <w:pPr>
        <w:ind w:left="3801" w:hanging="680"/>
      </w:pPr>
      <w:rPr>
        <w:rFonts w:hint="default"/>
      </w:rPr>
    </w:lvl>
    <w:lvl w:ilvl="3">
      <w:start w:val="0"/>
      <w:numFmt w:val="bullet"/>
      <w:lvlText w:val="•"/>
      <w:lvlJc w:val="left"/>
      <w:pPr>
        <w:ind w:left="4781" w:hanging="680"/>
      </w:pPr>
      <w:rPr>
        <w:rFonts w:hint="default"/>
      </w:rPr>
    </w:lvl>
    <w:lvl w:ilvl="4">
      <w:start w:val="0"/>
      <w:numFmt w:val="bullet"/>
      <w:lvlText w:val="•"/>
      <w:lvlJc w:val="left"/>
      <w:pPr>
        <w:ind w:left="5762" w:hanging="680"/>
      </w:pPr>
      <w:rPr>
        <w:rFonts w:hint="default"/>
      </w:rPr>
    </w:lvl>
    <w:lvl w:ilvl="5">
      <w:start w:val="0"/>
      <w:numFmt w:val="bullet"/>
      <w:lvlText w:val="•"/>
      <w:lvlJc w:val="left"/>
      <w:pPr>
        <w:ind w:left="6742" w:hanging="680"/>
      </w:pPr>
      <w:rPr>
        <w:rFonts w:hint="default"/>
      </w:rPr>
    </w:lvl>
    <w:lvl w:ilvl="6">
      <w:start w:val="0"/>
      <w:numFmt w:val="bullet"/>
      <w:lvlText w:val="•"/>
      <w:lvlJc w:val="left"/>
      <w:pPr>
        <w:ind w:left="7723" w:hanging="680"/>
      </w:pPr>
      <w:rPr>
        <w:rFonts w:hint="default"/>
      </w:rPr>
    </w:lvl>
    <w:lvl w:ilvl="7">
      <w:start w:val="0"/>
      <w:numFmt w:val="bullet"/>
      <w:lvlText w:val="•"/>
      <w:lvlJc w:val="left"/>
      <w:pPr>
        <w:ind w:left="8703" w:hanging="680"/>
      </w:pPr>
      <w:rPr>
        <w:rFonts w:hint="default"/>
      </w:rPr>
    </w:lvl>
    <w:lvl w:ilvl="8">
      <w:start w:val="0"/>
      <w:numFmt w:val="bullet"/>
      <w:lvlText w:val="•"/>
      <w:lvlJc w:val="left"/>
      <w:pPr>
        <w:ind w:left="9684" w:hanging="680"/>
      </w:pPr>
      <w:rPr>
        <w:rFonts w:hint="default"/>
      </w:rPr>
    </w:lvl>
  </w:abstractNum>
  <w:abstractNum w:abstractNumId="1">
    <w:multiLevelType w:val="hybridMultilevel"/>
    <w:lvl w:ilvl="0">
      <w:start w:val="1"/>
      <w:numFmt w:val="decimal"/>
      <w:lvlText w:val="%1."/>
      <w:lvlJc w:val="left"/>
      <w:pPr>
        <w:ind w:left="1838" w:hanging="680"/>
        <w:jc w:val="left"/>
      </w:pPr>
      <w:rPr>
        <w:rFonts w:hint="default" w:ascii="Arial" w:hAnsi="Arial" w:eastAsia="Arial" w:cs="Arial"/>
        <w:color w:val="1A171C"/>
        <w:spacing w:val="-1"/>
        <w:w w:val="100"/>
        <w:sz w:val="22"/>
        <w:szCs w:val="22"/>
      </w:rPr>
    </w:lvl>
    <w:lvl w:ilvl="1">
      <w:start w:val="1"/>
      <w:numFmt w:val="decimal"/>
      <w:lvlText w:val="%1.%2"/>
      <w:lvlJc w:val="left"/>
      <w:pPr>
        <w:ind w:left="1838" w:hanging="761"/>
        <w:jc w:val="left"/>
      </w:pPr>
      <w:rPr>
        <w:rFonts w:hint="default" w:ascii="Arial" w:hAnsi="Arial" w:eastAsia="Arial" w:cs="Arial"/>
        <w:color w:val="1A171C"/>
        <w:spacing w:val="-1"/>
        <w:w w:val="100"/>
        <w:sz w:val="22"/>
        <w:szCs w:val="22"/>
      </w:rPr>
    </w:lvl>
    <w:lvl w:ilvl="2">
      <w:start w:val="0"/>
      <w:numFmt w:val="bullet"/>
      <w:lvlText w:val="•"/>
      <w:lvlJc w:val="left"/>
      <w:pPr>
        <w:ind w:left="3801" w:hanging="761"/>
      </w:pPr>
      <w:rPr>
        <w:rFonts w:hint="default"/>
      </w:rPr>
    </w:lvl>
    <w:lvl w:ilvl="3">
      <w:start w:val="0"/>
      <w:numFmt w:val="bullet"/>
      <w:lvlText w:val="•"/>
      <w:lvlJc w:val="left"/>
      <w:pPr>
        <w:ind w:left="4781" w:hanging="761"/>
      </w:pPr>
      <w:rPr>
        <w:rFonts w:hint="default"/>
      </w:rPr>
    </w:lvl>
    <w:lvl w:ilvl="4">
      <w:start w:val="0"/>
      <w:numFmt w:val="bullet"/>
      <w:lvlText w:val="•"/>
      <w:lvlJc w:val="left"/>
      <w:pPr>
        <w:ind w:left="5762" w:hanging="761"/>
      </w:pPr>
      <w:rPr>
        <w:rFonts w:hint="default"/>
      </w:rPr>
    </w:lvl>
    <w:lvl w:ilvl="5">
      <w:start w:val="0"/>
      <w:numFmt w:val="bullet"/>
      <w:lvlText w:val="•"/>
      <w:lvlJc w:val="left"/>
      <w:pPr>
        <w:ind w:left="6742" w:hanging="761"/>
      </w:pPr>
      <w:rPr>
        <w:rFonts w:hint="default"/>
      </w:rPr>
    </w:lvl>
    <w:lvl w:ilvl="6">
      <w:start w:val="0"/>
      <w:numFmt w:val="bullet"/>
      <w:lvlText w:val="•"/>
      <w:lvlJc w:val="left"/>
      <w:pPr>
        <w:ind w:left="7723" w:hanging="761"/>
      </w:pPr>
      <w:rPr>
        <w:rFonts w:hint="default"/>
      </w:rPr>
    </w:lvl>
    <w:lvl w:ilvl="7">
      <w:start w:val="0"/>
      <w:numFmt w:val="bullet"/>
      <w:lvlText w:val="•"/>
      <w:lvlJc w:val="left"/>
      <w:pPr>
        <w:ind w:left="8703" w:hanging="761"/>
      </w:pPr>
      <w:rPr>
        <w:rFonts w:hint="default"/>
      </w:rPr>
    </w:lvl>
    <w:lvl w:ilvl="8">
      <w:start w:val="0"/>
      <w:numFmt w:val="bullet"/>
      <w:lvlText w:val="•"/>
      <w:lvlJc w:val="left"/>
      <w:pPr>
        <w:ind w:left="9684" w:hanging="761"/>
      </w:pPr>
      <w:rPr>
        <w:rFonts w:hint="default"/>
      </w:rPr>
    </w:lvl>
  </w:abstractNum>
  <w:abstractNum w:abstractNumId="0">
    <w:multiLevelType w:val="hybridMultilevel"/>
    <w:lvl w:ilvl="0">
      <w:start w:val="1"/>
      <w:numFmt w:val="decimal"/>
      <w:lvlText w:val="%1."/>
      <w:lvlJc w:val="left"/>
      <w:pPr>
        <w:ind w:left="1837" w:hanging="680"/>
        <w:jc w:val="left"/>
      </w:pPr>
      <w:rPr>
        <w:rFonts w:hint="default"/>
        <w:spacing w:val="-1"/>
        <w:w w:val="100"/>
      </w:rPr>
    </w:lvl>
    <w:lvl w:ilvl="1">
      <w:start w:val="0"/>
      <w:numFmt w:val="bullet"/>
      <w:lvlText w:val="•"/>
      <w:lvlJc w:val="left"/>
      <w:pPr>
        <w:ind w:left="2820" w:hanging="680"/>
      </w:pPr>
      <w:rPr>
        <w:rFonts w:hint="default"/>
      </w:rPr>
    </w:lvl>
    <w:lvl w:ilvl="2">
      <w:start w:val="0"/>
      <w:numFmt w:val="bullet"/>
      <w:lvlText w:val="•"/>
      <w:lvlJc w:val="left"/>
      <w:pPr>
        <w:ind w:left="3801" w:hanging="680"/>
      </w:pPr>
      <w:rPr>
        <w:rFonts w:hint="default"/>
      </w:rPr>
    </w:lvl>
    <w:lvl w:ilvl="3">
      <w:start w:val="0"/>
      <w:numFmt w:val="bullet"/>
      <w:lvlText w:val="•"/>
      <w:lvlJc w:val="left"/>
      <w:pPr>
        <w:ind w:left="4781" w:hanging="680"/>
      </w:pPr>
      <w:rPr>
        <w:rFonts w:hint="default"/>
      </w:rPr>
    </w:lvl>
    <w:lvl w:ilvl="4">
      <w:start w:val="0"/>
      <w:numFmt w:val="bullet"/>
      <w:lvlText w:val="•"/>
      <w:lvlJc w:val="left"/>
      <w:pPr>
        <w:ind w:left="5762" w:hanging="680"/>
      </w:pPr>
      <w:rPr>
        <w:rFonts w:hint="default"/>
      </w:rPr>
    </w:lvl>
    <w:lvl w:ilvl="5">
      <w:start w:val="0"/>
      <w:numFmt w:val="bullet"/>
      <w:lvlText w:val="•"/>
      <w:lvlJc w:val="left"/>
      <w:pPr>
        <w:ind w:left="6742" w:hanging="680"/>
      </w:pPr>
      <w:rPr>
        <w:rFonts w:hint="default"/>
      </w:rPr>
    </w:lvl>
    <w:lvl w:ilvl="6">
      <w:start w:val="0"/>
      <w:numFmt w:val="bullet"/>
      <w:lvlText w:val="•"/>
      <w:lvlJc w:val="left"/>
      <w:pPr>
        <w:ind w:left="7723" w:hanging="680"/>
      </w:pPr>
      <w:rPr>
        <w:rFonts w:hint="default"/>
      </w:rPr>
    </w:lvl>
    <w:lvl w:ilvl="7">
      <w:start w:val="0"/>
      <w:numFmt w:val="bullet"/>
      <w:lvlText w:val="•"/>
      <w:lvlJc w:val="left"/>
      <w:pPr>
        <w:ind w:left="8703" w:hanging="680"/>
      </w:pPr>
      <w:rPr>
        <w:rFonts w:hint="default"/>
      </w:rPr>
    </w:lvl>
    <w:lvl w:ilvl="8">
      <w:start w:val="0"/>
      <w:numFmt w:val="bullet"/>
      <w:lvlText w:val="•"/>
      <w:lvlJc w:val="left"/>
      <w:pPr>
        <w:ind w:left="9684" w:hanging="680"/>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68"/>
      <w:ind w:right="394"/>
      <w:jc w:val="right"/>
      <w:outlineLvl w:val="1"/>
    </w:pPr>
    <w:rPr>
      <w:rFonts w:ascii="Stone Sans II ITC Std X Bd" w:hAnsi="Stone Sans II ITC Std X Bd" w:eastAsia="Stone Sans II ITC Std X Bd" w:cs="Stone Sans II ITC Std X Bd"/>
      <w:b/>
      <w:bCs/>
      <w:sz w:val="65"/>
      <w:szCs w:val="65"/>
    </w:rPr>
  </w:style>
  <w:style w:styleId="Heading2" w:type="paragraph">
    <w:name w:val="Heading 2"/>
    <w:basedOn w:val="Normal"/>
    <w:uiPriority w:val="1"/>
    <w:qFormat/>
    <w:pPr>
      <w:ind w:left="20"/>
      <w:jc w:val="center"/>
      <w:outlineLvl w:val="2"/>
    </w:pPr>
    <w:rPr>
      <w:rFonts w:ascii="Stone Sans II ITC Std Lt" w:hAnsi="Stone Sans II ITC Std Lt" w:eastAsia="Stone Sans II ITC Std Lt" w:cs="Stone Sans II ITC Std Lt"/>
      <w:sz w:val="54"/>
      <w:szCs w:val="54"/>
    </w:rPr>
  </w:style>
  <w:style w:styleId="Heading3" w:type="paragraph">
    <w:name w:val="Heading 3"/>
    <w:basedOn w:val="Normal"/>
    <w:uiPriority w:val="1"/>
    <w:qFormat/>
    <w:pPr>
      <w:spacing w:before="174"/>
      <w:ind w:left="1998" w:right="1547"/>
      <w:jc w:val="center"/>
      <w:outlineLvl w:val="3"/>
    </w:pPr>
    <w:rPr>
      <w:rFonts w:ascii="Stone Sans II ITC Std Lt" w:hAnsi="Stone Sans II ITC Std Lt" w:eastAsia="Stone Sans II ITC Std Lt" w:cs="Stone Sans II ITC Std Lt"/>
      <w:sz w:val="39"/>
      <w:szCs w:val="39"/>
    </w:rPr>
  </w:style>
  <w:style w:styleId="Heading4" w:type="paragraph">
    <w:name w:val="Heading 4"/>
    <w:basedOn w:val="Normal"/>
    <w:uiPriority w:val="1"/>
    <w:qFormat/>
    <w:pPr>
      <w:spacing w:before="214"/>
      <w:ind w:left="1838" w:hanging="680"/>
      <w:outlineLvl w:val="4"/>
    </w:pPr>
    <w:rPr>
      <w:rFonts w:ascii="Arial" w:hAnsi="Arial" w:eastAsia="Arial" w:cs="Arial"/>
      <w:b/>
      <w:bCs/>
      <w:sz w:val="32"/>
      <w:szCs w:val="32"/>
    </w:rPr>
  </w:style>
  <w:style w:styleId="Heading5" w:type="paragraph">
    <w:name w:val="Heading 5"/>
    <w:basedOn w:val="Normal"/>
    <w:uiPriority w:val="1"/>
    <w:qFormat/>
    <w:pPr>
      <w:ind w:left="1837"/>
      <w:outlineLvl w:val="5"/>
    </w:pPr>
    <w:rPr>
      <w:rFonts w:ascii="Arial" w:hAnsi="Arial" w:eastAsia="Arial" w:cs="Arial"/>
      <w:b/>
      <w:bCs/>
      <w:sz w:val="28"/>
      <w:szCs w:val="28"/>
    </w:rPr>
  </w:style>
  <w:style w:styleId="Heading6" w:type="paragraph">
    <w:name w:val="Heading 6"/>
    <w:basedOn w:val="Normal"/>
    <w:uiPriority w:val="1"/>
    <w:qFormat/>
    <w:pPr>
      <w:ind w:right="423"/>
      <w:jc w:val="right"/>
      <w:outlineLvl w:val="6"/>
    </w:pPr>
    <w:rPr>
      <w:rFonts w:ascii="Arial" w:hAnsi="Arial" w:eastAsia="Arial" w:cs="Arial"/>
      <w:b/>
      <w:bCs/>
      <w:sz w:val="24"/>
      <w:szCs w:val="24"/>
    </w:rPr>
  </w:style>
  <w:style w:styleId="Heading7" w:type="paragraph">
    <w:name w:val="Heading 7"/>
    <w:basedOn w:val="Normal"/>
    <w:uiPriority w:val="1"/>
    <w:qFormat/>
    <w:pPr>
      <w:spacing w:before="26"/>
      <w:ind w:left="20"/>
      <w:outlineLvl w:val="7"/>
    </w:pPr>
    <w:rPr>
      <w:rFonts w:ascii="Arial" w:hAnsi="Arial" w:eastAsia="Arial" w:cs="Arial"/>
      <w:b/>
      <w:bCs/>
      <w:sz w:val="22"/>
      <w:szCs w:val="22"/>
    </w:rPr>
  </w:style>
  <w:style w:styleId="ListParagraph" w:type="paragraph">
    <w:name w:val="List Paragraph"/>
    <w:basedOn w:val="Normal"/>
    <w:uiPriority w:val="1"/>
    <w:qFormat/>
    <w:pPr>
      <w:ind w:left="1838"/>
    </w:pPr>
    <w:rPr>
      <w:rFonts w:ascii="Arial" w:hAnsi="Arial" w:eastAsia="Arial" w:cs="Arial"/>
    </w:rPr>
  </w:style>
  <w:style w:styleId="TableParagraph" w:type="paragraph">
    <w:name w:val="Table Paragraph"/>
    <w:basedOn w:val="Normal"/>
    <w:uiPriority w:val="1"/>
    <w:qFormat/>
    <w:pPr>
      <w:ind w:left="57"/>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www.urc.org.uk/"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mailto:breslin@newcastleurc.freeserve.co.uk" TargetMode="External"/><Relationship Id="rId16" Type="http://schemas.openxmlformats.org/officeDocument/2006/relationships/image" Target="media/image10.jpeg"/><Relationship Id="rId17" Type="http://schemas.openxmlformats.org/officeDocument/2006/relationships/hyperlink" Target="mailto:ecaswell@btinternet.com" TargetMode="External"/><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2020-01-17T16:14:59Z</dcterms:created>
  <dcterms:modified xsi:type="dcterms:W3CDTF">2020-01-17T16:14:59Z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2015-06-08T00:00:00Z</vt:filetime>
  </property>
  <property fmtid="{D5CDD505-2E9C-101B-9397-08002B2CF9AE}" pid="3" name="Creator">
    <vt:lpwstr>Adobe InDesign CS6 (Windows)</vt:lpwstr>
  </property>
  <property fmtid="{D5CDD505-2E9C-101B-9397-08002B2CF9AE}" pid="4" name="LastSaved">
    <vt:filetime>2020-01-17T00:00:00Z</vt:filetime>
  </property>
</Properties>
</file>